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E1D9A" w14:textId="77777777" w:rsidR="007669DF" w:rsidRDefault="00202495">
      <w:pPr>
        <w:jc w:val="center"/>
        <w:rPr>
          <w:rFonts w:ascii="Aptos" w:hAnsi="Aptos"/>
        </w:rPr>
      </w:pPr>
      <w:r>
        <w:rPr>
          <w:rFonts w:ascii="Aptos" w:hAnsi="Aptos"/>
          <w:noProof/>
        </w:rPr>
        <w:drawing>
          <wp:inline distT="0" distB="0" distL="0" distR="0" wp14:anchorId="07D44E87" wp14:editId="76D54A6F">
            <wp:extent cx="2980602" cy="1188188"/>
            <wp:effectExtent l="0" t="0" r="0" b="0"/>
            <wp:docPr id="1" name="图片 1" descr="A close-up of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8"/>
                    <a:stretch>
                      <a:fillRect/>
                    </a:stretch>
                  </pic:blipFill>
                  <pic:spPr>
                    <a:xfrm>
                      <a:off x="0" y="0"/>
                      <a:ext cx="2980602" cy="1188188"/>
                    </a:xfrm>
                    <a:prstGeom prst="rect">
                      <a:avLst/>
                    </a:prstGeom>
                    <a:noFill/>
                    <a:ln w="12700" cap="flat" cmpd="sng">
                      <a:noFill/>
                      <a:prstDash val="solid"/>
                      <a:round/>
                    </a:ln>
                  </pic:spPr>
                </pic:pic>
              </a:graphicData>
            </a:graphic>
          </wp:inline>
        </w:drawing>
      </w:r>
    </w:p>
    <w:p w14:paraId="65025D62" w14:textId="77777777" w:rsidR="007669DF" w:rsidRDefault="007669DF">
      <w:pPr>
        <w:jc w:val="center"/>
        <w:rPr>
          <w:rFonts w:hint="eastAsia"/>
        </w:rPr>
      </w:pPr>
    </w:p>
    <w:p w14:paraId="26C55A89" w14:textId="77777777" w:rsidR="007669DF" w:rsidRDefault="007669DF">
      <w:pPr>
        <w:jc w:val="center"/>
        <w:rPr>
          <w:rFonts w:hint="eastAsia"/>
        </w:rPr>
      </w:pPr>
    </w:p>
    <w:p w14:paraId="42DCBE9D" w14:textId="77777777" w:rsidR="00B54D93" w:rsidRDefault="00B54D93">
      <w:pPr>
        <w:spacing w:before="212"/>
        <w:rPr>
          <w:rFonts w:ascii="Arial" w:hAnsi="Arial"/>
          <w:b/>
          <w:bCs/>
          <w:sz w:val="48"/>
          <w:szCs w:val="48"/>
        </w:rPr>
      </w:pPr>
    </w:p>
    <w:p w14:paraId="7C2EFCC1" w14:textId="65D8A271" w:rsidR="007669DF" w:rsidRDefault="00202495">
      <w:pPr>
        <w:spacing w:before="212"/>
        <w:rPr>
          <w:rFonts w:ascii="Arial" w:hAnsi="Arial"/>
          <w:sz w:val="48"/>
          <w:szCs w:val="48"/>
        </w:rPr>
      </w:pPr>
      <w:r>
        <w:rPr>
          <w:rFonts w:ascii="Arial" w:hAnsi="Arial"/>
          <w:b/>
          <w:bCs/>
          <w:sz w:val="48"/>
          <w:szCs w:val="48"/>
        </w:rPr>
        <w:t xml:space="preserve">Module Name: </w:t>
      </w:r>
      <w:r>
        <w:rPr>
          <w:rFonts w:ascii="Arial" w:hAnsi="Arial"/>
          <w:sz w:val="48"/>
          <w:szCs w:val="48"/>
        </w:rPr>
        <w:t>Academic Skills in the Digital Era</w:t>
      </w:r>
    </w:p>
    <w:p w14:paraId="31A360CA" w14:textId="74CA3ED8" w:rsidR="007669DF" w:rsidRPr="00B54D93" w:rsidRDefault="00202495">
      <w:pPr>
        <w:spacing w:before="212"/>
        <w:rPr>
          <w:rFonts w:ascii="Arial" w:hAnsi="Arial"/>
          <w:b/>
          <w:bCs/>
          <w:sz w:val="48"/>
          <w:szCs w:val="48"/>
          <w:lang w:val="it-IT"/>
        </w:rPr>
      </w:pPr>
      <w:r w:rsidRPr="00B54D93">
        <w:rPr>
          <w:rFonts w:ascii="Arial" w:hAnsi="Arial"/>
          <w:b/>
          <w:bCs/>
          <w:sz w:val="48"/>
          <w:szCs w:val="48"/>
          <w:lang w:val="it-IT"/>
        </w:rPr>
        <w:t xml:space="preserve">Module </w:t>
      </w:r>
      <w:r w:rsidR="000B2F19" w:rsidRPr="00B54D93">
        <w:rPr>
          <w:rFonts w:ascii="Arial" w:hAnsi="Arial"/>
          <w:b/>
          <w:bCs/>
          <w:sz w:val="48"/>
          <w:szCs w:val="48"/>
          <w:lang w:val="it-IT"/>
        </w:rPr>
        <w:t>Code: BMSW</w:t>
      </w:r>
      <w:r w:rsidRPr="00B54D93">
        <w:rPr>
          <w:rFonts w:ascii="Arial" w:hAnsi="Arial"/>
          <w:sz w:val="48"/>
          <w:szCs w:val="48"/>
          <w:lang w:val="it-IT"/>
        </w:rPr>
        <w:t>4013</w:t>
      </w:r>
    </w:p>
    <w:p w14:paraId="63C4F5C7" w14:textId="2E6966D3" w:rsidR="007669DF" w:rsidRPr="00B54D93" w:rsidRDefault="000B2F19">
      <w:pPr>
        <w:spacing w:before="212"/>
        <w:rPr>
          <w:rFonts w:ascii="Arial" w:hAnsi="Arial"/>
          <w:lang w:val="it-IT"/>
        </w:rPr>
      </w:pPr>
      <w:r w:rsidRPr="00B54D93">
        <w:rPr>
          <w:rFonts w:ascii="Arial" w:hAnsi="Arial"/>
          <w:b/>
          <w:bCs/>
          <w:sz w:val="48"/>
          <w:szCs w:val="48"/>
          <w:lang w:val="it-IT"/>
        </w:rPr>
        <w:t xml:space="preserve">Assesment 1: </w:t>
      </w:r>
      <w:r w:rsidRPr="00B54D93">
        <w:rPr>
          <w:rFonts w:ascii="Arial" w:hAnsi="Arial"/>
          <w:sz w:val="48"/>
          <w:szCs w:val="48"/>
          <w:lang w:val="it-IT"/>
        </w:rPr>
        <w:t>E</w:t>
      </w:r>
      <w:r w:rsidR="00B54D93">
        <w:rPr>
          <w:rFonts w:ascii="Arial" w:hAnsi="Arial"/>
          <w:sz w:val="48"/>
          <w:szCs w:val="48"/>
          <w:lang w:val="it-IT"/>
        </w:rPr>
        <w:t>-</w:t>
      </w:r>
      <w:r w:rsidRPr="00B54D93">
        <w:rPr>
          <w:rFonts w:ascii="Arial" w:hAnsi="Arial"/>
          <w:sz w:val="48"/>
          <w:szCs w:val="48"/>
          <w:lang w:val="it-IT"/>
        </w:rPr>
        <w:t>Portfolio</w:t>
      </w:r>
    </w:p>
    <w:p w14:paraId="1615CFAD" w14:textId="77777777" w:rsidR="007669DF" w:rsidRPr="00F412D6" w:rsidRDefault="00202495">
      <w:pPr>
        <w:spacing w:before="3"/>
        <w:rPr>
          <w:rFonts w:ascii="Arial" w:hAnsi="Arial"/>
          <w:b/>
          <w:sz w:val="48"/>
          <w:szCs w:val="48"/>
          <w:lang w:val="it-IT"/>
        </w:rPr>
      </w:pPr>
      <w:r w:rsidRPr="00F412D6">
        <w:rPr>
          <w:rFonts w:ascii="Arial" w:hAnsi="Arial"/>
          <w:b/>
          <w:sz w:val="48"/>
          <w:szCs w:val="48"/>
          <w:lang w:val="it-IT"/>
        </w:rPr>
        <w:t xml:space="preserve">Student Name: </w:t>
      </w:r>
      <w:r w:rsidRPr="00F412D6">
        <w:rPr>
          <w:rFonts w:ascii="Arial" w:hAnsi="Arial"/>
          <w:bCs/>
          <w:sz w:val="48"/>
          <w:szCs w:val="48"/>
          <w:lang w:val="it-IT"/>
        </w:rPr>
        <w:t>Viviana Zaharia</w:t>
      </w:r>
    </w:p>
    <w:p w14:paraId="5DCCE767" w14:textId="77777777" w:rsidR="007669DF" w:rsidRDefault="00202495">
      <w:pPr>
        <w:spacing w:before="3"/>
        <w:rPr>
          <w:rFonts w:ascii="Arial" w:hAnsi="Arial"/>
          <w:b/>
          <w:sz w:val="48"/>
          <w:szCs w:val="48"/>
        </w:rPr>
      </w:pPr>
      <w:r>
        <w:rPr>
          <w:rFonts w:ascii="Arial" w:hAnsi="Arial"/>
          <w:b/>
          <w:sz w:val="48"/>
          <w:szCs w:val="48"/>
        </w:rPr>
        <w:t>Student Number:</w:t>
      </w:r>
      <w:r>
        <w:rPr>
          <w:rFonts w:ascii="Arial" w:hAnsi="Arial"/>
          <w:b/>
          <w:sz w:val="48"/>
          <w:szCs w:val="48"/>
          <w:lang w:val="en-US"/>
        </w:rPr>
        <w:t xml:space="preserve"> </w:t>
      </w:r>
      <w:r w:rsidRPr="00B54D93">
        <w:rPr>
          <w:rFonts w:ascii="Arial" w:hAnsi="Arial"/>
          <w:bCs/>
          <w:sz w:val="48"/>
          <w:szCs w:val="48"/>
          <w:lang w:val="en-US"/>
        </w:rPr>
        <w:t>2522333</w:t>
      </w:r>
    </w:p>
    <w:p w14:paraId="0A07BC8A" w14:textId="7957A120" w:rsidR="00B54D93" w:rsidRDefault="00202495">
      <w:pPr>
        <w:rPr>
          <w:rFonts w:ascii="Arial" w:hAnsi="Arial"/>
          <w:b/>
          <w:sz w:val="48"/>
          <w:szCs w:val="48"/>
          <w:lang w:val="en-US"/>
        </w:rPr>
      </w:pPr>
      <w:r>
        <w:rPr>
          <w:rFonts w:ascii="Arial" w:hAnsi="Arial"/>
          <w:b/>
          <w:sz w:val="48"/>
          <w:szCs w:val="48"/>
        </w:rPr>
        <w:t xml:space="preserve">Lecturer: </w:t>
      </w:r>
      <w:r w:rsidRPr="00B54D93">
        <w:rPr>
          <w:rFonts w:ascii="Arial" w:hAnsi="Arial"/>
          <w:bCs/>
          <w:sz w:val="48"/>
          <w:szCs w:val="48"/>
          <w:lang w:val="en-US"/>
        </w:rPr>
        <w:t>Ffion Cumberp</w:t>
      </w:r>
      <w:r w:rsidR="000B2F19">
        <w:rPr>
          <w:rFonts w:ascii="Arial" w:hAnsi="Arial"/>
          <w:bCs/>
          <w:sz w:val="48"/>
          <w:szCs w:val="48"/>
          <w:lang w:val="en-US"/>
        </w:rPr>
        <w:t>a</w:t>
      </w:r>
      <w:r w:rsidRPr="00B54D93">
        <w:rPr>
          <w:rFonts w:ascii="Arial" w:hAnsi="Arial"/>
          <w:bCs/>
          <w:sz w:val="48"/>
          <w:szCs w:val="48"/>
          <w:lang w:val="en-US"/>
        </w:rPr>
        <w:t>tch</w:t>
      </w:r>
    </w:p>
    <w:p w14:paraId="18D6462B" w14:textId="41B2F903" w:rsidR="007669DF" w:rsidRDefault="00202495">
      <w:pPr>
        <w:rPr>
          <w:rFonts w:ascii="Arial" w:hAnsi="Arial"/>
          <w:bCs/>
          <w:sz w:val="48"/>
          <w:szCs w:val="48"/>
        </w:rPr>
      </w:pPr>
      <w:r>
        <w:rPr>
          <w:rFonts w:ascii="Arial" w:hAnsi="Arial"/>
          <w:b/>
          <w:sz w:val="48"/>
          <w:szCs w:val="48"/>
        </w:rPr>
        <w:br/>
        <w:t xml:space="preserve">Deadline: </w:t>
      </w:r>
      <w:r w:rsidRPr="00B54D93">
        <w:rPr>
          <w:rFonts w:ascii="Arial" w:hAnsi="Arial"/>
          <w:bCs/>
          <w:sz w:val="48"/>
          <w:szCs w:val="48"/>
          <w:lang w:val="en-US"/>
        </w:rPr>
        <w:t>27 February 2026, 23:59</w:t>
      </w:r>
    </w:p>
    <w:p w14:paraId="6F4E9ABD" w14:textId="77777777" w:rsidR="007669DF" w:rsidRDefault="007669DF">
      <w:pPr>
        <w:rPr>
          <w:rFonts w:ascii="Arial" w:hAnsi="Arial"/>
          <w:bCs/>
          <w:sz w:val="48"/>
          <w:szCs w:val="48"/>
        </w:rPr>
      </w:pPr>
    </w:p>
    <w:p w14:paraId="35932A90" w14:textId="77777777" w:rsidR="007669DF" w:rsidRDefault="007669DF">
      <w:pPr>
        <w:rPr>
          <w:rFonts w:ascii="Arial" w:hAnsi="Arial"/>
          <w:bCs/>
          <w:sz w:val="48"/>
          <w:szCs w:val="48"/>
        </w:rPr>
      </w:pPr>
    </w:p>
    <w:p w14:paraId="69D4B159" w14:textId="77777777" w:rsidR="007669DF" w:rsidRDefault="007669DF">
      <w:pPr>
        <w:rPr>
          <w:rFonts w:ascii="Arial" w:hAnsi="Arial"/>
          <w:bCs/>
          <w:sz w:val="48"/>
          <w:szCs w:val="48"/>
        </w:rPr>
      </w:pPr>
    </w:p>
    <w:p w14:paraId="1FA497C6" w14:textId="77777777" w:rsidR="007669DF" w:rsidRDefault="007669DF">
      <w:pPr>
        <w:rPr>
          <w:rFonts w:ascii="Arial" w:hAnsi="Arial"/>
          <w:bCs/>
          <w:sz w:val="48"/>
          <w:szCs w:val="48"/>
        </w:rPr>
      </w:pPr>
    </w:p>
    <w:p w14:paraId="085F44C0" w14:textId="77777777" w:rsidR="007669DF" w:rsidRDefault="00202495">
      <w:pPr>
        <w:rPr>
          <w:rFonts w:ascii="Aptos" w:hAnsi="Aptos"/>
          <w:b/>
          <w:bCs/>
          <w:sz w:val="32"/>
          <w:szCs w:val="32"/>
        </w:rPr>
      </w:pPr>
      <w:r>
        <w:rPr>
          <w:rFonts w:ascii="Aptos" w:hAnsi="Aptos"/>
          <w:b/>
          <w:bCs/>
          <w:sz w:val="32"/>
          <w:szCs w:val="32"/>
        </w:rPr>
        <w:br/>
      </w:r>
    </w:p>
    <w:p w14:paraId="49DD279B" w14:textId="77777777" w:rsidR="007669DF" w:rsidRDefault="00202495">
      <w:pPr>
        <w:spacing w:line="259" w:lineRule="auto"/>
        <w:rPr>
          <w:rFonts w:ascii="Arial" w:hAnsi="Arial"/>
          <w:b/>
          <w:bCs/>
        </w:rPr>
      </w:pPr>
      <w:r>
        <w:rPr>
          <w:rFonts w:ascii="Arial" w:hAnsi="Arial"/>
          <w:b/>
          <w:bCs/>
        </w:rPr>
        <w:br w:type="page"/>
      </w:r>
    </w:p>
    <w:p w14:paraId="44454571" w14:textId="77777777" w:rsidR="007669DF" w:rsidRDefault="00202495">
      <w:pPr>
        <w:rPr>
          <w:rFonts w:ascii="Arial" w:hAnsi="Arial"/>
          <w:b/>
          <w:bCs/>
        </w:rPr>
      </w:pPr>
      <w:r>
        <w:rPr>
          <w:rFonts w:ascii="Arial" w:hAnsi="Arial"/>
          <w:b/>
          <w:bCs/>
        </w:rPr>
        <w:lastRenderedPageBreak/>
        <w:t>AI Acknowledgement</w:t>
      </w:r>
    </w:p>
    <w:p w14:paraId="3085DB9D" w14:textId="77777777" w:rsidR="007669DF" w:rsidRDefault="007669DF">
      <w:pPr>
        <w:jc w:val="both"/>
        <w:rPr>
          <w:rFonts w:ascii="Arial" w:hAnsi="Arial"/>
        </w:rPr>
      </w:pPr>
    </w:p>
    <w:p w14:paraId="1A46EE87" w14:textId="77777777" w:rsidR="007669DF" w:rsidRDefault="00202495">
      <w:pPr>
        <w:jc w:val="both"/>
        <w:rPr>
          <w:rFonts w:ascii="Arial" w:hAnsi="Arial"/>
        </w:rPr>
      </w:pPr>
      <w:r>
        <w:rPr>
          <w:rFonts w:ascii="Arial" w:hAnsi="Arial"/>
        </w:rPr>
        <w:t xml:space="preserve"> I confirm that I have not presented any AI-generated text as my own work. I confirm that I have retained copies of drafts, notes, and resources used before and after the use of AI tools.</w:t>
      </w:r>
    </w:p>
    <w:p w14:paraId="2E397860" w14:textId="77777777" w:rsidR="007669DF" w:rsidRDefault="007669DF">
      <w:pPr>
        <w:jc w:val="both"/>
        <w:rPr>
          <w:rFonts w:ascii="Arial" w:hAnsi="Arial"/>
        </w:rPr>
      </w:pPr>
    </w:p>
    <w:p w14:paraId="6DCBD1B7" w14:textId="77777777" w:rsidR="007669DF" w:rsidRDefault="007669DF">
      <w:pPr>
        <w:jc w:val="both"/>
        <w:rPr>
          <w:rFonts w:ascii="Arial" w:hAnsi="Arial"/>
        </w:rPr>
        <w:sectPr w:rsidR="007669DF">
          <w:footerReference w:type="default" r:id="rId9"/>
          <w:pgSz w:w="11906" w:h="16838"/>
          <w:pgMar w:top="1440" w:right="1440" w:bottom="1440" w:left="1440" w:header="708" w:footer="708" w:gutter="0"/>
          <w:cols w:space="720"/>
          <w:docGrid w:linePitch="360"/>
        </w:sectPr>
      </w:pPr>
    </w:p>
    <w:p w14:paraId="3F394753" w14:textId="77777777" w:rsidR="007669DF" w:rsidRDefault="00202495">
      <w:pPr>
        <w:pStyle w:val="TOCHeading556f135c-0646-496c-8a11-ba486134c66d"/>
        <w:spacing w:before="100" w:beforeAutospacing="1" w:after="100" w:afterAutospacing="1"/>
        <w:jc w:val="center"/>
        <w:rPr>
          <w:rFonts w:ascii="Arial" w:hAnsi="Arial" w:cs="Arial"/>
          <w:b/>
          <w:bCs/>
          <w:color w:val="auto"/>
          <w:sz w:val="24"/>
          <w:szCs w:val="24"/>
          <w:lang w:val="en-GB"/>
        </w:rPr>
      </w:pPr>
      <w:r>
        <w:rPr>
          <w:rFonts w:ascii="Arial" w:hAnsi="Arial" w:cs="Arial"/>
          <w:b/>
          <w:bCs/>
          <w:color w:val="auto"/>
          <w:sz w:val="24"/>
          <w:szCs w:val="24"/>
          <w:lang w:val="en-GB"/>
        </w:rPr>
        <w:lastRenderedPageBreak/>
        <w:t>Contents</w:t>
      </w:r>
    </w:p>
    <w:p w14:paraId="13722015" w14:textId="77777777" w:rsidR="007669DF" w:rsidRDefault="00202495">
      <w:pPr>
        <w:pStyle w:val="TOC1"/>
        <w:tabs>
          <w:tab w:val="right" w:leader="dot" w:pos="9016"/>
        </w:tabs>
        <w:spacing w:before="100" w:beforeAutospacing="1" w:afterAutospacing="1"/>
        <w:rPr>
          <w:rFonts w:hint="eastAsia"/>
          <w:lang w:val="en-IN" w:eastAsia="en-IN"/>
        </w:rPr>
      </w:pPr>
      <w:r>
        <w:rPr>
          <w:rFonts w:ascii="Arial" w:hAnsi="Arial"/>
        </w:rPr>
        <w:fldChar w:fldCharType="begin"/>
      </w:r>
      <w:r>
        <w:rPr>
          <w:rFonts w:ascii="Arial" w:hAnsi="Arial"/>
        </w:rPr>
        <w:instrText xml:space="preserve"> TOC \o "1-3" \h \z \u </w:instrText>
      </w:r>
      <w:r>
        <w:rPr>
          <w:rFonts w:ascii="Arial" w:hAnsi="Arial"/>
        </w:rPr>
        <w:fldChar w:fldCharType="separate"/>
      </w:r>
      <w:hyperlink w:anchor="_Toc222683042" w:history="1">
        <w:r w:rsidR="007669DF">
          <w:rPr>
            <w:rFonts w:ascii="Arial" w:hAnsi="Arial"/>
          </w:rPr>
          <w:t>Component 1 – Development of Academic Skills</w:t>
        </w:r>
        <w:r w:rsidR="007669DF">
          <w:tab/>
        </w:r>
        <w:r w:rsidR="007669DF">
          <w:fldChar w:fldCharType="begin"/>
        </w:r>
        <w:r w:rsidR="007669DF">
          <w:instrText xml:space="preserve"> PAGEREF _Toc222683042 \h </w:instrText>
        </w:r>
        <w:r w:rsidR="007669DF">
          <w:fldChar w:fldCharType="separate"/>
        </w:r>
        <w:r w:rsidR="007669DF">
          <w:t>4</w:t>
        </w:r>
        <w:r w:rsidR="007669DF">
          <w:fldChar w:fldCharType="end"/>
        </w:r>
      </w:hyperlink>
    </w:p>
    <w:p w14:paraId="1C4592CF" w14:textId="3F1811AC" w:rsidR="007669DF" w:rsidRDefault="007669DF">
      <w:pPr>
        <w:pStyle w:val="TOC1"/>
        <w:tabs>
          <w:tab w:val="right" w:leader="dot" w:pos="9016"/>
        </w:tabs>
        <w:spacing w:before="100" w:beforeAutospacing="1" w:afterAutospacing="1"/>
        <w:rPr>
          <w:rFonts w:hint="eastAsia"/>
          <w:lang w:val="en-IN" w:eastAsia="en-IN"/>
        </w:rPr>
      </w:pPr>
      <w:hyperlink w:anchor="_Toc222683043" w:history="1">
        <w:r>
          <w:rPr>
            <w:rFonts w:ascii="Arial" w:hAnsi="Arial"/>
          </w:rPr>
          <w:t>Component 2 – Application of Academic Skills</w:t>
        </w:r>
        <w:r>
          <w:tab/>
          <w:t xml:space="preserve"> </w:t>
        </w:r>
        <w:r>
          <w:fldChar w:fldCharType="begin"/>
        </w:r>
        <w:r>
          <w:instrText xml:space="preserve"> PAGEREF _Toc222683043 \h </w:instrText>
        </w:r>
        <w:r>
          <w:fldChar w:fldCharType="separate"/>
        </w:r>
        <w:r>
          <w:t>8</w:t>
        </w:r>
        <w:r>
          <w:fldChar w:fldCharType="end"/>
        </w:r>
      </w:hyperlink>
    </w:p>
    <w:p w14:paraId="341DC61F" w14:textId="77777777" w:rsidR="007669DF" w:rsidRDefault="007669DF">
      <w:pPr>
        <w:pStyle w:val="TOC1"/>
        <w:tabs>
          <w:tab w:val="right" w:leader="dot" w:pos="9016"/>
        </w:tabs>
        <w:spacing w:before="100" w:beforeAutospacing="1" w:afterAutospacing="1"/>
        <w:rPr>
          <w:rFonts w:hint="eastAsia"/>
          <w:lang w:val="en-IN" w:eastAsia="en-IN"/>
        </w:rPr>
      </w:pPr>
      <w:hyperlink w:anchor="_Toc222683044" w:history="1">
        <w:r>
          <w:rPr>
            <w:rFonts w:ascii="Arial" w:hAnsi="Arial"/>
          </w:rPr>
          <w:t>Component 3 – Academic Poster</w:t>
        </w:r>
        <w:r>
          <w:tab/>
        </w:r>
        <w:r>
          <w:fldChar w:fldCharType="begin"/>
        </w:r>
        <w:r>
          <w:instrText xml:space="preserve"> PAGEREF _Toc222683044 \h </w:instrText>
        </w:r>
        <w:r>
          <w:fldChar w:fldCharType="separate"/>
        </w:r>
        <w:r>
          <w:t>12</w:t>
        </w:r>
        <w:r>
          <w:fldChar w:fldCharType="end"/>
        </w:r>
      </w:hyperlink>
    </w:p>
    <w:p w14:paraId="75467291" w14:textId="77777777" w:rsidR="007669DF" w:rsidRDefault="00202495">
      <w:pPr>
        <w:spacing w:before="100" w:beforeAutospacing="1" w:after="100" w:afterAutospacing="1"/>
        <w:rPr>
          <w:rFonts w:ascii="Arial" w:hAnsi="Arial"/>
        </w:rPr>
      </w:pPr>
      <w:r>
        <w:rPr>
          <w:rFonts w:ascii="Arial" w:hAnsi="Arial"/>
          <w:b/>
          <w:bCs/>
        </w:rPr>
        <w:fldChar w:fldCharType="end"/>
      </w:r>
    </w:p>
    <w:p w14:paraId="2AA626AE" w14:textId="77777777" w:rsidR="007669DF" w:rsidRDefault="007669DF">
      <w:pPr>
        <w:rPr>
          <w:rFonts w:ascii="Arial" w:hAnsi="Arial"/>
        </w:rPr>
        <w:sectPr w:rsidR="007669DF">
          <w:pgSz w:w="11906" w:h="16838"/>
          <w:pgMar w:top="1440" w:right="1440" w:bottom="1440" w:left="1440" w:header="708" w:footer="708" w:gutter="0"/>
          <w:cols w:space="720"/>
          <w:docGrid w:linePitch="360"/>
        </w:sectPr>
      </w:pPr>
    </w:p>
    <w:p w14:paraId="43269A62" w14:textId="77777777" w:rsidR="007669DF" w:rsidRDefault="00202495">
      <w:pPr>
        <w:pStyle w:val="Heading1"/>
        <w:spacing w:before="100" w:beforeAutospacing="1" w:after="100" w:afterAutospacing="1"/>
        <w:jc w:val="both"/>
        <w:rPr>
          <w:rFonts w:ascii="Arial" w:hAnsi="Arial" w:cs="Arial"/>
          <w:lang w:val="en-GB"/>
        </w:rPr>
      </w:pPr>
      <w:bookmarkStart w:id="0" w:name="_Toc222683042"/>
      <w:r>
        <w:rPr>
          <w:rFonts w:ascii="Arial" w:hAnsi="Arial" w:cs="Arial"/>
          <w:lang w:val="en-GB"/>
        </w:rPr>
        <w:lastRenderedPageBreak/>
        <w:t>Component 1 – Development of Academic Skills</w:t>
      </w:r>
      <w:bookmarkEnd w:id="0"/>
    </w:p>
    <w:p w14:paraId="271CAAC1" w14:textId="77777777" w:rsidR="007669DF" w:rsidRDefault="00202495">
      <w:pPr>
        <w:spacing w:before="100" w:beforeAutospacing="1" w:after="100" w:afterAutospacing="1"/>
        <w:jc w:val="both"/>
        <w:rPr>
          <w:rFonts w:ascii="Arial" w:hAnsi="Arial"/>
          <w:b/>
          <w:bCs/>
        </w:rPr>
      </w:pPr>
      <w:r>
        <w:rPr>
          <w:rFonts w:ascii="Arial" w:hAnsi="Arial"/>
          <w:b/>
          <w:bCs/>
        </w:rPr>
        <w:t>Evaluating Academic Sources Using the CRAAP Test</w:t>
      </w:r>
    </w:p>
    <w:p w14:paraId="11CF7273" w14:textId="77777777" w:rsidR="007669DF" w:rsidRDefault="00202495">
      <w:pPr>
        <w:spacing w:before="100" w:beforeAutospacing="1" w:after="100" w:afterAutospacing="1"/>
        <w:jc w:val="both"/>
        <w:rPr>
          <w:rFonts w:ascii="Arial" w:hAnsi="Arial"/>
          <w:b/>
          <w:bCs/>
        </w:rPr>
      </w:pPr>
      <w:r>
        <w:rPr>
          <w:rFonts w:ascii="Arial" w:hAnsi="Arial"/>
          <w:b/>
          <w:bCs/>
        </w:rPr>
        <w:t>Source 1</w:t>
      </w:r>
    </w:p>
    <w:p w14:paraId="61F76CA6" w14:textId="775B277E" w:rsidR="00B54D93" w:rsidRDefault="00202495">
      <w:pPr>
        <w:spacing w:before="100" w:beforeAutospacing="1" w:after="100" w:afterAutospacing="1"/>
        <w:jc w:val="both"/>
        <w:rPr>
          <w:rFonts w:ascii="Arial" w:hAnsi="Arial"/>
        </w:rPr>
      </w:pPr>
      <w:r>
        <w:rPr>
          <w:rFonts w:ascii="Arial" w:hAnsi="Arial"/>
        </w:rPr>
        <w:t>Autor and year</w:t>
      </w:r>
      <w:r w:rsidR="00B54D93">
        <w:rPr>
          <w:rFonts w:ascii="Arial" w:hAnsi="Arial"/>
        </w:rPr>
        <w:t xml:space="preserve"> </w:t>
      </w:r>
      <w:r w:rsidR="000B2F19">
        <w:rPr>
          <w:rFonts w:ascii="Arial" w:hAnsi="Arial"/>
        </w:rPr>
        <w:t>of publication</w:t>
      </w:r>
      <w:r>
        <w:rPr>
          <w:rFonts w:ascii="Arial" w:hAnsi="Arial"/>
        </w:rPr>
        <w:t>: Kayyali, M. (2024)</w:t>
      </w:r>
    </w:p>
    <w:p w14:paraId="1B40B8D6" w14:textId="773C5E37" w:rsidR="007669DF" w:rsidRDefault="00202495">
      <w:pPr>
        <w:spacing w:before="100" w:beforeAutospacing="1" w:after="100" w:afterAutospacing="1"/>
        <w:jc w:val="both"/>
        <w:rPr>
          <w:rFonts w:ascii="Arial" w:hAnsi="Arial"/>
        </w:rPr>
      </w:pPr>
      <w:r>
        <w:rPr>
          <w:rFonts w:ascii="Arial" w:hAnsi="Arial"/>
        </w:rPr>
        <w:t>I found this source on Google Scholar</w:t>
      </w:r>
    </w:p>
    <w:p w14:paraId="3D2EA66C" w14:textId="77777777" w:rsidR="00B54D93" w:rsidRDefault="00B54D93">
      <w:pPr>
        <w:spacing w:before="100" w:beforeAutospacing="1" w:after="100" w:afterAutospacing="1"/>
        <w:jc w:val="both"/>
        <w:rPr>
          <w:rFonts w:ascii="Arial" w:hAnsi="Arial"/>
        </w:rPr>
      </w:pPr>
    </w:p>
    <w:p w14:paraId="14A40601" w14:textId="6C100221" w:rsidR="007669DF" w:rsidRDefault="00202495">
      <w:pPr>
        <w:spacing w:before="100" w:beforeAutospacing="1" w:after="100" w:afterAutospacing="1"/>
        <w:jc w:val="both"/>
        <w:rPr>
          <w:rFonts w:ascii="Arial" w:hAnsi="Arial"/>
        </w:rPr>
      </w:pPr>
      <w:r>
        <w:rPr>
          <w:rFonts w:ascii="Arial" w:hAnsi="Arial"/>
        </w:rPr>
        <w:t>Using the CRAAP Test, briefly evaluate:</w:t>
      </w:r>
    </w:p>
    <w:p w14:paraId="7386FFBE" w14:textId="77777777" w:rsidR="007669DF" w:rsidRDefault="00202495">
      <w:pPr>
        <w:numPr>
          <w:ilvl w:val="0"/>
          <w:numId w:val="1"/>
        </w:numPr>
        <w:spacing w:before="100" w:beforeAutospacing="1" w:after="100" w:afterAutospacing="1"/>
        <w:jc w:val="both"/>
        <w:rPr>
          <w:rFonts w:ascii="Arial" w:hAnsi="Arial"/>
        </w:rPr>
      </w:pPr>
      <w:r>
        <w:rPr>
          <w:rFonts w:ascii="Arial" w:hAnsi="Arial"/>
        </w:rPr>
        <w:t>Currency: This article is updated as it was published in 2024, which shows the information to be recent.</w:t>
      </w:r>
    </w:p>
    <w:p w14:paraId="1D0E22BF" w14:textId="452EC6B0" w:rsidR="007669DF" w:rsidRDefault="00202495">
      <w:pPr>
        <w:numPr>
          <w:ilvl w:val="0"/>
          <w:numId w:val="1"/>
        </w:numPr>
        <w:spacing w:before="100" w:beforeAutospacing="1" w:after="100" w:afterAutospacing="1"/>
        <w:jc w:val="both"/>
        <w:rPr>
          <w:rFonts w:ascii="Arial" w:hAnsi="Arial"/>
        </w:rPr>
      </w:pPr>
      <w:r>
        <w:rPr>
          <w:rFonts w:ascii="Arial" w:hAnsi="Arial"/>
        </w:rPr>
        <w:t xml:space="preserve">Relevance: The paper pointed out one of the crucial issues of the importance of digital literacy in the higher education system and how it </w:t>
      </w:r>
      <w:r w:rsidR="000B2F19">
        <w:rPr>
          <w:rFonts w:ascii="Arial" w:hAnsi="Arial"/>
        </w:rPr>
        <w:t>does</w:t>
      </w:r>
      <w:r>
        <w:rPr>
          <w:rFonts w:ascii="Arial" w:hAnsi="Arial"/>
        </w:rPr>
        <w:t xml:space="preserve"> </w:t>
      </w:r>
      <w:r w:rsidR="000B2F19">
        <w:rPr>
          <w:rFonts w:ascii="Arial" w:hAnsi="Arial"/>
        </w:rPr>
        <w:t>enhance</w:t>
      </w:r>
      <w:r>
        <w:rPr>
          <w:rFonts w:ascii="Arial" w:hAnsi="Arial"/>
        </w:rPr>
        <w:t xml:space="preserve"> the contemporary needs of the corporate market to be suited.</w:t>
      </w:r>
    </w:p>
    <w:p w14:paraId="4257C3A4" w14:textId="77777777" w:rsidR="007669DF" w:rsidRDefault="00202495">
      <w:pPr>
        <w:numPr>
          <w:ilvl w:val="0"/>
          <w:numId w:val="1"/>
        </w:numPr>
        <w:spacing w:before="100" w:beforeAutospacing="1" w:after="100" w:afterAutospacing="1"/>
        <w:jc w:val="both"/>
        <w:rPr>
          <w:rFonts w:ascii="Arial" w:hAnsi="Arial"/>
        </w:rPr>
      </w:pPr>
      <w:r>
        <w:rPr>
          <w:rFonts w:ascii="Arial" w:hAnsi="Arial"/>
        </w:rPr>
        <w:t>Authority: Mustafa Kayyali is the author of the paper, who holds the position of Higher Education Ranking, thus having good knowledge on the issue.</w:t>
      </w:r>
    </w:p>
    <w:p w14:paraId="3BF944A4" w14:textId="697927DA" w:rsidR="007669DF" w:rsidRDefault="00202495">
      <w:pPr>
        <w:numPr>
          <w:ilvl w:val="0"/>
          <w:numId w:val="1"/>
        </w:numPr>
        <w:spacing w:before="100" w:beforeAutospacing="1" w:after="100" w:afterAutospacing="1"/>
        <w:jc w:val="both"/>
        <w:rPr>
          <w:rFonts w:ascii="Arial" w:hAnsi="Arial"/>
        </w:rPr>
      </w:pPr>
      <w:r>
        <w:rPr>
          <w:rFonts w:ascii="Arial" w:hAnsi="Arial"/>
        </w:rPr>
        <w:t xml:space="preserve">Accuracy: </w:t>
      </w:r>
      <w:proofErr w:type="gramStart"/>
      <w:r>
        <w:rPr>
          <w:rFonts w:ascii="Arial" w:hAnsi="Arial"/>
        </w:rPr>
        <w:t>Through the use of</w:t>
      </w:r>
      <w:proofErr w:type="gramEnd"/>
      <w:r>
        <w:rPr>
          <w:rFonts w:ascii="Arial" w:hAnsi="Arial"/>
        </w:rPr>
        <w:t xml:space="preserve"> systematic review, it is mapped that the global workforce has changed, where digital technology is playing a profound role, including data analysis, conducting digital communication and knowing the ethical nature of the use of the technology. Hence, if the digital skills are good, it will help meet the demands, too</w:t>
      </w:r>
      <w:r w:rsidR="00623D7F">
        <w:rPr>
          <w:rFonts w:ascii="Arial" w:hAnsi="Arial"/>
        </w:rPr>
        <w:t>.</w:t>
      </w:r>
    </w:p>
    <w:p w14:paraId="64CB2E27" w14:textId="77777777" w:rsidR="007669DF" w:rsidRDefault="00202495">
      <w:pPr>
        <w:numPr>
          <w:ilvl w:val="0"/>
          <w:numId w:val="1"/>
        </w:numPr>
        <w:spacing w:before="100" w:beforeAutospacing="1" w:after="100" w:afterAutospacing="1"/>
        <w:jc w:val="both"/>
        <w:rPr>
          <w:rFonts w:ascii="Arial" w:hAnsi="Arial"/>
        </w:rPr>
      </w:pPr>
      <w:r>
        <w:rPr>
          <w:rFonts w:ascii="Arial" w:hAnsi="Arial"/>
        </w:rPr>
        <w:t xml:space="preserve">Purpose: To teach the importance of increased digital skills to be taught in higher education. </w:t>
      </w:r>
    </w:p>
    <w:p w14:paraId="61B6818E" w14:textId="77777777" w:rsidR="007669DF" w:rsidRDefault="007669DF">
      <w:pPr>
        <w:spacing w:before="100" w:beforeAutospacing="1" w:after="100" w:afterAutospacing="1"/>
        <w:jc w:val="both"/>
        <w:rPr>
          <w:rFonts w:ascii="Arial" w:hAnsi="Arial"/>
        </w:rPr>
      </w:pPr>
    </w:p>
    <w:p w14:paraId="31951A4D" w14:textId="4147AE84" w:rsidR="007669DF" w:rsidRDefault="00623D7F">
      <w:pPr>
        <w:spacing w:before="100" w:beforeAutospacing="1" w:after="100" w:afterAutospacing="1"/>
        <w:jc w:val="both"/>
        <w:rPr>
          <w:rFonts w:ascii="Arial" w:hAnsi="Arial"/>
        </w:rPr>
      </w:pPr>
      <w:r>
        <w:rPr>
          <w:rFonts w:ascii="Arial" w:hAnsi="Arial"/>
        </w:rPr>
        <w:t>Full reference (Harvard style): Kayyali, M. (2024) ‘Digital literacy in higher education: Preparing students for the workforce of the future’, </w:t>
      </w:r>
      <w:r>
        <w:rPr>
          <w:rFonts w:ascii="Arial" w:hAnsi="Arial"/>
          <w:i/>
          <w:iCs/>
        </w:rPr>
        <w:t>International Journal of Information Science and Computing</w:t>
      </w:r>
      <w:r>
        <w:rPr>
          <w:rFonts w:ascii="Arial" w:hAnsi="Arial"/>
        </w:rPr>
        <w:t>, 11(1), pp. 53-73.</w:t>
      </w:r>
    </w:p>
    <w:p w14:paraId="401EBD29" w14:textId="77777777" w:rsidR="007669DF" w:rsidRDefault="00202495">
      <w:pPr>
        <w:spacing w:before="100" w:beforeAutospacing="1" w:after="100" w:afterAutospacing="1"/>
        <w:jc w:val="both"/>
        <w:rPr>
          <w:rFonts w:ascii="Arial" w:hAnsi="Arial"/>
          <w:b/>
          <w:bCs/>
        </w:rPr>
      </w:pPr>
      <w:r>
        <w:rPr>
          <w:rFonts w:ascii="Arial" w:hAnsi="Arial"/>
          <w:b/>
          <w:bCs/>
        </w:rPr>
        <w:t>Source 2</w:t>
      </w:r>
    </w:p>
    <w:p w14:paraId="764BA8C8" w14:textId="4C8B8575" w:rsidR="007669DF" w:rsidRDefault="00202495">
      <w:pPr>
        <w:spacing w:before="100" w:beforeAutospacing="1" w:after="100" w:afterAutospacing="1"/>
        <w:jc w:val="both"/>
        <w:rPr>
          <w:rFonts w:ascii="Arial" w:hAnsi="Arial"/>
        </w:rPr>
      </w:pPr>
      <w:r>
        <w:rPr>
          <w:rFonts w:ascii="Arial" w:hAnsi="Arial"/>
        </w:rPr>
        <w:t>Author(s) and year</w:t>
      </w:r>
      <w:r w:rsidR="00623D7F">
        <w:rPr>
          <w:rFonts w:ascii="Arial" w:hAnsi="Arial"/>
        </w:rPr>
        <w:t xml:space="preserve"> of publication</w:t>
      </w:r>
      <w:r>
        <w:rPr>
          <w:rFonts w:ascii="Arial" w:hAnsi="Arial"/>
        </w:rPr>
        <w:t>: Dang, T.D., Phan, T.T., Vu, T.N.Q., La, T.D. and Pham, V.K. (2024)</w:t>
      </w:r>
    </w:p>
    <w:p w14:paraId="2E96EFCC" w14:textId="77777777" w:rsidR="009E5494" w:rsidRDefault="00202495">
      <w:pPr>
        <w:spacing w:before="100" w:beforeAutospacing="1" w:after="100" w:afterAutospacing="1"/>
        <w:jc w:val="both"/>
        <w:rPr>
          <w:rFonts w:ascii="Arial" w:hAnsi="Arial"/>
        </w:rPr>
      </w:pPr>
      <w:r>
        <w:rPr>
          <w:rFonts w:ascii="Arial" w:hAnsi="Arial"/>
        </w:rPr>
        <w:br/>
        <w:t>I have accessed t</w:t>
      </w:r>
      <w:r>
        <w:rPr>
          <w:rFonts w:ascii="Arial" w:hAnsi="Arial"/>
          <w:lang w:val="en-US"/>
        </w:rPr>
        <w:t>his</w:t>
      </w:r>
      <w:r>
        <w:rPr>
          <w:rFonts w:ascii="Arial" w:hAnsi="Arial"/>
        </w:rPr>
        <w:t xml:space="preserve"> source through Google Scholar</w:t>
      </w:r>
    </w:p>
    <w:p w14:paraId="3D2A4057" w14:textId="77777777" w:rsidR="009E5494" w:rsidRDefault="009E5494">
      <w:pPr>
        <w:spacing w:before="100" w:beforeAutospacing="1" w:after="100" w:afterAutospacing="1"/>
        <w:jc w:val="both"/>
        <w:rPr>
          <w:rFonts w:ascii="Arial" w:hAnsi="Arial"/>
        </w:rPr>
      </w:pPr>
    </w:p>
    <w:p w14:paraId="6B2ED5F3" w14:textId="6F7A2D56" w:rsidR="007669DF" w:rsidRDefault="00202495">
      <w:pPr>
        <w:spacing w:before="100" w:beforeAutospacing="1" w:after="100" w:afterAutospacing="1"/>
        <w:jc w:val="both"/>
        <w:rPr>
          <w:rFonts w:ascii="Arial" w:hAnsi="Arial"/>
        </w:rPr>
      </w:pPr>
      <w:r>
        <w:rPr>
          <w:rFonts w:ascii="Arial" w:hAnsi="Arial"/>
        </w:rPr>
        <w:lastRenderedPageBreak/>
        <w:t>Using the CRAAP Test, briefly evaluate:</w:t>
      </w:r>
    </w:p>
    <w:p w14:paraId="7ED2C51B" w14:textId="77777777" w:rsidR="007669DF" w:rsidRDefault="00202495">
      <w:pPr>
        <w:numPr>
          <w:ilvl w:val="0"/>
          <w:numId w:val="2"/>
        </w:numPr>
        <w:spacing w:before="100" w:beforeAutospacing="1" w:after="100" w:afterAutospacing="1"/>
        <w:jc w:val="both"/>
        <w:rPr>
          <w:rFonts w:ascii="Arial" w:hAnsi="Arial"/>
        </w:rPr>
      </w:pPr>
      <w:r>
        <w:rPr>
          <w:rFonts w:ascii="Arial" w:hAnsi="Arial"/>
        </w:rPr>
        <w:t xml:space="preserve">Currency: The article was published just 2 years back, which is recent and updated as well. </w:t>
      </w:r>
    </w:p>
    <w:p w14:paraId="76E0AA7F" w14:textId="22E5168C" w:rsidR="007669DF" w:rsidRDefault="00202495">
      <w:pPr>
        <w:numPr>
          <w:ilvl w:val="0"/>
          <w:numId w:val="2"/>
        </w:numPr>
        <w:spacing w:before="100" w:beforeAutospacing="1" w:after="100" w:afterAutospacing="1"/>
        <w:jc w:val="both"/>
        <w:rPr>
          <w:rFonts w:ascii="Arial" w:hAnsi="Arial"/>
        </w:rPr>
      </w:pPr>
      <w:r>
        <w:rPr>
          <w:rFonts w:ascii="Arial" w:hAnsi="Arial"/>
        </w:rPr>
        <w:t xml:space="preserve">Relevance: As the question is on the use of digital skills in higher education, this article reviews the relationship that exists between the </w:t>
      </w:r>
      <w:proofErr w:type="gramStart"/>
      <w:r w:rsidR="00623D7F">
        <w:rPr>
          <w:rFonts w:ascii="Arial" w:hAnsi="Arial"/>
        </w:rPr>
        <w:t>lecturers‘ digital</w:t>
      </w:r>
      <w:proofErr w:type="gramEnd"/>
      <w:r>
        <w:rPr>
          <w:rFonts w:ascii="Arial" w:hAnsi="Arial"/>
        </w:rPr>
        <w:t xml:space="preserve"> competencies and the learning value to be fostered in students in higher education</w:t>
      </w:r>
      <w:r w:rsidR="00623D7F">
        <w:rPr>
          <w:rFonts w:ascii="Arial" w:hAnsi="Arial"/>
        </w:rPr>
        <w:t>.</w:t>
      </w:r>
    </w:p>
    <w:p w14:paraId="23F9B68F" w14:textId="433C8C27" w:rsidR="007669DF" w:rsidRDefault="00202495">
      <w:pPr>
        <w:numPr>
          <w:ilvl w:val="0"/>
          <w:numId w:val="2"/>
        </w:numPr>
        <w:spacing w:before="100" w:beforeAutospacing="1" w:after="100" w:afterAutospacing="1"/>
        <w:jc w:val="both"/>
        <w:rPr>
          <w:rFonts w:ascii="Arial" w:hAnsi="Arial"/>
        </w:rPr>
      </w:pPr>
      <w:r>
        <w:rPr>
          <w:rFonts w:ascii="Arial" w:hAnsi="Arial"/>
        </w:rPr>
        <w:t>Authority: Various authors are involved in the preparation of the article, all of whom are from dignified positions. Like, Tran Dong Dang belongs to the faculty of Economics and Management at the University of Hai Duong, while Thanh Tú Phan represents the Centre of Science and Technology Research and Development</w:t>
      </w:r>
      <w:r w:rsidR="00623D7F">
        <w:rPr>
          <w:rFonts w:ascii="Arial" w:hAnsi="Arial"/>
        </w:rPr>
        <w:t>.</w:t>
      </w:r>
    </w:p>
    <w:p w14:paraId="3DDD5F7F" w14:textId="77777777" w:rsidR="007669DF" w:rsidRDefault="00202495">
      <w:pPr>
        <w:numPr>
          <w:ilvl w:val="0"/>
          <w:numId w:val="2"/>
        </w:numPr>
        <w:spacing w:before="100" w:beforeAutospacing="1" w:after="100" w:afterAutospacing="1"/>
        <w:jc w:val="both"/>
        <w:rPr>
          <w:rFonts w:ascii="Arial" w:hAnsi="Arial"/>
        </w:rPr>
      </w:pPr>
      <w:r>
        <w:rPr>
          <w:rFonts w:ascii="Arial" w:hAnsi="Arial"/>
        </w:rPr>
        <w:t xml:space="preserve">Accuracy: It fits the recent question as if the lecturers are enabled of digital competencies, they can inculcate the same among the learners too. </w:t>
      </w:r>
    </w:p>
    <w:p w14:paraId="70A552EA" w14:textId="77777777" w:rsidR="007669DF" w:rsidRDefault="00202495">
      <w:pPr>
        <w:numPr>
          <w:ilvl w:val="0"/>
          <w:numId w:val="2"/>
        </w:numPr>
        <w:spacing w:before="100" w:beforeAutospacing="1" w:after="100" w:afterAutospacing="1"/>
        <w:jc w:val="both"/>
        <w:rPr>
          <w:rFonts w:ascii="Arial" w:hAnsi="Arial"/>
        </w:rPr>
      </w:pPr>
      <w:r>
        <w:rPr>
          <w:rFonts w:ascii="Arial" w:hAnsi="Arial"/>
        </w:rPr>
        <w:t xml:space="preserve">Purpose: The purpose is to educate the teachers to enhance their competencies for </w:t>
      </w:r>
      <w:proofErr w:type="gramStart"/>
      <w:r>
        <w:rPr>
          <w:rFonts w:ascii="Arial" w:hAnsi="Arial"/>
        </w:rPr>
        <w:t>helping out</w:t>
      </w:r>
      <w:proofErr w:type="gramEnd"/>
      <w:r>
        <w:rPr>
          <w:rFonts w:ascii="Arial" w:hAnsi="Arial"/>
        </w:rPr>
        <w:t xml:space="preserve"> the students in learning digital value and skills. </w:t>
      </w:r>
    </w:p>
    <w:p w14:paraId="116ADBAA" w14:textId="77777777" w:rsidR="007669DF" w:rsidRDefault="00202495">
      <w:pPr>
        <w:spacing w:before="100" w:beforeAutospacing="1" w:after="100" w:afterAutospacing="1"/>
        <w:jc w:val="both"/>
        <w:rPr>
          <w:rFonts w:ascii="Arial" w:hAnsi="Arial"/>
        </w:rPr>
      </w:pPr>
      <w:r>
        <w:rPr>
          <w:rFonts w:ascii="Arial" w:hAnsi="Arial"/>
        </w:rPr>
        <w:t>Full reference (Harvard style): Dang, T.D., Phan, T.T., Vu, T.N.Q., La, T.D. and Pham, V.K. (2024) ‘Digital competence of lecturers and its impact on student learning value in higher education’, </w:t>
      </w:r>
      <w:r>
        <w:rPr>
          <w:rFonts w:ascii="Arial" w:hAnsi="Arial"/>
          <w:i/>
          <w:iCs/>
        </w:rPr>
        <w:t>Heliyon</w:t>
      </w:r>
      <w:r>
        <w:rPr>
          <w:rFonts w:ascii="Arial" w:hAnsi="Arial"/>
        </w:rPr>
        <w:t>, 10(17).</w:t>
      </w:r>
    </w:p>
    <w:p w14:paraId="4B79B796" w14:textId="77777777" w:rsidR="007669DF" w:rsidRDefault="00202495">
      <w:pPr>
        <w:spacing w:before="100" w:beforeAutospacing="1" w:after="100" w:afterAutospacing="1"/>
        <w:jc w:val="both"/>
        <w:rPr>
          <w:rFonts w:ascii="Arial" w:hAnsi="Arial"/>
          <w:b/>
          <w:bCs/>
        </w:rPr>
      </w:pPr>
      <w:r>
        <w:rPr>
          <w:rFonts w:ascii="Arial" w:hAnsi="Arial"/>
          <w:b/>
          <w:bCs/>
        </w:rPr>
        <w:t>Synthesis of Academic Sources</w:t>
      </w:r>
    </w:p>
    <w:p w14:paraId="1784E37D" w14:textId="6C8400C1" w:rsidR="007669DF" w:rsidRDefault="00202495">
      <w:pPr>
        <w:spacing w:before="100" w:beforeAutospacing="1" w:after="100" w:afterAutospacing="1"/>
        <w:jc w:val="both"/>
        <w:rPr>
          <w:rFonts w:ascii="Arial" w:hAnsi="Arial"/>
        </w:rPr>
      </w:pPr>
      <w:r>
        <w:rPr>
          <w:rFonts w:ascii="Arial" w:hAnsi="Arial"/>
        </w:rPr>
        <w:t xml:space="preserve">The shared theme that both articles represent is the importance of digital skills in the enhancement of the </w:t>
      </w:r>
      <w:r w:rsidR="00623D7F">
        <w:rPr>
          <w:rFonts w:ascii="Arial" w:hAnsi="Arial"/>
        </w:rPr>
        <w:t>students’ learning</w:t>
      </w:r>
      <w:r>
        <w:rPr>
          <w:rFonts w:ascii="Arial" w:hAnsi="Arial"/>
        </w:rPr>
        <w:t xml:space="preserve"> environment and preparing them for real-life scenarios and digital demands.</w:t>
      </w:r>
    </w:p>
    <w:p w14:paraId="6017FEC3" w14:textId="77777777" w:rsidR="007669DF" w:rsidRDefault="00202495">
      <w:pPr>
        <w:spacing w:before="100" w:beforeAutospacing="1" w:after="100" w:afterAutospacing="1"/>
        <w:jc w:val="both"/>
        <w:rPr>
          <w:rFonts w:ascii="Arial" w:hAnsi="Arial"/>
        </w:rPr>
      </w:pPr>
      <w:r>
        <w:rPr>
          <w:rFonts w:ascii="Arial" w:hAnsi="Arial"/>
        </w:rPr>
        <w:t xml:space="preserve">Kayyali (2024) argues on the relevance of digital skills in higher education, as today's market demands much more than that of computer knowledge and includes analysis, communication and handling of ethical challenges too. While the study of Dang </w:t>
      </w:r>
      <w:r>
        <w:rPr>
          <w:rFonts w:ascii="Arial" w:hAnsi="Arial"/>
          <w:i/>
          <w:iCs/>
        </w:rPr>
        <w:t>et al.</w:t>
      </w:r>
      <w:r>
        <w:rPr>
          <w:rFonts w:ascii="Arial" w:hAnsi="Arial"/>
        </w:rPr>
        <w:t xml:space="preserve"> (2024) emphasised that teachers should be competent in digital knowledge, which would help the students to learn the same.</w:t>
      </w:r>
    </w:p>
    <w:p w14:paraId="13955C34" w14:textId="77777777" w:rsidR="007669DF" w:rsidRDefault="00202495">
      <w:pPr>
        <w:spacing w:before="100" w:beforeAutospacing="1" w:after="100" w:afterAutospacing="1"/>
        <w:jc w:val="both"/>
        <w:rPr>
          <w:rFonts w:ascii="Arial" w:hAnsi="Arial"/>
        </w:rPr>
      </w:pPr>
      <w:r>
        <w:rPr>
          <w:rFonts w:ascii="Arial" w:hAnsi="Arial"/>
        </w:rPr>
        <w:t>Combining the sources will improve the understanding of what digital learning needs to include and teach, which is beyond just computer technology being taught as basic.</w:t>
      </w:r>
    </w:p>
    <w:p w14:paraId="63FEF6CD" w14:textId="77777777" w:rsidR="007669DF" w:rsidRDefault="00202495">
      <w:pPr>
        <w:spacing w:before="100" w:beforeAutospacing="1" w:after="100" w:afterAutospacing="1"/>
        <w:jc w:val="both"/>
        <w:rPr>
          <w:rFonts w:ascii="Arial" w:hAnsi="Arial"/>
          <w:b/>
          <w:bCs/>
        </w:rPr>
      </w:pPr>
      <w:r>
        <w:rPr>
          <w:rFonts w:ascii="Arial" w:hAnsi="Arial"/>
          <w:b/>
          <w:bCs/>
        </w:rPr>
        <w:t>Identifying a Key Challenge and Opportunity</w:t>
      </w:r>
    </w:p>
    <w:p w14:paraId="474F145A" w14:textId="77777777" w:rsidR="007669DF" w:rsidRDefault="00202495">
      <w:pPr>
        <w:numPr>
          <w:ilvl w:val="0"/>
          <w:numId w:val="3"/>
        </w:numPr>
        <w:spacing w:before="100" w:beforeAutospacing="1" w:after="100" w:afterAutospacing="1"/>
        <w:jc w:val="both"/>
        <w:rPr>
          <w:rFonts w:ascii="Arial" w:hAnsi="Arial"/>
        </w:rPr>
      </w:pPr>
      <w:r>
        <w:rPr>
          <w:rFonts w:ascii="Arial" w:hAnsi="Arial"/>
          <w:b/>
          <w:bCs/>
          <w:i/>
          <w:iCs/>
        </w:rPr>
        <w:t>One key challenge for students in the digital era</w:t>
      </w:r>
      <w:r>
        <w:rPr>
          <w:rFonts w:ascii="Arial" w:hAnsi="Arial"/>
        </w:rPr>
        <w:t xml:space="preserve">: One key challenge, as identified by Kayyali (2024), is the resource constraints where disparities in access or resistance for the students to adopt the change highly matter. The study of Dang et al. (2024) points to the inefficiencies of the lecturers with </w:t>
      </w:r>
      <w:r>
        <w:rPr>
          <w:rFonts w:ascii="Arial" w:hAnsi="Arial"/>
        </w:rPr>
        <w:lastRenderedPageBreak/>
        <w:t>digital knowledge, which affects the students too, raising questions about the challenge.</w:t>
      </w:r>
    </w:p>
    <w:p w14:paraId="3FCCA087" w14:textId="77777777" w:rsidR="007669DF" w:rsidRDefault="00202495">
      <w:pPr>
        <w:numPr>
          <w:ilvl w:val="0"/>
          <w:numId w:val="3"/>
        </w:numPr>
        <w:spacing w:before="100" w:beforeAutospacing="1" w:after="100" w:afterAutospacing="1"/>
        <w:jc w:val="both"/>
        <w:rPr>
          <w:rFonts w:ascii="Arial" w:hAnsi="Arial"/>
        </w:rPr>
      </w:pPr>
      <w:r>
        <w:rPr>
          <w:rFonts w:ascii="Arial" w:hAnsi="Arial"/>
          <w:b/>
          <w:bCs/>
          <w:i/>
          <w:iCs/>
        </w:rPr>
        <w:t>One key opportunity for students in the digital era</w:t>
      </w:r>
      <w:r>
        <w:rPr>
          <w:rFonts w:ascii="Arial" w:hAnsi="Arial"/>
        </w:rPr>
        <w:t xml:space="preserve">: Both studies pointed to the opportunity for students being able to not only perform well in the market environment but also use digital tools for enhancing their own skills and knowledge as well. </w:t>
      </w:r>
    </w:p>
    <w:p w14:paraId="04528D99" w14:textId="77777777" w:rsidR="000B2F19" w:rsidRDefault="000B2F19">
      <w:pPr>
        <w:spacing w:before="100" w:beforeAutospacing="1" w:after="100" w:afterAutospacing="1"/>
        <w:jc w:val="both"/>
        <w:rPr>
          <w:rFonts w:ascii="Arial" w:hAnsi="Arial"/>
        </w:rPr>
      </w:pPr>
    </w:p>
    <w:p w14:paraId="111A079B" w14:textId="321C576C" w:rsidR="007669DF" w:rsidRDefault="00202495">
      <w:pPr>
        <w:spacing w:before="100" w:beforeAutospacing="1" w:after="100" w:afterAutospacing="1"/>
        <w:jc w:val="both"/>
        <w:rPr>
          <w:rFonts w:ascii="Arial" w:hAnsi="Arial"/>
          <w:b/>
          <w:bCs/>
        </w:rPr>
      </w:pPr>
      <w:r>
        <w:rPr>
          <w:rFonts w:ascii="Arial" w:hAnsi="Arial"/>
          <w:b/>
          <w:bCs/>
        </w:rPr>
        <w:t xml:space="preserve">Academic Planning for Component 2 </w:t>
      </w:r>
    </w:p>
    <w:p w14:paraId="2EA28885" w14:textId="63E70E4C" w:rsidR="007669DF" w:rsidRDefault="00202495">
      <w:pPr>
        <w:spacing w:before="100" w:beforeAutospacing="1" w:after="100" w:afterAutospacing="1"/>
        <w:jc w:val="both"/>
        <w:rPr>
          <w:rFonts w:ascii="Arial" w:hAnsi="Arial"/>
          <w:b/>
          <w:bCs/>
        </w:rPr>
      </w:pPr>
      <w:r>
        <w:rPr>
          <w:rFonts w:ascii="Arial" w:hAnsi="Arial"/>
        </w:rPr>
        <w:t xml:space="preserve">Component 2 will prioritise the opportunities which are present and then map out the challenges to be aware of, </w:t>
      </w:r>
      <w:r w:rsidR="000B2F19">
        <w:rPr>
          <w:rFonts w:ascii="Arial" w:hAnsi="Arial"/>
        </w:rPr>
        <w:t>thus helping</w:t>
      </w:r>
      <w:r>
        <w:rPr>
          <w:rFonts w:ascii="Arial" w:hAnsi="Arial"/>
        </w:rPr>
        <w:t xml:space="preserve"> to suggest strategies to work out. Academic literature from the recent data published will be utilised to gain relevance. The key concepts like digital literacy, digital analysis, digital communication, critical evaluation and academic planning will help. The report will be framed in a structured format where introduction, challenges, opportunities, adaptation strategies and finally conclusion will be presented.</w:t>
      </w:r>
    </w:p>
    <w:p w14:paraId="674BA4BA" w14:textId="77777777" w:rsidR="007669DF" w:rsidRDefault="00202495">
      <w:pPr>
        <w:spacing w:before="100" w:beforeAutospacing="1" w:after="100" w:afterAutospacing="1"/>
        <w:jc w:val="both"/>
        <w:rPr>
          <w:rFonts w:ascii="Arial" w:hAnsi="Arial"/>
          <w:b/>
          <w:bCs/>
        </w:rPr>
      </w:pPr>
      <w:r>
        <w:rPr>
          <w:rFonts w:ascii="Arial" w:hAnsi="Arial"/>
          <w:b/>
          <w:bCs/>
        </w:rPr>
        <w:t>Timeline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8"/>
        <w:gridCol w:w="4538"/>
      </w:tblGrid>
      <w:tr w:rsidR="007669DF" w14:paraId="5FFA4570" w14:textId="77777777">
        <w:tc>
          <w:tcPr>
            <w:tcW w:w="5552" w:type="dxa"/>
          </w:tcPr>
          <w:p w14:paraId="5BFB6A1B" w14:textId="77777777" w:rsidR="007669DF" w:rsidRDefault="00202495">
            <w:pPr>
              <w:spacing w:before="100" w:beforeAutospacing="1" w:after="100" w:afterAutospacing="1"/>
              <w:jc w:val="both"/>
              <w:rPr>
                <w:rFonts w:ascii="Arial" w:hAnsi="Arial"/>
                <w:b/>
                <w:bCs/>
              </w:rPr>
            </w:pPr>
            <w:r>
              <w:rPr>
                <w:rFonts w:ascii="Arial" w:hAnsi="Arial"/>
                <w:b/>
                <w:bCs/>
              </w:rPr>
              <w:t>Task</w:t>
            </w:r>
          </w:p>
        </w:tc>
        <w:tc>
          <w:tcPr>
            <w:tcW w:w="5552" w:type="dxa"/>
          </w:tcPr>
          <w:p w14:paraId="57227549" w14:textId="77777777" w:rsidR="007669DF" w:rsidRDefault="00202495">
            <w:pPr>
              <w:spacing w:before="100" w:beforeAutospacing="1" w:after="100" w:afterAutospacing="1"/>
              <w:jc w:val="both"/>
              <w:rPr>
                <w:rFonts w:ascii="Arial" w:hAnsi="Arial"/>
                <w:b/>
                <w:bCs/>
              </w:rPr>
            </w:pPr>
            <w:r>
              <w:rPr>
                <w:rFonts w:ascii="Arial" w:hAnsi="Arial"/>
                <w:b/>
                <w:bCs/>
              </w:rPr>
              <w:t>Date/ Deadline</w:t>
            </w:r>
          </w:p>
        </w:tc>
      </w:tr>
      <w:tr w:rsidR="007669DF" w14:paraId="2937D461" w14:textId="77777777">
        <w:tc>
          <w:tcPr>
            <w:tcW w:w="5552" w:type="dxa"/>
          </w:tcPr>
          <w:p w14:paraId="1F46C450" w14:textId="77777777" w:rsidR="007669DF" w:rsidRDefault="00202495">
            <w:pPr>
              <w:spacing w:before="100" w:beforeAutospacing="1" w:after="100" w:afterAutospacing="1"/>
              <w:jc w:val="both"/>
              <w:rPr>
                <w:rFonts w:ascii="Arial" w:hAnsi="Arial"/>
              </w:rPr>
            </w:pPr>
            <w:r>
              <w:rPr>
                <w:rFonts w:ascii="Arial" w:hAnsi="Arial"/>
              </w:rPr>
              <w:t>Finish research</w:t>
            </w:r>
          </w:p>
        </w:tc>
        <w:tc>
          <w:tcPr>
            <w:tcW w:w="5552" w:type="dxa"/>
          </w:tcPr>
          <w:p w14:paraId="78E5F6BE" w14:textId="77777777" w:rsidR="007669DF" w:rsidRDefault="00202495">
            <w:pPr>
              <w:spacing w:before="100" w:beforeAutospacing="1" w:after="100" w:afterAutospacing="1"/>
              <w:jc w:val="both"/>
              <w:rPr>
                <w:rFonts w:ascii="Arial" w:hAnsi="Arial"/>
              </w:rPr>
            </w:pPr>
            <w:r>
              <w:rPr>
                <w:rFonts w:ascii="Arial" w:hAnsi="Arial"/>
              </w:rPr>
              <w:t>05/02/2026</w:t>
            </w:r>
          </w:p>
        </w:tc>
      </w:tr>
      <w:tr w:rsidR="007669DF" w14:paraId="522A41EB" w14:textId="77777777">
        <w:tc>
          <w:tcPr>
            <w:tcW w:w="5552" w:type="dxa"/>
          </w:tcPr>
          <w:p w14:paraId="5DDB62BB" w14:textId="77777777" w:rsidR="007669DF" w:rsidRDefault="00202495">
            <w:pPr>
              <w:spacing w:before="100" w:beforeAutospacing="1" w:after="100" w:afterAutospacing="1"/>
              <w:jc w:val="both"/>
              <w:rPr>
                <w:rFonts w:ascii="Arial" w:hAnsi="Arial"/>
              </w:rPr>
            </w:pPr>
            <w:r>
              <w:rPr>
                <w:rFonts w:ascii="Arial" w:hAnsi="Arial"/>
              </w:rPr>
              <w:t>Draft first section</w:t>
            </w:r>
          </w:p>
        </w:tc>
        <w:tc>
          <w:tcPr>
            <w:tcW w:w="5552" w:type="dxa"/>
          </w:tcPr>
          <w:p w14:paraId="44678370" w14:textId="77777777" w:rsidR="007669DF" w:rsidRDefault="00202495">
            <w:pPr>
              <w:spacing w:before="100" w:beforeAutospacing="1" w:after="100" w:afterAutospacing="1"/>
              <w:jc w:val="both"/>
              <w:rPr>
                <w:rFonts w:ascii="Arial" w:hAnsi="Arial"/>
              </w:rPr>
            </w:pPr>
            <w:r>
              <w:rPr>
                <w:rFonts w:ascii="Arial" w:hAnsi="Arial"/>
              </w:rPr>
              <w:t>10/02/2026</w:t>
            </w:r>
          </w:p>
        </w:tc>
      </w:tr>
      <w:tr w:rsidR="007669DF" w14:paraId="1D99E9F3" w14:textId="77777777">
        <w:tc>
          <w:tcPr>
            <w:tcW w:w="5552" w:type="dxa"/>
          </w:tcPr>
          <w:p w14:paraId="3A2FB33B" w14:textId="77777777" w:rsidR="007669DF" w:rsidRDefault="00202495">
            <w:pPr>
              <w:spacing w:before="100" w:beforeAutospacing="1" w:after="100" w:afterAutospacing="1"/>
              <w:jc w:val="both"/>
              <w:rPr>
                <w:rFonts w:ascii="Arial" w:hAnsi="Arial"/>
              </w:rPr>
            </w:pPr>
            <w:r>
              <w:rPr>
                <w:rFonts w:ascii="Arial" w:hAnsi="Arial"/>
              </w:rPr>
              <w:t>Complete first draft</w:t>
            </w:r>
          </w:p>
        </w:tc>
        <w:tc>
          <w:tcPr>
            <w:tcW w:w="5552" w:type="dxa"/>
          </w:tcPr>
          <w:p w14:paraId="52FBB6A0" w14:textId="77777777" w:rsidR="007669DF" w:rsidRDefault="00202495">
            <w:pPr>
              <w:spacing w:before="100" w:beforeAutospacing="1" w:after="100" w:afterAutospacing="1"/>
              <w:jc w:val="both"/>
              <w:rPr>
                <w:rFonts w:ascii="Arial" w:hAnsi="Arial"/>
              </w:rPr>
            </w:pPr>
            <w:r>
              <w:rPr>
                <w:rFonts w:ascii="Arial" w:hAnsi="Arial"/>
              </w:rPr>
              <w:t>15/02/2026</w:t>
            </w:r>
          </w:p>
        </w:tc>
      </w:tr>
      <w:tr w:rsidR="007669DF" w14:paraId="50E767BA" w14:textId="77777777">
        <w:tc>
          <w:tcPr>
            <w:tcW w:w="5552" w:type="dxa"/>
          </w:tcPr>
          <w:p w14:paraId="34B0D03E" w14:textId="77777777" w:rsidR="007669DF" w:rsidRDefault="00202495">
            <w:pPr>
              <w:spacing w:before="100" w:beforeAutospacing="1" w:after="100" w:afterAutospacing="1"/>
              <w:jc w:val="both"/>
              <w:rPr>
                <w:rFonts w:ascii="Arial" w:hAnsi="Arial"/>
              </w:rPr>
            </w:pPr>
            <w:r>
              <w:rPr>
                <w:rFonts w:ascii="Arial" w:hAnsi="Arial"/>
              </w:rPr>
              <w:t>Final editing</w:t>
            </w:r>
          </w:p>
        </w:tc>
        <w:tc>
          <w:tcPr>
            <w:tcW w:w="5552" w:type="dxa"/>
          </w:tcPr>
          <w:p w14:paraId="7E31A081" w14:textId="77777777" w:rsidR="007669DF" w:rsidRDefault="00202495">
            <w:pPr>
              <w:spacing w:before="100" w:beforeAutospacing="1" w:after="100" w:afterAutospacing="1"/>
              <w:jc w:val="both"/>
              <w:rPr>
                <w:rFonts w:ascii="Arial" w:hAnsi="Arial"/>
              </w:rPr>
            </w:pPr>
            <w:r>
              <w:rPr>
                <w:rFonts w:ascii="Arial" w:hAnsi="Arial"/>
              </w:rPr>
              <w:t>18/02/2026</w:t>
            </w:r>
          </w:p>
        </w:tc>
      </w:tr>
    </w:tbl>
    <w:p w14:paraId="588335F1" w14:textId="77777777" w:rsidR="007669DF" w:rsidRDefault="007669DF">
      <w:pPr>
        <w:spacing w:before="100" w:beforeAutospacing="1" w:after="100" w:afterAutospacing="1"/>
        <w:jc w:val="both"/>
        <w:rPr>
          <w:rFonts w:ascii="Arial" w:hAnsi="Arial"/>
        </w:rPr>
      </w:pPr>
    </w:p>
    <w:p w14:paraId="4058A4BF" w14:textId="77777777" w:rsidR="00A97DB1" w:rsidRDefault="00A97DB1" w:rsidP="00A97DB1">
      <w:pPr>
        <w:spacing w:line="259" w:lineRule="auto"/>
        <w:rPr>
          <w:rFonts w:ascii="Arial" w:hAnsi="Arial"/>
          <w:b/>
          <w:bCs/>
        </w:rPr>
      </w:pPr>
    </w:p>
    <w:p w14:paraId="73F739AC" w14:textId="77777777" w:rsidR="00A97DB1" w:rsidRDefault="00A97DB1" w:rsidP="00A97DB1">
      <w:pPr>
        <w:spacing w:line="259" w:lineRule="auto"/>
        <w:rPr>
          <w:rFonts w:ascii="Arial" w:hAnsi="Arial"/>
          <w:b/>
          <w:bCs/>
        </w:rPr>
      </w:pPr>
    </w:p>
    <w:p w14:paraId="4E9ED10D" w14:textId="77777777" w:rsidR="00A97DB1" w:rsidRDefault="00A97DB1" w:rsidP="00A97DB1">
      <w:pPr>
        <w:spacing w:line="259" w:lineRule="auto"/>
        <w:rPr>
          <w:rFonts w:ascii="Arial" w:hAnsi="Arial"/>
          <w:b/>
          <w:bCs/>
        </w:rPr>
      </w:pPr>
    </w:p>
    <w:p w14:paraId="62484836" w14:textId="43CA9695" w:rsidR="000B2F19" w:rsidRDefault="000B2F19" w:rsidP="006C408B">
      <w:pPr>
        <w:pStyle w:val="Heading1"/>
        <w:rPr>
          <w:rFonts w:hint="eastAsia"/>
        </w:rPr>
      </w:pPr>
      <w:r>
        <w:t>Reference List – Component 1</w:t>
      </w:r>
    </w:p>
    <w:p w14:paraId="0A0727B2" w14:textId="77777777" w:rsidR="000B2F19" w:rsidRDefault="000B2F19" w:rsidP="000B2F19">
      <w:pPr>
        <w:spacing w:before="100" w:beforeAutospacing="1" w:after="100" w:afterAutospacing="1"/>
        <w:jc w:val="both"/>
        <w:rPr>
          <w:rFonts w:ascii="Arial" w:hAnsi="Arial"/>
        </w:rPr>
      </w:pPr>
      <w:r>
        <w:rPr>
          <w:rFonts w:ascii="Arial" w:hAnsi="Arial"/>
        </w:rPr>
        <w:t>Dang, T.D., Phan, T.T., Vu, T.N.Q., La, T.D. and Pham, V.K. (2024) ‘Digital competence of lecturers and its impact on student learning value in higher education’. </w:t>
      </w:r>
      <w:r>
        <w:rPr>
          <w:rFonts w:ascii="Arial" w:hAnsi="Arial"/>
          <w:i/>
          <w:iCs/>
        </w:rPr>
        <w:t>Heliyon</w:t>
      </w:r>
      <w:r>
        <w:rPr>
          <w:rFonts w:ascii="Arial" w:hAnsi="Arial"/>
        </w:rPr>
        <w:t>, 10(17).</w:t>
      </w:r>
    </w:p>
    <w:p w14:paraId="4F8A969A" w14:textId="77777777" w:rsidR="000B2F19" w:rsidRDefault="000B2F19" w:rsidP="000B2F19">
      <w:pPr>
        <w:spacing w:before="100" w:beforeAutospacing="1" w:after="100" w:afterAutospacing="1"/>
        <w:jc w:val="both"/>
        <w:rPr>
          <w:rFonts w:ascii="Arial" w:hAnsi="Arial"/>
        </w:rPr>
      </w:pPr>
      <w:r>
        <w:rPr>
          <w:rFonts w:ascii="Arial" w:hAnsi="Arial"/>
        </w:rPr>
        <w:t>Kayyali, M. (2024) ‘Digital literacy in higher education: Preparing students for the workforce of the future’. </w:t>
      </w:r>
      <w:r>
        <w:rPr>
          <w:rFonts w:ascii="Arial" w:hAnsi="Arial"/>
          <w:i/>
          <w:iCs/>
        </w:rPr>
        <w:t>International Journal of Information Science and Computing</w:t>
      </w:r>
      <w:r>
        <w:rPr>
          <w:rFonts w:ascii="Arial" w:hAnsi="Arial"/>
        </w:rPr>
        <w:t>, 11(1), pp. 53-73.</w:t>
      </w:r>
    </w:p>
    <w:p w14:paraId="777B4918" w14:textId="77777777" w:rsidR="007669DF" w:rsidRDefault="007669DF">
      <w:pPr>
        <w:pStyle w:val="Heading1"/>
        <w:spacing w:before="100" w:beforeAutospacing="1" w:after="100" w:afterAutospacing="1"/>
        <w:jc w:val="both"/>
        <w:rPr>
          <w:rFonts w:ascii="Arial" w:hAnsi="Arial" w:cs="Arial"/>
          <w:lang w:val="en-GB"/>
        </w:rPr>
        <w:sectPr w:rsidR="007669DF">
          <w:pgSz w:w="11906" w:h="16838"/>
          <w:pgMar w:top="1440" w:right="1440" w:bottom="1440" w:left="1440" w:header="708" w:footer="708" w:gutter="0"/>
          <w:cols w:space="720"/>
          <w:docGrid w:linePitch="360"/>
        </w:sectPr>
      </w:pPr>
    </w:p>
    <w:p w14:paraId="4FB023C4" w14:textId="77777777" w:rsidR="007669DF" w:rsidRDefault="00202495">
      <w:pPr>
        <w:pStyle w:val="Heading1"/>
        <w:spacing w:before="100" w:beforeAutospacing="1" w:after="100" w:afterAutospacing="1"/>
        <w:jc w:val="both"/>
        <w:rPr>
          <w:rFonts w:ascii="Arial" w:hAnsi="Arial" w:cs="Arial"/>
          <w:lang w:val="en-GB"/>
        </w:rPr>
      </w:pPr>
      <w:bookmarkStart w:id="1" w:name="_Toc222683043"/>
      <w:r>
        <w:rPr>
          <w:rFonts w:ascii="Arial" w:hAnsi="Arial" w:cs="Arial"/>
          <w:lang w:val="en-GB"/>
        </w:rPr>
        <w:lastRenderedPageBreak/>
        <w:t>Component 2 – Application of Academic Skills</w:t>
      </w:r>
      <w:bookmarkEnd w:id="1"/>
      <w:r>
        <w:rPr>
          <w:rFonts w:ascii="Arial" w:hAnsi="Arial" w:cs="Arial"/>
          <w:lang w:val="en-GB"/>
        </w:rPr>
        <w:t xml:space="preserve"> </w:t>
      </w:r>
    </w:p>
    <w:p w14:paraId="3358EE65" w14:textId="77777777" w:rsidR="007669DF" w:rsidRDefault="00202495">
      <w:pPr>
        <w:spacing w:before="100" w:beforeAutospacing="1" w:after="100" w:afterAutospacing="1"/>
        <w:jc w:val="both"/>
        <w:rPr>
          <w:rFonts w:ascii="Arial" w:hAnsi="Arial"/>
          <w:b/>
          <w:bCs/>
        </w:rPr>
      </w:pPr>
      <w:r>
        <w:rPr>
          <w:rFonts w:ascii="Arial" w:hAnsi="Arial"/>
          <w:b/>
          <w:bCs/>
        </w:rPr>
        <w:t>Introduction</w:t>
      </w:r>
    </w:p>
    <w:p w14:paraId="75BE6A83" w14:textId="77777777" w:rsidR="007669DF" w:rsidRDefault="00202495">
      <w:pPr>
        <w:spacing w:before="100" w:beforeAutospacing="1" w:after="100" w:afterAutospacing="1"/>
        <w:jc w:val="both"/>
        <w:rPr>
          <w:rFonts w:ascii="Arial" w:hAnsi="Arial"/>
        </w:rPr>
      </w:pPr>
      <w:r>
        <w:rPr>
          <w:rFonts w:ascii="Arial" w:hAnsi="Arial"/>
        </w:rPr>
        <w:t>Digital learning today acquires a crucial position to be educated in higher education to prepare and pave the way for learners to excel in the corporate environment. Digital learning now includes much more than the concept of learning basic computer skills, and it includes wider horizons. The wider learning involves analytics, communication, ethical use of the tools and performing services with quality. The opportunities need to be understood to generate motivation among the learners to participate and lear</w:t>
      </w:r>
      <w:r>
        <w:rPr>
          <w:rFonts w:ascii="Arial" w:hAnsi="Arial"/>
        </w:rPr>
        <w:t xml:space="preserve">n digital skills. The challenges contrastingly show what barriers students or lecturers in higher education must be aware of and take measures to address. The structure of the report outlines the challenges, opportunities and adaptation strategies that can be incorporated for a better digital environment in higher education to be created for the learners, including the lecturers. </w:t>
      </w:r>
    </w:p>
    <w:p w14:paraId="25090AEB" w14:textId="77777777" w:rsidR="007669DF" w:rsidRDefault="00202495">
      <w:pPr>
        <w:spacing w:before="100" w:beforeAutospacing="1" w:after="100" w:afterAutospacing="1"/>
        <w:jc w:val="both"/>
        <w:rPr>
          <w:rFonts w:ascii="Arial" w:hAnsi="Arial"/>
          <w:b/>
          <w:bCs/>
        </w:rPr>
      </w:pPr>
      <w:r>
        <w:rPr>
          <w:rFonts w:ascii="Arial" w:hAnsi="Arial"/>
          <w:b/>
          <w:bCs/>
        </w:rPr>
        <w:t>Challenges for Students in the Digital Era</w:t>
      </w:r>
    </w:p>
    <w:p w14:paraId="66F49F6D" w14:textId="77777777" w:rsidR="007669DF" w:rsidRDefault="00202495">
      <w:pPr>
        <w:spacing w:before="100" w:beforeAutospacing="1" w:after="100" w:afterAutospacing="1"/>
        <w:jc w:val="both"/>
        <w:rPr>
          <w:rFonts w:ascii="Arial" w:hAnsi="Arial"/>
        </w:rPr>
      </w:pPr>
      <w:r>
        <w:rPr>
          <w:rFonts w:ascii="Arial" w:hAnsi="Arial"/>
        </w:rPr>
        <w:t>Resource constraints, as argued by Kayyali (2024) adds to the ineffectiveness for the learners to be fully equipped with the knowledge and conduct practical experiments too. For fostering better digital literacy, the faculties even need to be prepared and have strong knowledge of the tools, but this has also been considered as one of the challenges which pulls behind the capacity for learners to learn about the digital tools or the software. Programs if not designed effectively within the institutions, they</w:t>
      </w:r>
      <w:r>
        <w:rPr>
          <w:rFonts w:ascii="Arial" w:hAnsi="Arial"/>
        </w:rPr>
        <w:t xml:space="preserve"> can cause challenges for the learners to be aware of the modern needs of the business and hence face a gap in performance for the tasks in future. Jamil </w:t>
      </w:r>
      <w:r>
        <w:rPr>
          <w:rFonts w:ascii="Arial" w:hAnsi="Arial"/>
          <w:i/>
          <w:iCs/>
        </w:rPr>
        <w:t>et al.</w:t>
      </w:r>
      <w:r>
        <w:rPr>
          <w:rFonts w:ascii="Arial" w:hAnsi="Arial"/>
        </w:rPr>
        <w:t xml:space="preserve"> (2025) conducted a quantitative study that showed teachers require further Digital Learning Training to be enhanced, which will lead to the adoption of certain practices and enable teachers to teach the learners of the digital tools effectively. The challenges do impact the academic success, since if internally the institution is not equipped, it wi</w:t>
      </w:r>
      <w:r>
        <w:rPr>
          <w:rFonts w:ascii="Arial" w:hAnsi="Arial"/>
        </w:rPr>
        <w:t>ll fail to offer the students the same environment as well and create a gap in the delivery of the services. For academic success, the teachers and the students both need to be on the same platform, which will standardise the outcomes. Classroom discussion pointed to the significance of digital literacy in higher education and critical evaluation that helped to work out the challenges.</w:t>
      </w:r>
    </w:p>
    <w:p w14:paraId="5195126E" w14:textId="77777777" w:rsidR="007669DF" w:rsidRDefault="00202495">
      <w:pPr>
        <w:spacing w:before="100" w:beforeAutospacing="1" w:after="100" w:afterAutospacing="1"/>
        <w:jc w:val="both"/>
        <w:rPr>
          <w:rFonts w:ascii="Arial" w:hAnsi="Arial"/>
          <w:b/>
          <w:bCs/>
        </w:rPr>
      </w:pPr>
      <w:r>
        <w:rPr>
          <w:rFonts w:ascii="Arial" w:hAnsi="Arial"/>
          <w:b/>
          <w:bCs/>
        </w:rPr>
        <w:t>Opportunities in the Digital Era</w:t>
      </w:r>
    </w:p>
    <w:p w14:paraId="5EF0ED23" w14:textId="77777777" w:rsidR="007669DF" w:rsidRDefault="00202495">
      <w:pPr>
        <w:spacing w:before="100" w:beforeAutospacing="1" w:after="100" w:afterAutospacing="1"/>
        <w:jc w:val="both"/>
        <w:rPr>
          <w:rFonts w:ascii="Arial" w:hAnsi="Arial"/>
        </w:rPr>
      </w:pPr>
      <w:r>
        <w:rPr>
          <w:rFonts w:ascii="Arial" w:hAnsi="Arial"/>
        </w:rPr>
        <w:t xml:space="preserve">Digital tools maximise the skills of the learners to work on different tactics, like analytics, which is now highly trending in business operations. Digital skills pave critical tasks to be performed, which are also required in the educational area that assesses students' capabilities largely. Graham </w:t>
      </w:r>
      <w:r>
        <w:rPr>
          <w:rFonts w:ascii="Arial" w:hAnsi="Arial"/>
          <w:i/>
          <w:iCs/>
        </w:rPr>
        <w:t>et a</w:t>
      </w:r>
      <w:r>
        <w:rPr>
          <w:rFonts w:ascii="Arial" w:hAnsi="Arial"/>
        </w:rPr>
        <w:t xml:space="preserve">l. (2023) argued that blended learning today has enhanced the outlook of the learners and increased the </w:t>
      </w:r>
      <w:r>
        <w:rPr>
          <w:rFonts w:ascii="Arial" w:hAnsi="Arial"/>
        </w:rPr>
        <w:lastRenderedPageBreak/>
        <w:t>expectation from higher education for effectively enabling learners to meet corporate requirements. As Dang et al. (2024) pointed at competence of the teachers helps in gauging and providing the students with an updated learning environment. Similarly, if the teachers are aware of the tools, they can apply the same for the students to gain knowledge as well. Even for educational purposes today, digita</w:t>
      </w:r>
      <w:r>
        <w:rPr>
          <w:rFonts w:ascii="Arial" w:hAnsi="Arial"/>
        </w:rPr>
        <w:t xml:space="preserve">l literacy is contributing that itself points to the opportunities lying with the digital skills. As argued by </w:t>
      </w:r>
      <w:proofErr w:type="spellStart"/>
      <w:r>
        <w:rPr>
          <w:rFonts w:ascii="Arial" w:hAnsi="Arial"/>
        </w:rPr>
        <w:t>Aydınlar</w:t>
      </w:r>
      <w:proofErr w:type="spellEnd"/>
      <w:r>
        <w:rPr>
          <w:rFonts w:ascii="Arial" w:hAnsi="Arial"/>
        </w:rPr>
        <w:t xml:space="preserve"> </w:t>
      </w:r>
      <w:r>
        <w:rPr>
          <w:rFonts w:ascii="Arial" w:hAnsi="Arial"/>
          <w:i/>
          <w:iCs/>
        </w:rPr>
        <w:t>et al</w:t>
      </w:r>
      <w:r>
        <w:rPr>
          <w:rFonts w:ascii="Arial" w:hAnsi="Arial"/>
        </w:rPr>
        <w:t>. (2024), digital learning fosters collaboration and effective communication to be practiced which impacts the decision-making process. The digital era is crucial, where learners, after completing their educational course do look out for jobs, and the job market highly demands digital skills to be inbuilt among them. Therefore, digital literacy is highly crucial for managing tasks and</w:t>
      </w:r>
      <w:r>
        <w:rPr>
          <w:rFonts w:ascii="Arial" w:hAnsi="Arial"/>
        </w:rPr>
        <w:t xml:space="preserve"> even working in different areas in both educational and corporate institutions. </w:t>
      </w:r>
    </w:p>
    <w:p w14:paraId="5BC63620" w14:textId="77777777" w:rsidR="007669DF" w:rsidRDefault="00202495">
      <w:pPr>
        <w:spacing w:before="100" w:beforeAutospacing="1" w:after="100" w:afterAutospacing="1"/>
        <w:jc w:val="both"/>
        <w:rPr>
          <w:rFonts w:ascii="Arial" w:hAnsi="Arial"/>
          <w:b/>
          <w:bCs/>
        </w:rPr>
      </w:pPr>
      <w:r>
        <w:rPr>
          <w:rFonts w:ascii="Arial" w:hAnsi="Arial"/>
          <w:b/>
          <w:bCs/>
        </w:rPr>
        <w:t>How Students Can Adapt to Succeed</w:t>
      </w:r>
    </w:p>
    <w:p w14:paraId="5E173E5E" w14:textId="77777777" w:rsidR="007669DF" w:rsidRDefault="00202495">
      <w:pPr>
        <w:pStyle w:val="ListParagraph0d9dfb72-52c8-421f-b92f-28027b3dbe82"/>
        <w:numPr>
          <w:ilvl w:val="0"/>
          <w:numId w:val="4"/>
        </w:numPr>
        <w:spacing w:before="100" w:beforeAutospacing="1" w:after="100" w:afterAutospacing="1"/>
        <w:jc w:val="both"/>
        <w:rPr>
          <w:rFonts w:ascii="Arial" w:hAnsi="Arial"/>
        </w:rPr>
      </w:pPr>
      <w:r>
        <w:rPr>
          <w:rFonts w:ascii="Arial" w:hAnsi="Arial"/>
        </w:rPr>
        <w:t xml:space="preserve">Self-Assessment is one of the strategies that students could develop to enhance digital literacy. As viewed by Georgopoulou </w:t>
      </w:r>
      <w:r>
        <w:rPr>
          <w:rFonts w:ascii="Arial" w:hAnsi="Arial"/>
          <w:i/>
          <w:iCs/>
        </w:rPr>
        <w:t>et al.</w:t>
      </w:r>
      <w:r>
        <w:rPr>
          <w:rFonts w:ascii="Arial" w:hAnsi="Arial"/>
        </w:rPr>
        <w:t xml:space="preserve"> (2025), university students can understand their ability to critically engage with digital tools and technologies, which will help to boost professional and personal development. This will certainly address the challenge of students pointing out to the teachers of their areas of loopholes and lead the teachers to make informed decisions regarding the technologies to be taught and fill the gap.</w:t>
      </w:r>
    </w:p>
    <w:p w14:paraId="3CC086B2" w14:textId="77777777" w:rsidR="007669DF" w:rsidRDefault="00202495">
      <w:pPr>
        <w:pStyle w:val="ListParagraph0d9dfb72-52c8-421f-b92f-28027b3dbe82"/>
        <w:numPr>
          <w:ilvl w:val="0"/>
          <w:numId w:val="4"/>
        </w:numPr>
        <w:spacing w:before="100" w:beforeAutospacing="1" w:after="100" w:afterAutospacing="1"/>
        <w:jc w:val="both"/>
        <w:rPr>
          <w:rFonts w:ascii="Arial" w:hAnsi="Arial"/>
        </w:rPr>
      </w:pPr>
      <w:r>
        <w:rPr>
          <w:rFonts w:ascii="Arial" w:hAnsi="Arial"/>
        </w:rPr>
        <w:t xml:space="preserve">Secondly, teachers can increase their awareness and focus on the curricula being developed for the integration of the digital literacy program to be facilitated, as </w:t>
      </w:r>
      <w:r>
        <w:rPr>
          <w:rFonts w:ascii="Arial" w:hAnsi="Arial"/>
          <w:i/>
          <w:iCs/>
        </w:rPr>
        <w:t>et al</w:t>
      </w:r>
      <w:r>
        <w:rPr>
          <w:rFonts w:ascii="Arial" w:hAnsi="Arial"/>
        </w:rPr>
        <w:t>. (2025) agreed to such practice, where teachers can develop the curricula and include training for lecturers, and students can facilitate digital skills to be promoted. It will act as an opportunity to build digital efficacy both for the learners and the teachers.</w:t>
      </w:r>
    </w:p>
    <w:p w14:paraId="40FC3FBE" w14:textId="77777777" w:rsidR="007669DF" w:rsidRDefault="00202495">
      <w:pPr>
        <w:pStyle w:val="ListParagraph0d9dfb72-52c8-421f-b92f-28027b3dbe82"/>
        <w:numPr>
          <w:ilvl w:val="0"/>
          <w:numId w:val="4"/>
        </w:numPr>
        <w:spacing w:before="100" w:beforeAutospacing="1" w:after="100" w:afterAutospacing="1"/>
        <w:jc w:val="both"/>
        <w:rPr>
          <w:rFonts w:ascii="Arial" w:hAnsi="Arial"/>
        </w:rPr>
      </w:pPr>
      <w:r>
        <w:rPr>
          <w:rFonts w:ascii="Arial" w:hAnsi="Arial"/>
        </w:rPr>
        <w:t xml:space="preserve">Dang </w:t>
      </w:r>
      <w:r>
        <w:rPr>
          <w:rFonts w:ascii="Arial" w:hAnsi="Arial"/>
          <w:i/>
          <w:iCs/>
        </w:rPr>
        <w:t>et al.</w:t>
      </w:r>
      <w:r>
        <w:rPr>
          <w:rFonts w:ascii="Arial" w:hAnsi="Arial"/>
        </w:rPr>
        <w:t xml:space="preserve"> (2024) in the article referred to the competencies of the teachers being emphasised, which will nurture students to be equipped with digital skills. Thirdly, therefore, students can learn digital skills by participating in workshops or seminars hosted by the institutions, where they can improve their knowledge about digital tools and how they can be applied in the market environment too. It will address resource constraints to be overcome when such tools and measures are implemented in higher educati</w:t>
      </w:r>
      <w:r>
        <w:rPr>
          <w:rFonts w:ascii="Arial" w:hAnsi="Arial"/>
        </w:rPr>
        <w:t xml:space="preserve">on. </w:t>
      </w:r>
    </w:p>
    <w:p w14:paraId="28263723" w14:textId="77777777" w:rsidR="007669DF" w:rsidRDefault="00202495">
      <w:pPr>
        <w:spacing w:before="100" w:beforeAutospacing="1" w:after="100" w:afterAutospacing="1"/>
        <w:jc w:val="both"/>
        <w:rPr>
          <w:rFonts w:ascii="Arial" w:hAnsi="Arial"/>
          <w:b/>
          <w:bCs/>
        </w:rPr>
      </w:pPr>
      <w:r>
        <w:rPr>
          <w:rFonts w:ascii="Arial" w:hAnsi="Arial"/>
          <w:b/>
          <w:bCs/>
        </w:rPr>
        <w:t>Conclusion</w:t>
      </w:r>
    </w:p>
    <w:p w14:paraId="5D1E0EC2" w14:textId="7E46A968" w:rsidR="007669DF" w:rsidRDefault="00202495">
      <w:pPr>
        <w:spacing w:before="100" w:beforeAutospacing="1" w:after="100" w:afterAutospacing="1"/>
        <w:jc w:val="both"/>
        <w:rPr>
          <w:rFonts w:ascii="Arial" w:hAnsi="Arial"/>
        </w:rPr>
      </w:pPr>
      <w:r>
        <w:rPr>
          <w:rFonts w:ascii="Arial" w:hAnsi="Arial"/>
        </w:rPr>
        <w:t xml:space="preserve">The key challenges lie in the inadequacies of the faculty members and the lack of competencies among teachers that can hinder the learning of digital skills for the students. The opportunity lies in allowing the learners to upgrade their knowledge and skills for managing professional tasks like analytics and digital communication to be </w:t>
      </w:r>
      <w:r w:rsidR="000B2F19">
        <w:rPr>
          <w:rFonts w:ascii="Arial" w:hAnsi="Arial"/>
        </w:rPr>
        <w:t>enhanced and</w:t>
      </w:r>
      <w:r>
        <w:rPr>
          <w:rFonts w:ascii="Arial" w:hAnsi="Arial"/>
        </w:rPr>
        <w:t xml:space="preserve"> boost their own confidence as well. The digital literacy points to knowledge which will allow doubts and self-capabilities to be measured in </w:t>
      </w:r>
      <w:r>
        <w:rPr>
          <w:rFonts w:ascii="Arial" w:hAnsi="Arial"/>
        </w:rPr>
        <w:lastRenderedPageBreak/>
        <w:t>comparison to the modern trends and needs of the corporate environment. Teachers and students both have roles in gauging the digital literacy and creating a competitive environment for the present and the future. Thus, the use of digital skills in higher education navigates in progressing in present and future conditions to be met by the students, enhancin</w:t>
      </w:r>
      <w:r>
        <w:rPr>
          <w:rFonts w:ascii="Arial" w:hAnsi="Arial"/>
        </w:rPr>
        <w:t xml:space="preserve">g their self-esteem and capabilities. </w:t>
      </w:r>
    </w:p>
    <w:p w14:paraId="65290888" w14:textId="77777777" w:rsidR="007669DF" w:rsidRDefault="00202495">
      <w:pPr>
        <w:spacing w:line="259" w:lineRule="auto"/>
        <w:rPr>
          <w:rFonts w:ascii="Arial" w:hAnsi="Arial"/>
          <w:b/>
          <w:bCs/>
        </w:rPr>
      </w:pPr>
      <w:r>
        <w:rPr>
          <w:rFonts w:ascii="Arial" w:hAnsi="Arial"/>
          <w:b/>
          <w:bCs/>
        </w:rPr>
        <w:br w:type="page"/>
      </w:r>
    </w:p>
    <w:p w14:paraId="7239445C" w14:textId="77777777" w:rsidR="007669DF" w:rsidRDefault="00202495">
      <w:pPr>
        <w:spacing w:before="100" w:beforeAutospacing="1" w:after="100" w:afterAutospacing="1"/>
        <w:jc w:val="both"/>
        <w:rPr>
          <w:rFonts w:ascii="Arial" w:hAnsi="Arial"/>
          <w:b/>
          <w:bCs/>
        </w:rPr>
      </w:pPr>
      <w:r>
        <w:rPr>
          <w:rFonts w:ascii="Arial" w:hAnsi="Arial"/>
          <w:b/>
          <w:bCs/>
        </w:rPr>
        <w:lastRenderedPageBreak/>
        <w:t>Reference List – Component 2</w:t>
      </w:r>
    </w:p>
    <w:p w14:paraId="1A008066" w14:textId="77777777" w:rsidR="007669DF" w:rsidRDefault="00202495">
      <w:pPr>
        <w:spacing w:before="100" w:beforeAutospacing="1" w:after="100" w:afterAutospacing="1"/>
        <w:jc w:val="both"/>
        <w:rPr>
          <w:rFonts w:ascii="Arial" w:hAnsi="Arial"/>
        </w:rPr>
      </w:pPr>
      <w:proofErr w:type="spellStart"/>
      <w:r>
        <w:rPr>
          <w:rFonts w:ascii="Arial" w:hAnsi="Arial"/>
        </w:rPr>
        <w:t>Aydınlar</w:t>
      </w:r>
      <w:proofErr w:type="spellEnd"/>
      <w:r>
        <w:rPr>
          <w:rFonts w:ascii="Arial" w:hAnsi="Arial"/>
        </w:rPr>
        <w:t xml:space="preserve">, A., Mavi, A., </w:t>
      </w:r>
      <w:proofErr w:type="spellStart"/>
      <w:r>
        <w:rPr>
          <w:rFonts w:ascii="Arial" w:hAnsi="Arial"/>
        </w:rPr>
        <w:t>Kütükçü</w:t>
      </w:r>
      <w:proofErr w:type="spellEnd"/>
      <w:r>
        <w:rPr>
          <w:rFonts w:ascii="Arial" w:hAnsi="Arial"/>
        </w:rPr>
        <w:t xml:space="preserve">, E., </w:t>
      </w:r>
      <w:proofErr w:type="spellStart"/>
      <w:r>
        <w:rPr>
          <w:rFonts w:ascii="Arial" w:hAnsi="Arial"/>
        </w:rPr>
        <w:t>Kırımlı</w:t>
      </w:r>
      <w:proofErr w:type="spellEnd"/>
      <w:r>
        <w:rPr>
          <w:rFonts w:ascii="Arial" w:hAnsi="Arial"/>
        </w:rPr>
        <w:t xml:space="preserve">, E.E., </w:t>
      </w:r>
      <w:proofErr w:type="spellStart"/>
      <w:r>
        <w:rPr>
          <w:rFonts w:ascii="Arial" w:hAnsi="Arial"/>
        </w:rPr>
        <w:t>Alış</w:t>
      </w:r>
      <w:proofErr w:type="spellEnd"/>
      <w:r>
        <w:rPr>
          <w:rFonts w:ascii="Arial" w:hAnsi="Arial"/>
        </w:rPr>
        <w:t>, D., Akın, A. and Altıntaş, L. (2024) ‘Awareness and level of digital literacy among students receiving health-based education’. </w:t>
      </w:r>
      <w:r>
        <w:rPr>
          <w:rFonts w:ascii="Arial" w:hAnsi="Arial"/>
          <w:i/>
          <w:iCs/>
        </w:rPr>
        <w:t>BMC Medical Education</w:t>
      </w:r>
      <w:r>
        <w:rPr>
          <w:rFonts w:ascii="Arial" w:hAnsi="Arial"/>
        </w:rPr>
        <w:t>, 24(1), p. 38.</w:t>
      </w:r>
    </w:p>
    <w:p w14:paraId="204A9004" w14:textId="77777777" w:rsidR="007669DF" w:rsidRDefault="00202495">
      <w:pPr>
        <w:spacing w:before="100" w:beforeAutospacing="1" w:after="100" w:afterAutospacing="1"/>
        <w:jc w:val="both"/>
        <w:rPr>
          <w:rFonts w:ascii="Arial" w:hAnsi="Arial"/>
        </w:rPr>
      </w:pPr>
      <w:r>
        <w:rPr>
          <w:rFonts w:ascii="Arial" w:hAnsi="Arial"/>
        </w:rPr>
        <w:t>Dang, T.D., Phan, T.T., Vu, T.N.Q., La, T.D. and Pham, V.K. (2024) ‘Digital competence of lecturers and its impact on student learning value in higher education’. </w:t>
      </w:r>
      <w:r>
        <w:rPr>
          <w:rFonts w:ascii="Arial" w:hAnsi="Arial"/>
          <w:i/>
          <w:iCs/>
        </w:rPr>
        <w:t>Heliyon</w:t>
      </w:r>
      <w:r>
        <w:rPr>
          <w:rFonts w:ascii="Arial" w:hAnsi="Arial"/>
        </w:rPr>
        <w:t>, 10(17).</w:t>
      </w:r>
    </w:p>
    <w:p w14:paraId="67839D74" w14:textId="0B25226E" w:rsidR="007669DF" w:rsidRDefault="00202495">
      <w:pPr>
        <w:spacing w:before="100" w:beforeAutospacing="1" w:after="100" w:afterAutospacing="1"/>
        <w:jc w:val="both"/>
        <w:rPr>
          <w:rFonts w:ascii="Arial" w:hAnsi="Arial"/>
        </w:rPr>
      </w:pPr>
      <w:r>
        <w:rPr>
          <w:rFonts w:ascii="Arial" w:hAnsi="Arial"/>
        </w:rPr>
        <w:t xml:space="preserve">Georgopoulou, M.S., </w:t>
      </w:r>
      <w:proofErr w:type="spellStart"/>
      <w:r>
        <w:rPr>
          <w:rFonts w:ascii="Arial" w:hAnsi="Arial"/>
        </w:rPr>
        <w:t>Troussas</w:t>
      </w:r>
      <w:proofErr w:type="spellEnd"/>
      <w:r>
        <w:rPr>
          <w:rFonts w:ascii="Arial" w:hAnsi="Arial"/>
        </w:rPr>
        <w:t xml:space="preserve">, C., </w:t>
      </w:r>
      <w:proofErr w:type="spellStart"/>
      <w:r>
        <w:rPr>
          <w:rFonts w:ascii="Arial" w:hAnsi="Arial"/>
        </w:rPr>
        <w:t>Krouska</w:t>
      </w:r>
      <w:proofErr w:type="spellEnd"/>
      <w:r>
        <w:rPr>
          <w:rFonts w:ascii="Arial" w:hAnsi="Arial"/>
        </w:rPr>
        <w:t xml:space="preserve">, A. and </w:t>
      </w:r>
      <w:proofErr w:type="spellStart"/>
      <w:r>
        <w:rPr>
          <w:rFonts w:ascii="Arial" w:hAnsi="Arial"/>
        </w:rPr>
        <w:t>Sgouropoulou</w:t>
      </w:r>
      <w:proofErr w:type="spellEnd"/>
      <w:r>
        <w:rPr>
          <w:rFonts w:ascii="Arial" w:hAnsi="Arial"/>
        </w:rPr>
        <w:t xml:space="preserve">, C. (2025) ‘Digital literacy in higher education: Examining university students’ competence in online information </w:t>
      </w:r>
      <w:r w:rsidR="00A97DB1">
        <w:rPr>
          <w:rFonts w:ascii="Arial" w:hAnsi="Arial"/>
        </w:rPr>
        <w:t>practices</w:t>
      </w:r>
      <w:r>
        <w:rPr>
          <w:rFonts w:ascii="Arial" w:hAnsi="Arial"/>
        </w:rPr>
        <w:t>. </w:t>
      </w:r>
      <w:r>
        <w:rPr>
          <w:rFonts w:ascii="Arial" w:hAnsi="Arial"/>
          <w:i/>
          <w:iCs/>
        </w:rPr>
        <w:t>Computers</w:t>
      </w:r>
      <w:r>
        <w:rPr>
          <w:rFonts w:ascii="Arial" w:hAnsi="Arial"/>
        </w:rPr>
        <w:t>, 14(12), p. 528.</w:t>
      </w:r>
    </w:p>
    <w:p w14:paraId="3F3C473A" w14:textId="77777777" w:rsidR="007669DF" w:rsidRDefault="00202495">
      <w:pPr>
        <w:spacing w:before="100" w:beforeAutospacing="1" w:after="100" w:afterAutospacing="1"/>
        <w:jc w:val="both"/>
        <w:rPr>
          <w:rFonts w:ascii="Arial" w:hAnsi="Arial"/>
        </w:rPr>
      </w:pPr>
      <w:r>
        <w:rPr>
          <w:rFonts w:ascii="Arial" w:hAnsi="Arial"/>
        </w:rPr>
        <w:t xml:space="preserve">Graham, C.R., Danaa, G., </w:t>
      </w:r>
      <w:proofErr w:type="spellStart"/>
      <w:r>
        <w:rPr>
          <w:rFonts w:ascii="Arial" w:hAnsi="Arial"/>
        </w:rPr>
        <w:t>Purevsuren</w:t>
      </w:r>
      <w:proofErr w:type="spellEnd"/>
      <w:r>
        <w:rPr>
          <w:rFonts w:ascii="Arial" w:hAnsi="Arial"/>
        </w:rPr>
        <w:t xml:space="preserve">, T., Martínez, A., </w:t>
      </w:r>
      <w:proofErr w:type="spellStart"/>
      <w:r>
        <w:rPr>
          <w:rFonts w:ascii="Arial" w:hAnsi="Arial"/>
        </w:rPr>
        <w:t>Spricigo</w:t>
      </w:r>
      <w:proofErr w:type="spellEnd"/>
      <w:r>
        <w:rPr>
          <w:rFonts w:ascii="Arial" w:hAnsi="Arial"/>
        </w:rPr>
        <w:t xml:space="preserve">, C.B., Camilotti, B.M. and </w:t>
      </w:r>
      <w:proofErr w:type="spellStart"/>
      <w:r>
        <w:rPr>
          <w:rFonts w:ascii="Arial" w:hAnsi="Arial"/>
        </w:rPr>
        <w:t>Batsukh</w:t>
      </w:r>
      <w:proofErr w:type="spellEnd"/>
      <w:r>
        <w:rPr>
          <w:rFonts w:ascii="Arial" w:hAnsi="Arial"/>
        </w:rPr>
        <w:t>, T. (2023) ‘Digital learning transformation in higher education: International cases of university efforts to evaluate and improve blended teaching readiness’. </w:t>
      </w:r>
      <w:r>
        <w:rPr>
          <w:rFonts w:ascii="Arial" w:hAnsi="Arial"/>
          <w:i/>
          <w:iCs/>
        </w:rPr>
        <w:t>Education Sciences</w:t>
      </w:r>
      <w:r>
        <w:rPr>
          <w:rFonts w:ascii="Arial" w:hAnsi="Arial"/>
        </w:rPr>
        <w:t>, 13(11), p. 1143.</w:t>
      </w:r>
    </w:p>
    <w:p w14:paraId="06855EFB" w14:textId="7D0E97E5" w:rsidR="007669DF" w:rsidRDefault="00202495">
      <w:pPr>
        <w:spacing w:before="100" w:beforeAutospacing="1" w:after="100" w:afterAutospacing="1"/>
        <w:jc w:val="both"/>
        <w:rPr>
          <w:rFonts w:ascii="Arial" w:hAnsi="Arial"/>
        </w:rPr>
      </w:pPr>
      <w:r>
        <w:rPr>
          <w:rFonts w:ascii="Arial" w:hAnsi="Arial"/>
        </w:rPr>
        <w:t xml:space="preserve">Jamil, B., </w:t>
      </w:r>
      <w:proofErr w:type="spellStart"/>
      <w:r>
        <w:rPr>
          <w:rFonts w:ascii="Arial" w:hAnsi="Arial"/>
        </w:rPr>
        <w:t>Shaoan</w:t>
      </w:r>
      <w:proofErr w:type="spellEnd"/>
      <w:r>
        <w:rPr>
          <w:rFonts w:ascii="Arial" w:hAnsi="Arial"/>
        </w:rPr>
        <w:t xml:space="preserve">, M.R., </w:t>
      </w:r>
      <w:proofErr w:type="spellStart"/>
      <w:r>
        <w:rPr>
          <w:rFonts w:ascii="Arial" w:hAnsi="Arial"/>
        </w:rPr>
        <w:t>Lahinta</w:t>
      </w:r>
      <w:proofErr w:type="spellEnd"/>
      <w:r>
        <w:rPr>
          <w:rFonts w:ascii="Arial" w:hAnsi="Arial"/>
        </w:rPr>
        <w:t xml:space="preserve">, A.N., Irfan, S. and Arif, M. (2025) ‘Empowering future educators: digital literacy competence and preservice </w:t>
      </w:r>
      <w:r w:rsidR="00A97DB1">
        <w:rPr>
          <w:rFonts w:ascii="Arial" w:hAnsi="Arial"/>
        </w:rPr>
        <w:t>teachers’</w:t>
      </w:r>
      <w:r>
        <w:rPr>
          <w:rFonts w:ascii="Arial" w:hAnsi="Arial"/>
        </w:rPr>
        <w:t xml:space="preserve"> practices in middle schools of Pakistan’. </w:t>
      </w:r>
      <w:r>
        <w:rPr>
          <w:rFonts w:ascii="Arial" w:hAnsi="Arial"/>
          <w:i/>
          <w:iCs/>
        </w:rPr>
        <w:t>Cogent Education</w:t>
      </w:r>
      <w:r>
        <w:rPr>
          <w:rFonts w:ascii="Arial" w:hAnsi="Arial"/>
        </w:rPr>
        <w:t>, 12(1), p. 2541444.</w:t>
      </w:r>
    </w:p>
    <w:p w14:paraId="45996DAB" w14:textId="488D3267" w:rsidR="007669DF" w:rsidRDefault="00202495">
      <w:pPr>
        <w:spacing w:before="100" w:beforeAutospacing="1" w:after="100" w:afterAutospacing="1"/>
        <w:jc w:val="both"/>
        <w:rPr>
          <w:rFonts w:ascii="Arial" w:hAnsi="Arial"/>
        </w:rPr>
      </w:pPr>
      <w:r>
        <w:rPr>
          <w:rFonts w:ascii="Arial" w:hAnsi="Arial"/>
        </w:rPr>
        <w:t xml:space="preserve">Jayadi, A., </w:t>
      </w:r>
      <w:proofErr w:type="spellStart"/>
      <w:r>
        <w:rPr>
          <w:rFonts w:ascii="Arial" w:hAnsi="Arial"/>
        </w:rPr>
        <w:t>Ikawati</w:t>
      </w:r>
      <w:proofErr w:type="spellEnd"/>
      <w:r>
        <w:rPr>
          <w:rFonts w:ascii="Arial" w:hAnsi="Arial"/>
        </w:rPr>
        <w:t xml:space="preserve">, H.D., Abdurrahman, A. and Irawan, M.A. (2025) ‘Digital literacy development strategy in higher education </w:t>
      </w:r>
      <w:r w:rsidR="000B2F19">
        <w:rPr>
          <w:rFonts w:ascii="Arial" w:hAnsi="Arial"/>
        </w:rPr>
        <w:t>institutions</w:t>
      </w:r>
      <w:r>
        <w:rPr>
          <w:rFonts w:ascii="Arial" w:hAnsi="Arial"/>
        </w:rPr>
        <w:t>. </w:t>
      </w:r>
      <w:proofErr w:type="spellStart"/>
      <w:r>
        <w:rPr>
          <w:rFonts w:ascii="Arial" w:hAnsi="Arial"/>
          <w:i/>
          <w:iCs/>
        </w:rPr>
        <w:t>Jurnal</w:t>
      </w:r>
      <w:proofErr w:type="spellEnd"/>
      <w:r>
        <w:rPr>
          <w:rFonts w:ascii="Arial" w:hAnsi="Arial"/>
          <w:i/>
          <w:iCs/>
        </w:rPr>
        <w:t xml:space="preserve"> </w:t>
      </w:r>
      <w:proofErr w:type="spellStart"/>
      <w:r>
        <w:rPr>
          <w:rFonts w:ascii="Arial" w:hAnsi="Arial"/>
          <w:i/>
          <w:iCs/>
        </w:rPr>
        <w:t>Teknologi</w:t>
      </w:r>
      <w:proofErr w:type="spellEnd"/>
      <w:r>
        <w:rPr>
          <w:rFonts w:ascii="Arial" w:hAnsi="Arial"/>
          <w:i/>
          <w:iCs/>
        </w:rPr>
        <w:t xml:space="preserve"> Pendidikan: </w:t>
      </w:r>
      <w:proofErr w:type="spellStart"/>
      <w:r>
        <w:rPr>
          <w:rFonts w:ascii="Arial" w:hAnsi="Arial"/>
          <w:i/>
          <w:iCs/>
        </w:rPr>
        <w:t>Jurnal</w:t>
      </w:r>
      <w:proofErr w:type="spellEnd"/>
      <w:r>
        <w:rPr>
          <w:rFonts w:ascii="Arial" w:hAnsi="Arial"/>
          <w:i/>
          <w:iCs/>
        </w:rPr>
        <w:t xml:space="preserve"> </w:t>
      </w:r>
      <w:proofErr w:type="spellStart"/>
      <w:r>
        <w:rPr>
          <w:rFonts w:ascii="Arial" w:hAnsi="Arial"/>
          <w:i/>
          <w:iCs/>
        </w:rPr>
        <w:t>Penelitian</w:t>
      </w:r>
      <w:proofErr w:type="spellEnd"/>
      <w:r>
        <w:rPr>
          <w:rFonts w:ascii="Arial" w:hAnsi="Arial"/>
          <w:i/>
          <w:iCs/>
        </w:rPr>
        <w:t xml:space="preserve"> dan </w:t>
      </w:r>
      <w:proofErr w:type="spellStart"/>
      <w:r>
        <w:rPr>
          <w:rFonts w:ascii="Arial" w:hAnsi="Arial"/>
          <w:i/>
          <w:iCs/>
        </w:rPr>
        <w:t>Pengembangan</w:t>
      </w:r>
      <w:proofErr w:type="spellEnd"/>
      <w:r>
        <w:rPr>
          <w:rFonts w:ascii="Arial" w:hAnsi="Arial"/>
          <w:i/>
          <w:iCs/>
        </w:rPr>
        <w:t xml:space="preserve"> </w:t>
      </w:r>
      <w:proofErr w:type="spellStart"/>
      <w:r>
        <w:rPr>
          <w:rFonts w:ascii="Arial" w:hAnsi="Arial"/>
          <w:i/>
          <w:iCs/>
        </w:rPr>
        <w:t>Pembelajaran</w:t>
      </w:r>
      <w:proofErr w:type="spellEnd"/>
      <w:r>
        <w:rPr>
          <w:rFonts w:ascii="Arial" w:hAnsi="Arial"/>
        </w:rPr>
        <w:t>, 10(1), pp. 30-37.</w:t>
      </w:r>
    </w:p>
    <w:p w14:paraId="2A111296" w14:textId="77777777" w:rsidR="007669DF" w:rsidRDefault="00202495">
      <w:pPr>
        <w:spacing w:before="100" w:beforeAutospacing="1" w:after="100" w:afterAutospacing="1"/>
        <w:jc w:val="both"/>
        <w:rPr>
          <w:rFonts w:ascii="Arial" w:hAnsi="Arial"/>
        </w:rPr>
      </w:pPr>
      <w:r>
        <w:rPr>
          <w:rFonts w:ascii="Arial" w:hAnsi="Arial"/>
        </w:rPr>
        <w:t>Kayyali, M. (2024) ‘Digital literacy in higher education: Preparing students for the workforce of the future’. </w:t>
      </w:r>
      <w:r>
        <w:rPr>
          <w:rFonts w:ascii="Arial" w:hAnsi="Arial"/>
          <w:i/>
          <w:iCs/>
        </w:rPr>
        <w:t>International Journal of Information Science and Computing</w:t>
      </w:r>
      <w:r>
        <w:rPr>
          <w:rFonts w:ascii="Arial" w:hAnsi="Arial"/>
        </w:rPr>
        <w:t>, 11(1), pp. 53-73.</w:t>
      </w:r>
    </w:p>
    <w:p w14:paraId="6C02D9AF" w14:textId="77777777" w:rsidR="007669DF" w:rsidRDefault="007669DF">
      <w:pPr>
        <w:spacing w:before="100" w:beforeAutospacing="1" w:after="100" w:afterAutospacing="1"/>
        <w:jc w:val="both"/>
        <w:rPr>
          <w:rFonts w:ascii="Arial" w:hAnsi="Arial"/>
        </w:rPr>
      </w:pPr>
    </w:p>
    <w:p w14:paraId="4465FC92" w14:textId="77777777" w:rsidR="007669DF" w:rsidRDefault="007669DF">
      <w:pPr>
        <w:spacing w:before="100" w:beforeAutospacing="1" w:after="100" w:afterAutospacing="1"/>
        <w:jc w:val="both"/>
        <w:rPr>
          <w:rFonts w:ascii="Arial" w:hAnsi="Arial"/>
        </w:rPr>
      </w:pPr>
    </w:p>
    <w:p w14:paraId="17973965" w14:textId="77777777" w:rsidR="007669DF" w:rsidRDefault="007669DF">
      <w:pPr>
        <w:pStyle w:val="Heading1"/>
        <w:spacing w:before="100" w:beforeAutospacing="1" w:after="100" w:afterAutospacing="1"/>
        <w:jc w:val="both"/>
        <w:rPr>
          <w:rFonts w:hint="eastAsia"/>
          <w:lang w:val="en-GB"/>
        </w:rPr>
        <w:sectPr w:rsidR="007669DF">
          <w:pgSz w:w="11906" w:h="16838"/>
          <w:pgMar w:top="1440" w:right="1440" w:bottom="1440" w:left="1440" w:header="708" w:footer="708" w:gutter="0"/>
          <w:cols w:space="720"/>
          <w:docGrid w:linePitch="360"/>
        </w:sectPr>
      </w:pPr>
    </w:p>
    <w:p w14:paraId="1F818EB1" w14:textId="77777777" w:rsidR="007669DF" w:rsidRDefault="00202495">
      <w:pPr>
        <w:pStyle w:val="Heading1"/>
        <w:spacing w:before="100" w:beforeAutospacing="1" w:after="100" w:afterAutospacing="1"/>
        <w:jc w:val="both"/>
        <w:rPr>
          <w:rFonts w:ascii="Arial" w:hAnsi="Arial" w:cs="Arial"/>
          <w:lang w:val="en-GB"/>
        </w:rPr>
      </w:pPr>
      <w:bookmarkStart w:id="2" w:name="_Toc222683044"/>
      <w:r>
        <w:rPr>
          <w:rFonts w:ascii="Arial" w:hAnsi="Arial" w:cs="Arial"/>
          <w:lang w:val="en-GB"/>
        </w:rPr>
        <w:lastRenderedPageBreak/>
        <w:t>Component 3 – Academic Poster</w:t>
      </w:r>
      <w:bookmarkEnd w:id="2"/>
    </w:p>
    <w:p w14:paraId="484BDC37" w14:textId="77777777" w:rsidR="007669DF" w:rsidRPr="00A97DB1" w:rsidRDefault="00202495">
      <w:pPr>
        <w:spacing w:line="259" w:lineRule="auto"/>
        <w:rPr>
          <w:rFonts w:ascii="Arial" w:hAnsi="Arial"/>
          <w:b/>
          <w:bCs/>
        </w:rPr>
      </w:pPr>
      <w:r>
        <w:rPr>
          <w:rFonts w:ascii="Arial" w:hAnsi="Arial"/>
          <w:b/>
          <w:bCs/>
          <w:noProof/>
        </w:rPr>
        <w:drawing>
          <wp:inline distT="0" distB="0" distL="85723" distR="85723" wp14:anchorId="6F9589C5" wp14:editId="7F2FBD1A">
            <wp:extent cx="5901737" cy="8350250"/>
            <wp:effectExtent l="0" t="0" r="381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0"/>
                    <a:stretch>
                      <a:fillRect/>
                    </a:stretch>
                  </pic:blipFill>
                  <pic:spPr>
                    <a:xfrm>
                      <a:off x="0" y="0"/>
                      <a:ext cx="5944946" cy="8411386"/>
                    </a:xfrm>
                    <a:prstGeom prst="rect">
                      <a:avLst/>
                    </a:prstGeom>
                    <a:noFill/>
                    <a:ln w="12700" cap="flat" cmpd="sng">
                      <a:noFill/>
                      <a:prstDash val="solid"/>
                      <a:miter/>
                    </a:ln>
                  </pic:spPr>
                </pic:pic>
              </a:graphicData>
            </a:graphic>
          </wp:inline>
        </w:drawing>
      </w:r>
      <w:r>
        <w:rPr>
          <w:rFonts w:ascii="Arial" w:hAnsi="Arial"/>
          <w:b/>
          <w:bCs/>
        </w:rPr>
        <w:br w:type="page"/>
      </w:r>
      <w:r>
        <w:lastRenderedPageBreak/>
        <w:br/>
      </w:r>
      <w:r>
        <w:br/>
      </w:r>
      <w:r w:rsidRPr="00A97DB1">
        <w:br/>
      </w:r>
    </w:p>
    <w:p w14:paraId="214C0180" w14:textId="77777777" w:rsidR="007669DF" w:rsidRPr="00A97DB1" w:rsidRDefault="00202495">
      <w:pPr>
        <w:spacing w:before="100" w:beforeAutospacing="1" w:after="100" w:afterAutospacing="1"/>
        <w:jc w:val="both"/>
        <w:rPr>
          <w:rFonts w:ascii="Arial" w:hAnsi="Arial"/>
          <w:b/>
          <w:bCs/>
        </w:rPr>
      </w:pPr>
      <w:r w:rsidRPr="00A97DB1">
        <w:rPr>
          <w:rFonts w:ascii="Arial" w:hAnsi="Arial"/>
          <w:b/>
          <w:bCs/>
        </w:rPr>
        <w:t>Reference List – Component 3</w:t>
      </w:r>
    </w:p>
    <w:p w14:paraId="7BE244F7" w14:textId="77777777" w:rsidR="007669DF" w:rsidRDefault="00202495">
      <w:pPr>
        <w:jc w:val="both"/>
        <w:rPr>
          <w:rFonts w:ascii="Arial" w:hAnsi="Arial"/>
        </w:rPr>
      </w:pPr>
      <w:r w:rsidRPr="00A97DB1">
        <w:rPr>
          <w:rFonts w:ascii="Arial" w:hAnsi="Arial"/>
        </w:rPr>
        <w:t xml:space="preserve">Amin, A.M., </w:t>
      </w:r>
      <w:proofErr w:type="spellStart"/>
      <w:r w:rsidRPr="00A97DB1">
        <w:rPr>
          <w:rFonts w:ascii="Arial" w:hAnsi="Arial"/>
        </w:rPr>
        <w:t>Adiansyah</w:t>
      </w:r>
      <w:proofErr w:type="spellEnd"/>
      <w:r w:rsidRPr="00A97DB1">
        <w:rPr>
          <w:rFonts w:ascii="Arial" w:hAnsi="Arial"/>
        </w:rPr>
        <w:t xml:space="preserve">, R. and </w:t>
      </w:r>
      <w:proofErr w:type="spellStart"/>
      <w:r w:rsidRPr="00A97DB1">
        <w:rPr>
          <w:rFonts w:ascii="Arial" w:hAnsi="Arial"/>
        </w:rPr>
        <w:t>Hujjatusnaini</w:t>
      </w:r>
      <w:proofErr w:type="spellEnd"/>
      <w:r w:rsidRPr="00A97DB1">
        <w:rPr>
          <w:rFonts w:ascii="Arial" w:hAnsi="Arial"/>
        </w:rPr>
        <w:t>, N., 2023. The contribution of communication and digital literacy skills to critical thinking. </w:t>
      </w:r>
      <w:proofErr w:type="spellStart"/>
      <w:r w:rsidRPr="00A97DB1">
        <w:rPr>
          <w:rFonts w:ascii="Arial" w:hAnsi="Arial"/>
          <w:i/>
          <w:iCs/>
        </w:rPr>
        <w:t>Jurnal</w:t>
      </w:r>
      <w:proofErr w:type="spellEnd"/>
      <w:r w:rsidRPr="00A97DB1">
        <w:rPr>
          <w:rFonts w:ascii="Arial" w:hAnsi="Arial"/>
          <w:i/>
          <w:iCs/>
        </w:rPr>
        <w:t xml:space="preserve"> Pendidikan Sains Indonesia (Indonesian Journal of Science Education)</w:t>
      </w:r>
      <w:r w:rsidRPr="00A97DB1">
        <w:rPr>
          <w:rFonts w:ascii="Arial" w:hAnsi="Arial"/>
        </w:rPr>
        <w:t>, 11(3), pp.697-712.</w:t>
      </w:r>
    </w:p>
    <w:p w14:paraId="696E2D0A" w14:textId="77777777" w:rsidR="009356BD" w:rsidRPr="00A97DB1" w:rsidRDefault="009356BD" w:rsidP="009356BD">
      <w:pPr>
        <w:spacing w:before="100" w:beforeAutospacing="1" w:after="100" w:afterAutospacing="1"/>
        <w:jc w:val="both"/>
        <w:rPr>
          <w:rFonts w:ascii="Arial" w:hAnsi="Arial"/>
        </w:rPr>
      </w:pPr>
      <w:r w:rsidRPr="00A97DB1">
        <w:rPr>
          <w:rFonts w:ascii="Arial" w:hAnsi="Arial"/>
          <w:color w:val="3A3A3A"/>
          <w:shd w:val="clear" w:color="auto" w:fill="FFFFFF"/>
        </w:rPr>
        <w:t>Cottrell, S. (2024). </w:t>
      </w:r>
      <w:r w:rsidRPr="00A97DB1">
        <w:rPr>
          <w:rFonts w:ascii="Arial" w:hAnsi="Arial"/>
          <w:i/>
          <w:iCs/>
          <w:color w:val="3A3A3A"/>
          <w:shd w:val="clear" w:color="auto" w:fill="FFFFFF"/>
        </w:rPr>
        <w:t>The study skills handbook</w:t>
      </w:r>
      <w:r w:rsidRPr="00A97DB1">
        <w:rPr>
          <w:rFonts w:ascii="Arial" w:hAnsi="Arial"/>
          <w:color w:val="3A3A3A"/>
          <w:shd w:val="clear" w:color="auto" w:fill="FFFFFF"/>
        </w:rPr>
        <w:t> (Sixth edition.). Bloomsbury Academic, Bloomsbury Publishing Plc., 12, pp.  261-262</w:t>
      </w:r>
      <w:r w:rsidRPr="00A97DB1">
        <w:rPr>
          <w:rFonts w:ascii="Source Sans Pro" w:hAnsi="Source Sans Pro"/>
          <w:color w:val="3A3A3A"/>
          <w:shd w:val="clear" w:color="auto" w:fill="FFFFFF"/>
        </w:rPr>
        <w:t>.</w:t>
      </w:r>
    </w:p>
    <w:p w14:paraId="327CC426" w14:textId="77777777" w:rsidR="007669DF" w:rsidRPr="00A97DB1" w:rsidRDefault="00202495">
      <w:pPr>
        <w:spacing w:before="100" w:beforeAutospacing="1" w:after="100" w:afterAutospacing="1"/>
        <w:jc w:val="both"/>
        <w:rPr>
          <w:rFonts w:ascii="Arial" w:hAnsi="Arial"/>
        </w:rPr>
      </w:pPr>
      <w:r w:rsidRPr="00A97DB1">
        <w:rPr>
          <w:rFonts w:ascii="Arial" w:hAnsi="Arial"/>
        </w:rPr>
        <w:t xml:space="preserve">Jain, C. (2023) </w:t>
      </w:r>
      <w:r w:rsidRPr="00A97DB1">
        <w:rPr>
          <w:rFonts w:ascii="Arial" w:hAnsi="Arial"/>
          <w:i/>
          <w:iCs/>
        </w:rPr>
        <w:t>The Top 7 Essential Skills Every College Student Need.</w:t>
      </w:r>
      <w:r w:rsidRPr="00A97DB1">
        <w:rPr>
          <w:rFonts w:ascii="Arial" w:hAnsi="Arial"/>
        </w:rPr>
        <w:t xml:space="preserve"> Available at: https://medium.com/@jainchelisha03/the-top-7-essential-skills-every-college-student-need-eeb7700e278a (Accessed: 22 February 2026).</w:t>
      </w:r>
    </w:p>
    <w:p w14:paraId="2AB89672" w14:textId="77777777" w:rsidR="007669DF" w:rsidRPr="00A97DB1" w:rsidRDefault="00202495">
      <w:pPr>
        <w:spacing w:before="100" w:beforeAutospacing="1" w:after="100" w:afterAutospacing="1"/>
        <w:jc w:val="both"/>
        <w:rPr>
          <w:rFonts w:ascii="Arial" w:hAnsi="Arial"/>
        </w:rPr>
      </w:pPr>
      <w:r w:rsidRPr="00A97DB1">
        <w:rPr>
          <w:rFonts w:ascii="Arial" w:hAnsi="Arial"/>
        </w:rPr>
        <w:t>Navarro, I.J., Marti, J.V. and Yepes, V. (2023) ‘Evaluation of higher education students’ critical thinking skills on sustainability’</w:t>
      </w:r>
      <w:r w:rsidRPr="00A97DB1">
        <w:rPr>
          <w:rFonts w:ascii="Arial" w:hAnsi="Arial"/>
          <w:i/>
          <w:iCs/>
        </w:rPr>
        <w:t xml:space="preserve">. International Journal of Engineering Education, </w:t>
      </w:r>
      <w:r w:rsidRPr="00A97DB1">
        <w:rPr>
          <w:rFonts w:ascii="Arial" w:hAnsi="Arial"/>
        </w:rPr>
        <w:t>39(3), pp. 592-603.</w:t>
      </w:r>
    </w:p>
    <w:p w14:paraId="06707041" w14:textId="77777777" w:rsidR="007669DF" w:rsidRPr="00A97DB1" w:rsidRDefault="00202495">
      <w:pPr>
        <w:spacing w:before="100" w:beforeAutospacing="1" w:after="100" w:afterAutospacing="1"/>
        <w:jc w:val="both"/>
        <w:rPr>
          <w:rFonts w:ascii="Arial" w:hAnsi="Arial"/>
        </w:rPr>
      </w:pPr>
      <w:proofErr w:type="spellStart"/>
      <w:r w:rsidRPr="00A97DB1">
        <w:rPr>
          <w:rFonts w:ascii="Arial" w:hAnsi="Arial"/>
        </w:rPr>
        <w:t>Setiamurti</w:t>
      </w:r>
      <w:proofErr w:type="spellEnd"/>
      <w:r w:rsidRPr="00A97DB1">
        <w:rPr>
          <w:rFonts w:ascii="Arial" w:hAnsi="Arial"/>
        </w:rPr>
        <w:t xml:space="preserve">, A. and </w:t>
      </w:r>
      <w:proofErr w:type="spellStart"/>
      <w:r w:rsidRPr="00A97DB1">
        <w:rPr>
          <w:rFonts w:ascii="Arial" w:hAnsi="Arial"/>
        </w:rPr>
        <w:t>Kurniawati</w:t>
      </w:r>
      <w:proofErr w:type="spellEnd"/>
      <w:r w:rsidRPr="00A97DB1">
        <w:rPr>
          <w:rFonts w:ascii="Arial" w:hAnsi="Arial"/>
        </w:rPr>
        <w:t xml:space="preserve">, F. (2024) ‘Fostering creativity in higher education institution: A systematic review (2018–2022)’. </w:t>
      </w:r>
      <w:r w:rsidRPr="00A97DB1">
        <w:rPr>
          <w:rFonts w:ascii="Arial" w:hAnsi="Arial"/>
          <w:i/>
          <w:iCs/>
        </w:rPr>
        <w:t>Open Education Studies,</w:t>
      </w:r>
      <w:r w:rsidRPr="00A97DB1">
        <w:rPr>
          <w:rFonts w:ascii="Arial" w:hAnsi="Arial"/>
        </w:rPr>
        <w:t xml:space="preserve"> 6(1), p. 20220221.</w:t>
      </w:r>
    </w:p>
    <w:p w14:paraId="228F231D" w14:textId="77777777" w:rsidR="007669DF" w:rsidRDefault="007669DF">
      <w:pPr>
        <w:spacing w:before="100" w:beforeAutospacing="1" w:after="100" w:afterAutospacing="1"/>
        <w:jc w:val="both"/>
        <w:rPr>
          <w:rFonts w:hint="eastAsia"/>
        </w:rPr>
      </w:pPr>
    </w:p>
    <w:p w14:paraId="6842DD89" w14:textId="77777777" w:rsidR="007669DF" w:rsidRDefault="007669DF">
      <w:pPr>
        <w:spacing w:before="100" w:beforeAutospacing="1" w:after="100" w:afterAutospacing="1"/>
        <w:ind w:left="720"/>
        <w:jc w:val="both"/>
        <w:rPr>
          <w:rFonts w:hint="eastAsia"/>
        </w:rPr>
      </w:pPr>
    </w:p>
    <w:p w14:paraId="6839ADFA" w14:textId="77777777" w:rsidR="007669DF" w:rsidRDefault="007669DF">
      <w:pPr>
        <w:spacing w:before="100" w:beforeAutospacing="1" w:after="100" w:afterAutospacing="1"/>
        <w:jc w:val="both"/>
        <w:rPr>
          <w:rFonts w:hint="eastAsia"/>
        </w:rPr>
      </w:pPr>
    </w:p>
    <w:sectPr w:rsidR="007669DF">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40EB0" w14:textId="77777777" w:rsidR="00202495" w:rsidRDefault="00202495">
      <w:pPr>
        <w:spacing w:after="0" w:line="240" w:lineRule="auto"/>
        <w:rPr>
          <w:rFonts w:hint="eastAsia"/>
        </w:rPr>
      </w:pPr>
      <w:r>
        <w:separator/>
      </w:r>
    </w:p>
  </w:endnote>
  <w:endnote w:type="continuationSeparator" w:id="0">
    <w:p w14:paraId="7900C1A4" w14:textId="77777777" w:rsidR="00202495" w:rsidRDefault="0020249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roid Sans Fallback">
    <w:altName w:val="Segoe UI"/>
    <w:charset w:val="00"/>
    <w:family w:val="auto"/>
    <w:pitch w:val="variable"/>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66DE4" w14:textId="77777777" w:rsidR="007669DF" w:rsidRDefault="00202495">
    <w:pPr>
      <w:pStyle w:val="Footer"/>
      <w:jc w:val="right"/>
      <w:rPr>
        <w:rFonts w:hint="eastAsia"/>
      </w:rPr>
    </w:pPr>
    <w:r>
      <w:fldChar w:fldCharType="begin"/>
    </w:r>
    <w:r>
      <w:instrText xml:space="preserve"> PAGE   \* MERGEFORMAT </w:instrText>
    </w:r>
    <w:r>
      <w:fldChar w:fldCharType="separate"/>
    </w:r>
    <w:r>
      <w:t>2</w:t>
    </w:r>
    <w:r>
      <w:fldChar w:fldCharType="end"/>
    </w:r>
  </w:p>
  <w:p w14:paraId="4B326DA3" w14:textId="77777777" w:rsidR="007669DF" w:rsidRDefault="007669DF">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25C83" w14:textId="77777777" w:rsidR="00202495" w:rsidRDefault="00202495">
      <w:pPr>
        <w:spacing w:after="0" w:line="240" w:lineRule="auto"/>
        <w:rPr>
          <w:rFonts w:hint="eastAsia"/>
        </w:rPr>
      </w:pPr>
      <w:r>
        <w:separator/>
      </w:r>
    </w:p>
  </w:footnote>
  <w:footnote w:type="continuationSeparator" w:id="0">
    <w:p w14:paraId="009F4E5D" w14:textId="77777777" w:rsidR="00202495" w:rsidRDefault="0020249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85836"/>
    <w:multiLevelType w:val="hybridMultilevel"/>
    <w:tmpl w:val="24AEB2D6"/>
    <w:lvl w:ilvl="0" w:tplc="4B6E1E4A">
      <w:start w:val="1"/>
      <w:numFmt w:val="bullet"/>
      <w:lvlRestart w:val="0"/>
      <w:lvlText w:val=""/>
      <w:legacy w:legacy="1" w:legacySpace="0" w:legacyIndent="360"/>
      <w:lvlJc w:val="left"/>
      <w:pPr>
        <w:ind w:left="360" w:hanging="360"/>
      </w:pPr>
      <w:rPr>
        <w:rFonts w:ascii="Symbol" w:hAnsi="Symbol" w:hint="default"/>
      </w:rPr>
    </w:lvl>
    <w:lvl w:ilvl="1" w:tplc="52F04C38">
      <w:start w:val="1"/>
      <w:numFmt w:val="bullet"/>
      <w:lvlText w:val="o"/>
      <w:legacy w:legacy="1" w:legacySpace="0" w:legacyIndent="360"/>
      <w:lvlJc w:val="left"/>
      <w:pPr>
        <w:ind w:left="1080" w:hanging="360"/>
      </w:pPr>
      <w:rPr>
        <w:rFonts w:ascii="Courier New" w:hAnsi="Courier New" w:cs="Courier New" w:hint="default"/>
      </w:rPr>
    </w:lvl>
    <w:lvl w:ilvl="2" w:tplc="83A61384">
      <w:start w:val="1"/>
      <w:numFmt w:val="bullet"/>
      <w:lvlText w:val=""/>
      <w:legacy w:legacy="1" w:legacySpace="0" w:legacyIndent="360"/>
      <w:lvlJc w:val="left"/>
      <w:pPr>
        <w:ind w:left="1800" w:hanging="360"/>
      </w:pPr>
      <w:rPr>
        <w:rFonts w:ascii="Wingdings" w:hAnsi="Wingdings" w:hint="default"/>
      </w:rPr>
    </w:lvl>
    <w:lvl w:ilvl="3" w:tplc="0422F4B0">
      <w:start w:val="1"/>
      <w:numFmt w:val="bullet"/>
      <w:lvlText w:val=""/>
      <w:legacy w:legacy="1" w:legacySpace="0" w:legacyIndent="360"/>
      <w:lvlJc w:val="left"/>
      <w:pPr>
        <w:ind w:left="2520" w:hanging="360"/>
      </w:pPr>
      <w:rPr>
        <w:rFonts w:ascii="Symbol" w:hAnsi="Symbol" w:hint="default"/>
      </w:rPr>
    </w:lvl>
    <w:lvl w:ilvl="4" w:tplc="B4A8105E">
      <w:start w:val="1"/>
      <w:numFmt w:val="bullet"/>
      <w:lvlText w:val="o"/>
      <w:legacy w:legacy="1" w:legacySpace="0" w:legacyIndent="360"/>
      <w:lvlJc w:val="left"/>
      <w:pPr>
        <w:ind w:left="3240" w:hanging="360"/>
      </w:pPr>
      <w:rPr>
        <w:rFonts w:ascii="Courier New" w:hAnsi="Courier New" w:cs="Courier New" w:hint="default"/>
      </w:rPr>
    </w:lvl>
    <w:lvl w:ilvl="5" w:tplc="3D8C9DC0">
      <w:start w:val="1"/>
      <w:numFmt w:val="bullet"/>
      <w:lvlText w:val=""/>
      <w:legacy w:legacy="1" w:legacySpace="0" w:legacyIndent="360"/>
      <w:lvlJc w:val="left"/>
      <w:pPr>
        <w:ind w:left="3960" w:hanging="360"/>
      </w:pPr>
      <w:rPr>
        <w:rFonts w:ascii="Wingdings" w:hAnsi="Wingdings" w:hint="default"/>
      </w:rPr>
    </w:lvl>
    <w:lvl w:ilvl="6" w:tplc="532AD970">
      <w:start w:val="1"/>
      <w:numFmt w:val="bullet"/>
      <w:lvlText w:val=""/>
      <w:legacy w:legacy="1" w:legacySpace="0" w:legacyIndent="360"/>
      <w:lvlJc w:val="left"/>
      <w:pPr>
        <w:ind w:left="4680" w:hanging="360"/>
      </w:pPr>
      <w:rPr>
        <w:rFonts w:ascii="Symbol" w:hAnsi="Symbol" w:hint="default"/>
      </w:rPr>
    </w:lvl>
    <w:lvl w:ilvl="7" w:tplc="2106268A">
      <w:start w:val="1"/>
      <w:numFmt w:val="bullet"/>
      <w:lvlText w:val="o"/>
      <w:legacy w:legacy="1" w:legacySpace="0" w:legacyIndent="360"/>
      <w:lvlJc w:val="left"/>
      <w:pPr>
        <w:ind w:left="5400" w:hanging="360"/>
      </w:pPr>
      <w:rPr>
        <w:rFonts w:ascii="Courier New" w:hAnsi="Courier New" w:cs="Courier New" w:hint="default"/>
      </w:rPr>
    </w:lvl>
    <w:lvl w:ilvl="8" w:tplc="EBCCB196">
      <w:start w:val="1"/>
      <w:numFmt w:val="bullet"/>
      <w:lvlText w:val=""/>
      <w:legacy w:legacy="1" w:legacySpace="0" w:legacyIndent="360"/>
      <w:lvlJc w:val="left"/>
      <w:pPr>
        <w:ind w:left="6120" w:hanging="360"/>
      </w:pPr>
      <w:rPr>
        <w:rFonts w:ascii="Wingdings" w:hAnsi="Wingdings" w:hint="default"/>
      </w:rPr>
    </w:lvl>
  </w:abstractNum>
  <w:abstractNum w:abstractNumId="1" w15:restartNumberingAfterBreak="0">
    <w:nsid w:val="34CA56D3"/>
    <w:multiLevelType w:val="multilevel"/>
    <w:tmpl w:val="F84E7488"/>
    <w:lvl w:ilvl="0">
      <w:start w:val="1"/>
      <w:numFmt w:val="bullet"/>
      <w:lvlRestart w:val="0"/>
      <w:lvlText w:val=""/>
      <w:legacy w:legacy="1" w:legacySpace="0" w:legacyIndent="360"/>
      <w:lvlJc w:val="left"/>
      <w:pPr>
        <w:ind w:left="720" w:hanging="360"/>
      </w:pPr>
      <w:rPr>
        <w:rFonts w:ascii="Symbol" w:hAnsi="Symbol" w:hint="default"/>
        <w:sz w:val="20"/>
      </w:rPr>
    </w:lvl>
    <w:lvl w:ilvl="1">
      <w:start w:val="1"/>
      <w:numFmt w:val="bullet"/>
      <w:lvlText w:val="o"/>
      <w:legacy w:legacy="1" w:legacySpace="0" w:legacyIndent="360"/>
      <w:lvlJc w:val="left"/>
      <w:pPr>
        <w:ind w:left="1440" w:hanging="360"/>
      </w:pPr>
      <w:rPr>
        <w:rFonts w:ascii="Courier New" w:hAnsi="Courier New" w:hint="default"/>
        <w:sz w:val="20"/>
      </w:rPr>
    </w:lvl>
    <w:lvl w:ilvl="2">
      <w:start w:val="1"/>
      <w:numFmt w:val="bullet"/>
      <w:lvlText w:val=""/>
      <w:legacy w:legacy="1" w:legacySpace="0" w:legacyIndent="360"/>
      <w:lvlJc w:val="left"/>
      <w:pPr>
        <w:ind w:left="2160" w:hanging="360"/>
      </w:pPr>
      <w:rPr>
        <w:rFonts w:ascii="Wingdings" w:hAnsi="Wingdings" w:hint="default"/>
        <w:sz w:val="20"/>
      </w:rPr>
    </w:lvl>
    <w:lvl w:ilvl="3">
      <w:start w:val="1"/>
      <w:numFmt w:val="bullet"/>
      <w:lvlText w:val=""/>
      <w:legacy w:legacy="1" w:legacySpace="0" w:legacyIndent="360"/>
      <w:lvlJc w:val="left"/>
      <w:pPr>
        <w:ind w:left="2880" w:hanging="360"/>
      </w:pPr>
      <w:rPr>
        <w:rFonts w:ascii="Wingdings" w:hAnsi="Wingdings" w:hint="default"/>
        <w:sz w:val="20"/>
      </w:rPr>
    </w:lvl>
    <w:lvl w:ilvl="4">
      <w:start w:val="1"/>
      <w:numFmt w:val="bullet"/>
      <w:lvlText w:val=""/>
      <w:legacy w:legacy="1" w:legacySpace="0" w:legacyIndent="360"/>
      <w:lvlJc w:val="left"/>
      <w:pPr>
        <w:ind w:left="3600" w:hanging="360"/>
      </w:pPr>
      <w:rPr>
        <w:rFonts w:ascii="Wingdings" w:hAnsi="Wingdings" w:hint="default"/>
        <w:sz w:val="20"/>
      </w:rPr>
    </w:lvl>
    <w:lvl w:ilvl="5">
      <w:start w:val="1"/>
      <w:numFmt w:val="bullet"/>
      <w:lvlText w:val=""/>
      <w:legacy w:legacy="1" w:legacySpace="0" w:legacyIndent="360"/>
      <w:lvlJc w:val="left"/>
      <w:pPr>
        <w:ind w:left="4320" w:hanging="360"/>
      </w:pPr>
      <w:rPr>
        <w:rFonts w:ascii="Wingdings" w:hAnsi="Wingdings" w:hint="default"/>
        <w:sz w:val="20"/>
      </w:rPr>
    </w:lvl>
    <w:lvl w:ilvl="6">
      <w:start w:val="1"/>
      <w:numFmt w:val="bullet"/>
      <w:lvlText w:val=""/>
      <w:legacy w:legacy="1" w:legacySpace="0" w:legacyIndent="360"/>
      <w:lvlJc w:val="left"/>
      <w:pPr>
        <w:ind w:left="5040" w:hanging="360"/>
      </w:pPr>
      <w:rPr>
        <w:rFonts w:ascii="Wingdings" w:hAnsi="Wingdings" w:hint="default"/>
        <w:sz w:val="20"/>
      </w:rPr>
    </w:lvl>
    <w:lvl w:ilvl="7">
      <w:start w:val="1"/>
      <w:numFmt w:val="bullet"/>
      <w:lvlText w:val=""/>
      <w:legacy w:legacy="1" w:legacySpace="0" w:legacyIndent="360"/>
      <w:lvlJc w:val="left"/>
      <w:pPr>
        <w:ind w:left="5760" w:hanging="360"/>
      </w:pPr>
      <w:rPr>
        <w:rFonts w:ascii="Wingdings" w:hAnsi="Wingdings" w:hint="default"/>
        <w:sz w:val="20"/>
      </w:rPr>
    </w:lvl>
    <w:lvl w:ilvl="8">
      <w:start w:val="1"/>
      <w:numFmt w:val="bullet"/>
      <w:lvlText w:val=""/>
      <w:legacy w:legacy="1" w:legacySpace="0" w:legacyIndent="360"/>
      <w:lvlJc w:val="left"/>
      <w:pPr>
        <w:ind w:left="6480" w:hanging="360"/>
      </w:pPr>
      <w:rPr>
        <w:rFonts w:ascii="Wingdings" w:hAnsi="Wingdings" w:hint="default"/>
        <w:sz w:val="20"/>
      </w:rPr>
    </w:lvl>
  </w:abstractNum>
  <w:abstractNum w:abstractNumId="2" w15:restartNumberingAfterBreak="0">
    <w:nsid w:val="35DA216F"/>
    <w:multiLevelType w:val="multilevel"/>
    <w:tmpl w:val="3E1C0C50"/>
    <w:lvl w:ilvl="0">
      <w:start w:val="1"/>
      <w:numFmt w:val="bullet"/>
      <w:lvlRestart w:val="0"/>
      <w:lvlText w:val=""/>
      <w:legacy w:legacy="1" w:legacySpace="0" w:legacyIndent="360"/>
      <w:lvlJc w:val="left"/>
      <w:pPr>
        <w:ind w:left="720" w:hanging="360"/>
      </w:pPr>
      <w:rPr>
        <w:rFonts w:ascii="Symbol" w:hAnsi="Symbol" w:hint="default"/>
        <w:sz w:val="20"/>
      </w:rPr>
    </w:lvl>
    <w:lvl w:ilvl="1">
      <w:start w:val="1"/>
      <w:numFmt w:val="bullet"/>
      <w:lvlText w:val="o"/>
      <w:legacy w:legacy="1" w:legacySpace="0" w:legacyIndent="360"/>
      <w:lvlJc w:val="left"/>
      <w:pPr>
        <w:ind w:left="1440" w:hanging="360"/>
      </w:pPr>
      <w:rPr>
        <w:rFonts w:ascii="Courier New" w:hAnsi="Courier New" w:hint="default"/>
        <w:sz w:val="20"/>
      </w:rPr>
    </w:lvl>
    <w:lvl w:ilvl="2">
      <w:start w:val="1"/>
      <w:numFmt w:val="bullet"/>
      <w:lvlText w:val=""/>
      <w:legacy w:legacy="1" w:legacySpace="0" w:legacyIndent="360"/>
      <w:lvlJc w:val="left"/>
      <w:pPr>
        <w:ind w:left="2160" w:hanging="360"/>
      </w:pPr>
      <w:rPr>
        <w:rFonts w:ascii="Wingdings" w:hAnsi="Wingdings" w:hint="default"/>
        <w:sz w:val="20"/>
      </w:rPr>
    </w:lvl>
    <w:lvl w:ilvl="3">
      <w:start w:val="1"/>
      <w:numFmt w:val="bullet"/>
      <w:lvlText w:val=""/>
      <w:legacy w:legacy="1" w:legacySpace="0" w:legacyIndent="360"/>
      <w:lvlJc w:val="left"/>
      <w:pPr>
        <w:ind w:left="2880" w:hanging="360"/>
      </w:pPr>
      <w:rPr>
        <w:rFonts w:ascii="Wingdings" w:hAnsi="Wingdings" w:hint="default"/>
        <w:sz w:val="20"/>
      </w:rPr>
    </w:lvl>
    <w:lvl w:ilvl="4">
      <w:start w:val="1"/>
      <w:numFmt w:val="bullet"/>
      <w:lvlText w:val=""/>
      <w:legacy w:legacy="1" w:legacySpace="0" w:legacyIndent="360"/>
      <w:lvlJc w:val="left"/>
      <w:pPr>
        <w:ind w:left="3600" w:hanging="360"/>
      </w:pPr>
      <w:rPr>
        <w:rFonts w:ascii="Wingdings" w:hAnsi="Wingdings" w:hint="default"/>
        <w:sz w:val="20"/>
      </w:rPr>
    </w:lvl>
    <w:lvl w:ilvl="5">
      <w:start w:val="1"/>
      <w:numFmt w:val="bullet"/>
      <w:lvlText w:val=""/>
      <w:legacy w:legacy="1" w:legacySpace="0" w:legacyIndent="360"/>
      <w:lvlJc w:val="left"/>
      <w:pPr>
        <w:ind w:left="4320" w:hanging="360"/>
      </w:pPr>
      <w:rPr>
        <w:rFonts w:ascii="Wingdings" w:hAnsi="Wingdings" w:hint="default"/>
        <w:sz w:val="20"/>
      </w:rPr>
    </w:lvl>
    <w:lvl w:ilvl="6">
      <w:start w:val="1"/>
      <w:numFmt w:val="bullet"/>
      <w:lvlText w:val=""/>
      <w:legacy w:legacy="1" w:legacySpace="0" w:legacyIndent="360"/>
      <w:lvlJc w:val="left"/>
      <w:pPr>
        <w:ind w:left="5040" w:hanging="360"/>
      </w:pPr>
      <w:rPr>
        <w:rFonts w:ascii="Wingdings" w:hAnsi="Wingdings" w:hint="default"/>
        <w:sz w:val="20"/>
      </w:rPr>
    </w:lvl>
    <w:lvl w:ilvl="7">
      <w:start w:val="1"/>
      <w:numFmt w:val="bullet"/>
      <w:lvlText w:val=""/>
      <w:legacy w:legacy="1" w:legacySpace="0" w:legacyIndent="360"/>
      <w:lvlJc w:val="left"/>
      <w:pPr>
        <w:ind w:left="5760" w:hanging="360"/>
      </w:pPr>
      <w:rPr>
        <w:rFonts w:ascii="Wingdings" w:hAnsi="Wingdings" w:hint="default"/>
        <w:sz w:val="20"/>
      </w:rPr>
    </w:lvl>
    <w:lvl w:ilvl="8">
      <w:start w:val="1"/>
      <w:numFmt w:val="bullet"/>
      <w:lvlText w:val=""/>
      <w:legacy w:legacy="1" w:legacySpace="0" w:legacyIndent="360"/>
      <w:lvlJc w:val="left"/>
      <w:pPr>
        <w:ind w:left="6480" w:hanging="360"/>
      </w:pPr>
      <w:rPr>
        <w:rFonts w:ascii="Wingdings" w:hAnsi="Wingdings" w:hint="default"/>
        <w:sz w:val="20"/>
      </w:rPr>
    </w:lvl>
  </w:abstractNum>
  <w:abstractNum w:abstractNumId="3" w15:restartNumberingAfterBreak="0">
    <w:nsid w:val="5D5F5B8D"/>
    <w:multiLevelType w:val="multilevel"/>
    <w:tmpl w:val="7C425C54"/>
    <w:lvl w:ilvl="0">
      <w:start w:val="1"/>
      <w:numFmt w:val="bullet"/>
      <w:lvlRestart w:val="0"/>
      <w:lvlText w:val=""/>
      <w:legacy w:legacy="1" w:legacySpace="0" w:legacyIndent="360"/>
      <w:lvlJc w:val="left"/>
      <w:pPr>
        <w:ind w:left="720" w:hanging="360"/>
      </w:pPr>
      <w:rPr>
        <w:rFonts w:ascii="Symbol" w:hAnsi="Symbol" w:hint="default"/>
        <w:sz w:val="20"/>
      </w:rPr>
    </w:lvl>
    <w:lvl w:ilvl="1">
      <w:start w:val="1"/>
      <w:numFmt w:val="bullet"/>
      <w:lvlText w:val="o"/>
      <w:legacy w:legacy="1" w:legacySpace="0" w:legacyIndent="360"/>
      <w:lvlJc w:val="left"/>
      <w:pPr>
        <w:ind w:left="1440" w:hanging="360"/>
      </w:pPr>
      <w:rPr>
        <w:rFonts w:ascii="Courier New" w:hAnsi="Courier New" w:hint="default"/>
        <w:sz w:val="20"/>
      </w:rPr>
    </w:lvl>
    <w:lvl w:ilvl="2">
      <w:start w:val="1"/>
      <w:numFmt w:val="bullet"/>
      <w:lvlText w:val=""/>
      <w:legacy w:legacy="1" w:legacySpace="0" w:legacyIndent="360"/>
      <w:lvlJc w:val="left"/>
      <w:pPr>
        <w:ind w:left="2160" w:hanging="360"/>
      </w:pPr>
      <w:rPr>
        <w:rFonts w:ascii="Wingdings" w:hAnsi="Wingdings" w:hint="default"/>
        <w:sz w:val="20"/>
      </w:rPr>
    </w:lvl>
    <w:lvl w:ilvl="3">
      <w:start w:val="1"/>
      <w:numFmt w:val="bullet"/>
      <w:lvlText w:val=""/>
      <w:legacy w:legacy="1" w:legacySpace="0" w:legacyIndent="360"/>
      <w:lvlJc w:val="left"/>
      <w:pPr>
        <w:ind w:left="2880" w:hanging="360"/>
      </w:pPr>
      <w:rPr>
        <w:rFonts w:ascii="Wingdings" w:hAnsi="Wingdings" w:hint="default"/>
        <w:sz w:val="20"/>
      </w:rPr>
    </w:lvl>
    <w:lvl w:ilvl="4">
      <w:start w:val="1"/>
      <w:numFmt w:val="bullet"/>
      <w:lvlText w:val=""/>
      <w:legacy w:legacy="1" w:legacySpace="0" w:legacyIndent="360"/>
      <w:lvlJc w:val="left"/>
      <w:pPr>
        <w:ind w:left="3600" w:hanging="360"/>
      </w:pPr>
      <w:rPr>
        <w:rFonts w:ascii="Wingdings" w:hAnsi="Wingdings" w:hint="default"/>
        <w:sz w:val="20"/>
      </w:rPr>
    </w:lvl>
    <w:lvl w:ilvl="5">
      <w:start w:val="1"/>
      <w:numFmt w:val="bullet"/>
      <w:lvlText w:val=""/>
      <w:legacy w:legacy="1" w:legacySpace="0" w:legacyIndent="360"/>
      <w:lvlJc w:val="left"/>
      <w:pPr>
        <w:ind w:left="4320" w:hanging="360"/>
      </w:pPr>
      <w:rPr>
        <w:rFonts w:ascii="Wingdings" w:hAnsi="Wingdings" w:hint="default"/>
        <w:sz w:val="20"/>
      </w:rPr>
    </w:lvl>
    <w:lvl w:ilvl="6">
      <w:start w:val="1"/>
      <w:numFmt w:val="bullet"/>
      <w:lvlText w:val=""/>
      <w:legacy w:legacy="1" w:legacySpace="0" w:legacyIndent="360"/>
      <w:lvlJc w:val="left"/>
      <w:pPr>
        <w:ind w:left="5040" w:hanging="360"/>
      </w:pPr>
      <w:rPr>
        <w:rFonts w:ascii="Wingdings" w:hAnsi="Wingdings" w:hint="default"/>
        <w:sz w:val="20"/>
      </w:rPr>
    </w:lvl>
    <w:lvl w:ilvl="7">
      <w:start w:val="1"/>
      <w:numFmt w:val="bullet"/>
      <w:lvlText w:val=""/>
      <w:legacy w:legacy="1" w:legacySpace="0" w:legacyIndent="360"/>
      <w:lvlJc w:val="left"/>
      <w:pPr>
        <w:ind w:left="5760" w:hanging="360"/>
      </w:pPr>
      <w:rPr>
        <w:rFonts w:ascii="Wingdings" w:hAnsi="Wingdings" w:hint="default"/>
        <w:sz w:val="20"/>
      </w:rPr>
    </w:lvl>
    <w:lvl w:ilvl="8">
      <w:start w:val="1"/>
      <w:numFmt w:val="bullet"/>
      <w:lvlText w:val=""/>
      <w:legacy w:legacy="1" w:legacySpace="0" w:legacyIndent="360"/>
      <w:lvlJc w:val="left"/>
      <w:pPr>
        <w:ind w:left="6480" w:hanging="360"/>
      </w:pPr>
      <w:rPr>
        <w:rFonts w:ascii="Wingdings" w:hAnsi="Wingdings" w:hint="default"/>
        <w:sz w:val="20"/>
      </w:rPr>
    </w:lvl>
  </w:abstractNum>
  <w:num w:numId="1" w16cid:durableId="1983852619">
    <w:abstractNumId w:val="2"/>
  </w:num>
  <w:num w:numId="2" w16cid:durableId="2063097148">
    <w:abstractNumId w:val="3"/>
  </w:num>
  <w:num w:numId="3" w16cid:durableId="309558701">
    <w:abstractNumId w:val="1"/>
  </w:num>
  <w:num w:numId="4" w16cid:durableId="1676109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20"/>
  <w:drawingGridVerticalSpacing w:val="163"/>
  <w:displayHorizontalDrawingGridEvery w:val="0"/>
  <w:characterSpacingControl w:val="doNotCompress"/>
  <w:footnotePr>
    <w:footnote w:id="-1"/>
    <w:footnote w:id="0"/>
  </w:footnotePr>
  <w:endnotePr>
    <w:endnote w:id="-1"/>
    <w:endnote w:id="0"/>
  </w:endnotePr>
  <w:compat>
    <w:spaceForUL/>
    <w:growAutofit/>
    <w:useFELayout/>
    <w:compatSetting w:name="compatibilityMode" w:uri="http://schemas.microsoft.com/office/word" w:val="14"/>
    <w:compatSetting w:name="useWord2013TrackBottomHyphenation" w:uri="http://schemas.microsoft.com/office/word" w:val="1"/>
  </w:compat>
  <w:rsids>
    <w:rsidRoot w:val="007669DF"/>
    <w:rsid w:val="000A3896"/>
    <w:rsid w:val="000B2F19"/>
    <w:rsid w:val="00202495"/>
    <w:rsid w:val="0020270B"/>
    <w:rsid w:val="00623D7F"/>
    <w:rsid w:val="006C408B"/>
    <w:rsid w:val="007669DF"/>
    <w:rsid w:val="009356BD"/>
    <w:rsid w:val="009E5494"/>
    <w:rsid w:val="00A97DB1"/>
    <w:rsid w:val="00B54D93"/>
    <w:rsid w:val="00B63991"/>
    <w:rsid w:val="00F412D6"/>
    <w:rsid w:val="00F8121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B90C7"/>
  <w15:docId w15:val="{82B805F7-7FF1-4F01-9B48-516C12D9F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Droid Sans Fallback" w:eastAsia="DengXian" w:hAnsi="Droid Sans Fallback" w:cs="Arial"/>
      <w:kern w:val="2"/>
      <w:sz w:val="24"/>
      <w:szCs w:val="24"/>
      <w:lang w:val="en-GB"/>
    </w:rPr>
  </w:style>
  <w:style w:type="paragraph" w:styleId="Heading1">
    <w:name w:val="heading 1"/>
    <w:basedOn w:val="Normal"/>
    <w:next w:val="Normal"/>
    <w:uiPriority w:val="9"/>
    <w:qFormat/>
    <w:pPr>
      <w:keepNext/>
      <w:keepLines/>
      <w:spacing w:before="360" w:after="80"/>
      <w:outlineLvl w:val="0"/>
    </w:pPr>
    <w:rPr>
      <w:rFonts w:eastAsia="DengXian Light" w:cs="Times New Roman"/>
      <w:b/>
      <w:color w:val="000000"/>
      <w:szCs w:val="40"/>
      <w:lang w:val="en-IN"/>
    </w:rPr>
  </w:style>
  <w:style w:type="paragraph" w:styleId="Heading2">
    <w:name w:val="heading 2"/>
    <w:basedOn w:val="Normal"/>
    <w:next w:val="Normal"/>
    <w:uiPriority w:val="9"/>
    <w:semiHidden/>
    <w:unhideWhenUsed/>
    <w:qFormat/>
    <w:pPr>
      <w:keepNext/>
      <w:keepLines/>
      <w:spacing w:before="160" w:after="80"/>
      <w:outlineLvl w:val="1"/>
    </w:pPr>
    <w:rPr>
      <w:rFonts w:eastAsia="DengXian Light" w:cs="Times New Roman"/>
      <w:b/>
      <w:color w:val="000000"/>
      <w:szCs w:val="32"/>
      <w:lang w:val="en-IN"/>
    </w:rPr>
  </w:style>
  <w:style w:type="paragraph" w:styleId="Heading3">
    <w:name w:val="heading 3"/>
    <w:basedOn w:val="Normal"/>
    <w:next w:val="Normal"/>
    <w:uiPriority w:val="9"/>
    <w:semiHidden/>
    <w:unhideWhenUsed/>
    <w:qFormat/>
    <w:pPr>
      <w:keepNext/>
      <w:keepLines/>
      <w:spacing w:before="40"/>
      <w:outlineLvl w:val="2"/>
    </w:pPr>
    <w:rPr>
      <w:rFonts w:eastAsia="DengXian Light" w:cs="Times New Roman"/>
      <w:b/>
    </w:rPr>
  </w:style>
  <w:style w:type="paragraph" w:styleId="Heading4">
    <w:name w:val="heading 4"/>
    <w:basedOn w:val="Normal"/>
    <w:next w:val="Normal"/>
    <w:uiPriority w:val="9"/>
    <w:semiHidden/>
    <w:unhideWhenUsed/>
    <w:qFormat/>
    <w:pPr>
      <w:keepNext/>
      <w:keepLines/>
      <w:spacing w:before="80" w:after="40"/>
      <w:outlineLvl w:val="3"/>
    </w:pPr>
    <w:rPr>
      <w:rFonts w:eastAsia="DengXian Light"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DengXian Light" w:cs="Times New Roman"/>
      <w:i/>
      <w:iCs/>
      <w:color w:val="595959"/>
    </w:rPr>
  </w:style>
  <w:style w:type="paragraph" w:styleId="Heading7">
    <w:name w:val="heading 7"/>
    <w:basedOn w:val="Normal"/>
    <w:next w:val="Normal"/>
    <w:pPr>
      <w:keepNext/>
      <w:keepLines/>
      <w:spacing w:before="40" w:after="0"/>
      <w:outlineLvl w:val="6"/>
    </w:pPr>
    <w:rPr>
      <w:rFonts w:eastAsia="DengXian Light" w:cs="Times New Roman"/>
      <w:color w:val="595959"/>
    </w:rPr>
  </w:style>
  <w:style w:type="paragraph" w:styleId="Heading8">
    <w:name w:val="heading 8"/>
    <w:basedOn w:val="Normal"/>
    <w:next w:val="Normal"/>
    <w:pPr>
      <w:keepNext/>
      <w:keepLines/>
      <w:spacing w:after="0"/>
      <w:outlineLvl w:val="7"/>
    </w:pPr>
    <w:rPr>
      <w:rFonts w:eastAsia="DengXian Light" w:cs="Times New Roman"/>
      <w:i/>
      <w:iCs/>
      <w:color w:val="272727"/>
    </w:rPr>
  </w:style>
  <w:style w:type="paragraph" w:styleId="Heading9">
    <w:name w:val="heading 9"/>
    <w:basedOn w:val="Normal"/>
    <w:next w:val="Normal"/>
    <w:pPr>
      <w:keepNext/>
      <w:keepLines/>
      <w:spacing w:after="0"/>
      <w:outlineLvl w:val="8"/>
    </w:pPr>
    <w:rPr>
      <w:rFonts w:eastAsia="DengXian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contextualSpacing/>
    </w:pPr>
    <w:rPr>
      <w:rFonts w:eastAsia="DengXian Light" w:cs="Times New Roman"/>
      <w:spacing w:val="-10"/>
      <w:kern w:val="28"/>
      <w:sz w:val="56"/>
      <w:szCs w:val="56"/>
    </w:rPr>
  </w:style>
  <w:style w:type="paragraph" w:styleId="Subtitle">
    <w:name w:val="Subtitle"/>
    <w:basedOn w:val="Normal"/>
    <w:next w:val="Normal"/>
    <w:uiPriority w:val="11"/>
    <w:qFormat/>
    <w:rPr>
      <w:rFonts w:eastAsia="DengXian Light" w:cs="Times New Roman"/>
      <w:color w:val="595959"/>
      <w:spacing w:val="15"/>
      <w:sz w:val="28"/>
      <w:szCs w:val="28"/>
    </w:rPr>
  </w:style>
  <w:style w:type="paragraph" w:customStyle="1" w:styleId="Quote26c37036-f6f5-4800-8984-31d4492f7671">
    <w:name w:val="Quote_26c37036-f6f5-4800-8984-31d4492f7671"/>
    <w:basedOn w:val="Normal"/>
    <w:next w:val="Normal"/>
    <w:pPr>
      <w:spacing w:before="160"/>
      <w:jc w:val="center"/>
    </w:pPr>
    <w:rPr>
      <w:i/>
      <w:iCs/>
      <w:color w:val="404040"/>
    </w:rPr>
  </w:style>
  <w:style w:type="paragraph" w:customStyle="1" w:styleId="ListParagraph0d9dfb72-52c8-421f-b92f-28027b3dbe82">
    <w:name w:val="List Paragraph_0d9dfb72-52c8-421f-b92f-28027b3dbe82"/>
    <w:basedOn w:val="Normal"/>
    <w:pPr>
      <w:ind w:left="720"/>
      <w:contextualSpacing/>
    </w:pPr>
  </w:style>
  <w:style w:type="character" w:customStyle="1" w:styleId="IntenseEmphasis81599835-f2f0-4498-a564-1ed56812ac0d">
    <w:name w:val="Intense Emphasis_81599835-f2f0-4498-a564-1ed56812ac0d"/>
    <w:basedOn w:val="DefaultParagraphFont"/>
    <w:rPr>
      <w:i/>
      <w:iCs/>
      <w:color w:val="2F5496"/>
    </w:rPr>
  </w:style>
  <w:style w:type="paragraph" w:customStyle="1" w:styleId="IntenseQuote480c1404-2c46-4f92-9193-54b8bf2a2130">
    <w:name w:val="Intense Quote_480c1404-2c46-4f92-9193-54b8bf2a2130"/>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Reference9a7ac6da-6c8c-4c93-8b61-99ee5a386bb7">
    <w:name w:val="Intense Reference_9a7ac6da-6c8c-4c93-8b61-99ee5a386bb7"/>
    <w:basedOn w:val="DefaultParagraphFont"/>
    <w:rPr>
      <w:b/>
      <w:bCs/>
      <w:caps w:val="0"/>
      <w:smallCaps/>
      <w:color w:val="2F5496"/>
      <w:spacing w:val="5"/>
    </w:rPr>
  </w:style>
  <w:style w:type="character" w:styleId="Hyperlink">
    <w:name w:val="Hyperlink"/>
    <w:basedOn w:val="DefaultParagraphFont"/>
    <w:rPr>
      <w:color w:val="0563C1"/>
      <w:u w:val="single"/>
    </w:rPr>
  </w:style>
  <w:style w:type="paragraph" w:customStyle="1" w:styleId="TOCHeading556f135c-0646-496c-8a11-ba486134c66d">
    <w:name w:val="TOC Heading_556f135c-0646-496c-8a11-ba486134c66d"/>
    <w:basedOn w:val="Heading1"/>
    <w:next w:val="Normal"/>
    <w:pPr>
      <w:spacing w:before="240" w:after="0" w:line="259" w:lineRule="auto"/>
      <w:outlineLvl w:val="9"/>
    </w:pPr>
    <w:rPr>
      <w:b w:val="0"/>
      <w:color w:val="2F5496"/>
      <w:sz w:val="32"/>
      <w:szCs w:val="32"/>
      <w:lang w:val="en-US"/>
    </w:rPr>
  </w:style>
  <w:style w:type="paragraph" w:styleId="TOC1">
    <w:name w:val="toc 1"/>
    <w:basedOn w:val="Normal"/>
    <w:next w:val="Normal"/>
    <w:pPr>
      <w:spacing w:after="100"/>
    </w:pPr>
  </w:style>
  <w:style w:type="paragraph" w:styleId="Header">
    <w:name w:val="header"/>
    <w:basedOn w:val="Normal"/>
    <w:pPr>
      <w:tabs>
        <w:tab w:val="center" w:pos="4513"/>
        <w:tab w:val="right" w:pos="9026"/>
      </w:tabs>
      <w:spacing w:after="0" w:line="240" w:lineRule="auto"/>
    </w:pPr>
  </w:style>
  <w:style w:type="paragraph" w:styleId="Footer">
    <w:name w:val="footer"/>
    <w:basedOn w:val="Normal"/>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C6C0E-B84F-41FE-AE71-C61D9EA9A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2205</Words>
  <Characters>12813</Characters>
  <Application>Microsoft Office Word</Application>
  <DocSecurity>0</DocSecurity>
  <Lines>674</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Viviana Zaharia (2522333)</cp:lastModifiedBy>
  <cp:revision>2</cp:revision>
  <dcterms:created xsi:type="dcterms:W3CDTF">2026-02-27T19:36:00Z</dcterms:created>
  <dcterms:modified xsi:type="dcterms:W3CDTF">2026-02-27T19:36:00Z</dcterms:modified>
</cp:coreProperties>
</file>