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rPr>
      </w:pPr>
      <w:r>
        <w:rPr>
          <w:rFonts w:ascii="Times New Roman" w:hAnsi="Times New Roman" w:eastAsia="Times New Roman" w:cs="Times New Roman"/>
          <w:b/>
          <w:sz w:val="32"/>
          <w:szCs w:val="24"/>
        </w:rPr>
        <w:t>Entrepreneurship assessment 2</w:t>
      </w:r>
    </w:p>
    <w:p>
      <w:pPr>
        <w:pStyle w:val="3"/>
        <w:spacing w:line="360" w:lineRule="auto"/>
        <w:jc w:val="center"/>
        <w:rPr>
          <w:rFonts w:ascii="Times New Roman" w:hAnsi="Times New Roman" w:eastAsia="Times New Roman" w:cs="Times New Roman"/>
          <w:b/>
          <w:sz w:val="32"/>
          <w:szCs w:val="24"/>
          <w:lang w:val="en-GB"/>
        </w:rPr>
      </w:pPr>
    </w:p>
    <w:p>
      <w:pPr>
        <w:pStyle w:val="3"/>
        <w:spacing w:line="360" w:lineRule="auto"/>
        <w:jc w:val="center"/>
        <w:rPr>
          <w:rFonts w:ascii="Times New Roman" w:hAnsi="Times New Roman" w:eastAsia="Times New Roman" w:cs="Times New Roman"/>
          <w:b/>
          <w:sz w:val="32"/>
          <w:szCs w:val="24"/>
          <w:lang w:val="en-GB"/>
        </w:rPr>
      </w:pPr>
      <w:r>
        <w:rPr>
          <w:rFonts w:ascii="Times New Roman" w:hAnsi="Times New Roman" w:eastAsia="Times New Roman" w:cs="Times New Roman"/>
          <w:b/>
          <w:sz w:val="32"/>
          <w:szCs w:val="24"/>
          <w:lang w:val="en-GB"/>
        </w:rPr>
        <w:t>BUSINESS MANAGEMENT</w:t>
      </w:r>
    </w:p>
    <w:p>
      <w:pPr>
        <w:spacing w:before="240" w:after="240" w:line="360" w:lineRule="auto"/>
        <w:jc w:val="center"/>
        <w:rPr>
          <w:rFonts w:ascii="Times New Roman" w:hAnsi="Times New Roman" w:cs="Times New Roman"/>
          <w:b/>
          <w:color w:val="000000" w:themeColor="text1"/>
          <w:sz w:val="32"/>
          <w:szCs w:val="24"/>
        </w:rPr>
      </w:pPr>
      <w:r>
        <w:rPr>
          <w:rFonts w:ascii="Times New Roman" w:hAnsi="Times New Roman" w:cs="Times New Roman"/>
          <w:b/>
          <w:color w:val="000000" w:themeColor="text1"/>
          <w:sz w:val="32"/>
          <w:szCs w:val="24"/>
        </w:rPr>
        <w:t>Anca Vasile</w:t>
      </w:r>
    </w:p>
    <w:p>
      <w:pPr>
        <w:pStyle w:val="3"/>
        <w:spacing w:line="360" w:lineRule="auto"/>
        <w:jc w:val="center"/>
        <w:rPr>
          <w:rFonts w:ascii="Times New Roman" w:hAnsi="Times New Roman" w:eastAsia="Times New Roman" w:cs="Times New Roman"/>
          <w:b/>
          <w:sz w:val="32"/>
          <w:szCs w:val="24"/>
          <w:lang w:val="en-GB"/>
        </w:rPr>
      </w:pPr>
      <w:r>
        <w:rPr>
          <w:rFonts w:ascii="Times New Roman" w:hAnsi="Times New Roman" w:cs="Times New Roman"/>
          <w:b/>
          <w:color w:val="000000" w:themeColor="text1"/>
          <w:sz w:val="32"/>
          <w:szCs w:val="24"/>
        </w:rPr>
        <w:t>Student id:2018716</w:t>
      </w:r>
      <w:bookmarkStart w:id="9" w:name="_GoBack"/>
      <w:bookmarkEnd w:id="9"/>
    </w:p>
    <w:p>
      <w:pP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br w:type="page"/>
      </w:r>
    </w:p>
    <w:sdt>
      <w:sdtPr>
        <w:rPr>
          <w:rFonts w:ascii="Arial" w:hAnsi="Arial" w:eastAsia="Arial" w:cs="Arial"/>
          <w:b w:val="0"/>
          <w:bCs w:val="0"/>
          <w:color w:val="auto"/>
          <w:sz w:val="22"/>
          <w:szCs w:val="22"/>
        </w:rPr>
        <w:id w:val="1870519"/>
      </w:sdtPr>
      <w:sdtEndPr>
        <w:rPr>
          <w:rFonts w:ascii="Arial" w:hAnsi="Arial" w:eastAsia="Arial" w:cs="Arial"/>
          <w:b w:val="0"/>
          <w:bCs w:val="0"/>
          <w:color w:val="auto"/>
          <w:sz w:val="22"/>
          <w:szCs w:val="22"/>
        </w:rPr>
      </w:sdtEndPr>
      <w:sdtContent>
        <w:p>
          <w:pPr>
            <w:pStyle w:val="25"/>
            <w:spacing w:line="360" w:lineRule="auto"/>
            <w:jc w:val="center"/>
          </w:pPr>
          <w:r>
            <w:rPr>
              <w:rFonts w:ascii="Times New Roman" w:hAnsi="Times New Roman" w:cs="Times New Roman"/>
              <w:color w:val="000000" w:themeColor="text1"/>
            </w:rPr>
            <w:t>Table of Contents</w:t>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TOC \o "1-3" \h \z \u </w:instrText>
          </w:r>
          <w:r>
            <w:fldChar w:fldCharType="separate"/>
          </w:r>
          <w:r>
            <w:fldChar w:fldCharType="begin"/>
          </w:r>
          <w:r>
            <w:instrText xml:space="preserve"> HYPERLINK \l "_Toc109549718" </w:instrText>
          </w:r>
          <w:r>
            <w:fldChar w:fldCharType="separate"/>
          </w:r>
          <w:r>
            <w:rPr>
              <w:rStyle w:val="18"/>
              <w:rFonts w:ascii="Times New Roman" w:hAnsi="Times New Roman" w:cs="Times New Roman"/>
              <w:sz w:val="24"/>
              <w:lang w:val="en-GB"/>
            </w:rPr>
            <w:t>1.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_Toc109549718 \h </w:instrText>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"_Toc109549719" </w:instrText>
          </w:r>
          <w:r>
            <w:fldChar w:fldCharType="separate"/>
          </w:r>
          <w:r>
            <w:rPr>
              <w:rStyle w:val="18"/>
              <w:rFonts w:ascii="Times New Roman" w:hAnsi="Times New Roman" w:cs="Times New Roman"/>
              <w:sz w:val="24"/>
              <w:lang w:val="en-GB"/>
            </w:rPr>
            <w:t>2. Business description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_Toc109549719 \h </w:instrText>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"_Toc109549720" </w:instrText>
          </w:r>
          <w:r>
            <w:fldChar w:fldCharType="separate"/>
          </w:r>
          <w:r>
            <w:rPr>
              <w:rStyle w:val="18"/>
              <w:rFonts w:ascii="Times New Roman" w:hAnsi="Times New Roman" w:cs="Times New Roman"/>
              <w:sz w:val="24"/>
              <w:lang w:val="en-GB"/>
            </w:rPr>
            <w:t>3. Industry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_Toc109549720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"_Toc109549721" </w:instrText>
          </w:r>
          <w:r>
            <w:fldChar w:fldCharType="separate"/>
          </w:r>
          <w:r>
            <w:rPr>
              <w:rStyle w:val="18"/>
              <w:rFonts w:ascii="Times New Roman" w:hAnsi="Times New Roman" w:cs="Times New Roman"/>
              <w:sz w:val="24"/>
              <w:lang w:val="en-GB"/>
            </w:rPr>
            <w:t>4. Operational and management Team plan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_Toc109549721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"_Toc109549722" </w:instrText>
          </w:r>
          <w:r>
            <w:fldChar w:fldCharType="separate"/>
          </w:r>
          <w:r>
            <w:rPr>
              <w:rStyle w:val="18"/>
              <w:rFonts w:ascii="Times New Roman" w:hAnsi="Times New Roman" w:cs="Times New Roman"/>
              <w:sz w:val="24"/>
              <w:lang w:val="en-GB"/>
            </w:rPr>
            <w:t>5. Marketing Plan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_Toc109549722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"_Toc109549723" </w:instrText>
          </w:r>
          <w:r>
            <w:fldChar w:fldCharType="separate"/>
          </w:r>
          <w:r>
            <w:rPr>
              <w:rStyle w:val="18"/>
              <w:rFonts w:ascii="Times New Roman" w:hAnsi="Times New Roman" w:cs="Times New Roman"/>
              <w:sz w:val="24"/>
              <w:lang w:val="en-GB"/>
            </w:rPr>
            <w:t>6. Financial plan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_Toc109549723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"_Toc109549724" </w:instrText>
          </w:r>
          <w:r>
            <w:fldChar w:fldCharType="separate"/>
          </w:r>
          <w:r>
            <w:rPr>
              <w:rStyle w:val="18"/>
              <w:rFonts w:ascii="Times New Roman" w:hAnsi="Times New Roman" w:cs="Times New Roman"/>
              <w:sz w:val="24"/>
              <w:lang w:val="en-GB"/>
            </w:rPr>
            <w:t>7. Market Research</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_Toc109549724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"_Toc109549725" </w:instrText>
          </w:r>
          <w:r>
            <w:fldChar w:fldCharType="separate"/>
          </w:r>
          <w:r>
            <w:rPr>
              <w:rStyle w:val="18"/>
              <w:rFonts w:ascii="Times New Roman" w:hAnsi="Times New Roman" w:cs="Times New Roman"/>
              <w:sz w:val="24"/>
              <w:lang w:val="en-GB"/>
            </w:rPr>
            <w:t>8. 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_Toc109549725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15"/>
            <w:tabs>
              <w:tab w:val="right" w:leader="dot" w:pos="9350"/>
            </w:tabs>
            <w:spacing w:line="360" w:lineRule="auto"/>
            <w:jc w:val="both"/>
            <w:rPr>
              <w:rFonts w:ascii="Times New Roman" w:hAnsi="Times New Roman" w:cs="Times New Roman"/>
              <w:sz w:val="24"/>
            </w:rPr>
          </w:pPr>
          <w:r>
            <w:fldChar w:fldCharType="begin"/>
          </w:r>
          <w:r>
            <w:instrText xml:space="preserve"> HYPERLINK \l "_Toc109549726" </w:instrText>
          </w:r>
          <w:r>
            <w:fldChar w:fldCharType="separate"/>
          </w:r>
          <w:r>
            <w:rPr>
              <w:rStyle w:val="18"/>
              <w:rFonts w:ascii="Times New Roman" w:hAnsi="Times New Roman" w:cs="Times New Roman"/>
              <w:sz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_Toc109549726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r>
            <w:fldChar w:fldCharType="end"/>
          </w:r>
        </w:p>
      </w:sdtContent>
    </w:sdt>
    <w:p>
      <w:pPr>
        <w:pStyle w:val="3"/>
        <w:spacing w:line="360" w:lineRule="auto"/>
        <w:jc w:val="both"/>
        <w:rPr>
          <w:rFonts w:ascii="Times New Roman" w:hAnsi="Times New Roman" w:eastAsia="Times New Roman" w:cs="Times New Roman"/>
          <w:b/>
          <w:sz w:val="24"/>
          <w:szCs w:val="24"/>
          <w:highlight w:val="white"/>
          <w:lang w:val="en-GB"/>
        </w:rPr>
      </w:pPr>
    </w:p>
    <w:p>
      <w:pPr>
        <w:rPr>
          <w:rFonts w:ascii="Times New Roman" w:hAnsi="Times New Roman"/>
          <w:b/>
          <w:color w:val="000000" w:themeColor="text1"/>
          <w:sz w:val="28"/>
          <w:szCs w:val="40"/>
          <w:highlight w:val="white"/>
          <w:lang w:val="en-GB"/>
        </w:rPr>
      </w:pPr>
      <w:bookmarkStart w:id="0" w:name="_Toc109549718"/>
      <w:r>
        <w:rPr>
          <w:highlight w:val="white"/>
          <w:lang w:val="en-GB"/>
        </w:rPr>
        <w:br w:type="page"/>
      </w:r>
    </w:p>
    <w:p>
      <w:pPr>
        <w:pStyle w:val="2"/>
        <w:rPr>
          <w:b w:val="0"/>
          <w:highlight w:val="white"/>
          <w:lang w:val="en-GB"/>
        </w:rPr>
      </w:pPr>
      <w:r>
        <w:rPr>
          <w:highlight w:val="white"/>
          <w:lang w:val="en-GB"/>
        </w:rPr>
        <w:t>1. Introduction</w:t>
      </w:r>
      <w:bookmarkEnd w:id="0"/>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A business plan for </w:t>
      </w:r>
      <w:r>
        <w:rPr>
          <w:rFonts w:ascii="Times New Roman" w:hAnsi="Times New Roman" w:eastAsia="Times New Roman" w:cs="Times New Roman"/>
          <w:b/>
          <w:i/>
          <w:sz w:val="24"/>
          <w:szCs w:val="24"/>
          <w:highlight w:val="white"/>
          <w:lang w:val="en-GB"/>
        </w:rPr>
        <w:t>Nutri-Soda</w:t>
      </w:r>
      <w:r>
        <w:rPr>
          <w:rFonts w:ascii="Times New Roman" w:hAnsi="Times New Roman" w:eastAsia="Times New Roman" w:cs="Times New Roman"/>
          <w:sz w:val="24"/>
          <w:szCs w:val="24"/>
          <w:highlight w:val="white"/>
          <w:lang w:val="en-GB"/>
        </w:rPr>
        <w:t xml:space="preserve"> start-up is established which has a social and commercial impact. This business is a soft-drinks start-up that contains less added sugar and is also useful for health. It is made from pure fruits with adding proper composition of ingredients. This study deals with the business description of a Nutri-soda start-up that can gain deep technical knowledge in relevant industries. Further, business concepts have been used to maintain proper industry analysis that can result in development with realistic and improved methods. Marketing plans and financial plans have also been discussed for maintaining sustainability of this business. </w:t>
      </w:r>
    </w:p>
    <w:p>
      <w:pPr>
        <w:pStyle w:val="2"/>
        <w:rPr>
          <w:highlight w:val="white"/>
          <w:lang w:val="en-GB"/>
        </w:rPr>
      </w:pPr>
      <w:bookmarkStart w:id="1" w:name="_Toc109549719"/>
      <w:r>
        <w:rPr>
          <w:highlight w:val="white"/>
          <w:lang w:val="en-GB"/>
        </w:rPr>
        <w:t>2. Business description</w:t>
      </w:r>
      <w:bookmarkEnd w:id="1"/>
      <w:r>
        <w:rPr>
          <w:highlight w:val="white"/>
          <w:lang w:val="en-GB"/>
        </w:rPr>
        <w:t xml:space="preserve">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Mission statement: “To provide optimal hydration with all possible nutrients”</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b/>
          <w:i/>
          <w:sz w:val="24"/>
          <w:szCs w:val="24"/>
          <w:highlight w:val="white"/>
          <w:lang w:val="en-GB"/>
        </w:rPr>
        <w:t xml:space="preserve">Nutri-Soda </w:t>
      </w:r>
      <w:r>
        <w:rPr>
          <w:rFonts w:ascii="Times New Roman" w:hAnsi="Times New Roman" w:eastAsia="Times New Roman" w:cs="Times New Roman"/>
          <w:sz w:val="24"/>
          <w:szCs w:val="24"/>
          <w:highlight w:val="white"/>
          <w:lang w:val="en-GB"/>
        </w:rPr>
        <w:t xml:space="preserve">contributes to an enjoyable diet and healthy drinks that are added with water with fluid requirements. This also contains nutrients for growth, good health and energy. Special beverages have also been added with the combination of </w:t>
      </w:r>
      <w:r>
        <w:rPr>
          <w:rFonts w:ascii="Times New Roman" w:hAnsi="Times New Roman" w:eastAsia="Times New Roman" w:cs="Times New Roman"/>
          <w:b/>
          <w:i/>
          <w:sz w:val="24"/>
          <w:szCs w:val="24"/>
          <w:highlight w:val="white"/>
          <w:lang w:val="en-GB"/>
        </w:rPr>
        <w:t>carbohydrates, vitamins, water, proteins and minerals</w:t>
      </w:r>
      <w:r>
        <w:rPr>
          <w:rFonts w:ascii="Times New Roman" w:hAnsi="Times New Roman" w:eastAsia="Times New Roman" w:cs="Times New Roman"/>
          <w:sz w:val="24"/>
          <w:szCs w:val="24"/>
          <w:highlight w:val="white"/>
          <w:lang w:val="en-GB"/>
        </w:rPr>
        <w:t>. Further, “</w:t>
      </w:r>
      <w:r>
        <w:rPr>
          <w:rFonts w:ascii="Times New Roman" w:hAnsi="Times New Roman" w:eastAsia="Times New Roman" w:cs="Times New Roman"/>
          <w:b/>
          <w:i/>
          <w:sz w:val="24"/>
          <w:szCs w:val="24"/>
          <w:highlight w:val="white"/>
          <w:lang w:val="en-GB"/>
        </w:rPr>
        <w:t>FDA (Food and Drug Administration)</w:t>
      </w:r>
      <w:r>
        <w:rPr>
          <w:rFonts w:ascii="Times New Roman" w:hAnsi="Times New Roman" w:eastAsia="Times New Roman" w:cs="Times New Roman"/>
          <w:sz w:val="24"/>
          <w:szCs w:val="24"/>
          <w:highlight w:val="white"/>
          <w:lang w:val="en-GB"/>
        </w:rPr>
        <w:t xml:space="preserve">” stated that benzene contained in soda has been tested that can result in consideration with an alarm. Several companies ignore this particular test to monitor the level of benzene. This test is done at the initial stage and further safety is maintained for these soft drinks. A single can of Nutri-Soda contains </w:t>
      </w:r>
      <w:r>
        <w:rPr>
          <w:rFonts w:ascii="Times New Roman" w:hAnsi="Times New Roman" w:eastAsia="Times New Roman" w:cs="Times New Roman"/>
          <w:b/>
          <w:i/>
          <w:sz w:val="24"/>
          <w:szCs w:val="24"/>
          <w:highlight w:val="white"/>
          <w:lang w:val="en-GB"/>
        </w:rPr>
        <w:t>35 g of carbs, 35 mg of sodium and 139 calories</w:t>
      </w:r>
      <w:r>
        <w:rPr>
          <w:rFonts w:ascii="Times New Roman" w:hAnsi="Times New Roman" w:eastAsia="Times New Roman" w:cs="Times New Roman"/>
          <w:sz w:val="24"/>
          <w:szCs w:val="24"/>
          <w:highlight w:val="white"/>
          <w:lang w:val="en-GB"/>
        </w:rPr>
        <w:t xml:space="preserve"> which results in better healthiness than its competitors. This can attract more consumers of various ages (</w:t>
      </w:r>
      <w:r>
        <w:rPr>
          <w:rFonts w:ascii="Times New Roman" w:hAnsi="Times New Roman" w:cs="Times New Roman"/>
          <w:sz w:val="24"/>
        </w:rPr>
        <w:t xml:space="preserve">Pell </w:t>
      </w:r>
      <w:r>
        <w:rPr>
          <w:rFonts w:ascii="Times New Roman" w:hAnsi="Times New Roman" w:cs="Times New Roman"/>
          <w:i/>
          <w:sz w:val="24"/>
        </w:rPr>
        <w:t>et al</w:t>
      </w:r>
      <w:r>
        <w:rPr>
          <w:rFonts w:ascii="Times New Roman" w:hAnsi="Times New Roman" w:cs="Times New Roman"/>
          <w:sz w:val="24"/>
        </w:rPr>
        <w:t>. 2021</w:t>
      </w:r>
      <w:r>
        <w:rPr>
          <w:rFonts w:ascii="Times New Roman" w:hAnsi="Times New Roman" w:eastAsia="Times New Roman" w:cs="Times New Roman"/>
          <w:sz w:val="24"/>
          <w:szCs w:val="24"/>
          <w:highlight w:val="white"/>
          <w:lang w:val="en-GB"/>
        </w:rPr>
        <w:t xml:space="preserve">).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b/>
          <w:i/>
          <w:sz w:val="24"/>
          <w:szCs w:val="24"/>
          <w:highlight w:val="white"/>
          <w:lang w:val="en-GB"/>
        </w:rPr>
        <w:t>Trade secrets</w:t>
      </w:r>
      <w:r>
        <w:rPr>
          <w:rFonts w:ascii="Times New Roman" w:hAnsi="Times New Roman" w:eastAsia="Times New Roman" w:cs="Times New Roman"/>
          <w:sz w:val="24"/>
          <w:szCs w:val="24"/>
          <w:highlight w:val="white"/>
          <w:lang w:val="en-GB"/>
        </w:rPr>
        <w:t xml:space="preserve"> give an idea about a company's legitimate production that can result in a manufacturing process with reverse engineered products production (</w:t>
      </w:r>
      <w:r>
        <w:rPr>
          <w:rFonts w:ascii="Times New Roman" w:hAnsi="Times New Roman" w:cs="Times New Roman"/>
          <w:sz w:val="24"/>
        </w:rPr>
        <w:t xml:space="preserve">Scarborough </w:t>
      </w:r>
      <w:r>
        <w:rPr>
          <w:rFonts w:ascii="Times New Roman" w:hAnsi="Times New Roman" w:cs="Times New Roman"/>
          <w:i/>
          <w:sz w:val="24"/>
        </w:rPr>
        <w:t xml:space="preserve">et al. </w:t>
      </w:r>
      <w:r>
        <w:rPr>
          <w:rFonts w:ascii="Times New Roman" w:hAnsi="Times New Roman" w:cs="Times New Roman"/>
          <w:sz w:val="24"/>
        </w:rPr>
        <w:t>2020</w:t>
      </w:r>
      <w:r>
        <w:rPr>
          <w:rFonts w:ascii="Times New Roman" w:hAnsi="Times New Roman" w:eastAsia="Times New Roman" w:cs="Times New Roman"/>
          <w:sz w:val="24"/>
          <w:szCs w:val="24"/>
          <w:highlight w:val="white"/>
          <w:lang w:val="en-GB"/>
        </w:rPr>
        <w:t xml:space="preserve">). In addition, changing consumer trends also result in increasing alcohol-free drinks and vegetarianism with healthier versions of comforts with maintaining new government policies and also requirements of all general requirements. </w:t>
      </w:r>
      <w:r>
        <w:rPr>
          <w:rFonts w:ascii="Times New Roman" w:hAnsi="Times New Roman" w:eastAsia="Times New Roman" w:cs="Times New Roman"/>
          <w:b/>
          <w:i/>
          <w:sz w:val="24"/>
          <w:szCs w:val="24"/>
          <w:highlight w:val="white"/>
          <w:lang w:val="en-GB"/>
        </w:rPr>
        <w:t>Patents</w:t>
      </w:r>
      <w:r>
        <w:rPr>
          <w:rFonts w:ascii="Times New Roman" w:hAnsi="Times New Roman" w:eastAsia="Times New Roman" w:cs="Times New Roman"/>
          <w:sz w:val="24"/>
          <w:szCs w:val="24"/>
          <w:highlight w:val="white"/>
          <w:lang w:val="en-GB"/>
        </w:rPr>
        <w:t xml:space="preserve"> also consider protection with all possible derivatives with a manufacturing process that can be considered for drink products with all general composition in a determined analysis with end products (</w:t>
      </w:r>
      <w:r>
        <w:rPr>
          <w:rFonts w:ascii="Times New Roman" w:hAnsi="Times New Roman" w:cs="Times New Roman"/>
          <w:sz w:val="24"/>
        </w:rPr>
        <w:t xml:space="preserve">Hilton </w:t>
      </w:r>
      <w:r>
        <w:rPr>
          <w:rFonts w:ascii="Times New Roman" w:hAnsi="Times New Roman" w:cs="Times New Roman"/>
          <w:i/>
          <w:sz w:val="24"/>
        </w:rPr>
        <w:t xml:space="preserve">et al. </w:t>
      </w:r>
      <w:r>
        <w:rPr>
          <w:rFonts w:ascii="Times New Roman" w:hAnsi="Times New Roman" w:cs="Times New Roman"/>
          <w:sz w:val="24"/>
        </w:rPr>
        <w:t>2019</w:t>
      </w:r>
      <w:r>
        <w:rPr>
          <w:rFonts w:ascii="Times New Roman" w:hAnsi="Times New Roman" w:eastAsia="Times New Roman" w:cs="Times New Roman"/>
          <w:sz w:val="24"/>
          <w:szCs w:val="24"/>
          <w:highlight w:val="white"/>
          <w:lang w:val="en-GB"/>
        </w:rPr>
        <w:t xml:space="preserve">). The delivery of products will be done based on an online and offline system. Further, marketing will be done by considering social media campaigns.  </w:t>
      </w:r>
    </w:p>
    <w:p>
      <w:pPr>
        <w:pStyle w:val="2"/>
        <w:rPr>
          <w:highlight w:val="white"/>
          <w:lang w:val="en-GB"/>
        </w:rPr>
      </w:pPr>
      <w:bookmarkStart w:id="2" w:name="_Toc109549720"/>
      <w:r>
        <w:rPr>
          <w:highlight w:val="white"/>
          <w:lang w:val="en-GB"/>
        </w:rPr>
        <w:t>3. Industry Analysis</w:t>
      </w:r>
      <w:bookmarkEnd w:id="2"/>
      <w:r>
        <w:rPr>
          <w:highlight w:val="white"/>
          <w:lang w:val="en-GB"/>
        </w:rPr>
        <w:t xml:space="preserve">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Threat of New Entrants: </w:t>
      </w:r>
      <w:r>
        <w:rPr>
          <w:rFonts w:ascii="Times New Roman" w:hAnsi="Times New Roman" w:eastAsia="Times New Roman" w:cs="Times New Roman"/>
          <w:sz w:val="24"/>
          <w:szCs w:val="24"/>
          <w:highlight w:val="white"/>
          <w:lang w:val="en-GB"/>
        </w:rPr>
        <w:t>FDA approval must be done to sell the products; this also results in insurance with potential lawsuits with greater accidents with better distribution in international market (</w:t>
      </w:r>
      <w:r>
        <w:rPr>
          <w:rFonts w:ascii="Times New Roman" w:hAnsi="Times New Roman" w:cs="Times New Roman"/>
          <w:sz w:val="24"/>
        </w:rPr>
        <w:t xml:space="preserve">Law </w:t>
      </w:r>
      <w:r>
        <w:rPr>
          <w:rFonts w:ascii="Times New Roman" w:hAnsi="Times New Roman" w:cs="Times New Roman"/>
          <w:i/>
          <w:sz w:val="24"/>
        </w:rPr>
        <w:t xml:space="preserve">et al. </w:t>
      </w:r>
      <w:r>
        <w:rPr>
          <w:rFonts w:ascii="Times New Roman" w:hAnsi="Times New Roman" w:cs="Times New Roman"/>
          <w:sz w:val="24"/>
        </w:rPr>
        <w:t>2020</w:t>
      </w:r>
      <w:r>
        <w:rPr>
          <w:rFonts w:ascii="Times New Roman" w:hAnsi="Times New Roman" w:eastAsia="Times New Roman" w:cs="Times New Roman"/>
          <w:sz w:val="24"/>
          <w:szCs w:val="24"/>
          <w:highlight w:val="white"/>
          <w:lang w:val="en-GB"/>
        </w:rPr>
        <w:t xml:space="preserve">). An oligopoly industry is also considered for having a strong distribution with different channels that can have relationships with brand values and industry leaders.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Bargaining Power of Suppliers: </w:t>
      </w:r>
      <w:r>
        <w:rPr>
          <w:rFonts w:ascii="Times New Roman" w:hAnsi="Times New Roman" w:eastAsia="Times New Roman" w:cs="Times New Roman"/>
          <w:sz w:val="24"/>
          <w:szCs w:val="24"/>
          <w:highlight w:val="white"/>
          <w:lang w:val="en-GB"/>
        </w:rPr>
        <w:t xml:space="preserve">suppliers for soft drinks companies do not have much competitive force. Secondary packaging system provides same goods for packaging, whereas in this case packaging goods will be prepared from </w:t>
      </w:r>
      <w:r>
        <w:rPr>
          <w:rFonts w:ascii="Times New Roman" w:hAnsi="Times New Roman" w:eastAsia="Times New Roman" w:cs="Times New Roman"/>
          <w:b/>
          <w:i/>
          <w:sz w:val="24"/>
          <w:szCs w:val="24"/>
          <w:highlight w:val="white"/>
          <w:lang w:val="en-GB"/>
        </w:rPr>
        <w:t>biodegradable material</w:t>
      </w:r>
      <w:r>
        <w:rPr>
          <w:rFonts w:ascii="Times New Roman" w:hAnsi="Times New Roman" w:eastAsia="Times New Roman" w:cs="Times New Roman"/>
          <w:sz w:val="24"/>
          <w:szCs w:val="24"/>
          <w:highlight w:val="white"/>
          <w:lang w:val="en-GB"/>
        </w:rPr>
        <w:t xml:space="preserve"> that will not create any harm to the environment (</w:t>
      </w:r>
      <w:r>
        <w:rPr>
          <w:rFonts w:ascii="Times New Roman" w:hAnsi="Times New Roman" w:cs="Times New Roman"/>
          <w:sz w:val="24"/>
        </w:rPr>
        <w:t xml:space="preserve">Pell </w:t>
      </w:r>
      <w:r>
        <w:rPr>
          <w:rFonts w:ascii="Times New Roman" w:hAnsi="Times New Roman" w:cs="Times New Roman"/>
          <w:i/>
          <w:sz w:val="24"/>
        </w:rPr>
        <w:t xml:space="preserve">et al. </w:t>
      </w:r>
      <w:r>
        <w:rPr>
          <w:rFonts w:ascii="Times New Roman" w:hAnsi="Times New Roman" w:cs="Times New Roman"/>
          <w:sz w:val="24"/>
        </w:rPr>
        <w:t>2020</w:t>
      </w:r>
      <w:r>
        <w:rPr>
          <w:rFonts w:ascii="Times New Roman" w:hAnsi="Times New Roman" w:eastAsia="Times New Roman" w:cs="Times New Roman"/>
          <w:sz w:val="24"/>
          <w:szCs w:val="24"/>
          <w:highlight w:val="white"/>
          <w:lang w:val="en-GB"/>
        </w:rPr>
        <w:t>). Potential and current suppliers also result in succeeding in an industry that can consider for delivery of enormously profitable markets.</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Threat of Substitute Products: </w:t>
      </w:r>
      <w:r>
        <w:rPr>
          <w:rFonts w:ascii="Times New Roman" w:hAnsi="Times New Roman" w:eastAsia="Times New Roman" w:cs="Times New Roman"/>
          <w:sz w:val="24"/>
          <w:szCs w:val="24"/>
          <w:highlight w:val="white"/>
          <w:lang w:val="en-GB"/>
        </w:rPr>
        <w:t>Cost switching is the major cause of these threats in soft industry. Consumers are not interested in substitutes with brand names in order to build loyalty with very strong competitive pressure in industry (</w:t>
      </w:r>
      <w:r>
        <w:rPr>
          <w:rFonts w:ascii="Times New Roman" w:hAnsi="Times New Roman" w:cs="Times New Roman"/>
          <w:sz w:val="24"/>
        </w:rPr>
        <w:t xml:space="preserve">Bandy </w:t>
      </w:r>
      <w:r>
        <w:rPr>
          <w:rFonts w:ascii="Times New Roman" w:hAnsi="Times New Roman" w:cs="Times New Roman"/>
          <w:i/>
          <w:sz w:val="24"/>
        </w:rPr>
        <w:t>et al</w:t>
      </w:r>
      <w:r>
        <w:rPr>
          <w:rFonts w:ascii="Times New Roman" w:hAnsi="Times New Roman" w:cs="Times New Roman"/>
          <w:sz w:val="24"/>
        </w:rPr>
        <w:t>. 2020</w:t>
      </w:r>
      <w:r>
        <w:rPr>
          <w:rFonts w:ascii="Times New Roman" w:hAnsi="Times New Roman" w:eastAsia="Times New Roman" w:cs="Times New Roman"/>
          <w:sz w:val="24"/>
          <w:szCs w:val="24"/>
          <w:highlight w:val="white"/>
          <w:lang w:val="en-GB"/>
        </w:rPr>
        <w:t xml:space="preserve">). This can also result in switching substitutes with consumers for non-carbonated beverages.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Bargaining Power of Buyers: </w:t>
      </w:r>
      <w:r>
        <w:rPr>
          <w:rFonts w:ascii="Times New Roman" w:hAnsi="Times New Roman" w:eastAsia="Times New Roman" w:cs="Times New Roman"/>
          <w:sz w:val="24"/>
          <w:szCs w:val="24"/>
          <w:highlight w:val="white"/>
          <w:lang w:val="en-GB"/>
        </w:rPr>
        <w:t>Soft drink market is considered the largest group in beverage industry. Soft drinks are worth US 60 billion dollars with plenty hard to gain market share. 86% of soft drinks sales have been found in UK from four firms (</w:t>
      </w:r>
      <w:r>
        <w:rPr>
          <w:rFonts w:ascii="Times New Roman" w:hAnsi="Times New Roman" w:cs="Times New Roman"/>
          <w:sz w:val="24"/>
        </w:rPr>
        <w:t xml:space="preserve">Taifa </w:t>
      </w:r>
      <w:r>
        <w:rPr>
          <w:rFonts w:ascii="Times New Roman" w:hAnsi="Times New Roman" w:cs="Times New Roman"/>
          <w:i/>
          <w:sz w:val="24"/>
        </w:rPr>
        <w:t xml:space="preserve">et al. </w:t>
      </w:r>
      <w:r>
        <w:rPr>
          <w:rFonts w:ascii="Times New Roman" w:hAnsi="Times New Roman" w:cs="Times New Roman"/>
          <w:sz w:val="24"/>
        </w:rPr>
        <w:t>2021</w:t>
      </w:r>
      <w:r>
        <w:rPr>
          <w:rFonts w:ascii="Times New Roman" w:hAnsi="Times New Roman" w:eastAsia="Times New Roman" w:cs="Times New Roman"/>
          <w:sz w:val="24"/>
          <w:szCs w:val="24"/>
          <w:highlight w:val="white"/>
          <w:lang w:val="en-GB"/>
        </w:rPr>
        <w:t xml:space="preserve">). The competitive market is high for soft drinks thus switching buyers is relatively easy and this can be done by lowering the cost of drinks per can.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Competitive Rivalry: </w:t>
      </w:r>
      <w:r>
        <w:rPr>
          <w:rFonts w:ascii="Times New Roman" w:hAnsi="Times New Roman" w:eastAsia="Times New Roman" w:cs="Times New Roman"/>
          <w:sz w:val="24"/>
          <w:szCs w:val="24"/>
          <w:highlight w:val="white"/>
          <w:lang w:val="en-GB"/>
        </w:rPr>
        <w:t>industry does not consider overcapacity at every moment. This can also result in brand loyalty and customer recognition with a fixed cost for general analysis. This also considers all general analyses that can be accessed with a fixed cost of advertisement in binding contracts for a general set of distributions (</w:t>
      </w:r>
      <w:r>
        <w:rPr>
          <w:rFonts w:ascii="Times New Roman" w:hAnsi="Times New Roman" w:cs="Times New Roman"/>
          <w:sz w:val="24"/>
        </w:rPr>
        <w:t xml:space="preserve">Hilton </w:t>
      </w:r>
      <w:r>
        <w:rPr>
          <w:rFonts w:ascii="Times New Roman" w:hAnsi="Times New Roman" w:cs="Times New Roman"/>
          <w:i/>
          <w:sz w:val="24"/>
        </w:rPr>
        <w:t>et al.</w:t>
      </w:r>
      <w:r>
        <w:rPr>
          <w:rFonts w:ascii="Times New Roman" w:hAnsi="Times New Roman" w:cs="Times New Roman"/>
          <w:sz w:val="24"/>
        </w:rPr>
        <w:t xml:space="preserve"> 2020</w:t>
      </w:r>
      <w:r>
        <w:rPr>
          <w:rFonts w:ascii="Times New Roman" w:hAnsi="Times New Roman" w:eastAsia="Times New Roman" w:cs="Times New Roman"/>
          <w:sz w:val="24"/>
          <w:szCs w:val="24"/>
          <w:highlight w:val="white"/>
          <w:lang w:val="en-GB"/>
        </w:rPr>
        <w:t xml:space="preserve">). Consumers do not go with a high cost of switching with one industry that can result in fluctuation with all prices in the industry for general analysis among firms. </w:t>
      </w:r>
    </w:p>
    <w:p>
      <w:pPr>
        <w:pStyle w:val="2"/>
        <w:rPr>
          <w:highlight w:val="white"/>
          <w:lang w:val="en-GB"/>
        </w:rPr>
      </w:pPr>
      <w:bookmarkStart w:id="3" w:name="_Toc109549721"/>
      <w:r>
        <w:rPr>
          <w:highlight w:val="white"/>
          <w:lang w:val="en-GB"/>
        </w:rPr>
        <w:t>4. Operational and management Team plan</w:t>
      </w:r>
      <w:bookmarkEnd w:id="3"/>
      <w:r>
        <w:rPr>
          <w:highlight w:val="white"/>
          <w:lang w:val="en-GB"/>
        </w:rPr>
        <w:t xml:space="preserve">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The location of establishing the business will be situated in front of a University that can attract university students, parents and professors. Further, a well-established facility will also be provided by the start-up business. It will be sufficient enough to park the car of a customer in front of the shop. The shop will be open 24 hours, anyone belonging to the age group 15 to 45 years can engage in this shop. Both online and offline services will be provided to consumers this can increase the market opportunity by double. Standard operating products will be given to every consumer. </w:t>
      </w:r>
      <w:r>
        <w:rPr>
          <w:rFonts w:ascii="Times New Roman" w:hAnsi="Times New Roman" w:eastAsia="Times New Roman" w:cs="Times New Roman"/>
          <w:b/>
          <w:i/>
          <w:sz w:val="24"/>
          <w:szCs w:val="24"/>
          <w:highlight w:val="white"/>
          <w:lang w:val="en-GB"/>
        </w:rPr>
        <w:t>A transformational business strategy</w:t>
      </w:r>
      <w:r>
        <w:rPr>
          <w:rFonts w:ascii="Times New Roman" w:hAnsi="Times New Roman" w:eastAsia="Times New Roman" w:cs="Times New Roman"/>
          <w:sz w:val="24"/>
          <w:szCs w:val="24"/>
          <w:highlight w:val="white"/>
          <w:lang w:val="en-GB"/>
        </w:rPr>
        <w:t xml:space="preserve"> will be adopted for establishing this start-up business (</w:t>
      </w:r>
      <w:r>
        <w:rPr>
          <w:rFonts w:ascii="Times New Roman" w:hAnsi="Times New Roman" w:cs="Times New Roman"/>
          <w:sz w:val="24"/>
        </w:rPr>
        <w:t>Tahmassebi, and BaniHani, 2020</w:t>
      </w:r>
      <w:r>
        <w:rPr>
          <w:rFonts w:ascii="Times New Roman" w:hAnsi="Times New Roman" w:eastAsia="Times New Roman" w:cs="Times New Roman"/>
          <w:sz w:val="24"/>
          <w:szCs w:val="24"/>
          <w:highlight w:val="white"/>
          <w:lang w:val="en-GB"/>
        </w:rPr>
        <w:t xml:space="preserve">). This allows ensuring big changes for long-term success with an organisation in existing services and overall business. </w:t>
      </w:r>
    </w:p>
    <w:p>
      <w:pPr>
        <w:pStyle w:val="3"/>
        <w:spacing w:line="360" w:lineRule="auto"/>
        <w:jc w:val="center"/>
        <w:rPr>
          <w:b/>
          <w:color w:val="202124"/>
          <w:sz w:val="24"/>
          <w:szCs w:val="24"/>
          <w:highlight w:val="white"/>
          <w:lang w:val="en-GB"/>
        </w:rPr>
      </w:pPr>
      <w:r>
        <w:rPr>
          <w:b/>
          <w:color w:val="202124"/>
          <w:sz w:val="24"/>
          <w:szCs w:val="24"/>
          <w:highlight w:val="white"/>
        </w:rPr>
        <w:drawing>
          <wp:inline distT="114300" distB="114300" distL="114300" distR="114300">
            <wp:extent cx="5591175" cy="32289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5"/>
                    <a:srcRect l="737" t="4466" r="2716" b="5371"/>
                    <a:stretch>
                      <a:fillRect/>
                    </a:stretch>
                  </pic:blipFill>
                  <pic:spPr>
                    <a:xfrm>
                      <a:off x="0" y="0"/>
                      <a:ext cx="5591175" cy="3228975"/>
                    </a:xfrm>
                    <a:prstGeom prst="rect">
                      <a:avLst/>
                    </a:prstGeom>
                    <a:ln w="254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Figure 1: Transformational business strategy</w:t>
      </w:r>
    </w:p>
    <w:p>
      <w:pPr>
        <w:pStyle w:val="3"/>
        <w:spacing w:line="360" w:lineRule="auto"/>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(Source: </w:t>
      </w:r>
      <w:r>
        <w:rPr>
          <w:rFonts w:ascii="Times New Roman" w:hAnsi="Times New Roman" w:cs="Times New Roman"/>
          <w:sz w:val="24"/>
        </w:rPr>
        <w:t xml:space="preserve">Gillison </w:t>
      </w:r>
      <w:r>
        <w:rPr>
          <w:rFonts w:ascii="Times New Roman" w:hAnsi="Times New Roman" w:cs="Times New Roman"/>
          <w:i/>
          <w:sz w:val="24"/>
        </w:rPr>
        <w:t>et al.</w:t>
      </w:r>
      <w:r>
        <w:rPr>
          <w:rFonts w:ascii="Times New Roman" w:hAnsi="Times New Roman" w:eastAsia="Times New Roman" w:cs="Times New Roman"/>
          <w:sz w:val="24"/>
          <w:szCs w:val="24"/>
          <w:highlight w:val="white"/>
          <w:lang w:val="en-GB"/>
        </w:rPr>
        <w:t xml:space="preserve"> 2020)</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Coordinated management can also result in accessing altered business process policies for implementation by sponsors. This also develops for effective transformation involving pursuing a fundamental purpose with core values and reconciling with current needs with key stakeholders. 132 senior executives will be appointed and also consider with 80% in explored with general transformations with all resulted from 94% of business with dealing a priority with an organisation. 82% of leading and delivering steps for highest priority with delivering step change process (</w:t>
      </w:r>
      <w:r>
        <w:rPr>
          <w:rFonts w:ascii="Times New Roman" w:hAnsi="Times New Roman" w:cs="Times New Roman"/>
          <w:sz w:val="24"/>
        </w:rPr>
        <w:t xml:space="preserve">Gillison </w:t>
      </w:r>
      <w:r>
        <w:rPr>
          <w:rFonts w:ascii="Times New Roman" w:hAnsi="Times New Roman" w:cs="Times New Roman"/>
          <w:i/>
          <w:sz w:val="24"/>
        </w:rPr>
        <w:t>et al.</w:t>
      </w:r>
      <w:r>
        <w:rPr>
          <w:rFonts w:ascii="Times New Roman" w:hAnsi="Times New Roman" w:eastAsia="Times New Roman" w:cs="Times New Roman"/>
          <w:sz w:val="24"/>
          <w:szCs w:val="24"/>
          <w:highlight w:val="white"/>
          <w:lang w:val="en-GB"/>
        </w:rPr>
        <w:t xml:space="preserve"> 2020). Removing an organisational structure for a digital transformation with integration with new technology can result in a wider process for accessing a better business strategy. Leadership team also considers changing current organisations with working methods that can be considered for business with new strategic change.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A disruption business environment with current executive team alone can be considered a generally unrealistic change for accomplishing with business leaders. This can also consider the adaptation of 42% of business leaders currently delivering an internal capability with general business transformation (</w:t>
      </w:r>
      <w:r>
        <w:rPr>
          <w:rFonts w:ascii="Times New Roman" w:hAnsi="Times New Roman" w:cs="Times New Roman"/>
          <w:sz w:val="24"/>
        </w:rPr>
        <w:t>Sattarova and Alieva, 2022</w:t>
      </w:r>
      <w:r>
        <w:rPr>
          <w:rFonts w:ascii="Times New Roman" w:hAnsi="Times New Roman" w:eastAsia="Times New Roman" w:cs="Times New Roman"/>
          <w:sz w:val="24"/>
          <w:szCs w:val="24"/>
          <w:highlight w:val="white"/>
          <w:lang w:val="en-GB"/>
        </w:rPr>
        <w:t xml:space="preserve">). Team management also develops for re-evaluation with a general implementation plan in accessing regular appropriate plans. This can also be considered for accounting for an HR system that results in maintaining the job profile of all employees. A proper </w:t>
      </w:r>
      <w:r>
        <w:rPr>
          <w:rFonts w:ascii="Times New Roman" w:hAnsi="Times New Roman" w:eastAsia="Times New Roman" w:cs="Times New Roman"/>
          <w:b/>
          <w:i/>
          <w:sz w:val="24"/>
          <w:szCs w:val="24"/>
          <w:highlight w:val="white"/>
          <w:lang w:val="en-GB"/>
        </w:rPr>
        <w:t xml:space="preserve">training session </w:t>
      </w:r>
      <w:r>
        <w:rPr>
          <w:rFonts w:ascii="Times New Roman" w:hAnsi="Times New Roman" w:eastAsia="Times New Roman" w:cs="Times New Roman"/>
          <w:sz w:val="24"/>
          <w:szCs w:val="24"/>
          <w:highlight w:val="white"/>
          <w:lang w:val="en-GB"/>
        </w:rPr>
        <w:t xml:space="preserve">will be given to all employees so that they can perform well before working in business. This training session will be helpful for all employees; failing to attain this training employee deduction will be carried out. </w:t>
      </w:r>
      <w:r>
        <w:rPr>
          <w:rFonts w:ascii="Times New Roman" w:hAnsi="Times New Roman" w:eastAsia="Times New Roman" w:cs="Times New Roman"/>
          <w:b/>
          <w:i/>
          <w:sz w:val="24"/>
          <w:szCs w:val="24"/>
          <w:highlight w:val="white"/>
          <w:lang w:val="en-GB"/>
        </w:rPr>
        <w:t>Skilled and efficient employees</w:t>
      </w:r>
      <w:r>
        <w:rPr>
          <w:rFonts w:ascii="Times New Roman" w:hAnsi="Times New Roman" w:eastAsia="Times New Roman" w:cs="Times New Roman"/>
          <w:sz w:val="24"/>
          <w:szCs w:val="24"/>
          <w:highlight w:val="white"/>
          <w:lang w:val="en-GB"/>
        </w:rPr>
        <w:t xml:space="preserve"> will be chosen for engaging in business (</w:t>
      </w:r>
      <w:r>
        <w:rPr>
          <w:rFonts w:ascii="Times New Roman" w:hAnsi="Times New Roman" w:cs="Times New Roman"/>
          <w:sz w:val="24"/>
        </w:rPr>
        <w:t xml:space="preserve">Idris </w:t>
      </w:r>
      <w:r>
        <w:rPr>
          <w:rFonts w:ascii="Times New Roman" w:hAnsi="Times New Roman" w:cs="Times New Roman"/>
          <w:i/>
          <w:sz w:val="24"/>
        </w:rPr>
        <w:t>et al</w:t>
      </w:r>
      <w:r>
        <w:rPr>
          <w:rFonts w:ascii="Times New Roman" w:hAnsi="Times New Roman" w:cs="Times New Roman"/>
          <w:sz w:val="24"/>
        </w:rPr>
        <w:t>. 2019</w:t>
      </w:r>
      <w:r>
        <w:rPr>
          <w:rFonts w:ascii="Times New Roman" w:hAnsi="Times New Roman" w:eastAsia="Times New Roman" w:cs="Times New Roman"/>
          <w:sz w:val="24"/>
          <w:szCs w:val="24"/>
          <w:highlight w:val="white"/>
          <w:lang w:val="en-GB"/>
        </w:rPr>
        <w:t xml:space="preserve">). Technological advancement of all general processes can also result in consideration of a wide maintenance policy that can access major changes with a possible hiring agenda. </w:t>
      </w:r>
    </w:p>
    <w:p>
      <w:pPr>
        <w:pStyle w:val="2"/>
        <w:rPr>
          <w:highlight w:val="white"/>
          <w:lang w:val="en-GB"/>
        </w:rPr>
      </w:pPr>
      <w:bookmarkStart w:id="4" w:name="_Toc109549722"/>
      <w:r>
        <w:rPr>
          <w:highlight w:val="white"/>
          <w:lang w:val="en-GB"/>
        </w:rPr>
        <w:t>5. Marketing Plan</w:t>
      </w:r>
      <w:bookmarkEnd w:id="4"/>
      <w:r>
        <w:rPr>
          <w:highlight w:val="white"/>
          <w:lang w:val="en-GB"/>
        </w:rPr>
        <w:t xml:space="preserve">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b/>
          <w:i/>
          <w:sz w:val="24"/>
          <w:szCs w:val="24"/>
          <w:highlight w:val="white"/>
          <w:lang w:val="en-GB"/>
        </w:rPr>
        <w:t xml:space="preserve">Price: </w:t>
      </w:r>
      <w:r>
        <w:rPr>
          <w:rFonts w:ascii="Times New Roman" w:hAnsi="Times New Roman" w:eastAsia="Times New Roman" w:cs="Times New Roman"/>
          <w:sz w:val="24"/>
          <w:szCs w:val="24"/>
          <w:highlight w:val="white"/>
          <w:lang w:val="en-GB"/>
        </w:rPr>
        <w:t xml:space="preserve">the price of Nutri-Soda is maintained at €5 per 500 mL bottle, €10 per 700 mL bottle and 1 L bottle price ranges €20. The price is assumed at a considerable rate so that all people can find it affordable to buy.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b/>
          <w:i/>
          <w:sz w:val="24"/>
          <w:szCs w:val="24"/>
          <w:highlight w:val="white"/>
          <w:lang w:val="en-GB"/>
        </w:rPr>
        <w:t xml:space="preserve">Promotion: </w:t>
      </w:r>
      <w:r>
        <w:rPr>
          <w:rFonts w:ascii="Times New Roman" w:hAnsi="Times New Roman" w:eastAsia="Times New Roman" w:cs="Times New Roman"/>
          <w:sz w:val="24"/>
          <w:szCs w:val="24"/>
          <w:highlight w:val="white"/>
          <w:lang w:val="en-GB"/>
        </w:rPr>
        <w:t xml:space="preserve">Social media promotion strategy will be useful for attracting a wide number of consumers. This can further increase customer service with satisfaction. Further, an online community also results in an authentic source for adaptation of increased revenue with commerce. Social media promotion can result in </w:t>
      </w:r>
      <w:r>
        <w:rPr>
          <w:rFonts w:ascii="Times New Roman" w:hAnsi="Times New Roman" w:eastAsia="Times New Roman" w:cs="Times New Roman"/>
          <w:b/>
          <w:i/>
          <w:sz w:val="24"/>
          <w:szCs w:val="24"/>
          <w:highlight w:val="white"/>
          <w:lang w:val="en-GB"/>
        </w:rPr>
        <w:t>organic visibility</w:t>
      </w:r>
      <w:r>
        <w:rPr>
          <w:rFonts w:ascii="Times New Roman" w:hAnsi="Times New Roman" w:eastAsia="Times New Roman" w:cs="Times New Roman"/>
          <w:sz w:val="24"/>
          <w:szCs w:val="24"/>
          <w:highlight w:val="white"/>
          <w:lang w:val="en-GB"/>
        </w:rPr>
        <w:t xml:space="preserve"> for adaptation of brand recognition with customer feedback in establishing better change. Social media promotion is also considered for growing network analysis with services and products in market analysis. This build is assist in monitoring competitors for assumptions in dealing with potential and valuable leads.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b/>
          <w:i/>
          <w:sz w:val="24"/>
          <w:szCs w:val="24"/>
          <w:highlight w:val="white"/>
          <w:lang w:val="en-GB"/>
        </w:rPr>
        <w:t xml:space="preserve">Product: </w:t>
      </w:r>
      <w:r>
        <w:rPr>
          <w:rFonts w:ascii="Times New Roman" w:hAnsi="Times New Roman" w:eastAsia="Times New Roman" w:cs="Times New Roman"/>
          <w:sz w:val="24"/>
          <w:szCs w:val="24"/>
          <w:highlight w:val="white"/>
          <w:lang w:val="en-GB"/>
        </w:rPr>
        <w:t xml:space="preserve">The products that will be used for marketing are soft drinks, which consist of non-sugar drinks and further proper composition of nutrients is added. This can result in maintaining the nutritiousness of this drink. Further, </w:t>
      </w:r>
      <w:r>
        <w:rPr>
          <w:rFonts w:ascii="Times New Roman" w:hAnsi="Times New Roman" w:eastAsia="Times New Roman" w:cs="Times New Roman"/>
          <w:b/>
          <w:i/>
          <w:sz w:val="24"/>
          <w:szCs w:val="24"/>
          <w:highlight w:val="white"/>
          <w:lang w:val="en-GB"/>
        </w:rPr>
        <w:t>aspartame</w:t>
      </w:r>
      <w:r>
        <w:rPr>
          <w:rFonts w:ascii="Times New Roman" w:hAnsi="Times New Roman" w:eastAsia="Times New Roman" w:cs="Times New Roman"/>
          <w:sz w:val="24"/>
          <w:szCs w:val="24"/>
          <w:highlight w:val="white"/>
          <w:lang w:val="en-GB"/>
        </w:rPr>
        <w:t xml:space="preserve"> is used as a sweetener agent that is safe and also FDA approved reagent (</w:t>
      </w:r>
      <w:r>
        <w:rPr>
          <w:rFonts w:ascii="Times New Roman" w:hAnsi="Times New Roman" w:cs="Times New Roman"/>
          <w:sz w:val="24"/>
        </w:rPr>
        <w:t xml:space="preserve">Kregiel </w:t>
      </w:r>
      <w:r>
        <w:rPr>
          <w:rFonts w:ascii="Times New Roman" w:hAnsi="Times New Roman" w:cs="Times New Roman"/>
          <w:i/>
          <w:sz w:val="24"/>
        </w:rPr>
        <w:t>et al.</w:t>
      </w:r>
      <w:r>
        <w:rPr>
          <w:rFonts w:ascii="Times New Roman" w:hAnsi="Times New Roman" w:cs="Times New Roman"/>
          <w:sz w:val="24"/>
        </w:rPr>
        <w:t xml:space="preserve"> 2018</w:t>
      </w:r>
      <w:r>
        <w:rPr>
          <w:rFonts w:ascii="Times New Roman" w:hAnsi="Times New Roman" w:eastAsia="Times New Roman" w:cs="Times New Roman"/>
          <w:sz w:val="24"/>
          <w:szCs w:val="24"/>
          <w:highlight w:val="white"/>
          <w:lang w:val="en-GB"/>
        </w:rPr>
        <w:t xml:space="preserve">). Limited use of aspartame is maintained for reduction of negative effects on healthy weight. Whereas, proper testing of benzene is also performed before marketing the products.   </w:t>
      </w:r>
    </w:p>
    <w:p>
      <w:pPr>
        <w:pStyle w:val="3"/>
        <w:spacing w:line="360" w:lineRule="auto"/>
        <w:jc w:val="both"/>
        <w:rPr>
          <w:rFonts w:ascii="Times New Roman" w:hAnsi="Times New Roman" w:eastAsia="Times New Roman" w:cs="Times New Roman"/>
          <w:b/>
          <w:i/>
          <w:sz w:val="24"/>
          <w:szCs w:val="24"/>
          <w:highlight w:val="white"/>
          <w:lang w:val="en-GB"/>
        </w:rPr>
      </w:pPr>
      <w:r>
        <w:rPr>
          <w:rFonts w:ascii="Times New Roman" w:hAnsi="Times New Roman" w:eastAsia="Times New Roman" w:cs="Times New Roman"/>
          <w:b/>
          <w:i/>
          <w:sz w:val="24"/>
          <w:szCs w:val="24"/>
          <w:highlight w:val="white"/>
          <w:lang w:val="en-GB"/>
        </w:rPr>
        <w:t xml:space="preserve">Place: </w:t>
      </w:r>
      <w:r>
        <w:rPr>
          <w:rFonts w:ascii="Times New Roman" w:hAnsi="Times New Roman" w:eastAsia="Times New Roman" w:cs="Times New Roman"/>
          <w:sz w:val="24"/>
          <w:szCs w:val="24"/>
          <w:highlight w:val="white"/>
          <w:lang w:val="en-GB"/>
        </w:rPr>
        <w:t xml:space="preserve">The business will establish in front of a University so that students in their recess can take this drink and get enough energy. Further, anyone belonging to the age group 15-45 years can take this drink and get instant energy. </w:t>
      </w:r>
      <w:r>
        <w:rPr>
          <w:rFonts w:ascii="Times New Roman" w:hAnsi="Times New Roman" w:eastAsia="Times New Roman" w:cs="Times New Roman"/>
          <w:b/>
          <w:i/>
          <w:sz w:val="24"/>
          <w:szCs w:val="24"/>
          <w:highlight w:val="white"/>
          <w:lang w:val="en-GB"/>
        </w:rPr>
        <w:t xml:space="preserve"> </w:t>
      </w:r>
    </w:p>
    <w:p>
      <w:pPr>
        <w:pStyle w:val="2"/>
        <w:rPr>
          <w:highlight w:val="white"/>
          <w:lang w:val="en-GB"/>
        </w:rPr>
      </w:pPr>
      <w:bookmarkStart w:id="5" w:name="_Toc109549723"/>
      <w:r>
        <w:rPr>
          <w:highlight w:val="white"/>
          <w:lang w:val="en-GB"/>
        </w:rPr>
        <w:t>6. Financial plan</w:t>
      </w:r>
      <w:bookmarkEnd w:id="5"/>
      <w:r>
        <w:rPr>
          <w:highlight w:val="white"/>
          <w:lang w:val="en-GB"/>
        </w:rPr>
        <w:t xml:space="preserve"> </w:t>
      </w:r>
    </w:p>
    <w:tbl>
      <w:tblPr>
        <w:tblStyle w:val="20"/>
        <w:tblW w:w="5000" w:type="pct"/>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441"/>
        <w:gridCol w:w="1353"/>
        <w:gridCol w:w="1353"/>
        <w:gridCol w:w="1353"/>
        <w:gridCol w:w="1353"/>
        <w:gridCol w:w="1353"/>
        <w:gridCol w:w="135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Resources</w:t>
            </w:r>
          </w:p>
        </w:tc>
        <w:tc>
          <w:tcPr>
            <w:tcW w:w="714"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1</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2</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3</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4</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5</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Month 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Opening balance</w:t>
            </w:r>
          </w:p>
        </w:tc>
        <w:tc>
          <w:tcPr>
            <w:tcW w:w="714"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€ 1800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€ 2560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€ 3270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€ 2520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€ 3330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Raw materials</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€ 660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€ 660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€ 700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€ 760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 xml:space="preserve">Wages </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€ 180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€ 180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€ 190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€ 220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Electricity purchase</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€ 350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€ 250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€ 350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€ 380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€ 400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blHeader/>
        </w:trPr>
        <w:tc>
          <w:tcPr>
            <w:tcW w:w="715"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 xml:space="preserve">Equipments </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€ 505</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€ 560</w:t>
            </w:r>
          </w:p>
        </w:tc>
        <w:tc>
          <w:tcPr>
            <w:tcW w:w="714" w:type="pct"/>
            <w:shd w:val="clear" w:color="auto" w:fill="auto"/>
            <w:tcMar>
              <w:top w:w="100" w:type="dxa"/>
              <w:left w:w="100" w:type="dxa"/>
              <w:bottom w:w="100" w:type="dxa"/>
              <w:right w:w="100" w:type="dxa"/>
            </w:tcMar>
          </w:tcPr>
          <w:p>
            <w:pPr>
              <w:pStyle w:val="3"/>
              <w:widowControl w:val="0"/>
              <w:spacing w:line="360" w:lineRule="auto"/>
              <w:jc w:val="both"/>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sz w:val="24"/>
                <w:szCs w:val="24"/>
                <w:highlight w:val="white"/>
                <w:lang w:val="en-GB"/>
              </w:rPr>
              <w:t>€ 560</w:t>
            </w:r>
          </w:p>
        </w:tc>
      </w:tr>
    </w:tbl>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 xml:space="preserve">Table 1: 6 months cash budget forecast </w:t>
      </w:r>
    </w:p>
    <w:p>
      <w:pPr>
        <w:pStyle w:val="3"/>
        <w:spacing w:line="360" w:lineRule="auto"/>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Self-Developed)</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The opening fund will be coming from loans taken from government bodies and personal savings. The long-term financial plan helps in determination of financial goals with financial advisors understanding strategy to achieve unique circumstances. This can also consider over-spending frivolously to have a financial plan. Funds also required for maintaining FDA approval and patent formation come from loans acquired from government bodies. Regular communication with various government bodies is also considered for accessing a great change that can result in formation of determining value. Sustainability in the financial aspect can be obtained by accessing </w:t>
      </w:r>
      <w:r>
        <w:rPr>
          <w:rFonts w:ascii="Times New Roman" w:hAnsi="Times New Roman" w:eastAsia="Times New Roman" w:cs="Times New Roman"/>
          <w:b/>
          <w:i/>
          <w:sz w:val="24"/>
          <w:szCs w:val="24"/>
          <w:highlight w:val="white"/>
          <w:lang w:val="en-GB"/>
        </w:rPr>
        <w:t>social equity, environmental protection, and economic viability</w:t>
      </w:r>
      <w:r>
        <w:rPr>
          <w:rFonts w:ascii="Times New Roman" w:hAnsi="Times New Roman" w:eastAsia="Times New Roman" w:cs="Times New Roman"/>
          <w:sz w:val="24"/>
          <w:szCs w:val="24"/>
          <w:highlight w:val="white"/>
          <w:lang w:val="en-GB"/>
        </w:rPr>
        <w:t xml:space="preserve"> (</w:t>
      </w:r>
      <w:r>
        <w:rPr>
          <w:rFonts w:ascii="Times New Roman" w:hAnsi="Times New Roman" w:cs="Times New Roman"/>
          <w:sz w:val="24"/>
        </w:rPr>
        <w:t xml:space="preserve">Jurconi </w:t>
      </w:r>
      <w:r>
        <w:rPr>
          <w:rFonts w:ascii="Times New Roman" w:hAnsi="Times New Roman" w:cs="Times New Roman"/>
          <w:i/>
          <w:sz w:val="24"/>
        </w:rPr>
        <w:t>et al</w:t>
      </w:r>
      <w:r>
        <w:rPr>
          <w:rFonts w:ascii="Times New Roman" w:hAnsi="Times New Roman" w:cs="Times New Roman"/>
          <w:sz w:val="24"/>
        </w:rPr>
        <w:t>. 2021</w:t>
      </w:r>
      <w:r>
        <w:rPr>
          <w:rFonts w:ascii="Times New Roman" w:hAnsi="Times New Roman" w:eastAsia="Times New Roman" w:cs="Times New Roman"/>
          <w:sz w:val="24"/>
          <w:szCs w:val="24"/>
          <w:highlight w:val="white"/>
          <w:lang w:val="en-GB"/>
        </w:rPr>
        <w:t xml:space="preserve">). This can also result in acquiring all performance in general consideration with adapted change. Sustainable business can also result in delivery of financial return that can be considered for long and short-term operating systems for consideration with less resilience to consider for existence at risk. </w:t>
      </w:r>
    </w:p>
    <w:p>
      <w:pPr>
        <w:pStyle w:val="2"/>
        <w:rPr>
          <w:highlight w:val="white"/>
          <w:lang w:val="en-GB"/>
        </w:rPr>
      </w:pPr>
      <w:bookmarkStart w:id="6" w:name="_Toc109549724"/>
      <w:r>
        <w:rPr>
          <w:highlight w:val="white"/>
          <w:lang w:val="en-GB"/>
        </w:rPr>
        <w:t>7. Market Research</w:t>
      </w:r>
      <w:bookmarkEnd w:id="6"/>
      <w:r>
        <w:rPr>
          <w:highlight w:val="white"/>
          <w:lang w:val="en-GB"/>
        </w:rPr>
        <w:t xml:space="preserve"> </w:t>
      </w:r>
    </w:p>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rPr>
        <w:drawing>
          <wp:inline distT="114300" distB="114300" distL="114300" distR="114300">
            <wp:extent cx="5943600" cy="279082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6"/>
                    <a:srcRect t="11975" b="4547"/>
                    <a:stretch>
                      <a:fillRect/>
                    </a:stretch>
                  </pic:blipFill>
                  <pic:spPr>
                    <a:xfrm>
                      <a:off x="0" y="0"/>
                      <a:ext cx="5943600" cy="2791160"/>
                    </a:xfrm>
                    <a:prstGeom prst="rect">
                      <a:avLst/>
                    </a:prstGeom>
                    <a:ln w="254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Figure 2: Global Fruit-flavoured soft drinks market</w:t>
      </w:r>
    </w:p>
    <w:p>
      <w:pPr>
        <w:pStyle w:val="3"/>
        <w:spacing w:line="360" w:lineRule="auto"/>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(Source: Statista.com, 2022)</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Fruit-flavoured soft-drinks result in maintaining a market value by USD 23.95 billion from 2021 to 2026. This can result in "</w:t>
      </w:r>
      <w:r>
        <w:rPr>
          <w:rFonts w:ascii="Times New Roman" w:hAnsi="Times New Roman" w:eastAsia="Times New Roman" w:cs="Times New Roman"/>
          <w:b/>
          <w:i/>
          <w:sz w:val="24"/>
          <w:szCs w:val="24"/>
          <w:highlight w:val="white"/>
          <w:lang w:val="en-GB"/>
        </w:rPr>
        <w:t>progressing at a CAGR of 4.75%</w:t>
      </w:r>
      <w:r>
        <w:rPr>
          <w:rFonts w:ascii="Times New Roman" w:hAnsi="Times New Roman" w:eastAsia="Times New Roman" w:cs="Times New Roman"/>
          <w:sz w:val="24"/>
          <w:szCs w:val="24"/>
          <w:highlight w:val="white"/>
          <w:lang w:val="en-GB"/>
        </w:rPr>
        <w:t>”.  Formulation and packaging are also considered for increasing sales that can result in growing with wellness in possible trending with added benefits. Revenue can be generated by considering fruit-flavoured carbonated soft drinks. Sweetener market has come across an increase in expected market share by "</w:t>
      </w:r>
      <w:r>
        <w:rPr>
          <w:rFonts w:ascii="Times New Roman" w:hAnsi="Times New Roman" w:eastAsia="Times New Roman" w:cs="Times New Roman"/>
          <w:b/>
          <w:i/>
          <w:sz w:val="24"/>
          <w:szCs w:val="24"/>
          <w:highlight w:val="white"/>
          <w:lang w:val="en-GB"/>
        </w:rPr>
        <w:t>USD 1.79 billion from 2021 to 2026</w:t>
      </w:r>
      <w:r>
        <w:rPr>
          <w:rFonts w:ascii="Times New Roman" w:hAnsi="Times New Roman" w:eastAsia="Times New Roman" w:cs="Times New Roman"/>
          <w:sz w:val="24"/>
          <w:szCs w:val="24"/>
          <w:highlight w:val="white"/>
          <w:lang w:val="en-GB"/>
        </w:rPr>
        <w:t>”. This can also result in accelerated change with a CAGR of 3.65% in market growth momentum (Statista.com, 2022). This also results in declining the growth of popularity of alternatives and water bottles. This can also be considered for developing all negative impacts with introducing low calories contents including Diet Coke and Diet Pepsi.</w:t>
      </w:r>
    </w:p>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rPr>
        <w:drawing>
          <wp:inline distT="114300" distB="114300" distL="114300" distR="114300">
            <wp:extent cx="5943600" cy="334137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t="12942" b="7189"/>
                    <a:stretch>
                      <a:fillRect/>
                    </a:stretch>
                  </pic:blipFill>
                  <pic:spPr>
                    <a:xfrm>
                      <a:off x="0" y="0"/>
                      <a:ext cx="5943600" cy="3341526"/>
                    </a:xfrm>
                    <a:prstGeom prst="rect">
                      <a:avLst/>
                    </a:prstGeom>
                    <a:ln w="25400">
                      <a:solidFill>
                        <a:srgbClr val="000000"/>
                      </a:solidFill>
                      <a:prstDash val="solid"/>
                    </a:ln>
                  </pic:spPr>
                </pic:pic>
              </a:graphicData>
            </a:graphic>
          </wp:inline>
        </w:drawing>
      </w:r>
    </w:p>
    <w:p>
      <w:pPr>
        <w:pStyle w:val="3"/>
        <w:spacing w:line="360" w:lineRule="auto"/>
        <w:jc w:val="center"/>
        <w:rPr>
          <w:rFonts w:ascii="Times New Roman" w:hAnsi="Times New Roman" w:eastAsia="Times New Roman" w:cs="Times New Roman"/>
          <w:b/>
          <w:sz w:val="24"/>
          <w:szCs w:val="24"/>
          <w:highlight w:val="white"/>
          <w:lang w:val="en-GB"/>
        </w:rPr>
      </w:pPr>
      <w:r>
        <w:rPr>
          <w:rFonts w:ascii="Times New Roman" w:hAnsi="Times New Roman" w:eastAsia="Times New Roman" w:cs="Times New Roman"/>
          <w:b/>
          <w:sz w:val="24"/>
          <w:szCs w:val="24"/>
          <w:highlight w:val="white"/>
          <w:lang w:val="en-GB"/>
        </w:rPr>
        <w:t>Figure 3: Global soft-drinks concentrated market</w:t>
      </w:r>
    </w:p>
    <w:p>
      <w:pPr>
        <w:pStyle w:val="3"/>
        <w:spacing w:line="360" w:lineRule="auto"/>
        <w:jc w:val="cente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(Source: </w:t>
      </w:r>
      <w:r>
        <w:rPr>
          <w:rFonts w:ascii="Times New Roman" w:hAnsi="Times New Roman" w:cs="Times New Roman"/>
          <w:sz w:val="24"/>
        </w:rPr>
        <w:t>Blackwood, 2020</w:t>
      </w:r>
      <w:r>
        <w:rPr>
          <w:rFonts w:ascii="Times New Roman" w:hAnsi="Times New Roman" w:eastAsia="Times New Roman" w:cs="Times New Roman"/>
          <w:sz w:val="24"/>
          <w:szCs w:val="24"/>
          <w:highlight w:val="white"/>
          <w:lang w:val="en-GB"/>
        </w:rPr>
        <w:t>)</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Consumption of organic beverages reached US $41.8 million in 2018 which is considered for accounting for flavouring substances. This can also develop the global carbonated beverage market size accounting for USD 406.89 billion in 2019. Further, a CAGR of 5.1% is expected from 2020 to 2027. Soft-drinks market remained buoyant with an estimate of $994.7 billion during 2020 which can reach up to $1.4 trillion by 2027 (</w:t>
      </w:r>
      <w:r>
        <w:rPr>
          <w:rFonts w:ascii="Times New Roman" w:hAnsi="Times New Roman" w:cs="Times New Roman"/>
          <w:sz w:val="24"/>
        </w:rPr>
        <w:t>Blackwood, 2020</w:t>
      </w:r>
      <w:r>
        <w:rPr>
          <w:rFonts w:ascii="Times New Roman" w:hAnsi="Times New Roman" w:eastAsia="Times New Roman" w:cs="Times New Roman"/>
          <w:sz w:val="24"/>
          <w:szCs w:val="24"/>
          <w:highlight w:val="white"/>
          <w:lang w:val="en-GB"/>
        </w:rPr>
        <w:t xml:space="preserve">). </w:t>
      </w:r>
      <w:r>
        <w:rPr>
          <w:rFonts w:ascii="Times New Roman" w:hAnsi="Times New Roman" w:eastAsia="Times New Roman" w:cs="Times New Roman"/>
          <w:sz w:val="24"/>
          <w:szCs w:val="24"/>
          <w:highlight w:val="white"/>
          <w:lang w:val="en-GB"/>
        </w:rPr>
        <w:tab/>
      </w:r>
    </w:p>
    <w:p>
      <w:pPr>
        <w:pStyle w:val="2"/>
        <w:rPr>
          <w:highlight w:val="white"/>
          <w:lang w:val="en-GB"/>
        </w:rPr>
      </w:pPr>
      <w:bookmarkStart w:id="7" w:name="_Toc109549725"/>
      <w:r>
        <w:rPr>
          <w:highlight w:val="white"/>
          <w:lang w:val="en-GB"/>
        </w:rPr>
        <w:t>8. Conclusion</w:t>
      </w:r>
      <w:bookmarkEnd w:id="7"/>
      <w:r>
        <w:rPr>
          <w:highlight w:val="white"/>
          <w:lang w:val="en-GB"/>
        </w:rPr>
        <w:t xml:space="preserve"> </w:t>
      </w:r>
    </w:p>
    <w:p>
      <w:pPr>
        <w:pStyle w:val="3"/>
        <w:spacing w:line="360" w:lineRule="auto"/>
        <w:jc w:val="both"/>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t xml:space="preserve">Conclusively, this study deals with </w:t>
      </w:r>
      <w:r>
        <w:rPr>
          <w:rFonts w:ascii="Times New Roman" w:hAnsi="Times New Roman" w:eastAsia="Times New Roman" w:cs="Times New Roman"/>
          <w:b/>
          <w:i/>
          <w:sz w:val="24"/>
          <w:szCs w:val="24"/>
          <w:highlight w:val="white"/>
          <w:lang w:val="en-GB"/>
        </w:rPr>
        <w:t xml:space="preserve">Nutri-Soda </w:t>
      </w:r>
      <w:r>
        <w:rPr>
          <w:rFonts w:ascii="Times New Roman" w:hAnsi="Times New Roman" w:eastAsia="Times New Roman" w:cs="Times New Roman"/>
          <w:sz w:val="24"/>
          <w:szCs w:val="24"/>
          <w:highlight w:val="white"/>
          <w:lang w:val="en-GB"/>
        </w:rPr>
        <w:t xml:space="preserve">start-up soft drinks Company that can earn a most profitable business plan for effective marketing channels. This can also be considered for accessing an achievable and transparent market in general objectives. Further, soft drinks are also considered for competition with one another. Hence the gross profit margin of this start-up business is high and that can result in earning more profits. Moderate to high market results in industry analysis can access entrants with industry analysis with attraction in most profitable market assumptions. Suppliers for soft drinks also put competitive pressure that can result in manufacturing of equipment with same products. Thus, it may be concluded that considering the sustainability of the environment the business plan is considered. This also makes an eco-friendly way of marketing opportunity for future assumption. Further, the parameter of calories and sugar content is also maintained with a better choice that consumes no alcohol at lower price. </w:t>
      </w:r>
    </w:p>
    <w:p>
      <w:pPr>
        <w:rPr>
          <w:rFonts w:ascii="Times New Roman" w:hAnsi="Times New Roman" w:eastAsia="Times New Roman" w:cs="Times New Roman"/>
          <w:sz w:val="24"/>
          <w:szCs w:val="24"/>
          <w:highlight w:val="white"/>
          <w:lang w:val="en-GB"/>
        </w:rPr>
      </w:pPr>
      <w:r>
        <w:rPr>
          <w:rFonts w:ascii="Times New Roman" w:hAnsi="Times New Roman" w:eastAsia="Times New Roman" w:cs="Times New Roman"/>
          <w:sz w:val="24"/>
          <w:szCs w:val="24"/>
          <w:highlight w:val="white"/>
          <w:lang w:val="en-GB"/>
        </w:rPr>
        <w:br w:type="page"/>
      </w:r>
    </w:p>
    <w:p>
      <w:pPr>
        <w:pStyle w:val="2"/>
      </w:pPr>
      <w:bookmarkStart w:id="8" w:name="_Toc109549726"/>
      <w:r>
        <w:t>References</w:t>
      </w:r>
      <w:bookmarkEnd w:id="8"/>
    </w:p>
    <w:p>
      <w:pPr>
        <w:spacing w:line="360" w:lineRule="auto"/>
        <w:jc w:val="both"/>
        <w:rPr>
          <w:rFonts w:ascii="Times New Roman" w:hAnsi="Times New Roman" w:cs="Times New Roman"/>
          <w:b/>
          <w:sz w:val="24"/>
        </w:rPr>
      </w:pPr>
      <w:r>
        <w:rPr>
          <w:rFonts w:ascii="Times New Roman" w:hAnsi="Times New Roman" w:cs="Times New Roman"/>
          <w:b/>
          <w:sz w:val="24"/>
        </w:rPr>
        <w:t>Journals</w:t>
      </w:r>
    </w:p>
    <w:p>
      <w:pPr>
        <w:spacing w:line="360" w:lineRule="auto"/>
        <w:jc w:val="both"/>
        <w:rPr>
          <w:rFonts w:ascii="Times New Roman" w:hAnsi="Times New Roman" w:cs="Times New Roman"/>
          <w:sz w:val="24"/>
        </w:rPr>
      </w:pPr>
      <w:r>
        <w:rPr>
          <w:rFonts w:ascii="Times New Roman" w:hAnsi="Times New Roman" w:cs="Times New Roman"/>
          <w:sz w:val="24"/>
        </w:rPr>
        <w:t>Blackwood, R., 2020. Chestnut beer, Corsica-Cola, and wine bottles: The commodification of Corsican in the linguistic and semiotic landscapes of the island’s drinks industry. </w:t>
      </w:r>
      <w:r>
        <w:rPr>
          <w:rFonts w:ascii="Times New Roman" w:hAnsi="Times New Roman" w:cs="Times New Roman"/>
          <w:i/>
          <w:iCs/>
          <w:sz w:val="24"/>
        </w:rPr>
        <w:t>International Journal of the Sociology of Language</w:t>
      </w:r>
      <w:r>
        <w:rPr>
          <w:rFonts w:ascii="Times New Roman" w:hAnsi="Times New Roman" w:cs="Times New Roman"/>
          <w:sz w:val="24"/>
        </w:rPr>
        <w:t>, </w:t>
      </w:r>
      <w:r>
        <w:rPr>
          <w:rFonts w:ascii="Times New Roman" w:hAnsi="Times New Roman" w:cs="Times New Roman"/>
          <w:i/>
          <w:iCs/>
          <w:sz w:val="24"/>
        </w:rPr>
        <w:t>2020</w:t>
      </w:r>
      <w:r>
        <w:rPr>
          <w:rFonts w:ascii="Times New Roman" w:hAnsi="Times New Roman" w:cs="Times New Roman"/>
          <w:sz w:val="24"/>
        </w:rPr>
        <w:t>(261), pp.103-118.</w:t>
      </w:r>
    </w:p>
    <w:p>
      <w:pPr>
        <w:spacing w:line="360" w:lineRule="auto"/>
        <w:jc w:val="both"/>
        <w:rPr>
          <w:rFonts w:ascii="Times New Roman" w:hAnsi="Times New Roman" w:cs="Times New Roman"/>
          <w:sz w:val="24"/>
        </w:rPr>
      </w:pPr>
      <w:r>
        <w:rPr>
          <w:rFonts w:ascii="Times New Roman" w:hAnsi="Times New Roman" w:cs="Times New Roman"/>
          <w:sz w:val="24"/>
        </w:rPr>
        <w:t>Gillison, F., Grey, E. and Griffin, T., 2020. Parents’ perceptions and responses to the UK soft drinks industry levy. </w:t>
      </w:r>
      <w:r>
        <w:rPr>
          <w:rFonts w:ascii="Times New Roman" w:hAnsi="Times New Roman" w:cs="Times New Roman"/>
          <w:i/>
          <w:iCs/>
          <w:sz w:val="24"/>
        </w:rPr>
        <w:t>Journal of nutrition education and behavior</w:t>
      </w:r>
      <w:r>
        <w:rPr>
          <w:rFonts w:ascii="Times New Roman" w:hAnsi="Times New Roman" w:cs="Times New Roman"/>
          <w:sz w:val="24"/>
        </w:rPr>
        <w:t>, </w:t>
      </w:r>
      <w:r>
        <w:rPr>
          <w:rFonts w:ascii="Times New Roman" w:hAnsi="Times New Roman" w:cs="Times New Roman"/>
          <w:i/>
          <w:iCs/>
          <w:sz w:val="24"/>
        </w:rPr>
        <w:t>52</w:t>
      </w:r>
      <w:r>
        <w:rPr>
          <w:rFonts w:ascii="Times New Roman" w:hAnsi="Times New Roman" w:cs="Times New Roman"/>
          <w:sz w:val="24"/>
        </w:rPr>
        <w:t>(6), pp.626-631.</w:t>
      </w:r>
    </w:p>
    <w:p>
      <w:pPr>
        <w:spacing w:line="360" w:lineRule="auto"/>
        <w:jc w:val="both"/>
        <w:rPr>
          <w:rFonts w:ascii="Times New Roman" w:hAnsi="Times New Roman" w:cs="Times New Roman"/>
          <w:sz w:val="24"/>
        </w:rPr>
      </w:pPr>
      <w:r>
        <w:rPr>
          <w:rFonts w:ascii="Times New Roman" w:hAnsi="Times New Roman" w:cs="Times New Roman"/>
          <w:sz w:val="24"/>
        </w:rPr>
        <w:t>Hilton, S., Buckton, C.H., Henrichsen, T., Fergie, G. and Leifeld, P., 2020. Policy congruence and advocacy strategies in the discourse networks of minimum unit pricing for alcohol and the soft drinks industry levy. </w:t>
      </w:r>
      <w:r>
        <w:rPr>
          <w:rFonts w:ascii="Times New Roman" w:hAnsi="Times New Roman" w:cs="Times New Roman"/>
          <w:i/>
          <w:iCs/>
          <w:sz w:val="24"/>
        </w:rPr>
        <w:t>Addiction</w:t>
      </w:r>
      <w:r>
        <w:rPr>
          <w:rFonts w:ascii="Times New Roman" w:hAnsi="Times New Roman" w:cs="Times New Roman"/>
          <w:sz w:val="24"/>
        </w:rPr>
        <w:t>, </w:t>
      </w:r>
      <w:r>
        <w:rPr>
          <w:rFonts w:ascii="Times New Roman" w:hAnsi="Times New Roman" w:cs="Times New Roman"/>
          <w:i/>
          <w:iCs/>
          <w:sz w:val="24"/>
        </w:rPr>
        <w:t>115</w:t>
      </w:r>
      <w:r>
        <w:rPr>
          <w:rFonts w:ascii="Times New Roman" w:hAnsi="Times New Roman" w:cs="Times New Roman"/>
          <w:sz w:val="24"/>
        </w:rPr>
        <w:t>(12), pp.2303-2314.</w:t>
      </w:r>
    </w:p>
    <w:p>
      <w:pPr>
        <w:spacing w:line="360" w:lineRule="auto"/>
        <w:jc w:val="both"/>
        <w:rPr>
          <w:rFonts w:ascii="Times New Roman" w:hAnsi="Times New Roman" w:cs="Times New Roman"/>
          <w:sz w:val="24"/>
        </w:rPr>
      </w:pPr>
      <w:r>
        <w:rPr>
          <w:rFonts w:ascii="Times New Roman" w:hAnsi="Times New Roman" w:cs="Times New Roman"/>
          <w:sz w:val="24"/>
        </w:rPr>
        <w:t>Hilton, S., Buckton, C.H., Patterson, C., Katikireddi, S.V., Lloyd-Williams, F., Hyseni, L., Elliott-Green, A. and Capewell, S., 2019. Following in the footsteps of tobacco and alcohol? Stakeholder discourse in UK newspaper coverage of the Soft Drinks Industry Levy. </w:t>
      </w:r>
      <w:r>
        <w:rPr>
          <w:rFonts w:ascii="Times New Roman" w:hAnsi="Times New Roman" w:cs="Times New Roman"/>
          <w:i/>
          <w:iCs/>
          <w:sz w:val="24"/>
        </w:rPr>
        <w:t>Public health nutrition</w:t>
      </w:r>
      <w:r>
        <w:rPr>
          <w:rFonts w:ascii="Times New Roman" w:hAnsi="Times New Roman" w:cs="Times New Roman"/>
          <w:sz w:val="24"/>
        </w:rPr>
        <w:t>, </w:t>
      </w:r>
      <w:r>
        <w:rPr>
          <w:rFonts w:ascii="Times New Roman" w:hAnsi="Times New Roman" w:cs="Times New Roman"/>
          <w:i/>
          <w:iCs/>
          <w:sz w:val="24"/>
        </w:rPr>
        <w:t>22</w:t>
      </w:r>
      <w:r>
        <w:rPr>
          <w:rFonts w:ascii="Times New Roman" w:hAnsi="Times New Roman" w:cs="Times New Roman"/>
          <w:sz w:val="24"/>
        </w:rPr>
        <w:t>(12), pp.2317-2328.</w:t>
      </w:r>
    </w:p>
    <w:p>
      <w:pPr>
        <w:spacing w:line="360" w:lineRule="auto"/>
        <w:jc w:val="both"/>
        <w:rPr>
          <w:rFonts w:ascii="Times New Roman" w:hAnsi="Times New Roman" w:cs="Times New Roman"/>
          <w:sz w:val="24"/>
        </w:rPr>
      </w:pPr>
      <w:r>
        <w:rPr>
          <w:rFonts w:ascii="Times New Roman" w:hAnsi="Times New Roman" w:cs="Times New Roman"/>
          <w:sz w:val="24"/>
        </w:rPr>
        <w:t>Idris, A.I.M., Fahmy-Abdullah, M. and Sieng, L.W., 2019. Technical efficiency of soft drink manufacturing industry in Malaysia. </w:t>
      </w:r>
      <w:r>
        <w:rPr>
          <w:rFonts w:ascii="Times New Roman" w:hAnsi="Times New Roman" w:cs="Times New Roman"/>
          <w:i/>
          <w:iCs/>
          <w:sz w:val="24"/>
        </w:rPr>
        <w:t>Int. J. Supply Chain Manage</w:t>
      </w:r>
      <w:r>
        <w:rPr>
          <w:rFonts w:ascii="Times New Roman" w:hAnsi="Times New Roman" w:cs="Times New Roman"/>
          <w:sz w:val="24"/>
        </w:rPr>
        <w:t>, </w:t>
      </w:r>
      <w:r>
        <w:rPr>
          <w:rFonts w:ascii="Times New Roman" w:hAnsi="Times New Roman" w:cs="Times New Roman"/>
          <w:i/>
          <w:iCs/>
          <w:sz w:val="24"/>
        </w:rPr>
        <w:t>8</w:t>
      </w:r>
      <w:r>
        <w:rPr>
          <w:rFonts w:ascii="Times New Roman" w:hAnsi="Times New Roman" w:cs="Times New Roman"/>
          <w:sz w:val="24"/>
        </w:rPr>
        <w:t>, pp.908-916.</w:t>
      </w:r>
    </w:p>
    <w:p>
      <w:pPr>
        <w:spacing w:line="360" w:lineRule="auto"/>
        <w:jc w:val="both"/>
        <w:rPr>
          <w:rFonts w:ascii="Times New Roman" w:hAnsi="Times New Roman" w:cs="Times New Roman"/>
          <w:sz w:val="24"/>
        </w:rPr>
      </w:pPr>
      <w:r>
        <w:rPr>
          <w:rFonts w:ascii="Times New Roman" w:hAnsi="Times New Roman" w:cs="Times New Roman"/>
          <w:sz w:val="24"/>
        </w:rPr>
        <w:t>Jurconi, A., Pamfilie, R. and Lupu, R., 2021, June. Designing a Multi–Directional Communication Model for Eco–Innovation in the Soft Drinks Packaging. In </w:t>
      </w:r>
      <w:r>
        <w:rPr>
          <w:rFonts w:ascii="Times New Roman" w:hAnsi="Times New Roman" w:cs="Times New Roman"/>
          <w:i/>
          <w:iCs/>
          <w:sz w:val="24"/>
        </w:rPr>
        <w:t>R. Pamfilie, V. Dinu, L. Tăchiciu, D. Pleșea and C. Vasiliu, 7th BASIQ International Conference on New Trends in Sustainable Business and Consumption. Foggia, Italy</w:t>
      </w:r>
      <w:r>
        <w:rPr>
          <w:rFonts w:ascii="Times New Roman" w:hAnsi="Times New Roman" w:cs="Times New Roman"/>
          <w:sz w:val="24"/>
        </w:rPr>
        <w:t> (pp. 3-5).</w:t>
      </w:r>
    </w:p>
    <w:p>
      <w:pPr>
        <w:spacing w:line="360" w:lineRule="auto"/>
        <w:jc w:val="both"/>
        <w:rPr>
          <w:rFonts w:ascii="Times New Roman" w:hAnsi="Times New Roman" w:cs="Times New Roman"/>
          <w:sz w:val="24"/>
        </w:rPr>
      </w:pPr>
      <w:r>
        <w:rPr>
          <w:rFonts w:ascii="Times New Roman" w:hAnsi="Times New Roman" w:cs="Times New Roman"/>
          <w:sz w:val="24"/>
        </w:rPr>
        <w:t>Kregiel, D., James, S.A., Rygala, A., Berlowska, J., Antolak, H. and Pawlikowska, E., 2018. Consortia formed by yeasts and acetic acid bacteria Asaia spp. in soft drinks. </w:t>
      </w:r>
      <w:r>
        <w:rPr>
          <w:rFonts w:ascii="Times New Roman" w:hAnsi="Times New Roman" w:cs="Times New Roman"/>
          <w:i/>
          <w:iCs/>
          <w:sz w:val="24"/>
        </w:rPr>
        <w:t>Antonie Van Leeuwenhoek</w:t>
      </w:r>
      <w:r>
        <w:rPr>
          <w:rFonts w:ascii="Times New Roman" w:hAnsi="Times New Roman" w:cs="Times New Roman"/>
          <w:sz w:val="24"/>
        </w:rPr>
        <w:t>, </w:t>
      </w:r>
      <w:r>
        <w:rPr>
          <w:rFonts w:ascii="Times New Roman" w:hAnsi="Times New Roman" w:cs="Times New Roman"/>
          <w:i/>
          <w:iCs/>
          <w:sz w:val="24"/>
        </w:rPr>
        <w:t>111</w:t>
      </w:r>
      <w:r>
        <w:rPr>
          <w:rFonts w:ascii="Times New Roman" w:hAnsi="Times New Roman" w:cs="Times New Roman"/>
          <w:sz w:val="24"/>
        </w:rPr>
        <w:t>(3), pp.373-383.</w:t>
      </w:r>
    </w:p>
    <w:p>
      <w:pPr>
        <w:spacing w:line="360" w:lineRule="auto"/>
        <w:jc w:val="both"/>
        <w:rPr>
          <w:rFonts w:ascii="Times New Roman" w:hAnsi="Times New Roman" w:cs="Times New Roman"/>
          <w:sz w:val="24"/>
        </w:rPr>
      </w:pPr>
      <w:r>
        <w:rPr>
          <w:rFonts w:ascii="Times New Roman" w:hAnsi="Times New Roman" w:cs="Times New Roman"/>
          <w:sz w:val="24"/>
        </w:rPr>
        <w:t>Law, C., Cornelsen, L., Adams, J., Pell, D., Rutter, H., White, M. and Smith, R., 2020. The impact of UK soft drinks industry levy on manufacturers’ domestic turnover. </w:t>
      </w:r>
      <w:r>
        <w:rPr>
          <w:rFonts w:ascii="Times New Roman" w:hAnsi="Times New Roman" w:cs="Times New Roman"/>
          <w:i/>
          <w:iCs/>
          <w:sz w:val="24"/>
        </w:rPr>
        <w:t>Economics &amp; Human Biology</w:t>
      </w:r>
      <w:r>
        <w:rPr>
          <w:rFonts w:ascii="Times New Roman" w:hAnsi="Times New Roman" w:cs="Times New Roman"/>
          <w:sz w:val="24"/>
        </w:rPr>
        <w:t>, </w:t>
      </w:r>
      <w:r>
        <w:rPr>
          <w:rFonts w:ascii="Times New Roman" w:hAnsi="Times New Roman" w:cs="Times New Roman"/>
          <w:i/>
          <w:iCs/>
          <w:sz w:val="24"/>
        </w:rPr>
        <w:t>37</w:t>
      </w:r>
      <w:r>
        <w:rPr>
          <w:rFonts w:ascii="Times New Roman" w:hAnsi="Times New Roman" w:cs="Times New Roman"/>
          <w:sz w:val="24"/>
        </w:rPr>
        <w:t>, p.100866.</w:t>
      </w:r>
    </w:p>
    <w:p>
      <w:pPr>
        <w:spacing w:line="360" w:lineRule="auto"/>
        <w:jc w:val="both"/>
        <w:rPr>
          <w:rFonts w:ascii="Times New Roman" w:hAnsi="Times New Roman" w:cs="Times New Roman"/>
          <w:sz w:val="24"/>
        </w:rPr>
      </w:pPr>
      <w:r>
        <w:rPr>
          <w:rFonts w:ascii="Times New Roman" w:hAnsi="Times New Roman" w:cs="Times New Roman"/>
          <w:sz w:val="24"/>
        </w:rPr>
        <w:t>Pell, D., Mytton, O., Penney, T.L., Briggs, A., Cummins, S., Penn-Jones, C., Rayner, M., Rutter, H., Scarborough, P., Sharp, S.J. and Smith, R.D., 2021. Changes in soft drinks purchased by British households associated with the UK soft drinks industry levy: controlled interrupted time series analysis. </w:t>
      </w:r>
      <w:r>
        <w:rPr>
          <w:rFonts w:ascii="Times New Roman" w:hAnsi="Times New Roman" w:cs="Times New Roman"/>
          <w:i/>
          <w:iCs/>
          <w:sz w:val="24"/>
        </w:rPr>
        <w:t>bmj</w:t>
      </w:r>
      <w:r>
        <w:rPr>
          <w:rFonts w:ascii="Times New Roman" w:hAnsi="Times New Roman" w:cs="Times New Roman"/>
          <w:sz w:val="24"/>
        </w:rPr>
        <w:t>, </w:t>
      </w:r>
      <w:r>
        <w:rPr>
          <w:rFonts w:ascii="Times New Roman" w:hAnsi="Times New Roman" w:cs="Times New Roman"/>
          <w:i/>
          <w:iCs/>
          <w:sz w:val="24"/>
        </w:rPr>
        <w:t>372</w:t>
      </w:r>
      <w:r>
        <w:rPr>
          <w:rFonts w:ascii="Times New Roman" w:hAnsi="Times New Roman" w:cs="Times New Roman"/>
          <w:sz w:val="24"/>
        </w:rPr>
        <w:t>.</w:t>
      </w:r>
    </w:p>
    <w:p>
      <w:pPr>
        <w:spacing w:line="360" w:lineRule="auto"/>
        <w:jc w:val="both"/>
        <w:rPr>
          <w:rFonts w:ascii="Times New Roman" w:hAnsi="Times New Roman" w:cs="Times New Roman"/>
          <w:sz w:val="24"/>
        </w:rPr>
      </w:pPr>
      <w:r>
        <w:rPr>
          <w:rFonts w:ascii="Times New Roman" w:hAnsi="Times New Roman" w:cs="Times New Roman"/>
          <w:sz w:val="24"/>
        </w:rPr>
        <w:t>Sattarova, B. and Alieva, F., 2022. Equipment for capillary electrophoresis (cef) for the production of soft drinks in the food industry control method using. </w:t>
      </w:r>
      <w:r>
        <w:rPr>
          <w:rFonts w:ascii="Times New Roman" w:hAnsi="Times New Roman" w:cs="Times New Roman"/>
          <w:i/>
          <w:iCs/>
          <w:sz w:val="24"/>
        </w:rPr>
        <w:t>Innovative Technologica: Methodical Research Journal</w:t>
      </w:r>
      <w:r>
        <w:rPr>
          <w:rFonts w:ascii="Times New Roman" w:hAnsi="Times New Roman" w:cs="Times New Roman"/>
          <w:sz w:val="24"/>
        </w:rPr>
        <w:t>, </w:t>
      </w:r>
      <w:r>
        <w:rPr>
          <w:rFonts w:ascii="Times New Roman" w:hAnsi="Times New Roman" w:cs="Times New Roman"/>
          <w:i/>
          <w:iCs/>
          <w:sz w:val="24"/>
        </w:rPr>
        <w:t>3</w:t>
      </w:r>
      <w:r>
        <w:rPr>
          <w:rFonts w:ascii="Times New Roman" w:hAnsi="Times New Roman" w:cs="Times New Roman"/>
          <w:sz w:val="24"/>
        </w:rPr>
        <w:t>(01), pp.47-51.</w:t>
      </w:r>
    </w:p>
    <w:p>
      <w:pPr>
        <w:spacing w:line="360" w:lineRule="auto"/>
        <w:jc w:val="both"/>
        <w:rPr>
          <w:rFonts w:ascii="Times New Roman" w:hAnsi="Times New Roman" w:cs="Times New Roman"/>
          <w:sz w:val="24"/>
        </w:rPr>
      </w:pPr>
      <w:r>
        <w:rPr>
          <w:rFonts w:ascii="Times New Roman" w:hAnsi="Times New Roman" w:cs="Times New Roman"/>
          <w:sz w:val="24"/>
        </w:rPr>
        <w:t>Scarborough, P., Adhikari, V., Harrington, R.A., Elhussein, A., Briggs, A., Rayner, M., Adams, J., Cummins, S., Penney, T. and White, M., 2020. Impact of the announcement and implementation of the UK Soft Drinks Industry Levy on sugar content, price, product size and number of available soft drinks in the UK, 2015-19: A controlled interrupted time series analysis. </w:t>
      </w:r>
      <w:r>
        <w:rPr>
          <w:rFonts w:ascii="Times New Roman" w:hAnsi="Times New Roman" w:cs="Times New Roman"/>
          <w:i/>
          <w:iCs/>
          <w:sz w:val="24"/>
        </w:rPr>
        <w:t>PLoS medicine</w:t>
      </w:r>
      <w:r>
        <w:rPr>
          <w:rFonts w:ascii="Times New Roman" w:hAnsi="Times New Roman" w:cs="Times New Roman"/>
          <w:sz w:val="24"/>
        </w:rPr>
        <w:t>, </w:t>
      </w:r>
      <w:r>
        <w:rPr>
          <w:rFonts w:ascii="Times New Roman" w:hAnsi="Times New Roman" w:cs="Times New Roman"/>
          <w:i/>
          <w:iCs/>
          <w:sz w:val="24"/>
        </w:rPr>
        <w:t>17</w:t>
      </w:r>
      <w:r>
        <w:rPr>
          <w:rFonts w:ascii="Times New Roman" w:hAnsi="Times New Roman" w:cs="Times New Roman"/>
          <w:sz w:val="24"/>
        </w:rPr>
        <w:t>(2), p.e1003025.</w:t>
      </w:r>
    </w:p>
    <w:p>
      <w:pPr>
        <w:spacing w:line="360" w:lineRule="auto"/>
        <w:jc w:val="both"/>
        <w:rPr>
          <w:rFonts w:ascii="Times New Roman" w:hAnsi="Times New Roman" w:cs="Times New Roman"/>
          <w:sz w:val="24"/>
        </w:rPr>
      </w:pPr>
      <w:r>
        <w:rPr>
          <w:rFonts w:ascii="Times New Roman" w:hAnsi="Times New Roman" w:cs="Times New Roman"/>
          <w:sz w:val="24"/>
        </w:rPr>
        <w:t>Tahmassebi, J.F. and BaniHani, A., 2020. Impact of soft drinks to health and economy: a critical review. </w:t>
      </w:r>
      <w:r>
        <w:rPr>
          <w:rFonts w:ascii="Times New Roman" w:hAnsi="Times New Roman" w:cs="Times New Roman"/>
          <w:i/>
          <w:iCs/>
          <w:sz w:val="24"/>
        </w:rPr>
        <w:t>European archives of paediatric dentistry</w:t>
      </w:r>
      <w:r>
        <w:rPr>
          <w:rFonts w:ascii="Times New Roman" w:hAnsi="Times New Roman" w:cs="Times New Roman"/>
          <w:sz w:val="24"/>
        </w:rPr>
        <w:t>, </w:t>
      </w:r>
      <w:r>
        <w:rPr>
          <w:rFonts w:ascii="Times New Roman" w:hAnsi="Times New Roman" w:cs="Times New Roman"/>
          <w:i/>
          <w:iCs/>
          <w:sz w:val="24"/>
        </w:rPr>
        <w:t>21</w:t>
      </w:r>
      <w:r>
        <w:rPr>
          <w:rFonts w:ascii="Times New Roman" w:hAnsi="Times New Roman" w:cs="Times New Roman"/>
          <w:sz w:val="24"/>
        </w:rPr>
        <w:t>(1), pp.109-117.</w:t>
      </w:r>
    </w:p>
    <w:p>
      <w:pPr>
        <w:spacing w:line="360" w:lineRule="auto"/>
        <w:jc w:val="both"/>
        <w:rPr>
          <w:rFonts w:ascii="Times New Roman" w:hAnsi="Times New Roman" w:cs="Times New Roman"/>
          <w:sz w:val="24"/>
        </w:rPr>
      </w:pPr>
      <w:r>
        <w:rPr>
          <w:rFonts w:ascii="Times New Roman" w:hAnsi="Times New Roman" w:cs="Times New Roman"/>
          <w:sz w:val="24"/>
        </w:rPr>
        <w:t>Taifa, I.W., Makundi, E.D. and Mwaluko, G.S., 2021. Production quality improvement for the soft drinks bottling industry through Six Sigma methodology. </w:t>
      </w:r>
      <w:r>
        <w:rPr>
          <w:rFonts w:ascii="Times New Roman" w:hAnsi="Times New Roman" w:cs="Times New Roman"/>
          <w:i/>
          <w:iCs/>
          <w:sz w:val="24"/>
        </w:rPr>
        <w:t>International Journal of Industrial and Systems Engineering</w:t>
      </w:r>
      <w:r>
        <w:rPr>
          <w:rFonts w:ascii="Times New Roman" w:hAnsi="Times New Roman" w:cs="Times New Roman"/>
          <w:sz w:val="24"/>
        </w:rPr>
        <w:t>, </w:t>
      </w:r>
      <w:r>
        <w:rPr>
          <w:rFonts w:ascii="Times New Roman" w:hAnsi="Times New Roman" w:cs="Times New Roman"/>
          <w:i/>
          <w:iCs/>
          <w:sz w:val="24"/>
        </w:rPr>
        <w:t>39</w:t>
      </w:r>
      <w:r>
        <w:rPr>
          <w:rFonts w:ascii="Times New Roman" w:hAnsi="Times New Roman" w:cs="Times New Roman"/>
          <w:sz w:val="24"/>
        </w:rPr>
        <w:t>(4), pp.536-564.</w:t>
      </w:r>
    </w:p>
    <w:p>
      <w:pPr>
        <w:spacing w:line="360" w:lineRule="auto"/>
        <w:jc w:val="both"/>
        <w:rPr>
          <w:rFonts w:ascii="Times New Roman" w:hAnsi="Times New Roman" w:cs="Times New Roman"/>
          <w:b/>
          <w:sz w:val="24"/>
        </w:rPr>
      </w:pPr>
      <w:r>
        <w:rPr>
          <w:rFonts w:ascii="Times New Roman" w:hAnsi="Times New Roman" w:cs="Times New Roman"/>
          <w:b/>
          <w:sz w:val="24"/>
        </w:rPr>
        <w:t>Online articles</w:t>
      </w:r>
    </w:p>
    <w:p>
      <w:pPr>
        <w:spacing w:line="360" w:lineRule="auto"/>
        <w:jc w:val="both"/>
        <w:rPr>
          <w:rFonts w:ascii="Times New Roman" w:hAnsi="Times New Roman" w:cs="Times New Roman"/>
          <w:sz w:val="24"/>
        </w:rPr>
      </w:pPr>
      <w:r>
        <w:rPr>
          <w:rFonts w:ascii="Times New Roman" w:hAnsi="Times New Roman" w:cs="Times New Roman"/>
          <w:sz w:val="24"/>
        </w:rPr>
        <w:t>Bandy, L.K., Scarborough, P., Harrington, R.A., Rayner, M. and Jebb, S.A., 2020. Reductions in sugar sales from soft drinks in the UK from 2015 to 2018. </w:t>
      </w:r>
      <w:r>
        <w:rPr>
          <w:rFonts w:ascii="Times New Roman" w:hAnsi="Times New Roman" w:cs="Times New Roman"/>
          <w:i/>
          <w:iCs/>
          <w:sz w:val="24"/>
        </w:rPr>
        <w:t>BMC medicine</w:t>
      </w:r>
      <w:r>
        <w:rPr>
          <w:rFonts w:ascii="Times New Roman" w:hAnsi="Times New Roman" w:cs="Times New Roman"/>
          <w:sz w:val="24"/>
        </w:rPr>
        <w:t>, </w:t>
      </w:r>
      <w:r>
        <w:rPr>
          <w:rFonts w:ascii="Times New Roman" w:hAnsi="Times New Roman" w:cs="Times New Roman"/>
          <w:i/>
          <w:iCs/>
          <w:sz w:val="24"/>
        </w:rPr>
        <w:t>18</w:t>
      </w:r>
      <w:r>
        <w:rPr>
          <w:rFonts w:ascii="Times New Roman" w:hAnsi="Times New Roman" w:cs="Times New Roman"/>
          <w:sz w:val="24"/>
        </w:rPr>
        <w:t>(1), pp.1-10. Available at: https://bmcmedicine.biomedcentral.com/articles/10.1186/s12916-019-1477-4 [Accessed on: 24</w:t>
      </w:r>
      <w:r>
        <w:rPr>
          <w:rFonts w:ascii="Times New Roman" w:hAnsi="Times New Roman" w:cs="Times New Roman"/>
          <w:sz w:val="24"/>
          <w:vertAlign w:val="superscript"/>
        </w:rPr>
        <w:t>th</w:t>
      </w:r>
      <w:r>
        <w:rPr>
          <w:rFonts w:ascii="Times New Roman" w:hAnsi="Times New Roman" w:cs="Times New Roman"/>
          <w:sz w:val="24"/>
        </w:rPr>
        <w:t xml:space="preserve"> July 2022]</w:t>
      </w:r>
    </w:p>
    <w:p>
      <w:pPr>
        <w:spacing w:line="360" w:lineRule="auto"/>
        <w:jc w:val="both"/>
        <w:rPr>
          <w:rFonts w:ascii="Times New Roman" w:hAnsi="Times New Roman" w:cs="Times New Roman"/>
          <w:sz w:val="24"/>
        </w:rPr>
      </w:pPr>
      <w:r>
        <w:rPr>
          <w:rFonts w:ascii="Times New Roman" w:hAnsi="Times New Roman" w:cs="Times New Roman"/>
          <w:sz w:val="24"/>
        </w:rPr>
        <w:t>Pell, D., Penney, T.L., Mytton, O., Briggs, A., Cummins, S., Rayner, M., Rutter, H., Scarborough, P., Sharp, S.J., Smith, R.D. and White, M., 2020. Anticipatory changes in British household purchases of soft drinks associated with the announcement of the Soft Drinks Industry Levy: A controlled interrupted time series analysis. </w:t>
      </w:r>
      <w:r>
        <w:rPr>
          <w:rFonts w:ascii="Times New Roman" w:hAnsi="Times New Roman" w:cs="Times New Roman"/>
          <w:i/>
          <w:iCs/>
          <w:sz w:val="24"/>
        </w:rPr>
        <w:t>PLoS medicine</w:t>
      </w:r>
      <w:r>
        <w:rPr>
          <w:rFonts w:ascii="Times New Roman" w:hAnsi="Times New Roman" w:cs="Times New Roman"/>
          <w:sz w:val="24"/>
        </w:rPr>
        <w:t>, </w:t>
      </w:r>
      <w:r>
        <w:rPr>
          <w:rFonts w:ascii="Times New Roman" w:hAnsi="Times New Roman" w:cs="Times New Roman"/>
          <w:i/>
          <w:iCs/>
          <w:sz w:val="24"/>
        </w:rPr>
        <w:t>17</w:t>
      </w:r>
      <w:r>
        <w:rPr>
          <w:rFonts w:ascii="Times New Roman" w:hAnsi="Times New Roman" w:cs="Times New Roman"/>
          <w:sz w:val="24"/>
        </w:rPr>
        <w:t>(11), p.e1003269. Available at: https://journals.plos.org/plosmedicine/article?id=10.1371/journal.pmed.1003269/ [Accessed on: 24</w:t>
      </w:r>
      <w:r>
        <w:rPr>
          <w:rFonts w:ascii="Times New Roman" w:hAnsi="Times New Roman" w:cs="Times New Roman"/>
          <w:sz w:val="24"/>
          <w:vertAlign w:val="superscript"/>
        </w:rPr>
        <w:t>th</w:t>
      </w:r>
      <w:r>
        <w:rPr>
          <w:rFonts w:ascii="Times New Roman" w:hAnsi="Times New Roman" w:cs="Times New Roman"/>
          <w:sz w:val="24"/>
        </w:rPr>
        <w:t xml:space="preserve"> July 2022]</w:t>
      </w:r>
    </w:p>
    <w:p>
      <w:pPr>
        <w:spacing w:line="360" w:lineRule="auto"/>
        <w:jc w:val="both"/>
        <w:rPr>
          <w:rFonts w:ascii="Times New Roman" w:hAnsi="Times New Roman" w:cs="Times New Roman"/>
          <w:b/>
          <w:sz w:val="24"/>
        </w:rPr>
      </w:pPr>
      <w:r>
        <w:rPr>
          <w:rFonts w:ascii="Times New Roman" w:hAnsi="Times New Roman" w:cs="Times New Roman"/>
          <w:b/>
          <w:sz w:val="24"/>
        </w:rPr>
        <w:t>Websites</w:t>
      </w:r>
    </w:p>
    <w:p>
      <w:pPr>
        <w:spacing w:line="360" w:lineRule="auto"/>
        <w:jc w:val="both"/>
        <w:rPr>
          <w:rFonts w:ascii="Times New Roman" w:hAnsi="Times New Roman" w:cs="Times New Roman"/>
          <w:sz w:val="24"/>
        </w:rPr>
      </w:pPr>
      <w:r>
        <w:rPr>
          <w:rFonts w:ascii="Times New Roman" w:hAnsi="Times New Roman" w:cs="Times New Roman"/>
          <w:sz w:val="24"/>
        </w:rPr>
        <w:t xml:space="preserve">Statista.com, 2022. </w:t>
      </w:r>
      <w:r>
        <w:rPr>
          <w:rFonts w:ascii="Times New Roman" w:hAnsi="Times New Roman" w:cs="Times New Roman"/>
          <w:i/>
          <w:sz w:val="24"/>
        </w:rPr>
        <w:t>Market share of the Coca-Cola Company and other soft drink companies worldwide</w:t>
      </w:r>
      <w:r>
        <w:rPr>
          <w:rFonts w:ascii="Times New Roman" w:hAnsi="Times New Roman" w:cs="Times New Roman"/>
          <w:sz w:val="24"/>
        </w:rPr>
        <w:t xml:space="preserve"> Available at: https://www.statista.com/statistics/216888/global-market-share-of-coca-cola-and-other-soft-drink-companies-2010/ [Accessed on: 24</w:t>
      </w:r>
      <w:r>
        <w:rPr>
          <w:rFonts w:ascii="Times New Roman" w:hAnsi="Times New Roman" w:cs="Times New Roman"/>
          <w:sz w:val="24"/>
          <w:vertAlign w:val="superscript"/>
        </w:rPr>
        <w:t>th</w:t>
      </w:r>
      <w:r>
        <w:rPr>
          <w:rFonts w:ascii="Times New Roman" w:hAnsi="Times New Roman" w:cs="Times New Roman"/>
          <w:sz w:val="24"/>
        </w:rPr>
        <w:t xml:space="preserve"> July 2022]</w:t>
      </w:r>
    </w:p>
    <w:p>
      <w:pPr>
        <w:pStyle w:val="3"/>
        <w:spacing w:line="360" w:lineRule="auto"/>
        <w:jc w:val="both"/>
        <w:rPr>
          <w:rFonts w:ascii="Times New Roman" w:hAnsi="Times New Roman" w:eastAsia="Times New Roman" w:cs="Times New Roman"/>
          <w:sz w:val="24"/>
          <w:szCs w:val="24"/>
          <w:highlight w:val="white"/>
          <w:lang w:val="en-GB"/>
        </w:rPr>
      </w:pPr>
    </w:p>
    <w:sectPr>
      <w:footerReference r:id="rId3" w:type="default"/>
      <w:pgSz w:w="12240" w:h="15840"/>
      <w:pgMar w:top="1440" w:right="1440" w:bottom="1440" w:left="1440" w:header="720"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86"/>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AFF" w:usb1="C000605B" w:usb2="00000029" w:usb3="00000000" w:csb0="200101FF" w:csb1="20280000"/>
  </w:font>
  <w:font w:name="Hiragino Sans GB">
    <w:panose1 w:val="020B0300000000000000"/>
    <w:charset w:val="86"/>
    <w:family w:val="auto"/>
    <w:pitch w:val="default"/>
    <w:sig w:usb0="A00002BF" w:usb1="1ACF7CFA" w:usb2="00000016" w:usb3="00000000" w:csb0="00060007" w:csb1="00000000"/>
  </w:font>
  <w:font w:name="SimSun">
    <w:altName w:val="宋体-简"/>
    <w:panose1 w:val="02010600030101010101"/>
    <w:charset w:val="86"/>
    <w:family w:val="auto"/>
    <w:pitch w:val="default"/>
    <w:sig w:usb0="00000000" w:usb1="00000000" w:usb2="00000010" w:usb3="00000000" w:csb0="00040001"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80000087" w:usb1="00002068" w:usb2="00000000"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70515"/>
    </w:sdtPr>
    <w:sdtContent>
      <w:p>
        <w:pPr>
          <w:pStyle w:val="11"/>
          <w:spacing w:line="360" w:lineRule="auto"/>
          <w:jc w:val="right"/>
        </w:pPr>
        <w:r>
          <w:rPr>
            <w:rFonts w:ascii="Times New Roman" w:hAnsi="Times New Roman" w:cs="Times New Roman"/>
            <w:color w:val="000000" w:themeColor="text1"/>
            <w:sz w:val="20"/>
          </w:rPr>
          <w:fldChar w:fldCharType="begin"/>
        </w:r>
        <w:r>
          <w:rPr>
            <w:rFonts w:ascii="Times New Roman" w:hAnsi="Times New Roman" w:cs="Times New Roman"/>
            <w:color w:val="000000" w:themeColor="text1"/>
            <w:sz w:val="20"/>
          </w:rPr>
          <w:instrText xml:space="preserve"> PAGE   \* MERGEFORMAT </w:instrText>
        </w:r>
        <w:r>
          <w:rPr>
            <w:rFonts w:ascii="Times New Roman" w:hAnsi="Times New Roman" w:cs="Times New Roman"/>
            <w:color w:val="000000" w:themeColor="text1"/>
            <w:sz w:val="20"/>
          </w:rPr>
          <w:fldChar w:fldCharType="separate"/>
        </w:r>
        <w:r>
          <w:rPr>
            <w:rFonts w:ascii="Times New Roman" w:hAnsi="Times New Roman" w:cs="Times New Roman"/>
            <w:color w:val="000000" w:themeColor="text1"/>
            <w:sz w:val="20"/>
          </w:rPr>
          <w:t>10</w:t>
        </w:r>
        <w:r>
          <w:rPr>
            <w:rFonts w:ascii="Times New Roman" w:hAnsi="Times New Roman" w:cs="Times New Roman"/>
            <w:color w:val="000000" w:themeColor="text1"/>
            <w:sz w:val="20"/>
          </w:rPr>
          <w:fldChar w:fldCharType="end"/>
        </w:r>
      </w:p>
    </w:sdtContent>
  </w:sdt>
  <w:p>
    <w:pPr>
      <w:pStyle w:val="11"/>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2"/>
  </w:compat>
  <w:rsids>
    <w:rsidRoot w:val="0021108F"/>
    <w:rsid w:val="000413D6"/>
    <w:rsid w:val="00050D39"/>
    <w:rsid w:val="001168C2"/>
    <w:rsid w:val="001E5096"/>
    <w:rsid w:val="001F4F36"/>
    <w:rsid w:val="0021108F"/>
    <w:rsid w:val="002D68D6"/>
    <w:rsid w:val="002D6FAA"/>
    <w:rsid w:val="00323E74"/>
    <w:rsid w:val="00346C74"/>
    <w:rsid w:val="00392C13"/>
    <w:rsid w:val="003D55DE"/>
    <w:rsid w:val="00423E44"/>
    <w:rsid w:val="004C5FE7"/>
    <w:rsid w:val="004F1C01"/>
    <w:rsid w:val="005C052A"/>
    <w:rsid w:val="00605F6D"/>
    <w:rsid w:val="00623186"/>
    <w:rsid w:val="0066486D"/>
    <w:rsid w:val="00696769"/>
    <w:rsid w:val="00755D48"/>
    <w:rsid w:val="0084404D"/>
    <w:rsid w:val="00847048"/>
    <w:rsid w:val="00945DE4"/>
    <w:rsid w:val="00A67E6C"/>
    <w:rsid w:val="00A9488C"/>
    <w:rsid w:val="00AD776A"/>
    <w:rsid w:val="00B163C3"/>
    <w:rsid w:val="00B40379"/>
    <w:rsid w:val="00CD046E"/>
    <w:rsid w:val="00E1320F"/>
    <w:rsid w:val="00EE06B6"/>
    <w:rsid w:val="00F106AF"/>
    <w:rsid w:val="00F720F2"/>
    <w:rsid w:val="00F85678"/>
    <w:rsid w:val="00FD6BA1"/>
    <w:rsid w:val="3BE742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qFormat/>
    <w:uiPriority w:val="0"/>
    <w:pPr>
      <w:keepNext/>
      <w:keepLines/>
      <w:spacing w:before="400" w:after="120" w:line="360" w:lineRule="auto"/>
      <w:jc w:val="both"/>
      <w:outlineLvl w:val="0"/>
    </w:pPr>
    <w:rPr>
      <w:rFonts w:ascii="Times New Roman" w:hAnsi="Times New Roman"/>
      <w:b/>
      <w:color w:val="000000" w:themeColor="text1"/>
      <w:sz w:val="28"/>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16">
    <w:name w:val="Default Paragraph Font"/>
    <w:unhideWhenUsed/>
    <w:qFormat/>
    <w:uiPriority w:val="1"/>
  </w:style>
  <w:style w:type="table" w:default="1" w:styleId="19">
    <w:name w:val="Normal Table"/>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276" w:lineRule="auto"/>
    </w:pPr>
    <w:rPr>
      <w:rFonts w:ascii="Arial" w:hAnsi="Arial" w:eastAsia="Arial" w:cs="Arial"/>
      <w:sz w:val="22"/>
      <w:szCs w:val="22"/>
      <w:lang w:val="en-US" w:eastAsia="en-US" w:bidi="ar-SA"/>
    </w:rPr>
  </w:style>
  <w:style w:type="paragraph" w:styleId="9">
    <w:name w:val="Balloon Text"/>
    <w:basedOn w:val="1"/>
    <w:link w:val="22"/>
    <w:unhideWhenUsed/>
    <w:qFormat/>
    <w:uiPriority w:val="99"/>
    <w:pPr>
      <w:spacing w:line="240" w:lineRule="auto"/>
    </w:pPr>
    <w:rPr>
      <w:rFonts w:ascii="Tahoma" w:hAnsi="Tahoma" w:cs="Tahoma"/>
      <w:sz w:val="16"/>
      <w:szCs w:val="16"/>
    </w:rPr>
  </w:style>
  <w:style w:type="paragraph" w:styleId="10">
    <w:name w:val="annotation text"/>
    <w:basedOn w:val="1"/>
    <w:link w:val="21"/>
    <w:unhideWhenUsed/>
    <w:qFormat/>
    <w:uiPriority w:val="99"/>
    <w:pPr>
      <w:spacing w:line="240" w:lineRule="auto"/>
    </w:pPr>
    <w:rPr>
      <w:sz w:val="20"/>
      <w:szCs w:val="20"/>
    </w:rPr>
  </w:style>
  <w:style w:type="paragraph" w:styleId="11">
    <w:name w:val="footer"/>
    <w:basedOn w:val="1"/>
    <w:link w:val="24"/>
    <w:unhideWhenUsed/>
    <w:qFormat/>
    <w:uiPriority w:val="99"/>
    <w:pPr>
      <w:tabs>
        <w:tab w:val="center" w:pos="4680"/>
        <w:tab w:val="right" w:pos="9360"/>
      </w:tabs>
      <w:spacing w:line="240" w:lineRule="auto"/>
    </w:pPr>
  </w:style>
  <w:style w:type="paragraph" w:styleId="12">
    <w:name w:val="header"/>
    <w:basedOn w:val="1"/>
    <w:link w:val="23"/>
    <w:unhideWhenUsed/>
    <w:qFormat/>
    <w:uiPriority w:val="99"/>
    <w:pPr>
      <w:tabs>
        <w:tab w:val="center" w:pos="4680"/>
        <w:tab w:val="right" w:pos="9360"/>
      </w:tabs>
      <w:spacing w:line="240" w:lineRule="auto"/>
    </w:pPr>
  </w:style>
  <w:style w:type="paragraph" w:styleId="13">
    <w:name w:val="Subtitle"/>
    <w:basedOn w:val="3"/>
    <w:next w:val="3"/>
    <w:qFormat/>
    <w:uiPriority w:val="0"/>
    <w:pPr>
      <w:keepNext/>
      <w:keepLines/>
      <w:spacing w:after="320"/>
    </w:pPr>
    <w:rPr>
      <w:color w:val="666666"/>
      <w:sz w:val="30"/>
      <w:szCs w:val="30"/>
    </w:rPr>
  </w:style>
  <w:style w:type="paragraph" w:styleId="14">
    <w:name w:val="Title"/>
    <w:basedOn w:val="3"/>
    <w:next w:val="3"/>
    <w:qFormat/>
    <w:uiPriority w:val="0"/>
    <w:pPr>
      <w:keepNext/>
      <w:keepLines/>
      <w:spacing w:after="60"/>
    </w:pPr>
    <w:rPr>
      <w:sz w:val="52"/>
      <w:szCs w:val="52"/>
    </w:rPr>
  </w:style>
  <w:style w:type="paragraph" w:styleId="15">
    <w:name w:val="toc 1"/>
    <w:basedOn w:val="1"/>
    <w:next w:val="1"/>
    <w:unhideWhenUsed/>
    <w:qFormat/>
    <w:uiPriority w:val="39"/>
    <w:pPr>
      <w:spacing w:after="100"/>
    </w:pPr>
  </w:style>
  <w:style w:type="character" w:styleId="17">
    <w:name w:val="annotation reference"/>
    <w:basedOn w:val="16"/>
    <w:unhideWhenUsed/>
    <w:qFormat/>
    <w:uiPriority w:val="99"/>
    <w:rPr>
      <w:sz w:val="16"/>
      <w:szCs w:val="16"/>
    </w:rPr>
  </w:style>
  <w:style w:type="character" w:styleId="18">
    <w:name w:val="Hyperlink"/>
    <w:basedOn w:val="16"/>
    <w:unhideWhenUsed/>
    <w:qFormat/>
    <w:uiPriority w:val="99"/>
    <w:rPr>
      <w:color w:val="0000FF" w:themeColor="hyperlink"/>
      <w:u w:val="single"/>
    </w:rPr>
  </w:style>
  <w:style w:type="table" w:customStyle="1" w:styleId="20">
    <w:name w:val="a"/>
    <w:basedOn w:val="19"/>
    <w:qFormat/>
    <w:uiPriority w:val="0"/>
    <w:tblPr>
      <w:tblCellMar>
        <w:top w:w="100" w:type="dxa"/>
        <w:left w:w="100" w:type="dxa"/>
        <w:bottom w:w="100" w:type="dxa"/>
        <w:right w:w="100" w:type="dxa"/>
      </w:tblCellMar>
    </w:tblPr>
  </w:style>
  <w:style w:type="character" w:customStyle="1" w:styleId="21">
    <w:name w:val="Comment Text Char"/>
    <w:basedOn w:val="16"/>
    <w:link w:val="10"/>
    <w:semiHidden/>
    <w:qFormat/>
    <w:uiPriority w:val="99"/>
    <w:rPr>
      <w:sz w:val="20"/>
      <w:szCs w:val="20"/>
    </w:rPr>
  </w:style>
  <w:style w:type="character" w:customStyle="1" w:styleId="22">
    <w:name w:val="Balloon Text Char"/>
    <w:basedOn w:val="16"/>
    <w:link w:val="9"/>
    <w:semiHidden/>
    <w:qFormat/>
    <w:uiPriority w:val="99"/>
    <w:rPr>
      <w:rFonts w:ascii="Tahoma" w:hAnsi="Tahoma" w:cs="Tahoma"/>
      <w:sz w:val="16"/>
      <w:szCs w:val="16"/>
    </w:rPr>
  </w:style>
  <w:style w:type="character" w:customStyle="1" w:styleId="23">
    <w:name w:val="Header Char"/>
    <w:basedOn w:val="16"/>
    <w:link w:val="12"/>
    <w:semiHidden/>
    <w:qFormat/>
    <w:uiPriority w:val="99"/>
  </w:style>
  <w:style w:type="character" w:customStyle="1" w:styleId="24">
    <w:name w:val="Footer Char"/>
    <w:basedOn w:val="16"/>
    <w:link w:val="11"/>
    <w:qFormat/>
    <w:uiPriority w:val="99"/>
  </w:style>
  <w:style w:type="paragraph" w:customStyle="1" w:styleId="25">
    <w:name w:val="TOC Heading"/>
    <w:basedOn w:val="2"/>
    <w:next w:val="1"/>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2732</Words>
  <Characters>15576</Characters>
  <Lines>129</Lines>
  <Paragraphs>36</Paragraphs>
  <TotalTime>0</TotalTime>
  <ScaleCrop>false</ScaleCrop>
  <LinksUpToDate>false</LinksUpToDate>
  <CharactersWithSpaces>18272</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2022-07-24T05:18:00Z</dcterms:created>
  <dc:creator>Data</dc:creator>
  <cp:lastModifiedBy>owner</cp:lastModifiedBy>
  <dcterms:modified xsi:type="dcterms:W3CDTF">2022-08-02T10:10:07Z</dcterms:modified>
  <cp:revision>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