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7C8187A7" w:rsidR="00C558B0" w:rsidRPr="007A3327" w:rsidRDefault="00C558B0" w:rsidP="00C558B0">
      <w:pPr>
        <w:tabs>
          <w:tab w:val="left" w:pos="6540"/>
        </w:tabs>
        <w:spacing w:line="360" w:lineRule="auto"/>
        <w:rPr>
          <w:rFonts w:ascii="Arial" w:hAnsi="Arial" w:cs="Arial"/>
          <w:sz w:val="28"/>
          <w:szCs w:val="28"/>
          <w:lang w:val="nl-NL"/>
        </w:rPr>
      </w:pPr>
      <w:r w:rsidRPr="007A3327">
        <w:rPr>
          <w:rFonts w:ascii="Arial" w:hAnsi="Arial" w:cs="Arial"/>
          <w:b/>
          <w:bCs/>
          <w:sz w:val="28"/>
          <w:szCs w:val="28"/>
          <w:lang w:val="nl-NL"/>
        </w:rPr>
        <w:t>Student name</w:t>
      </w:r>
      <w:r w:rsidRPr="007A3327">
        <w:rPr>
          <w:rFonts w:ascii="Arial" w:hAnsi="Arial" w:cs="Arial"/>
          <w:sz w:val="28"/>
          <w:szCs w:val="28"/>
          <w:lang w:val="nl-NL"/>
        </w:rPr>
        <w:t>:</w:t>
      </w:r>
      <w:r w:rsidR="007A3327" w:rsidRPr="007A3327">
        <w:rPr>
          <w:rFonts w:ascii="Arial" w:hAnsi="Arial" w:cs="Arial"/>
          <w:sz w:val="28"/>
          <w:szCs w:val="28"/>
          <w:lang w:val="nl-NL"/>
        </w:rPr>
        <w:t xml:space="preserve"> Ha</w:t>
      </w:r>
      <w:r w:rsidR="007A3327">
        <w:rPr>
          <w:rFonts w:ascii="Arial" w:hAnsi="Arial" w:cs="Arial"/>
          <w:sz w:val="28"/>
          <w:szCs w:val="28"/>
          <w:lang w:val="nl-NL"/>
        </w:rPr>
        <w:t>zel Rodriguez</w:t>
      </w:r>
    </w:p>
    <w:p w14:paraId="18D88AE2" w14:textId="0DAB0905" w:rsidR="00C558B0" w:rsidRPr="00F9569A" w:rsidRDefault="00C558B0" w:rsidP="00C558B0">
      <w:pPr>
        <w:tabs>
          <w:tab w:val="left" w:pos="6540"/>
        </w:tabs>
        <w:spacing w:line="360" w:lineRule="auto"/>
        <w:rPr>
          <w:rFonts w:ascii="Arial" w:hAnsi="Arial" w:cs="Arial"/>
          <w:sz w:val="28"/>
          <w:szCs w:val="28"/>
          <w:lang w:val="nl-NL"/>
        </w:rPr>
      </w:pPr>
      <w:r w:rsidRPr="00F9569A">
        <w:rPr>
          <w:rFonts w:ascii="Arial" w:hAnsi="Arial" w:cs="Arial"/>
          <w:b/>
          <w:bCs/>
          <w:sz w:val="28"/>
          <w:szCs w:val="28"/>
          <w:lang w:val="nl-NL"/>
        </w:rPr>
        <w:t>Student ID</w:t>
      </w:r>
      <w:r w:rsidRPr="00F9569A">
        <w:rPr>
          <w:rFonts w:ascii="Arial" w:hAnsi="Arial" w:cs="Arial"/>
          <w:sz w:val="28"/>
          <w:szCs w:val="28"/>
          <w:lang w:val="nl-NL"/>
        </w:rPr>
        <w:t>:</w:t>
      </w:r>
      <w:r w:rsidR="007A3327" w:rsidRPr="00F9569A">
        <w:rPr>
          <w:rFonts w:ascii="Arial" w:hAnsi="Arial" w:cs="Arial"/>
          <w:sz w:val="28"/>
          <w:szCs w:val="28"/>
          <w:lang w:val="nl-NL"/>
        </w:rPr>
        <w:t xml:space="preserve"> 2430331</w:t>
      </w:r>
    </w:p>
    <w:p w14:paraId="4654C81C" w14:textId="77777777" w:rsidR="00C558B0" w:rsidRPr="00F9569A" w:rsidRDefault="00C558B0" w:rsidP="00C558B0">
      <w:pPr>
        <w:tabs>
          <w:tab w:val="left" w:pos="6540"/>
        </w:tabs>
        <w:spacing w:line="360" w:lineRule="auto"/>
        <w:rPr>
          <w:rFonts w:ascii="Arial" w:hAnsi="Arial" w:cs="Arial"/>
          <w:sz w:val="28"/>
          <w:szCs w:val="28"/>
          <w:lang w:val="nl-NL"/>
        </w:rPr>
      </w:pPr>
    </w:p>
    <w:p w14:paraId="3D8DA301" w14:textId="58DE090B" w:rsidR="00C558B0" w:rsidRPr="007A3327" w:rsidRDefault="00C558B0" w:rsidP="00C558B0">
      <w:pPr>
        <w:tabs>
          <w:tab w:val="left" w:pos="6540"/>
        </w:tabs>
        <w:spacing w:line="360" w:lineRule="auto"/>
        <w:rPr>
          <w:rFonts w:ascii="Arial" w:hAnsi="Arial" w:cs="Arial"/>
          <w:sz w:val="28"/>
          <w:szCs w:val="28"/>
        </w:rPr>
      </w:pPr>
      <w:r w:rsidRPr="007A3327">
        <w:rPr>
          <w:rFonts w:ascii="Arial" w:hAnsi="Arial" w:cs="Arial"/>
          <w:b/>
          <w:bCs/>
          <w:sz w:val="28"/>
          <w:szCs w:val="28"/>
        </w:rPr>
        <w:t>Module name</w:t>
      </w:r>
      <w:r w:rsidRPr="007A3327">
        <w:rPr>
          <w:rFonts w:ascii="Arial" w:hAnsi="Arial" w:cs="Arial"/>
          <w:sz w:val="28"/>
          <w:szCs w:val="28"/>
        </w:rPr>
        <w:t xml:space="preserve">: </w:t>
      </w:r>
      <w:r w:rsidR="007A3327">
        <w:rPr>
          <w:rFonts w:ascii="Arial" w:hAnsi="Arial" w:cs="Arial"/>
          <w:sz w:val="28"/>
          <w:szCs w:val="28"/>
        </w:rPr>
        <w:t>Principles of health and social care</w:t>
      </w:r>
    </w:p>
    <w:p w14:paraId="7DB3261D" w14:textId="6C2F3E8B"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7A3327">
        <w:rPr>
          <w:rFonts w:ascii="Arial" w:hAnsi="Arial" w:cs="Arial"/>
          <w:sz w:val="28"/>
          <w:szCs w:val="28"/>
        </w:rPr>
        <w:t xml:space="preserve"> </w:t>
      </w:r>
      <w:r w:rsidR="007A3327" w:rsidRPr="007A3327">
        <w:rPr>
          <w:rFonts w:ascii="Arial" w:hAnsi="Arial" w:cs="Arial"/>
          <w:sz w:val="28"/>
          <w:szCs w:val="28"/>
        </w:rPr>
        <w:t>BMHP5016_LON</w:t>
      </w:r>
    </w:p>
    <w:p w14:paraId="5CCA350C" w14:textId="362A741F"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7A3327">
        <w:rPr>
          <w:rFonts w:ascii="Arial" w:hAnsi="Arial" w:cs="Arial"/>
          <w:sz w:val="28"/>
          <w:szCs w:val="28"/>
        </w:rPr>
        <w:t xml:space="preserve"> </w:t>
      </w:r>
      <w:r w:rsidR="00F9569A" w:rsidRPr="00F9569A">
        <w:rPr>
          <w:rFonts w:ascii="Arial" w:hAnsi="Arial" w:cs="Arial"/>
          <w:sz w:val="28"/>
          <w:szCs w:val="28"/>
        </w:rPr>
        <w:t xml:space="preserve">Dr </w:t>
      </w:r>
      <w:proofErr w:type="spellStart"/>
      <w:r w:rsidR="00F9569A" w:rsidRPr="00F9569A">
        <w:rPr>
          <w:rFonts w:ascii="Arial" w:hAnsi="Arial" w:cs="Arial"/>
          <w:sz w:val="28"/>
          <w:szCs w:val="28"/>
        </w:rPr>
        <w:t>Itse</w:t>
      </w:r>
      <w:proofErr w:type="spellEnd"/>
      <w:r w:rsidR="00F9569A" w:rsidRPr="00F9569A">
        <w:rPr>
          <w:rFonts w:ascii="Arial" w:hAnsi="Arial" w:cs="Arial"/>
          <w:sz w:val="28"/>
          <w:szCs w:val="28"/>
        </w:rPr>
        <w:t xml:space="preserve"> Olaoye</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6E6FDC8E" w:rsidR="00F9569A" w:rsidRDefault="006D2F2D" w:rsidP="004A5A64">
      <w:pPr>
        <w:spacing w:line="360" w:lineRule="auto"/>
        <w:rPr>
          <w:sz w:val="23"/>
          <w:szCs w:val="23"/>
        </w:rPr>
      </w:pPr>
      <w:r w:rsidRPr="004A5A64">
        <w:rPr>
          <w:sz w:val="23"/>
          <w:szCs w:val="23"/>
        </w:rPr>
        <w:br w:type="page"/>
      </w:r>
    </w:p>
    <w:p w14:paraId="3C2FE8DD" w14:textId="62C15540" w:rsidR="00F9569A" w:rsidRDefault="00F9569A">
      <w:pPr>
        <w:spacing w:line="259" w:lineRule="auto"/>
        <w:rPr>
          <w:sz w:val="23"/>
          <w:szCs w:val="23"/>
        </w:rPr>
      </w:pPr>
    </w:p>
    <w:sdt>
      <w:sdtPr>
        <w:id w:val="-1870829899"/>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15053ACF" w14:textId="14574CB2" w:rsidR="00F9569A" w:rsidRDefault="00F9569A">
          <w:pPr>
            <w:pStyle w:val="TOCHeading"/>
          </w:pPr>
          <w:r>
            <w:t>Contents</w:t>
          </w:r>
        </w:p>
        <w:p w14:paraId="12E439A3" w14:textId="11F8027C" w:rsidR="00F9569A" w:rsidRDefault="00F9569A">
          <w:pPr>
            <w:pStyle w:val="TOC1"/>
            <w:tabs>
              <w:tab w:val="right" w:leader="dot" w:pos="9016"/>
            </w:tabs>
            <w:rPr>
              <w:noProof/>
            </w:rPr>
          </w:pPr>
          <w:r>
            <w:fldChar w:fldCharType="begin"/>
          </w:r>
          <w:r>
            <w:instrText xml:space="preserve"> TOC \o "1-3" \h \z \u </w:instrText>
          </w:r>
          <w:r>
            <w:fldChar w:fldCharType="separate"/>
          </w:r>
          <w:hyperlink w:anchor="_Toc236990373" w:history="1">
            <w:r w:rsidRPr="00DC51F3">
              <w:rPr>
                <w:rStyle w:val="Hyperlink"/>
                <w:noProof/>
              </w:rPr>
              <w:t>Introduction</w:t>
            </w:r>
            <w:r>
              <w:rPr>
                <w:noProof/>
                <w:webHidden/>
              </w:rPr>
              <w:tab/>
            </w:r>
            <w:r>
              <w:rPr>
                <w:noProof/>
                <w:webHidden/>
              </w:rPr>
              <w:fldChar w:fldCharType="begin"/>
            </w:r>
            <w:r>
              <w:rPr>
                <w:noProof/>
                <w:webHidden/>
              </w:rPr>
              <w:instrText xml:space="preserve"> PAGEREF _Toc236990373 \h </w:instrText>
            </w:r>
            <w:r>
              <w:rPr>
                <w:noProof/>
                <w:webHidden/>
              </w:rPr>
            </w:r>
            <w:r>
              <w:rPr>
                <w:noProof/>
                <w:webHidden/>
              </w:rPr>
              <w:fldChar w:fldCharType="separate"/>
            </w:r>
            <w:r>
              <w:rPr>
                <w:noProof/>
                <w:webHidden/>
              </w:rPr>
              <w:t>2</w:t>
            </w:r>
            <w:r>
              <w:rPr>
                <w:noProof/>
                <w:webHidden/>
              </w:rPr>
              <w:fldChar w:fldCharType="end"/>
            </w:r>
          </w:hyperlink>
        </w:p>
        <w:p w14:paraId="5883D8B0" w14:textId="4D44E1A5" w:rsidR="00F9569A" w:rsidRDefault="00F9569A">
          <w:pPr>
            <w:pStyle w:val="TOC1"/>
            <w:tabs>
              <w:tab w:val="right" w:leader="dot" w:pos="9016"/>
            </w:tabs>
            <w:rPr>
              <w:noProof/>
            </w:rPr>
          </w:pPr>
          <w:hyperlink w:anchor="_Toc236990374" w:history="1">
            <w:r w:rsidRPr="00DC51F3">
              <w:rPr>
                <w:rStyle w:val="Hyperlink"/>
                <w:b/>
                <w:bCs/>
                <w:noProof/>
              </w:rPr>
              <w:t>The development of the chosen concept</w:t>
            </w:r>
            <w:r>
              <w:rPr>
                <w:noProof/>
                <w:webHidden/>
              </w:rPr>
              <w:tab/>
            </w:r>
            <w:r>
              <w:rPr>
                <w:noProof/>
                <w:webHidden/>
              </w:rPr>
              <w:fldChar w:fldCharType="begin"/>
            </w:r>
            <w:r>
              <w:rPr>
                <w:noProof/>
                <w:webHidden/>
              </w:rPr>
              <w:instrText xml:space="preserve"> PAGEREF _Toc236990374 \h </w:instrText>
            </w:r>
            <w:r>
              <w:rPr>
                <w:noProof/>
                <w:webHidden/>
              </w:rPr>
            </w:r>
            <w:r>
              <w:rPr>
                <w:noProof/>
                <w:webHidden/>
              </w:rPr>
              <w:fldChar w:fldCharType="separate"/>
            </w:r>
            <w:r>
              <w:rPr>
                <w:noProof/>
                <w:webHidden/>
              </w:rPr>
              <w:t>3</w:t>
            </w:r>
            <w:r>
              <w:rPr>
                <w:noProof/>
                <w:webHidden/>
              </w:rPr>
              <w:fldChar w:fldCharType="end"/>
            </w:r>
          </w:hyperlink>
        </w:p>
        <w:p w14:paraId="551CB3CC" w14:textId="7030D630" w:rsidR="00F9569A" w:rsidRDefault="00F9569A">
          <w:pPr>
            <w:pStyle w:val="TOC1"/>
            <w:tabs>
              <w:tab w:val="right" w:leader="dot" w:pos="9016"/>
            </w:tabs>
            <w:rPr>
              <w:noProof/>
            </w:rPr>
          </w:pPr>
          <w:hyperlink w:anchor="_Toc236990375" w:history="1">
            <w:r w:rsidRPr="00DC51F3">
              <w:rPr>
                <w:rStyle w:val="Hyperlink"/>
                <w:noProof/>
              </w:rPr>
              <w:t>Application of the concept in practice</w:t>
            </w:r>
            <w:r>
              <w:rPr>
                <w:noProof/>
                <w:webHidden/>
              </w:rPr>
              <w:tab/>
            </w:r>
            <w:r>
              <w:rPr>
                <w:noProof/>
                <w:webHidden/>
              </w:rPr>
              <w:fldChar w:fldCharType="begin"/>
            </w:r>
            <w:r>
              <w:rPr>
                <w:noProof/>
                <w:webHidden/>
              </w:rPr>
              <w:instrText xml:space="preserve"> PAGEREF _Toc236990375 \h </w:instrText>
            </w:r>
            <w:r>
              <w:rPr>
                <w:noProof/>
                <w:webHidden/>
              </w:rPr>
            </w:r>
            <w:r>
              <w:rPr>
                <w:noProof/>
                <w:webHidden/>
              </w:rPr>
              <w:fldChar w:fldCharType="separate"/>
            </w:r>
            <w:r>
              <w:rPr>
                <w:noProof/>
                <w:webHidden/>
              </w:rPr>
              <w:t>4</w:t>
            </w:r>
            <w:r>
              <w:rPr>
                <w:noProof/>
                <w:webHidden/>
              </w:rPr>
              <w:fldChar w:fldCharType="end"/>
            </w:r>
          </w:hyperlink>
        </w:p>
        <w:p w14:paraId="492A8D79" w14:textId="3C821612" w:rsidR="00F9569A" w:rsidRDefault="00F9569A">
          <w:pPr>
            <w:pStyle w:val="TOC1"/>
            <w:tabs>
              <w:tab w:val="right" w:leader="dot" w:pos="9016"/>
            </w:tabs>
            <w:rPr>
              <w:noProof/>
            </w:rPr>
          </w:pPr>
          <w:hyperlink w:anchor="_Toc236990376" w:history="1">
            <w:r w:rsidRPr="00DC51F3">
              <w:rPr>
                <w:rStyle w:val="Hyperlink"/>
                <w:noProof/>
              </w:rPr>
              <w:t>Recommendations for policy and practice</w:t>
            </w:r>
            <w:r>
              <w:rPr>
                <w:noProof/>
                <w:webHidden/>
              </w:rPr>
              <w:tab/>
            </w:r>
            <w:r>
              <w:rPr>
                <w:noProof/>
                <w:webHidden/>
              </w:rPr>
              <w:fldChar w:fldCharType="begin"/>
            </w:r>
            <w:r>
              <w:rPr>
                <w:noProof/>
                <w:webHidden/>
              </w:rPr>
              <w:instrText xml:space="preserve"> PAGEREF _Toc236990376 \h </w:instrText>
            </w:r>
            <w:r>
              <w:rPr>
                <w:noProof/>
                <w:webHidden/>
              </w:rPr>
            </w:r>
            <w:r>
              <w:rPr>
                <w:noProof/>
                <w:webHidden/>
              </w:rPr>
              <w:fldChar w:fldCharType="separate"/>
            </w:r>
            <w:r>
              <w:rPr>
                <w:noProof/>
                <w:webHidden/>
              </w:rPr>
              <w:t>6</w:t>
            </w:r>
            <w:r>
              <w:rPr>
                <w:noProof/>
                <w:webHidden/>
              </w:rPr>
              <w:fldChar w:fldCharType="end"/>
            </w:r>
          </w:hyperlink>
        </w:p>
        <w:p w14:paraId="0082382C" w14:textId="3435650F" w:rsidR="00F9569A" w:rsidRDefault="00F9569A">
          <w:pPr>
            <w:pStyle w:val="TOC1"/>
            <w:tabs>
              <w:tab w:val="right" w:leader="dot" w:pos="9016"/>
            </w:tabs>
            <w:rPr>
              <w:noProof/>
            </w:rPr>
          </w:pPr>
          <w:hyperlink w:anchor="_Toc236990377" w:history="1">
            <w:r w:rsidRPr="00DC51F3">
              <w:rPr>
                <w:rStyle w:val="Hyperlink"/>
                <w:noProof/>
              </w:rPr>
              <w:t>Conclusion</w:t>
            </w:r>
            <w:r>
              <w:rPr>
                <w:noProof/>
                <w:webHidden/>
              </w:rPr>
              <w:tab/>
            </w:r>
            <w:r>
              <w:rPr>
                <w:noProof/>
                <w:webHidden/>
              </w:rPr>
              <w:fldChar w:fldCharType="begin"/>
            </w:r>
            <w:r>
              <w:rPr>
                <w:noProof/>
                <w:webHidden/>
              </w:rPr>
              <w:instrText xml:space="preserve"> PAGEREF _Toc236990377 \h </w:instrText>
            </w:r>
            <w:r>
              <w:rPr>
                <w:noProof/>
                <w:webHidden/>
              </w:rPr>
            </w:r>
            <w:r>
              <w:rPr>
                <w:noProof/>
                <w:webHidden/>
              </w:rPr>
              <w:fldChar w:fldCharType="separate"/>
            </w:r>
            <w:r>
              <w:rPr>
                <w:noProof/>
                <w:webHidden/>
              </w:rPr>
              <w:t>7</w:t>
            </w:r>
            <w:r>
              <w:rPr>
                <w:noProof/>
                <w:webHidden/>
              </w:rPr>
              <w:fldChar w:fldCharType="end"/>
            </w:r>
          </w:hyperlink>
        </w:p>
        <w:p w14:paraId="1EB1A1F7" w14:textId="705FFAB8" w:rsidR="00F9569A" w:rsidRDefault="00F9569A">
          <w:pPr>
            <w:pStyle w:val="TOC1"/>
            <w:tabs>
              <w:tab w:val="right" w:leader="dot" w:pos="9016"/>
            </w:tabs>
            <w:rPr>
              <w:noProof/>
            </w:rPr>
          </w:pPr>
          <w:hyperlink w:anchor="_Toc236990378" w:history="1">
            <w:r w:rsidRPr="00DC51F3">
              <w:rPr>
                <w:rStyle w:val="Hyperlink"/>
                <w:noProof/>
              </w:rPr>
              <w:t>References</w:t>
            </w:r>
            <w:r>
              <w:rPr>
                <w:noProof/>
                <w:webHidden/>
              </w:rPr>
              <w:tab/>
            </w:r>
            <w:r>
              <w:rPr>
                <w:noProof/>
                <w:webHidden/>
              </w:rPr>
              <w:fldChar w:fldCharType="begin"/>
            </w:r>
            <w:r>
              <w:rPr>
                <w:noProof/>
                <w:webHidden/>
              </w:rPr>
              <w:instrText xml:space="preserve"> PAGEREF _Toc236990378 \h </w:instrText>
            </w:r>
            <w:r>
              <w:rPr>
                <w:noProof/>
                <w:webHidden/>
              </w:rPr>
            </w:r>
            <w:r>
              <w:rPr>
                <w:noProof/>
                <w:webHidden/>
              </w:rPr>
              <w:fldChar w:fldCharType="separate"/>
            </w:r>
            <w:r>
              <w:rPr>
                <w:noProof/>
                <w:webHidden/>
              </w:rPr>
              <w:t>8</w:t>
            </w:r>
            <w:r>
              <w:rPr>
                <w:noProof/>
                <w:webHidden/>
              </w:rPr>
              <w:fldChar w:fldCharType="end"/>
            </w:r>
          </w:hyperlink>
        </w:p>
        <w:p w14:paraId="04ADC67C" w14:textId="1F9F3A21" w:rsidR="00F9569A" w:rsidRDefault="00F9569A">
          <w:r>
            <w:rPr>
              <w:b/>
              <w:bCs/>
              <w:noProof/>
            </w:rPr>
            <w:fldChar w:fldCharType="end"/>
          </w:r>
        </w:p>
      </w:sdtContent>
    </w:sdt>
    <w:p w14:paraId="546D1C1C" w14:textId="59055237" w:rsidR="00F9569A" w:rsidRDefault="00F9569A">
      <w:pPr>
        <w:spacing w:line="259" w:lineRule="auto"/>
        <w:rPr>
          <w:sz w:val="23"/>
          <w:szCs w:val="23"/>
        </w:rPr>
      </w:pPr>
    </w:p>
    <w:p w14:paraId="63E8A0DB" w14:textId="77777777" w:rsidR="006D2F2D" w:rsidRPr="004A5A64" w:rsidRDefault="006D2F2D" w:rsidP="004A5A64">
      <w:pPr>
        <w:spacing w:line="360" w:lineRule="auto"/>
        <w:rPr>
          <w:sz w:val="23"/>
          <w:szCs w:val="23"/>
        </w:rPr>
      </w:pPr>
    </w:p>
    <w:p w14:paraId="20FD568C" w14:textId="60D62C3C" w:rsidR="007A3327" w:rsidRPr="00F72F51" w:rsidRDefault="007A3327" w:rsidP="00F72F51">
      <w:pPr>
        <w:spacing w:line="360" w:lineRule="auto"/>
        <w:rPr>
          <w:rFonts w:ascii="Arial" w:hAnsi="Arial" w:cs="Arial"/>
          <w:b/>
          <w:bCs/>
          <w:sz w:val="23"/>
          <w:szCs w:val="23"/>
        </w:rPr>
      </w:pPr>
      <w:r w:rsidRPr="00F72F51">
        <w:rPr>
          <w:rFonts w:ascii="Arial" w:hAnsi="Arial" w:cs="Arial"/>
          <w:b/>
          <w:bCs/>
          <w:sz w:val="23"/>
          <w:szCs w:val="23"/>
        </w:rPr>
        <w:t>The Social Model of Disability as a Foundation for Person-Centred Care</w:t>
      </w:r>
    </w:p>
    <w:p w14:paraId="5F44B964" w14:textId="0586D746" w:rsidR="00317E3D" w:rsidRPr="00F72F51" w:rsidRDefault="006D2F2D" w:rsidP="00F9569A">
      <w:pPr>
        <w:pStyle w:val="Heading1"/>
      </w:pPr>
      <w:bookmarkStart w:id="0" w:name="_Toc236990373"/>
      <w:r w:rsidRPr="00F72F51">
        <w:t>Introduction</w:t>
      </w:r>
      <w:bookmarkEnd w:id="0"/>
    </w:p>
    <w:p w14:paraId="2C3833A7" w14:textId="1F0A0BCB" w:rsidR="007A3327" w:rsidRPr="00F72F51" w:rsidRDefault="007A3327" w:rsidP="00F9569A">
      <w:pPr>
        <w:spacing w:line="360" w:lineRule="auto"/>
        <w:rPr>
          <w:rFonts w:ascii="Arial" w:hAnsi="Arial" w:cs="Arial"/>
          <w:color w:val="000000" w:themeColor="text1"/>
          <w:sz w:val="23"/>
          <w:szCs w:val="23"/>
        </w:rPr>
      </w:pPr>
      <w:r>
        <w:rPr>
          <w:rFonts w:ascii="Arial" w:hAnsi="Arial"/>
          <w:color w:val="000000"/>
          <w:sz w:val="23"/>
        </w:rPr>
        <w:t>Person-centred care requires more than compassion or individual choice within an unchanged service. Services must recognise how environments, institutions and power relations shape the options that are genuinely available. The social model of disability provides this critical perspective. It distinguishes impairment - bodily, sensory, cognitive or psychological difference - from disability, understood as restriction produced by inaccessible environments, discriminatory attitudes and inflexible organisations (UPIAS, 1976; Oliver, 1990). For example, a wheelchair user may be excluded from a clinic not simply because of mobility impairment, but because of steps, unsuitable examination equipment or a booking system that ignores access requirements. The model therefore redirects attention from correcting the individual to removing barriers and redistributing power.</w:t>
      </w:r>
    </w:p>
    <w:p w14:paraId="3A255BD8" w14:textId="0AC1A0C2" w:rsidR="007A3327" w:rsidRPr="00F72F51" w:rsidRDefault="007A3327" w:rsidP="00F9569A">
      <w:pPr>
        <w:spacing w:line="360" w:lineRule="auto"/>
        <w:rPr>
          <w:rFonts w:ascii="Arial" w:hAnsi="Arial" w:cs="Arial"/>
          <w:color w:val="000000" w:themeColor="text1"/>
          <w:sz w:val="23"/>
          <w:szCs w:val="23"/>
        </w:rPr>
      </w:pPr>
      <w:r>
        <w:rPr>
          <w:rFonts w:ascii="Arial" w:hAnsi="Arial"/>
          <w:color w:val="000000"/>
          <w:sz w:val="23"/>
        </w:rPr>
        <w:t>This essay argues that the social model underpins person-centred care by treating autonomy, participation and co-production as rights rather than acts of professional generosity. Its influence is visible in international human-rights law and in English health and social care policy. However, a rigid impairment/disability distinction can understate pain, fatigue and the legitimate role of treatment, while formal commitments can become symbolic when resources, data and accountability are weak. The model is therefore most effective as a political and organisational framework used alongside individual clinical knowledge, intersectional analysis and sustained participation by disabled people.</w:t>
      </w:r>
    </w:p>
    <w:p w14:paraId="72F90558" w14:textId="77777777" w:rsidR="007A3327" w:rsidRPr="00F72F51" w:rsidRDefault="007A3327" w:rsidP="00F9569A">
      <w:pPr>
        <w:pStyle w:val="Heading1"/>
      </w:pPr>
    </w:p>
    <w:p w14:paraId="355CC21D" w14:textId="15469F59" w:rsidR="00A14675" w:rsidRPr="00F72F51" w:rsidRDefault="003E4ED4" w:rsidP="00F9569A">
      <w:pPr>
        <w:pStyle w:val="Heading1"/>
        <w:rPr>
          <w:b/>
          <w:bCs/>
          <w:color w:val="0070C0"/>
        </w:rPr>
      </w:pPr>
      <w:bookmarkStart w:id="1" w:name="_Toc236990374"/>
      <w:r w:rsidRPr="00F72F51">
        <w:rPr>
          <w:b/>
          <w:bCs/>
        </w:rPr>
        <w:t>T</w:t>
      </w:r>
      <w:r w:rsidR="006D2F2D" w:rsidRPr="00F72F51">
        <w:rPr>
          <w:b/>
          <w:bCs/>
        </w:rPr>
        <w:t xml:space="preserve">he </w:t>
      </w:r>
      <w:r w:rsidRPr="00F72F51">
        <w:rPr>
          <w:b/>
          <w:bCs/>
        </w:rPr>
        <w:t xml:space="preserve">development of the </w:t>
      </w:r>
      <w:r w:rsidR="006D2F2D" w:rsidRPr="00F72F51">
        <w:rPr>
          <w:b/>
          <w:bCs/>
        </w:rPr>
        <w:t xml:space="preserve">chosen </w:t>
      </w:r>
      <w:r w:rsidR="00A14675" w:rsidRPr="00F72F51">
        <w:rPr>
          <w:b/>
          <w:bCs/>
        </w:rPr>
        <w:t>concept</w:t>
      </w:r>
      <w:bookmarkEnd w:id="1"/>
      <w:r w:rsidR="00A14675" w:rsidRPr="00F72F51">
        <w:rPr>
          <w:b/>
          <w:bCs/>
        </w:rPr>
        <w:t xml:space="preserve"> </w:t>
      </w:r>
    </w:p>
    <w:p w14:paraId="4CC0F0DC" w14:textId="1F56A615" w:rsidR="00835B1C" w:rsidRPr="00F72F51" w:rsidRDefault="00835B1C" w:rsidP="00F72F51">
      <w:pPr>
        <w:spacing w:line="360" w:lineRule="auto"/>
        <w:rPr>
          <w:rFonts w:ascii="Arial" w:hAnsi="Arial" w:cs="Arial"/>
          <w:color w:val="000000" w:themeColor="text1"/>
          <w:sz w:val="23"/>
          <w:szCs w:val="23"/>
        </w:rPr>
      </w:pPr>
      <w:r>
        <w:rPr>
          <w:rFonts w:ascii="Arial" w:hAnsi="Arial"/>
          <w:color w:val="000000"/>
          <w:sz w:val="23"/>
        </w:rPr>
        <w:t>The model emerged from disabled people's resistance to the medical and individual models that dominated twentieth-century welfare systems. Those approaches located disadvantage in diagnosis or functional deficit and positioned professionals as experts who assessed, treated or managed dependent recipients. In contrast, the Union of the Physically Impaired Against Segregation argued that society disables people with impairments through exclusion from ordinary social participation (UPIAS, 1976). Oliver (1983) developed the term 'social model of disability' and later connected disablement to the organisation of capitalist society, segregated services and professional power (Oliver, 1990). The model was not merely descriptive: it provided a collective explanation of disadvantage, supported disability activism and replaced personal tragedy with demands for accessibility, independent living and civil rights.</w:t>
      </w:r>
    </w:p>
    <w:p w14:paraId="3B9E5A71" w14:textId="058E0ACF" w:rsidR="00835B1C" w:rsidRPr="00F72F51" w:rsidRDefault="00835B1C" w:rsidP="00F72F51">
      <w:pPr>
        <w:spacing w:line="360" w:lineRule="auto"/>
        <w:rPr>
          <w:rFonts w:ascii="Arial" w:hAnsi="Arial" w:cs="Arial"/>
          <w:color w:val="000000" w:themeColor="text1"/>
          <w:sz w:val="23"/>
          <w:szCs w:val="23"/>
        </w:rPr>
      </w:pPr>
      <w:r>
        <w:rPr>
          <w:rFonts w:ascii="Arial" w:hAnsi="Arial"/>
          <w:color w:val="000000"/>
          <w:sz w:val="23"/>
        </w:rPr>
        <w:t>The model developed from activism into an influential policy framework. Disabled people's organisations used the principle 'nothing about us without us' to challenge institutional care and demand direct payments, accessible transport and anti-discrimination legislation. The United Nations Convention on the Rights of Persons with Disabilities (UNCRPD) reflects this shift by treating disabled people as rights-holders and requiring participation, accessibility, independent living and equal access to health care (United Nations, 2006). In England, this rights-based direction can be seen in the development from the Disability Discrimination Act 1995 to the Equality Act 2010, alongside policies promoting independent living and personalised care. The model thus developed towards a social-relational and human-rights approach: disadvantage arises through interactions among bodies, relationships and structures, while public institutions remain responsible for removing avoidable barriers.</w:t>
      </w:r>
    </w:p>
    <w:p w14:paraId="28B05FF8" w14:textId="47A9AD94" w:rsidR="00835B1C" w:rsidRPr="00F72F51" w:rsidRDefault="00835B1C" w:rsidP="00F72F51">
      <w:pPr>
        <w:spacing w:line="360" w:lineRule="auto"/>
        <w:rPr>
          <w:rFonts w:ascii="Arial" w:hAnsi="Arial" w:cs="Arial"/>
          <w:color w:val="000000" w:themeColor="text1"/>
          <w:sz w:val="23"/>
          <w:szCs w:val="23"/>
        </w:rPr>
      </w:pPr>
      <w:r>
        <w:rPr>
          <w:rFonts w:ascii="Arial" w:hAnsi="Arial"/>
          <w:color w:val="000000"/>
          <w:sz w:val="23"/>
        </w:rPr>
        <w:t xml:space="preserve">Its achievements do not remove important criticisms. First, the strategic separation of impairment from disability may imply that the body is irrelevant. Morris (1991) and Crow (1996) argue that pain, fatigue, progressive illness and dependence can restrict life even in an accessible society. Health care cannot remove every barrier through environmental change; good person-centred care may require diagnosis, treatment, rehabilitation and assistance chosen by the person. Shakespeare (2006) therefore rejects a single causal explanation and presents disability as an interaction between intrinsic and external factors. This critique is persuasive when the social model is treated as a complete theory of individual experience. Oliver's response is that the model was designed to explain </w:t>
      </w:r>
      <w:r>
        <w:rPr>
          <w:rFonts w:ascii="Arial" w:hAnsi="Arial"/>
          <w:color w:val="000000"/>
          <w:sz w:val="23"/>
        </w:rPr>
        <w:lastRenderedPageBreak/>
        <w:t>collective disablement and guide social action, not to deny impairment or replace medicine (Oliver, 2004). The distinction remains analytically useful, provided practitioners do not use it to prevent discussion of embodied needs.</w:t>
      </w:r>
    </w:p>
    <w:p w14:paraId="44F65632" w14:textId="4A8742BA" w:rsidR="00835B1C" w:rsidRPr="00F72F51" w:rsidRDefault="00835B1C" w:rsidP="00F72F51">
      <w:pPr>
        <w:spacing w:line="360" w:lineRule="auto"/>
        <w:rPr>
          <w:rFonts w:ascii="Arial" w:hAnsi="Arial" w:cs="Arial"/>
          <w:color w:val="000000" w:themeColor="text1"/>
          <w:sz w:val="23"/>
          <w:szCs w:val="23"/>
        </w:rPr>
      </w:pPr>
      <w:r>
        <w:rPr>
          <w:rFonts w:ascii="Arial" w:hAnsi="Arial"/>
          <w:color w:val="000000"/>
          <w:sz w:val="23"/>
        </w:rPr>
        <w:t>Second, early British accounts were criticised for privileging the experiences of white men with physical impairments. Feminist and intersectional scholarship shows that disability is mediated by gender, race, class, age and sexuality; care can be both enabling and a site of unequal, gendered labour (Thomas, 1999). People with learning disabilities or fluctuating mental distress may also require supported decision-making, communication assistance or relational care that slogans about independence can overlook. A defensible response is to understand independence as control over assistance rather than self-sufficiency, and to combine structural barrier analysis with attention to relationships and intersecting inequalities. The World Health Organization's International Classification of Functioning similarly describes interactions among health conditions, activities, participation and environmental factors (WHO, 2001). Although less politically sharp than the social model, it demonstrates that recognising embodied experience need not restore medical dominance.</w:t>
      </w:r>
    </w:p>
    <w:p w14:paraId="3B3EBCD5" w14:textId="622C9668" w:rsidR="00835B1C" w:rsidRPr="00F72F51" w:rsidRDefault="00835B1C" w:rsidP="00F72F51">
      <w:pPr>
        <w:spacing w:line="360" w:lineRule="auto"/>
        <w:rPr>
          <w:rFonts w:ascii="Arial" w:hAnsi="Arial" w:cs="Arial"/>
          <w:color w:val="000000" w:themeColor="text1"/>
          <w:sz w:val="23"/>
          <w:szCs w:val="23"/>
        </w:rPr>
      </w:pPr>
      <w:r>
        <w:rPr>
          <w:rFonts w:ascii="Arial" w:hAnsi="Arial"/>
          <w:color w:val="000000"/>
          <w:sz w:val="23"/>
        </w:rPr>
        <w:t>A further criticism concerns universality. The British social model emerged from a particular political struggle and does not automatically explain disability in every cultural or economic setting. Family and community relationships may enable participation where formal services are limited, but they may also conceal coercion or unpaid caring responsibilities. Similarly, removing one barrier does not distribute benefits equally: online consultations may help a person with a mobility impairment while creating new obstacles for someone with cognitive, sensory or digital-access needs. The model's application must therefore be empirical rather than formulaic. Disabled people's varied accounts should identify which barriers matter, while policy analysis examines who benefits, who remains excluded and how resources and institutional rules produce those outcomes.</w:t>
      </w:r>
    </w:p>
    <w:p w14:paraId="6D46818E" w14:textId="3B0CDC22" w:rsidR="006D2F2D" w:rsidRPr="00F72F51" w:rsidRDefault="006D2F2D" w:rsidP="00F9569A">
      <w:pPr>
        <w:pStyle w:val="Heading1"/>
      </w:pPr>
      <w:bookmarkStart w:id="2" w:name="_Toc236990375"/>
      <w:r w:rsidRPr="00F72F51">
        <w:t xml:space="preserve">Application of the </w:t>
      </w:r>
      <w:r w:rsidR="00A14675" w:rsidRPr="00F72F51">
        <w:t>concept</w:t>
      </w:r>
      <w:r w:rsidRPr="00F72F51">
        <w:t xml:space="preserve"> in practice</w:t>
      </w:r>
      <w:bookmarkEnd w:id="2"/>
    </w:p>
    <w:p w14:paraId="5E8217BF" w14:textId="7A0750F1" w:rsidR="00835B1C" w:rsidRPr="00F72F51" w:rsidRDefault="00835B1C" w:rsidP="00F72F51">
      <w:pPr>
        <w:spacing w:line="360" w:lineRule="auto"/>
        <w:rPr>
          <w:rFonts w:ascii="Arial" w:hAnsi="Arial" w:cs="Arial"/>
          <w:color w:val="000000" w:themeColor="text1"/>
          <w:sz w:val="23"/>
          <w:szCs w:val="23"/>
        </w:rPr>
      </w:pPr>
      <w:r>
        <w:rPr>
          <w:rFonts w:ascii="Arial" w:hAnsi="Arial"/>
          <w:color w:val="000000"/>
          <w:sz w:val="23"/>
        </w:rPr>
        <w:t xml:space="preserve">In policy, the social model has shifted obligations towards systems. The Equality Act 2010 requires service providers to make anticipatory reasonable adjustments, so access should be planned rather than left to individuals repeatedly requesting exceptions. The UNCRPD reinforces equal health care under Article 25 and choice and community inclusion under Article 19 (United Nations, 2006). In England, the Care Act 2014 requires local authorities to promote wellbeing, including personal dignity and control </w:t>
      </w:r>
      <w:r>
        <w:rPr>
          <w:rFonts w:ascii="Arial" w:hAnsi="Arial"/>
          <w:color w:val="000000"/>
          <w:sz w:val="23"/>
        </w:rPr>
        <w:lastRenderedPageBreak/>
        <w:t>over day-to-day life. Its statutory guidance states that care and support planning should reflect the person's wishes, needs, aspirations and what matters to them (Department of Health and Social Care, 2025). These principles align with person-centred care because assessment should begin with the outcomes a person values, rather than a professionally determined list of deficits. Direct payments, personal budgets and independent advocacy can consequently enable people to influence who supports them, how support is provided and how risks are negotiated.</w:t>
      </w:r>
    </w:p>
    <w:p w14:paraId="5363B452" w14:textId="77777777" w:rsidR="00835B1C" w:rsidRPr="00F72F51" w:rsidRDefault="00835B1C" w:rsidP="00F72F51">
      <w:pPr>
        <w:spacing w:line="360" w:lineRule="auto"/>
        <w:rPr>
          <w:rFonts w:ascii="Arial" w:hAnsi="Arial" w:cs="Arial"/>
          <w:color w:val="000000" w:themeColor="text1"/>
          <w:sz w:val="23"/>
          <w:szCs w:val="23"/>
        </w:rPr>
      </w:pPr>
      <w:r>
        <w:rPr>
          <w:rFonts w:ascii="Arial" w:hAnsi="Arial"/>
          <w:color w:val="000000"/>
          <w:sz w:val="23"/>
        </w:rPr>
        <w:t>The model also changes routine practice. A barrier-focused assessment asks whether inaccessible premises, rigid appointment lengths, staff assumptions, transport, poverty or communication systems are producing the difficulty. A service might provide height-adjustable examination equipment, home or remote options where chosen, Easy Read information, British Sign Language interpretation, quiet waiting spaces or additional appointment time. NHS England's Accessible Information Standard requires NHS and publicly funded adult social care services to identify, record, flag, share, meet and review disability-related information and communication needs (NHS England, 2025a). Co-production goes further than consultation: disabled people share authority in designing pathways, workforce education and evaluation. These practices improve informed consent and make care plans more likely to reflect the person's priorities.</w:t>
      </w:r>
    </w:p>
    <w:p w14:paraId="72A09D50" w14:textId="77777777" w:rsidR="00835B1C" w:rsidRPr="00F72F51" w:rsidRDefault="00835B1C" w:rsidP="00F72F51">
      <w:pPr>
        <w:spacing w:line="360" w:lineRule="auto"/>
        <w:rPr>
          <w:rFonts w:ascii="Arial" w:hAnsi="Arial" w:cs="Arial"/>
          <w:color w:val="000000" w:themeColor="text1"/>
          <w:sz w:val="23"/>
          <w:szCs w:val="23"/>
        </w:rPr>
      </w:pPr>
      <w:r>
        <w:rPr>
          <w:rFonts w:ascii="Arial" w:hAnsi="Arial"/>
          <w:color w:val="000000"/>
          <w:sz w:val="23"/>
        </w:rPr>
        <w:t>Nevertheless, implementation exposes a gap between policy and practice. NHS England revised the Accessible Information Standard in 2025 after engagement and external reports showed that information and communication needs were not being met consistently (NHS England, 2025a). Eligibility systems still require individuals to document impairment and incapacity, potentially rewarding deficit-based narratives before support becomes available. Under financial pressure, personal budgets may offer nominal choice within a limited or unstable provider market. A ramp or accessible leaflet cannot compensate for workforce shortages, long waiting times or inadequate community support. Moreover, 'reasonable' adjustment is context-dependent and may be interpreted narrowly when organisations prioritise cost or standardised workflows.</w:t>
      </w:r>
    </w:p>
    <w:p w14:paraId="686EF451" w14:textId="77777777" w:rsidR="00F72F51" w:rsidRPr="00F72F51" w:rsidRDefault="00F72F51" w:rsidP="00F72F51">
      <w:pPr>
        <w:spacing w:line="360" w:lineRule="auto"/>
        <w:rPr>
          <w:rFonts w:ascii="Arial" w:hAnsi="Arial" w:cs="Arial"/>
          <w:color w:val="000000" w:themeColor="text1"/>
          <w:sz w:val="23"/>
          <w:szCs w:val="23"/>
        </w:rPr>
      </w:pPr>
      <w:r>
        <w:rPr>
          <w:rFonts w:ascii="Arial" w:hAnsi="Arial"/>
          <w:color w:val="000000"/>
          <w:sz w:val="23"/>
        </w:rPr>
        <w:t xml:space="preserve">There are also tensions within health care. If practitioners interpret the model as meaning that impairment should never be addressed, pain or deterioration may be dismissed; this is no more person-centred than medicalisation. Conversely, diagnostic categories may be necessary to access treatment and benefits but can also produce low expectations and diagnostic overshadowing. Digital-first services may increase flexibility for some people while excluding those who need accessible platforms, equipment or </w:t>
      </w:r>
      <w:r>
        <w:rPr>
          <w:rFonts w:ascii="Arial" w:hAnsi="Arial"/>
          <w:color w:val="000000"/>
          <w:sz w:val="23"/>
        </w:rPr>
        <w:lastRenderedPageBreak/>
        <w:t>face-to-face communication. Standardised care pathways promote consistency but may suppress individual preferences. The practical task is not to choose between medical and social responses, but to ensure that clinical expertise is offered without displacing the person's knowledge and that services actively remove barriers surrounding any chosen treatment or support.</w:t>
      </w:r>
    </w:p>
    <w:p w14:paraId="6E52C701" w14:textId="77777777" w:rsidR="00F72F51" w:rsidRPr="00F72F51" w:rsidRDefault="00F72F51" w:rsidP="00F72F51">
      <w:pPr>
        <w:spacing w:line="360" w:lineRule="auto"/>
        <w:rPr>
          <w:rFonts w:ascii="Arial" w:hAnsi="Arial" w:cs="Arial"/>
          <w:color w:val="000000" w:themeColor="text1"/>
          <w:sz w:val="23"/>
          <w:szCs w:val="23"/>
        </w:rPr>
      </w:pPr>
      <w:r>
        <w:rPr>
          <w:rFonts w:ascii="Arial" w:hAnsi="Arial"/>
          <w:color w:val="000000"/>
          <w:sz w:val="23"/>
        </w:rPr>
        <w:t>Risk management illustrates this tension. Services may describe restrictive decisions as protection, yet preventing someone from choosing where to live, who provides personal care or whether to accept treatment can reproduce institutional control. Person-centred practice requires proportionate safeguarding, accessible information and supported decision-making, including a willingness to accept ordinary risk. At the same time, simply transferring responsibility to the individual is not empowerment when suitable housing, personal assistance or accessible transport is unavailable. Choice must therefore be evaluated according to its material conditions: the number and quality of available options, the support needed to understand them and the person's continuing ability to revise a decision.</w:t>
      </w:r>
    </w:p>
    <w:p w14:paraId="2AC7062D" w14:textId="339D6335" w:rsidR="00835B1C" w:rsidRPr="00F72F51" w:rsidRDefault="00F72F51" w:rsidP="00F72F51">
      <w:pPr>
        <w:spacing w:line="360" w:lineRule="auto"/>
        <w:rPr>
          <w:rFonts w:ascii="Arial" w:hAnsi="Arial" w:cs="Arial"/>
          <w:color w:val="000000" w:themeColor="text1"/>
          <w:sz w:val="23"/>
          <w:szCs w:val="23"/>
        </w:rPr>
      </w:pPr>
      <w:r>
        <w:rPr>
          <w:rFonts w:ascii="Arial" w:hAnsi="Arial"/>
          <w:color w:val="000000"/>
          <w:sz w:val="23"/>
        </w:rPr>
        <w:t>Power is the central problem. Professionals and commissioners often determine what counts as need, acceptable risk and value for money. Invitations to participate can become tokenistic if disabled contributors join late, are unpaid, receive inaccessible papers or cannot influence decisions. Aggregate monitoring may also conceal intersectional inequalities. NHS England's Comprehensive Model of Personalised Care offers shared decision-making, personalised care and support planning, social prescribing, supported self-management and personal budgets, while identifying co-production and system leadership as essential enablers (NHS England, n.d.). Its value, however, depends on equitable implementation and measurable changes in disabled people's experiences rather than policy language alone.</w:t>
      </w:r>
    </w:p>
    <w:p w14:paraId="72FFECFB" w14:textId="1B09A3F7" w:rsidR="006D2F2D" w:rsidRPr="00F72F51" w:rsidRDefault="006D2F2D" w:rsidP="00F9569A">
      <w:pPr>
        <w:pStyle w:val="Heading1"/>
      </w:pPr>
      <w:bookmarkStart w:id="3" w:name="_Toc236990376"/>
      <w:r w:rsidRPr="00F72F51">
        <w:t>Recommendations for</w:t>
      </w:r>
      <w:r w:rsidR="003E4ED4" w:rsidRPr="00F72F51">
        <w:t xml:space="preserve"> policy</w:t>
      </w:r>
      <w:r w:rsidRPr="00F72F51">
        <w:t xml:space="preserve"> and practice</w:t>
      </w:r>
      <w:bookmarkEnd w:id="3"/>
    </w:p>
    <w:p w14:paraId="196A926F" w14:textId="195EDFA8" w:rsidR="00F72F51" w:rsidRPr="00F72F51" w:rsidRDefault="00F72F51" w:rsidP="00F72F51">
      <w:pPr>
        <w:spacing w:line="360" w:lineRule="auto"/>
        <w:rPr>
          <w:rFonts w:ascii="Arial" w:hAnsi="Arial" w:cs="Arial"/>
          <w:color w:val="000000" w:themeColor="text1"/>
          <w:sz w:val="23"/>
          <w:szCs w:val="23"/>
        </w:rPr>
      </w:pPr>
      <w:r>
        <w:rPr>
          <w:rFonts w:ascii="Arial" w:hAnsi="Arial"/>
          <w:color w:val="000000"/>
          <w:sz w:val="23"/>
        </w:rPr>
        <w:t xml:space="preserve">First, NHS trusts, integrated care boards, local authorities and commissioned providers should translate the social model into enforceable accessibility plans. Universal design should be the default for buildings, digital services, information and equipment, supplemented by individually tailored reasonable adjustments. Electronic records should contain visible, transferable access and communication requirements, with the person's consent, so that people do not have to negotiate the same barrier repeatedly. Regulators and commissioners should audit outcomes such as missed appointments </w:t>
      </w:r>
      <w:r>
        <w:rPr>
          <w:rFonts w:ascii="Arial" w:hAnsi="Arial"/>
          <w:color w:val="000000"/>
          <w:sz w:val="23"/>
        </w:rPr>
        <w:lastRenderedPageBreak/>
        <w:t>linked to access, waiting-time differences, unmet adjustments and complaints, disaggregated by impairment and intersecting characteristics.</w:t>
      </w:r>
    </w:p>
    <w:p w14:paraId="7BCA0F6E" w14:textId="77777777" w:rsidR="00F72F51" w:rsidRPr="00F72F51" w:rsidRDefault="00F72F51" w:rsidP="00F72F51">
      <w:pPr>
        <w:spacing w:line="360" w:lineRule="auto"/>
        <w:rPr>
          <w:rFonts w:ascii="Arial" w:hAnsi="Arial" w:cs="Arial"/>
          <w:color w:val="000000" w:themeColor="text1"/>
          <w:sz w:val="23"/>
          <w:szCs w:val="23"/>
        </w:rPr>
      </w:pPr>
      <w:r>
        <w:rPr>
          <w:rFonts w:ascii="Arial" w:hAnsi="Arial"/>
          <w:color w:val="000000"/>
          <w:sz w:val="23"/>
        </w:rPr>
        <w:t>Second, services should institutionalise co-production. Disabled people's organisations should hold funded, decision-making roles from agenda setting through procurement, delivery and evaluation. Payment, personal assistance, accessible formats and sufficient time are prerequisites for equal participation. Assessment and care planning should use supported decision-making, independent advocacy and strengths-based conversations about the life the person wants, while retaining routes to discuss pain, treatment and changing impairment effects without stigma.</w:t>
      </w:r>
    </w:p>
    <w:p w14:paraId="2506C242" w14:textId="76D5C282" w:rsidR="00F72F51" w:rsidRPr="00F72F51" w:rsidRDefault="00F72F51" w:rsidP="00F72F51">
      <w:pPr>
        <w:spacing w:line="360" w:lineRule="auto"/>
        <w:rPr>
          <w:rFonts w:ascii="Arial" w:hAnsi="Arial" w:cs="Arial"/>
          <w:color w:val="000000" w:themeColor="text1"/>
          <w:sz w:val="23"/>
          <w:szCs w:val="23"/>
        </w:rPr>
      </w:pPr>
      <w:r>
        <w:rPr>
          <w:rFonts w:ascii="Arial" w:hAnsi="Arial"/>
          <w:color w:val="000000"/>
          <w:sz w:val="23"/>
        </w:rPr>
        <w:t>Third, workforce development should combine disability equality, human rights and reflective clinical practice. Training should be co-designed and delivered by disabled people, reinforced through supervision and appraisal, and evaluated through observed practice rather than attendance alone. Staff need authority and resources to adapt appointment length, location and communication. Commissioners must also protect a diverse community-support market so that direct payments and personal budgets create genuine options rather than transferring administrative burden and risk to individuals.</w:t>
      </w:r>
    </w:p>
    <w:p w14:paraId="3A0C712C" w14:textId="5859C6A7" w:rsidR="00F72F51" w:rsidRPr="00F72F51" w:rsidRDefault="00F72F51" w:rsidP="00F72F51">
      <w:pPr>
        <w:spacing w:line="360" w:lineRule="auto"/>
        <w:rPr>
          <w:rFonts w:ascii="Arial" w:hAnsi="Arial" w:cs="Arial"/>
          <w:color w:val="000000" w:themeColor="text1"/>
          <w:sz w:val="23"/>
          <w:szCs w:val="23"/>
        </w:rPr>
      </w:pPr>
      <w:r>
        <w:rPr>
          <w:rFonts w:ascii="Arial" w:hAnsi="Arial"/>
          <w:color w:val="000000"/>
          <w:sz w:val="23"/>
        </w:rPr>
        <w:t>Finally, English health and social care policy should link commitments to named leadership, budgets, milestones and public reporting. Equality impact assessment should begin before services are designed, and inspection should include experiential evidence from disabled people. Integrated care boards should work with local authorities and disabled people's organisations so that accessibility does not disappear at organisational boundaries. The social model should guide the questions asked - which barrier, created by whom, and whose decision? - while a social-relational approach guides the response by integrating access, supportive relationships and chosen clinical care.</w:t>
      </w:r>
    </w:p>
    <w:p w14:paraId="5A4D465C" w14:textId="37F3A76B" w:rsidR="006524ED" w:rsidRPr="00F72F51" w:rsidRDefault="006D2F2D" w:rsidP="00F9569A">
      <w:pPr>
        <w:pStyle w:val="Heading1"/>
      </w:pPr>
      <w:bookmarkStart w:id="4" w:name="_Toc236990377"/>
      <w:r w:rsidRPr="00F72F51">
        <w:t>Conclusion</w:t>
      </w:r>
      <w:bookmarkEnd w:id="4"/>
    </w:p>
    <w:p w14:paraId="5B855950" w14:textId="55143C80" w:rsidR="003E4ED4" w:rsidRPr="00F72F51" w:rsidRDefault="00F72F51" w:rsidP="00F72F51">
      <w:pPr>
        <w:spacing w:line="360" w:lineRule="auto"/>
        <w:rPr>
          <w:rFonts w:ascii="Arial" w:hAnsi="Arial" w:cs="Arial"/>
          <w:sz w:val="23"/>
          <w:szCs w:val="23"/>
        </w:rPr>
      </w:pPr>
      <w:r>
        <w:rPr>
          <w:rFonts w:ascii="Arial" w:hAnsi="Arial"/>
          <w:color w:val="000000"/>
          <w:sz w:val="23"/>
        </w:rPr>
        <w:t xml:space="preserve">The social model of disability transformed disability from an individual defect into a question of exclusion, rights and collective responsibility. This makes it a strong foundation for person-centred care: it challenges professional dominance, exposes barriers and supports autonomy, co-production and independent living. Its influence can be seen in the UNCRPD, the Equality Act 2010, the Care Act 2014 and NHS England's accessibility and personalised-care policies. Yet the model becomes reductive if it obscures pain, fluctuating conditions, relationships or intersecting inequality. Policy </w:t>
      </w:r>
      <w:r>
        <w:rPr>
          <w:rFonts w:ascii="Arial" w:hAnsi="Arial"/>
          <w:color w:val="000000"/>
          <w:sz w:val="23"/>
        </w:rPr>
        <w:lastRenderedPageBreak/>
        <w:t>commitments also fail when accessibility is treated as an optional adjustment rather than a funded organisational duty. The most credible approach therefore retains the social model's political demand for barrier removal while integrating embodied knowledge and chosen treatment. Person-centred health and social care will be realised when disabled people possess genuine decision-making power and services are held accountable for creating the practical conditions in which choice can be exercised.</w:t>
      </w:r>
    </w:p>
    <w:p w14:paraId="5A789721" w14:textId="6FF6B22D" w:rsidR="006D2F2D" w:rsidRPr="00F72F51" w:rsidRDefault="006D2F2D" w:rsidP="00F9569A">
      <w:pPr>
        <w:pStyle w:val="Heading1"/>
      </w:pPr>
      <w:bookmarkStart w:id="5" w:name="_Toc236990378"/>
      <w:r w:rsidRPr="00F72F51">
        <w:t>Reference</w:t>
      </w:r>
      <w:r w:rsidR="003E4ED4" w:rsidRPr="00F72F51">
        <w:t>s</w:t>
      </w:r>
      <w:bookmarkEnd w:id="5"/>
    </w:p>
    <w:p w14:paraId="420A9833" w14:textId="33332AD6"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 xml:space="preserve">Care Act 2014, c. 23. Available at: https://www.legislation.gov.uk/ukpga/2014/23/contents (Accessed: </w:t>
      </w:r>
      <w:r w:rsidR="00F9569A">
        <w:rPr>
          <w:rFonts w:ascii="Arial" w:hAnsi="Arial"/>
          <w:color w:val="000000"/>
          <w:sz w:val="23"/>
        </w:rPr>
        <w:t>3</w:t>
      </w:r>
      <w:r>
        <w:rPr>
          <w:rFonts w:ascii="Arial" w:hAnsi="Arial"/>
          <w:color w:val="000000"/>
          <w:sz w:val="23"/>
        </w:rPr>
        <w:t xml:space="preserve"> August 2026).</w:t>
      </w:r>
    </w:p>
    <w:p w14:paraId="5DC489C0" w14:textId="77777777"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Crow, L. (1996) 'Including all of our lives: renewing the social model of disability', in Morris, J. (ed.) Encounters with Strangers: Feminism and Disability. London: Women's Press, pp. 206-226.</w:t>
      </w:r>
    </w:p>
    <w:p w14:paraId="6BF14FBB" w14:textId="71CCDE18"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 xml:space="preserve">Department of Health and Social Care (2025) Care and support statutory guidance. Available at: https://www.gov.uk/government/publications/care-act-statutory-guidance/care-and-support-statutory-guidance (Accessed: </w:t>
      </w:r>
      <w:r w:rsidR="00F9569A">
        <w:rPr>
          <w:rFonts w:ascii="Arial" w:hAnsi="Arial"/>
          <w:color w:val="000000"/>
          <w:sz w:val="23"/>
        </w:rPr>
        <w:t>3</w:t>
      </w:r>
      <w:r>
        <w:rPr>
          <w:rFonts w:ascii="Arial" w:hAnsi="Arial"/>
          <w:color w:val="000000"/>
          <w:sz w:val="23"/>
        </w:rPr>
        <w:t xml:space="preserve"> August 2026).</w:t>
      </w:r>
    </w:p>
    <w:p w14:paraId="640F9A6E" w14:textId="2270B685"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 xml:space="preserve">Equality Act 2010, c. 15. Available at: https://www.legislation.gov.uk/ukpga/2010/15/contents (Accessed: </w:t>
      </w:r>
      <w:r w:rsidR="00F9569A">
        <w:rPr>
          <w:rFonts w:ascii="Arial" w:hAnsi="Arial"/>
          <w:color w:val="000000"/>
          <w:sz w:val="23"/>
        </w:rPr>
        <w:t>4</w:t>
      </w:r>
      <w:r>
        <w:rPr>
          <w:rFonts w:ascii="Arial" w:hAnsi="Arial"/>
          <w:color w:val="000000"/>
          <w:sz w:val="23"/>
        </w:rPr>
        <w:t xml:space="preserve"> August 2026).</w:t>
      </w:r>
    </w:p>
    <w:p w14:paraId="4C09E222" w14:textId="1B570E74"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Morris, J. (1991) Pride Against Prejudice: Transforming Attitudes to Disability. London: Women's Press.</w:t>
      </w:r>
    </w:p>
    <w:p w14:paraId="3943D869" w14:textId="58F3BE7A"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 xml:space="preserve">NHS England (2025a) Accessible Information Standard - requirements (DAPB1605). Available at: https://www.england.nhs.uk/long-read/accessible-information-standard-requirements-dapb1605/ (Accessed: </w:t>
      </w:r>
      <w:r w:rsidR="00F9569A">
        <w:rPr>
          <w:rFonts w:ascii="Arial" w:hAnsi="Arial"/>
          <w:color w:val="000000"/>
          <w:sz w:val="23"/>
        </w:rPr>
        <w:t>4</w:t>
      </w:r>
      <w:r>
        <w:rPr>
          <w:rFonts w:ascii="Arial" w:hAnsi="Arial"/>
          <w:color w:val="000000"/>
          <w:sz w:val="23"/>
        </w:rPr>
        <w:t xml:space="preserve"> August 2026).</w:t>
      </w:r>
    </w:p>
    <w:p w14:paraId="683B6509" w14:textId="233F459C"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 xml:space="preserve">NHS England (n.d.) Comprehensive model of personalised care. Available at: https://www.england.nhs.uk/personalisedcare/comprehensive-model-of-personalised-care/ (Accessed: </w:t>
      </w:r>
      <w:r w:rsidR="00F9569A">
        <w:rPr>
          <w:rFonts w:ascii="Arial" w:hAnsi="Arial"/>
          <w:color w:val="000000"/>
          <w:sz w:val="23"/>
        </w:rPr>
        <w:t>3</w:t>
      </w:r>
      <w:r>
        <w:rPr>
          <w:rFonts w:ascii="Arial" w:hAnsi="Arial"/>
          <w:color w:val="000000"/>
          <w:sz w:val="23"/>
        </w:rPr>
        <w:t xml:space="preserve"> August 2026).</w:t>
      </w:r>
    </w:p>
    <w:p w14:paraId="18157FCB" w14:textId="7D6B9244"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Oliver, M. (1983) Social Work with Disabled People. Basingstoke: Macmillan.</w:t>
      </w:r>
    </w:p>
    <w:p w14:paraId="6908D5DC" w14:textId="5D2331A8"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Oliver, M. (1990) The Politics of Disablement. Basingstoke: Macmillan.</w:t>
      </w:r>
    </w:p>
    <w:p w14:paraId="333B4F87" w14:textId="5137FF8D"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Oliver, M. (2004) 'The social model in action: if I had a hammer', in Barnes, C. and Mercer, G. (eds.) Implementing the Social Model of Disability: Theory and Research. Leeds: The Disability Press, pp. 18-31.</w:t>
      </w:r>
    </w:p>
    <w:p w14:paraId="4ED62B66" w14:textId="491BF94E"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lastRenderedPageBreak/>
        <w:t>Shakespeare, T. (2006) Disability Rights and Wrongs. London: Routledge.</w:t>
      </w:r>
    </w:p>
    <w:p w14:paraId="3C87E6C6" w14:textId="07E72250"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Thomas, C. (1999) Female Forms: Experiencing and Understanding Disability. Buckingham: Open University Press.</w:t>
      </w:r>
    </w:p>
    <w:p w14:paraId="3FB6B469" w14:textId="181C11E4"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Union of the Physically Impaired Against Segregation (UPIAS) (1976) Fundamental Principles of Disability. London: UPIAS.</w:t>
      </w:r>
    </w:p>
    <w:p w14:paraId="670755DB" w14:textId="313C8389"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 xml:space="preserve">United Nations (2006) Convention on the Rights of Persons with Disabilities. New York: United Nations. Available at: https://www.ohchr.org/en/instruments-mechanisms/instruments/convention-rights-persons-disabilities (Accessed: </w:t>
      </w:r>
      <w:r w:rsidR="00F9569A">
        <w:rPr>
          <w:rFonts w:ascii="Arial" w:hAnsi="Arial"/>
          <w:color w:val="000000"/>
          <w:sz w:val="23"/>
        </w:rPr>
        <w:t>3</w:t>
      </w:r>
      <w:r>
        <w:rPr>
          <w:rFonts w:ascii="Arial" w:hAnsi="Arial"/>
          <w:color w:val="000000"/>
          <w:sz w:val="23"/>
        </w:rPr>
        <w:t xml:space="preserve"> August 2026).</w:t>
      </w:r>
    </w:p>
    <w:p w14:paraId="7F5DCB45" w14:textId="1D63EDCD" w:rsidR="00F72F51" w:rsidRPr="00F72F51" w:rsidRDefault="00F72F51" w:rsidP="00F72F51">
      <w:pPr>
        <w:spacing w:line="360" w:lineRule="auto"/>
        <w:ind w:left="567" w:hanging="567"/>
        <w:rPr>
          <w:rFonts w:ascii="Arial" w:hAnsi="Arial" w:cs="Arial"/>
          <w:color w:val="000000" w:themeColor="text1"/>
          <w:sz w:val="23"/>
          <w:szCs w:val="23"/>
        </w:rPr>
      </w:pPr>
      <w:r>
        <w:rPr>
          <w:rFonts w:ascii="Arial" w:hAnsi="Arial"/>
          <w:color w:val="000000"/>
          <w:sz w:val="23"/>
        </w:rPr>
        <w:t>World Health Organization (WHO) (2001) International Classification of Functioning, Disability and Health. Geneva: WHO.</w:t>
      </w:r>
    </w:p>
    <w:sectPr w:rsidR="00F72F51" w:rsidRPr="00F72F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D6EF5" w14:textId="77777777" w:rsidR="00693AFF" w:rsidRDefault="00693AFF" w:rsidP="00032A5B">
      <w:pPr>
        <w:spacing w:after="0" w:line="240" w:lineRule="auto"/>
      </w:pPr>
      <w:r>
        <w:separator/>
      </w:r>
    </w:p>
  </w:endnote>
  <w:endnote w:type="continuationSeparator" w:id="0">
    <w:p w14:paraId="77A060AB" w14:textId="77777777" w:rsidR="00693AFF" w:rsidRDefault="00693AFF"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086A2" w14:textId="77777777" w:rsidR="00693AFF" w:rsidRDefault="00693AFF" w:rsidP="00032A5B">
      <w:pPr>
        <w:spacing w:after="0" w:line="240" w:lineRule="auto"/>
      </w:pPr>
      <w:r>
        <w:separator/>
      </w:r>
    </w:p>
  </w:footnote>
  <w:footnote w:type="continuationSeparator" w:id="0">
    <w:p w14:paraId="3E325432" w14:textId="77777777" w:rsidR="00693AFF" w:rsidRDefault="00693AFF"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146DCA"/>
    <w:rsid w:val="00267711"/>
    <w:rsid w:val="00317E3D"/>
    <w:rsid w:val="0032791E"/>
    <w:rsid w:val="003E4ED4"/>
    <w:rsid w:val="004A5A64"/>
    <w:rsid w:val="0058218C"/>
    <w:rsid w:val="006524ED"/>
    <w:rsid w:val="00693AFF"/>
    <w:rsid w:val="006A3E63"/>
    <w:rsid w:val="006D2F2D"/>
    <w:rsid w:val="006E1FF9"/>
    <w:rsid w:val="00785886"/>
    <w:rsid w:val="007A3327"/>
    <w:rsid w:val="007F3A6A"/>
    <w:rsid w:val="00835B1C"/>
    <w:rsid w:val="009E71F3"/>
    <w:rsid w:val="00A14675"/>
    <w:rsid w:val="00B15DD6"/>
    <w:rsid w:val="00BC79FE"/>
    <w:rsid w:val="00C558B0"/>
    <w:rsid w:val="00D4382B"/>
    <w:rsid w:val="00D545BA"/>
    <w:rsid w:val="00D86BBA"/>
    <w:rsid w:val="00E81204"/>
    <w:rsid w:val="00E9668F"/>
    <w:rsid w:val="00F72F51"/>
    <w:rsid w:val="00F81510"/>
    <w:rsid w:val="00F9569A"/>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F956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1Char">
    <w:name w:val="Heading 1 Char"/>
    <w:basedOn w:val="DefaultParagraphFont"/>
    <w:link w:val="Heading1"/>
    <w:uiPriority w:val="9"/>
    <w:rsid w:val="00F956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569A"/>
    <w:pPr>
      <w:spacing w:line="259" w:lineRule="auto"/>
      <w:outlineLvl w:val="9"/>
    </w:pPr>
    <w:rPr>
      <w:lang w:val="en-US"/>
    </w:rPr>
  </w:style>
  <w:style w:type="paragraph" w:styleId="TOC1">
    <w:name w:val="toc 1"/>
    <w:basedOn w:val="Normal"/>
    <w:next w:val="Normal"/>
    <w:autoRedefine/>
    <w:uiPriority w:val="39"/>
    <w:unhideWhenUsed/>
    <w:rsid w:val="00F9569A"/>
    <w:pPr>
      <w:spacing w:after="100"/>
    </w:pPr>
  </w:style>
  <w:style w:type="character" w:styleId="Hyperlink">
    <w:name w:val="Hyperlink"/>
    <w:basedOn w:val="DefaultParagraphFont"/>
    <w:uiPriority w:val="99"/>
    <w:unhideWhenUsed/>
    <w:rsid w:val="00F956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B0AA1A-8A15-479B-99FC-DD3BC50E3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2769</Words>
  <Characters>15787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Hazel Ignacia Rodriguez Torres (2430331)</cp:lastModifiedBy>
  <cp:revision>2</cp:revision>
  <dcterms:created xsi:type="dcterms:W3CDTF">2026-08-07T09:21:00Z</dcterms:created>
  <dcterms:modified xsi:type="dcterms:W3CDTF">2026-08-07T09:21:00Z</dcterms:modified>
</cp:coreProperties>
</file>