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64CCB6" w14:textId="77777777" w:rsidR="00EE209E" w:rsidRDefault="00EE209E" w:rsidP="003F0969">
      <w:r w:rsidRPr="00EE209E">
        <w:rPr>
          <w:rFonts w:asciiTheme="majorHAnsi" w:eastAsiaTheme="majorEastAsia" w:hAnsiTheme="majorHAnsi" w:cstheme="majorBidi"/>
          <w:b/>
          <w:bCs/>
          <w:noProof/>
          <w:spacing w:val="-10"/>
          <w:kern w:val="28"/>
          <w:sz w:val="56"/>
          <w:szCs w:val="56"/>
        </w:rPr>
        <w:drawing>
          <wp:inline distT="0" distB="0" distL="0" distR="0" wp14:anchorId="2B8408BA" wp14:editId="2354B1F7">
            <wp:extent cx="3714750" cy="1228725"/>
            <wp:effectExtent l="0" t="0" r="0" b="9525"/>
            <wp:docPr id="1" name="Picture 1" descr="C:\Users\HP\AppData\Local\Microsoft\Windows\INetCache\Content.MSO\89150E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MSO\89150E50.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28725"/>
                    </a:xfrm>
                    <a:prstGeom prst="rect">
                      <a:avLst/>
                    </a:prstGeom>
                    <a:noFill/>
                    <a:ln>
                      <a:noFill/>
                    </a:ln>
                  </pic:spPr>
                </pic:pic>
              </a:graphicData>
            </a:graphic>
          </wp:inline>
        </w:drawing>
      </w:r>
    </w:p>
    <w:p w14:paraId="317384F4" w14:textId="19087D94" w:rsidR="00EE209E" w:rsidRDefault="00EE209E" w:rsidP="003F0969"/>
    <w:p w14:paraId="75C656E7" w14:textId="77777777" w:rsidR="00EE209E" w:rsidRDefault="00EE209E" w:rsidP="003F0969"/>
    <w:p w14:paraId="66D64A4E" w14:textId="77777777" w:rsidR="00EE209E" w:rsidRDefault="00EE209E" w:rsidP="003F0969"/>
    <w:p w14:paraId="1E3EAC2B" w14:textId="77777777" w:rsidR="00EE209E" w:rsidRDefault="00EE209E" w:rsidP="00EE209E">
      <w:pPr>
        <w:spacing w:line="360" w:lineRule="auto"/>
        <w:jc w:val="center"/>
        <w:rPr>
          <w:rFonts w:ascii="Arial" w:eastAsia="Calibri" w:hAnsi="Arial" w:cs="Arial"/>
          <w:b/>
          <w:sz w:val="48"/>
          <w:szCs w:val="48"/>
          <w:lang w:val="en-US"/>
        </w:rPr>
      </w:pPr>
    </w:p>
    <w:p w14:paraId="25B61414" w14:textId="77777777" w:rsidR="00EE209E" w:rsidRDefault="00EE209E" w:rsidP="00EE209E">
      <w:pPr>
        <w:spacing w:line="360" w:lineRule="auto"/>
        <w:jc w:val="center"/>
        <w:rPr>
          <w:rFonts w:ascii="Arial" w:eastAsia="Calibri" w:hAnsi="Arial" w:cs="Arial"/>
          <w:b/>
          <w:sz w:val="48"/>
          <w:szCs w:val="48"/>
          <w:lang w:val="en-US"/>
        </w:rPr>
      </w:pPr>
    </w:p>
    <w:p w14:paraId="45ED8CD8" w14:textId="655FC283" w:rsidR="00EE209E" w:rsidRPr="00EE209E" w:rsidRDefault="00EE209E" w:rsidP="00EE209E">
      <w:pPr>
        <w:spacing w:line="360" w:lineRule="auto"/>
        <w:jc w:val="center"/>
        <w:rPr>
          <w:rFonts w:ascii="Arial" w:eastAsia="Calibri" w:hAnsi="Arial" w:cs="Arial"/>
          <w:b/>
          <w:sz w:val="48"/>
          <w:szCs w:val="48"/>
          <w:lang w:val="en-US"/>
        </w:rPr>
      </w:pPr>
      <w:r w:rsidRPr="00EE209E">
        <w:rPr>
          <w:rFonts w:ascii="Arial" w:eastAsia="Calibri" w:hAnsi="Arial" w:cs="Arial"/>
          <w:b/>
          <w:sz w:val="48"/>
          <w:szCs w:val="48"/>
          <w:lang w:val="en-US"/>
        </w:rPr>
        <w:t xml:space="preserve">ASSIGNMENT </w:t>
      </w:r>
    </w:p>
    <w:p w14:paraId="136318E3" w14:textId="77777777" w:rsidR="00EE209E" w:rsidRPr="00EE209E" w:rsidRDefault="00EE209E" w:rsidP="00EE209E">
      <w:pPr>
        <w:spacing w:line="360" w:lineRule="auto"/>
        <w:rPr>
          <w:rFonts w:ascii="Calibri" w:eastAsia="Calibri" w:hAnsi="Calibri" w:cs="Times New Roman"/>
          <w:sz w:val="28"/>
          <w:szCs w:val="28"/>
          <w:lang w:val="en-US"/>
        </w:rPr>
      </w:pPr>
    </w:p>
    <w:p w14:paraId="5BBE8751" w14:textId="74C78EDE" w:rsidR="00EE209E" w:rsidRDefault="00EE209E" w:rsidP="00EE209E">
      <w:pPr>
        <w:spacing w:line="360" w:lineRule="auto"/>
        <w:rPr>
          <w:rFonts w:ascii="Calibri" w:eastAsia="Calibri" w:hAnsi="Calibri" w:cs="Times New Roman"/>
          <w:sz w:val="28"/>
          <w:szCs w:val="28"/>
          <w:lang w:val="en-US"/>
        </w:rPr>
      </w:pPr>
    </w:p>
    <w:p w14:paraId="26C0CC2B" w14:textId="4D65484A" w:rsidR="00EE209E" w:rsidRDefault="00EE209E" w:rsidP="00EE209E">
      <w:pPr>
        <w:spacing w:line="360" w:lineRule="auto"/>
        <w:rPr>
          <w:rFonts w:ascii="Calibri" w:eastAsia="Calibri" w:hAnsi="Calibri" w:cs="Times New Roman"/>
          <w:sz w:val="28"/>
          <w:szCs w:val="28"/>
          <w:lang w:val="en-US"/>
        </w:rPr>
      </w:pPr>
    </w:p>
    <w:p w14:paraId="41932157" w14:textId="4472D402" w:rsidR="00EE209E" w:rsidRDefault="00EE209E" w:rsidP="00EE209E">
      <w:pPr>
        <w:spacing w:line="360" w:lineRule="auto"/>
        <w:rPr>
          <w:rFonts w:ascii="Calibri" w:eastAsia="Calibri" w:hAnsi="Calibri" w:cs="Times New Roman"/>
          <w:sz w:val="28"/>
          <w:szCs w:val="28"/>
          <w:lang w:val="en-US"/>
        </w:rPr>
      </w:pPr>
    </w:p>
    <w:p w14:paraId="043C1C8F" w14:textId="77777777" w:rsidR="00EE209E" w:rsidRPr="00EE209E" w:rsidRDefault="00EE209E" w:rsidP="00EE209E">
      <w:pPr>
        <w:spacing w:line="360" w:lineRule="auto"/>
        <w:rPr>
          <w:rFonts w:ascii="Calibri" w:eastAsia="Calibri" w:hAnsi="Calibri" w:cs="Times New Roman"/>
          <w:sz w:val="28"/>
          <w:szCs w:val="28"/>
          <w:lang w:val="en-US"/>
        </w:rPr>
      </w:pPr>
    </w:p>
    <w:p w14:paraId="487E2494" w14:textId="77777777" w:rsidR="00EE209E" w:rsidRPr="00EE209E" w:rsidRDefault="00EE209E" w:rsidP="00EE209E">
      <w:pPr>
        <w:spacing w:line="360" w:lineRule="auto"/>
        <w:rPr>
          <w:rFonts w:ascii="Arial" w:eastAsia="Calibri" w:hAnsi="Arial" w:cs="Arial"/>
          <w:sz w:val="28"/>
          <w:szCs w:val="28"/>
          <w:lang w:val="en-US"/>
        </w:rPr>
      </w:pPr>
    </w:p>
    <w:p w14:paraId="2A4E1E01" w14:textId="77777777" w:rsidR="00EE209E" w:rsidRPr="00EE209E" w:rsidRDefault="00EE209E" w:rsidP="00EE209E">
      <w:pPr>
        <w:spacing w:line="360" w:lineRule="auto"/>
        <w:rPr>
          <w:rFonts w:ascii="Arial" w:eastAsia="Calibri" w:hAnsi="Arial" w:cs="Arial"/>
          <w:sz w:val="28"/>
          <w:szCs w:val="28"/>
          <w:lang w:val="en-US"/>
        </w:rPr>
      </w:pPr>
      <w:r w:rsidRPr="00EE209E">
        <w:rPr>
          <w:rFonts w:ascii="Arial" w:eastAsia="Calibri" w:hAnsi="Arial" w:cs="Arial"/>
          <w:sz w:val="28"/>
          <w:szCs w:val="28"/>
          <w:lang w:val="en-US"/>
        </w:rPr>
        <w:t>NAME: YOANNA MIHAYLOVA</w:t>
      </w:r>
    </w:p>
    <w:p w14:paraId="11E1D6D8" w14:textId="77777777" w:rsidR="00EE209E" w:rsidRPr="00EE209E" w:rsidRDefault="00EE209E" w:rsidP="00EE209E">
      <w:pPr>
        <w:spacing w:line="360" w:lineRule="auto"/>
        <w:rPr>
          <w:rFonts w:ascii="Arial" w:eastAsia="Calibri" w:hAnsi="Arial" w:cs="Arial"/>
          <w:sz w:val="28"/>
          <w:szCs w:val="28"/>
          <w:lang w:val="en-US"/>
        </w:rPr>
      </w:pPr>
      <w:r w:rsidRPr="00EE209E">
        <w:rPr>
          <w:rFonts w:ascii="Arial" w:eastAsia="Calibri" w:hAnsi="Arial" w:cs="Arial"/>
          <w:sz w:val="28"/>
          <w:szCs w:val="28"/>
          <w:lang w:val="en-US"/>
        </w:rPr>
        <w:t>NUMBER: 1818183</w:t>
      </w:r>
    </w:p>
    <w:p w14:paraId="1FFBE514" w14:textId="558594FD" w:rsidR="00EE209E" w:rsidRPr="00EE209E" w:rsidRDefault="00EE209E" w:rsidP="00EE209E">
      <w:pPr>
        <w:spacing w:line="360" w:lineRule="auto"/>
        <w:rPr>
          <w:rFonts w:ascii="Arial" w:eastAsia="Calibri" w:hAnsi="Arial" w:cs="Arial"/>
          <w:sz w:val="28"/>
          <w:szCs w:val="28"/>
          <w:lang w:val="en-US"/>
        </w:rPr>
      </w:pPr>
      <w:r w:rsidRPr="00EE209E">
        <w:rPr>
          <w:rFonts w:ascii="Arial" w:eastAsia="Calibri" w:hAnsi="Arial" w:cs="Arial"/>
          <w:sz w:val="28"/>
          <w:szCs w:val="28"/>
          <w:lang w:val="en-US"/>
        </w:rPr>
        <w:t xml:space="preserve">SUBJECT: </w:t>
      </w:r>
      <w:r>
        <w:rPr>
          <w:rFonts w:ascii="Arial" w:eastAsia="Calibri" w:hAnsi="Arial" w:cs="Arial"/>
          <w:sz w:val="28"/>
          <w:szCs w:val="28"/>
          <w:lang w:val="en-US"/>
        </w:rPr>
        <w:t xml:space="preserve">THE GLOBAL BUSINESS ENVIROMENT </w:t>
      </w:r>
      <w:r w:rsidRPr="00EE209E">
        <w:rPr>
          <w:rFonts w:ascii="Arial" w:eastAsia="Calibri" w:hAnsi="Arial" w:cs="Arial"/>
          <w:sz w:val="28"/>
          <w:szCs w:val="28"/>
          <w:lang w:val="en-US"/>
        </w:rPr>
        <w:t>(LCBB400</w:t>
      </w:r>
      <w:r>
        <w:rPr>
          <w:rFonts w:ascii="Arial" w:eastAsia="Calibri" w:hAnsi="Arial" w:cs="Arial"/>
          <w:sz w:val="28"/>
          <w:szCs w:val="28"/>
          <w:lang w:val="en-US"/>
        </w:rPr>
        <w:t>5</w:t>
      </w:r>
      <w:r w:rsidRPr="00EE209E">
        <w:rPr>
          <w:rFonts w:ascii="Arial" w:eastAsia="Calibri" w:hAnsi="Arial" w:cs="Arial"/>
          <w:sz w:val="28"/>
          <w:szCs w:val="28"/>
          <w:lang w:val="en-US"/>
        </w:rPr>
        <w:t>)</w:t>
      </w:r>
    </w:p>
    <w:p w14:paraId="1D8FE41E" w14:textId="408B849B" w:rsidR="00EE209E" w:rsidRPr="00EE209E" w:rsidRDefault="00EE209E" w:rsidP="00EE209E">
      <w:pPr>
        <w:spacing w:line="360" w:lineRule="auto"/>
        <w:rPr>
          <w:rFonts w:ascii="Arial" w:eastAsia="Calibri" w:hAnsi="Arial" w:cs="Arial"/>
          <w:sz w:val="28"/>
          <w:szCs w:val="28"/>
          <w:lang w:val="en-US"/>
        </w:rPr>
      </w:pPr>
      <w:r w:rsidRPr="00EE209E">
        <w:rPr>
          <w:rFonts w:ascii="Arial" w:eastAsia="Calibri" w:hAnsi="Arial" w:cs="Arial"/>
          <w:sz w:val="28"/>
          <w:szCs w:val="28"/>
          <w:lang w:val="en-US"/>
        </w:rPr>
        <w:t xml:space="preserve">TOPIC: </w:t>
      </w:r>
      <w:r>
        <w:rPr>
          <w:rFonts w:ascii="Arial" w:eastAsia="Calibri" w:hAnsi="Arial" w:cs="Arial"/>
          <w:sz w:val="28"/>
          <w:szCs w:val="28"/>
          <w:lang w:val="en-US"/>
        </w:rPr>
        <w:t>ELECTRIC VEHICLES IN EUROPE</w:t>
      </w:r>
      <w:r w:rsidRPr="00EE209E">
        <w:rPr>
          <w:rFonts w:ascii="Arial" w:eastAsia="Calibri" w:hAnsi="Arial" w:cs="Arial"/>
          <w:sz w:val="28"/>
          <w:szCs w:val="28"/>
          <w:lang w:val="en-US"/>
        </w:rPr>
        <w:t xml:space="preserve"> </w:t>
      </w:r>
    </w:p>
    <w:p w14:paraId="5DBC5FD2" w14:textId="1EB4DC8C" w:rsidR="007F30B6" w:rsidRPr="007F30B6" w:rsidRDefault="00EE209E" w:rsidP="007F30B6">
      <w:pPr>
        <w:spacing w:line="360" w:lineRule="auto"/>
        <w:rPr>
          <w:rFonts w:ascii="Calibri" w:eastAsia="Calibri" w:hAnsi="Calibri" w:cs="Times New Roman"/>
          <w:sz w:val="28"/>
          <w:szCs w:val="28"/>
          <w:lang w:val="en-US"/>
        </w:rPr>
      </w:pPr>
      <w:r w:rsidRPr="00EE209E">
        <w:rPr>
          <w:rFonts w:ascii="Arial" w:eastAsia="Calibri" w:hAnsi="Arial" w:cs="Arial"/>
          <w:sz w:val="28"/>
          <w:szCs w:val="28"/>
          <w:lang w:val="en-US"/>
        </w:rPr>
        <w:t xml:space="preserve">LECTURER: </w:t>
      </w:r>
      <w:r>
        <w:rPr>
          <w:rFonts w:ascii="Arial" w:eastAsia="Calibri" w:hAnsi="Arial" w:cs="Arial"/>
          <w:sz w:val="28"/>
          <w:szCs w:val="28"/>
          <w:lang w:val="en-US"/>
        </w:rPr>
        <w:t>KENNY TANG</w:t>
      </w:r>
    </w:p>
    <w:sdt>
      <w:sdtPr>
        <w:rPr>
          <w:rFonts w:ascii="Arial" w:eastAsiaTheme="minorHAnsi" w:hAnsi="Arial" w:cs="Arial"/>
          <w:b w:val="0"/>
          <w:bCs w:val="0"/>
          <w:color w:val="auto"/>
          <w:sz w:val="24"/>
          <w:szCs w:val="24"/>
          <w:lang w:val="en-GB"/>
        </w:rPr>
        <w:id w:val="1788937935"/>
        <w:docPartObj>
          <w:docPartGallery w:val="Table of Contents"/>
          <w:docPartUnique/>
        </w:docPartObj>
      </w:sdtPr>
      <w:sdtEndPr>
        <w:rPr>
          <w:noProof/>
        </w:rPr>
      </w:sdtEndPr>
      <w:sdtContent>
        <w:p w14:paraId="450517E5" w14:textId="745C3A55" w:rsidR="003F0969" w:rsidRPr="00694BE7" w:rsidRDefault="00694BE7" w:rsidP="00694BE7">
          <w:pPr>
            <w:pStyle w:val="TOCHeading"/>
            <w:spacing w:line="360" w:lineRule="auto"/>
            <w:jc w:val="center"/>
            <w:rPr>
              <w:rFonts w:ascii="Arial" w:hAnsi="Arial" w:cs="Arial"/>
              <w:color w:val="auto"/>
              <w:sz w:val="32"/>
              <w:szCs w:val="32"/>
            </w:rPr>
          </w:pPr>
          <w:r w:rsidRPr="00694BE7">
            <w:rPr>
              <w:rFonts w:ascii="Arial" w:hAnsi="Arial" w:cs="Arial"/>
              <w:color w:val="auto"/>
              <w:sz w:val="32"/>
              <w:szCs w:val="32"/>
            </w:rPr>
            <w:t>CONTENT</w:t>
          </w:r>
        </w:p>
        <w:p w14:paraId="6F7273AC" w14:textId="122584D6" w:rsidR="003F0969" w:rsidRPr="007F30B6" w:rsidRDefault="009D6F85" w:rsidP="00694BE7">
          <w:pPr>
            <w:pStyle w:val="TOC1"/>
            <w:rPr>
              <w:rFonts w:eastAsiaTheme="minorEastAsia"/>
              <w:lang w:eastAsia="en-GB"/>
            </w:rPr>
          </w:pPr>
          <w:r>
            <w:rPr>
              <w:noProof w:val="0"/>
            </w:rPr>
            <w:t xml:space="preserve">  </w:t>
          </w:r>
          <w:r w:rsidRPr="009D6F85">
            <w:rPr>
              <w:i w:val="0"/>
              <w:iCs w:val="0"/>
              <w:noProof w:val="0"/>
            </w:rPr>
            <w:t xml:space="preserve"> 1</w:t>
          </w:r>
          <w:r>
            <w:rPr>
              <w:noProof w:val="0"/>
            </w:rPr>
            <w:t>.</w:t>
          </w:r>
          <w:r w:rsidR="003F0969" w:rsidRPr="007F30B6">
            <w:rPr>
              <w:noProof w:val="0"/>
            </w:rPr>
            <w:fldChar w:fldCharType="begin"/>
          </w:r>
          <w:r w:rsidR="003F0969" w:rsidRPr="007F30B6">
            <w:instrText xml:space="preserve"> TOC \o "1-3" \h \z \u </w:instrText>
          </w:r>
          <w:r w:rsidR="003F0969" w:rsidRPr="007F30B6">
            <w:rPr>
              <w:noProof w:val="0"/>
            </w:rPr>
            <w:fldChar w:fldCharType="separate"/>
          </w:r>
          <w:hyperlink w:anchor="_Toc27362954" w:history="1">
            <w:r w:rsidR="003F0969" w:rsidRPr="00694BE7">
              <w:rPr>
                <w:rStyle w:val="Hyperlink"/>
                <w:i w:val="0"/>
                <w:iCs w:val="0"/>
              </w:rPr>
              <w:t>Introduction</w:t>
            </w:r>
            <w:r w:rsidR="003F0969" w:rsidRPr="00694BE7">
              <w:rPr>
                <w:webHidden/>
              </w:rPr>
              <w:tab/>
            </w:r>
            <w:r w:rsidR="003F0969" w:rsidRPr="007F30B6">
              <w:rPr>
                <w:webHidden/>
              </w:rPr>
              <w:fldChar w:fldCharType="begin"/>
            </w:r>
            <w:r w:rsidR="003F0969" w:rsidRPr="007F30B6">
              <w:rPr>
                <w:webHidden/>
              </w:rPr>
              <w:instrText xml:space="preserve"> PAGEREF _Toc27362954 \h </w:instrText>
            </w:r>
            <w:r w:rsidR="003F0969" w:rsidRPr="007F30B6">
              <w:rPr>
                <w:webHidden/>
              </w:rPr>
            </w:r>
            <w:r w:rsidR="003F0969" w:rsidRPr="007F30B6">
              <w:rPr>
                <w:webHidden/>
              </w:rPr>
              <w:fldChar w:fldCharType="separate"/>
            </w:r>
            <w:r w:rsidR="003F0969" w:rsidRPr="007F30B6">
              <w:rPr>
                <w:webHidden/>
              </w:rPr>
              <w:t>3</w:t>
            </w:r>
            <w:r w:rsidR="003F0969" w:rsidRPr="007F30B6">
              <w:rPr>
                <w:webHidden/>
              </w:rPr>
              <w:fldChar w:fldCharType="end"/>
            </w:r>
          </w:hyperlink>
        </w:p>
        <w:p w14:paraId="14CC7244" w14:textId="3C63E463" w:rsidR="003F0969" w:rsidRPr="00694BE7" w:rsidRDefault="009D6F85" w:rsidP="00694BE7">
          <w:pPr>
            <w:pStyle w:val="TOC1"/>
            <w:rPr>
              <w:rFonts w:eastAsiaTheme="minorEastAsia"/>
              <w:lang w:eastAsia="en-GB"/>
            </w:rPr>
          </w:pPr>
          <w:r>
            <w:t xml:space="preserve">   2.</w:t>
          </w:r>
          <w:hyperlink w:anchor="_Toc27362955" w:history="1">
            <w:r w:rsidR="003F0969" w:rsidRPr="00694BE7">
              <w:rPr>
                <w:rStyle w:val="Hyperlink"/>
                <w:i w:val="0"/>
                <w:iCs w:val="0"/>
              </w:rPr>
              <w:t>Part 1: Exploration of External Forces</w:t>
            </w:r>
            <w:r w:rsidR="003F0969" w:rsidRPr="00694BE7">
              <w:rPr>
                <w:webHidden/>
              </w:rPr>
              <w:tab/>
            </w:r>
            <w:r w:rsidR="003F0969" w:rsidRPr="00694BE7">
              <w:rPr>
                <w:webHidden/>
              </w:rPr>
              <w:fldChar w:fldCharType="begin"/>
            </w:r>
            <w:r w:rsidR="003F0969" w:rsidRPr="00694BE7">
              <w:rPr>
                <w:webHidden/>
              </w:rPr>
              <w:instrText xml:space="preserve"> PAGEREF _Toc27362955 \h </w:instrText>
            </w:r>
            <w:r w:rsidR="003F0969" w:rsidRPr="00694BE7">
              <w:rPr>
                <w:webHidden/>
              </w:rPr>
            </w:r>
            <w:r w:rsidR="003F0969" w:rsidRPr="00694BE7">
              <w:rPr>
                <w:webHidden/>
              </w:rPr>
              <w:fldChar w:fldCharType="separate"/>
            </w:r>
            <w:r w:rsidR="003F0969" w:rsidRPr="00694BE7">
              <w:rPr>
                <w:webHidden/>
              </w:rPr>
              <w:t>3</w:t>
            </w:r>
            <w:r w:rsidR="003F0969" w:rsidRPr="00694BE7">
              <w:rPr>
                <w:webHidden/>
              </w:rPr>
              <w:fldChar w:fldCharType="end"/>
            </w:r>
          </w:hyperlink>
        </w:p>
        <w:p w14:paraId="02485A06" w14:textId="6B624520" w:rsidR="003F0969" w:rsidRPr="007F30B6" w:rsidRDefault="009D6F85" w:rsidP="007F30B6">
          <w:pPr>
            <w:pStyle w:val="TOC2"/>
            <w:tabs>
              <w:tab w:val="right" w:leader="dot" w:pos="9010"/>
            </w:tabs>
            <w:spacing w:line="360" w:lineRule="auto"/>
            <w:jc w:val="both"/>
            <w:rPr>
              <w:rFonts w:ascii="Arial" w:eastAsiaTheme="minorEastAsia" w:hAnsi="Arial" w:cs="Arial"/>
              <w:b w:val="0"/>
              <w:bCs w:val="0"/>
              <w:noProof/>
              <w:sz w:val="24"/>
              <w:szCs w:val="24"/>
              <w:lang w:eastAsia="en-GB"/>
            </w:rPr>
          </w:pPr>
          <w:r>
            <w:rPr>
              <w:rFonts w:ascii="Arial" w:hAnsi="Arial" w:cs="Arial"/>
              <w:sz w:val="24"/>
              <w:szCs w:val="24"/>
            </w:rPr>
            <w:t>3.</w:t>
          </w:r>
          <w:hyperlink w:anchor="_Toc27362956" w:history="1">
            <w:r w:rsidR="003F0969" w:rsidRPr="007F30B6">
              <w:rPr>
                <w:rStyle w:val="Hyperlink"/>
                <w:rFonts w:ascii="Arial" w:hAnsi="Arial" w:cs="Arial"/>
                <w:noProof/>
                <w:sz w:val="24"/>
                <w:szCs w:val="24"/>
              </w:rPr>
              <w:t>PESTEL Analysis</w:t>
            </w:r>
            <w:r w:rsidR="003F0969" w:rsidRPr="007F30B6">
              <w:rPr>
                <w:rFonts w:ascii="Arial" w:hAnsi="Arial" w:cs="Arial"/>
                <w:noProof/>
                <w:webHidden/>
                <w:sz w:val="24"/>
                <w:szCs w:val="24"/>
              </w:rPr>
              <w:tab/>
            </w:r>
            <w:r w:rsidR="003F0969" w:rsidRPr="007F30B6">
              <w:rPr>
                <w:rFonts w:ascii="Arial" w:hAnsi="Arial" w:cs="Arial"/>
                <w:noProof/>
                <w:webHidden/>
                <w:sz w:val="24"/>
                <w:szCs w:val="24"/>
              </w:rPr>
              <w:fldChar w:fldCharType="begin"/>
            </w:r>
            <w:r w:rsidR="003F0969" w:rsidRPr="007F30B6">
              <w:rPr>
                <w:rFonts w:ascii="Arial" w:hAnsi="Arial" w:cs="Arial"/>
                <w:noProof/>
                <w:webHidden/>
                <w:sz w:val="24"/>
                <w:szCs w:val="24"/>
              </w:rPr>
              <w:instrText xml:space="preserve"> PAGEREF _Toc27362956 \h </w:instrText>
            </w:r>
            <w:r w:rsidR="003F0969" w:rsidRPr="007F30B6">
              <w:rPr>
                <w:rFonts w:ascii="Arial" w:hAnsi="Arial" w:cs="Arial"/>
                <w:noProof/>
                <w:webHidden/>
                <w:sz w:val="24"/>
                <w:szCs w:val="24"/>
              </w:rPr>
            </w:r>
            <w:r w:rsidR="003F0969" w:rsidRPr="007F30B6">
              <w:rPr>
                <w:rFonts w:ascii="Arial" w:hAnsi="Arial" w:cs="Arial"/>
                <w:noProof/>
                <w:webHidden/>
                <w:sz w:val="24"/>
                <w:szCs w:val="24"/>
              </w:rPr>
              <w:fldChar w:fldCharType="separate"/>
            </w:r>
            <w:r w:rsidR="003F0969" w:rsidRPr="007F30B6">
              <w:rPr>
                <w:rFonts w:ascii="Arial" w:hAnsi="Arial" w:cs="Arial"/>
                <w:noProof/>
                <w:webHidden/>
                <w:sz w:val="24"/>
                <w:szCs w:val="24"/>
              </w:rPr>
              <w:t>3</w:t>
            </w:r>
            <w:r w:rsidR="003F0969" w:rsidRPr="007F30B6">
              <w:rPr>
                <w:rFonts w:ascii="Arial" w:hAnsi="Arial" w:cs="Arial"/>
                <w:noProof/>
                <w:webHidden/>
                <w:sz w:val="24"/>
                <w:szCs w:val="24"/>
              </w:rPr>
              <w:fldChar w:fldCharType="end"/>
            </w:r>
          </w:hyperlink>
        </w:p>
        <w:p w14:paraId="2CB237F3" w14:textId="77777777" w:rsidR="003F0969" w:rsidRPr="007F30B6" w:rsidRDefault="008C26DD" w:rsidP="007F30B6">
          <w:pPr>
            <w:pStyle w:val="TOC3"/>
            <w:tabs>
              <w:tab w:val="right" w:leader="dot" w:pos="9010"/>
            </w:tabs>
            <w:spacing w:line="360" w:lineRule="auto"/>
            <w:jc w:val="both"/>
            <w:rPr>
              <w:rFonts w:ascii="Arial" w:eastAsiaTheme="minorEastAsia" w:hAnsi="Arial" w:cs="Arial"/>
              <w:noProof/>
              <w:sz w:val="24"/>
              <w:szCs w:val="24"/>
              <w:lang w:eastAsia="en-GB"/>
            </w:rPr>
          </w:pPr>
          <w:hyperlink w:anchor="_Toc27362957" w:history="1">
            <w:r w:rsidR="003F0969" w:rsidRPr="007F30B6">
              <w:rPr>
                <w:rStyle w:val="Hyperlink"/>
                <w:rFonts w:ascii="Arial" w:hAnsi="Arial" w:cs="Arial"/>
                <w:b/>
                <w:bCs/>
                <w:noProof/>
                <w:sz w:val="24"/>
                <w:szCs w:val="24"/>
              </w:rPr>
              <w:t>Political</w:t>
            </w:r>
            <w:r w:rsidR="003F0969" w:rsidRPr="007F30B6">
              <w:rPr>
                <w:rFonts w:ascii="Arial" w:hAnsi="Arial" w:cs="Arial"/>
                <w:noProof/>
                <w:webHidden/>
                <w:sz w:val="24"/>
                <w:szCs w:val="24"/>
              </w:rPr>
              <w:tab/>
            </w:r>
            <w:r w:rsidR="003F0969" w:rsidRPr="007F30B6">
              <w:rPr>
                <w:rFonts w:ascii="Arial" w:hAnsi="Arial" w:cs="Arial"/>
                <w:noProof/>
                <w:webHidden/>
                <w:sz w:val="24"/>
                <w:szCs w:val="24"/>
              </w:rPr>
              <w:fldChar w:fldCharType="begin"/>
            </w:r>
            <w:r w:rsidR="003F0969" w:rsidRPr="007F30B6">
              <w:rPr>
                <w:rFonts w:ascii="Arial" w:hAnsi="Arial" w:cs="Arial"/>
                <w:noProof/>
                <w:webHidden/>
                <w:sz w:val="24"/>
                <w:szCs w:val="24"/>
              </w:rPr>
              <w:instrText xml:space="preserve"> PAGEREF _Toc27362957 \h </w:instrText>
            </w:r>
            <w:r w:rsidR="003F0969" w:rsidRPr="007F30B6">
              <w:rPr>
                <w:rFonts w:ascii="Arial" w:hAnsi="Arial" w:cs="Arial"/>
                <w:noProof/>
                <w:webHidden/>
                <w:sz w:val="24"/>
                <w:szCs w:val="24"/>
              </w:rPr>
            </w:r>
            <w:r w:rsidR="003F0969" w:rsidRPr="007F30B6">
              <w:rPr>
                <w:rFonts w:ascii="Arial" w:hAnsi="Arial" w:cs="Arial"/>
                <w:noProof/>
                <w:webHidden/>
                <w:sz w:val="24"/>
                <w:szCs w:val="24"/>
              </w:rPr>
              <w:fldChar w:fldCharType="separate"/>
            </w:r>
            <w:r w:rsidR="003F0969" w:rsidRPr="007F30B6">
              <w:rPr>
                <w:rFonts w:ascii="Arial" w:hAnsi="Arial" w:cs="Arial"/>
                <w:noProof/>
                <w:webHidden/>
                <w:sz w:val="24"/>
                <w:szCs w:val="24"/>
              </w:rPr>
              <w:t>3</w:t>
            </w:r>
            <w:r w:rsidR="003F0969" w:rsidRPr="007F30B6">
              <w:rPr>
                <w:rFonts w:ascii="Arial" w:hAnsi="Arial" w:cs="Arial"/>
                <w:noProof/>
                <w:webHidden/>
                <w:sz w:val="24"/>
                <w:szCs w:val="24"/>
              </w:rPr>
              <w:fldChar w:fldCharType="end"/>
            </w:r>
          </w:hyperlink>
        </w:p>
        <w:p w14:paraId="4C193FB8" w14:textId="77777777" w:rsidR="003F0969" w:rsidRPr="007F30B6" w:rsidRDefault="008C26DD" w:rsidP="007F30B6">
          <w:pPr>
            <w:pStyle w:val="TOC3"/>
            <w:tabs>
              <w:tab w:val="right" w:leader="dot" w:pos="9010"/>
            </w:tabs>
            <w:spacing w:line="360" w:lineRule="auto"/>
            <w:jc w:val="both"/>
            <w:rPr>
              <w:rFonts w:ascii="Arial" w:eastAsiaTheme="minorEastAsia" w:hAnsi="Arial" w:cs="Arial"/>
              <w:noProof/>
              <w:sz w:val="24"/>
              <w:szCs w:val="24"/>
              <w:lang w:eastAsia="en-GB"/>
            </w:rPr>
          </w:pPr>
          <w:hyperlink w:anchor="_Toc27362958" w:history="1">
            <w:r w:rsidR="003F0969" w:rsidRPr="007F30B6">
              <w:rPr>
                <w:rStyle w:val="Hyperlink"/>
                <w:rFonts w:ascii="Arial" w:hAnsi="Arial" w:cs="Arial"/>
                <w:b/>
                <w:bCs/>
                <w:noProof/>
                <w:sz w:val="24"/>
                <w:szCs w:val="24"/>
              </w:rPr>
              <w:t>Economic</w:t>
            </w:r>
            <w:r w:rsidR="003F0969" w:rsidRPr="007F30B6">
              <w:rPr>
                <w:rFonts w:ascii="Arial" w:hAnsi="Arial" w:cs="Arial"/>
                <w:noProof/>
                <w:webHidden/>
                <w:sz w:val="24"/>
                <w:szCs w:val="24"/>
              </w:rPr>
              <w:tab/>
            </w:r>
            <w:r w:rsidR="003F0969" w:rsidRPr="007F30B6">
              <w:rPr>
                <w:rFonts w:ascii="Arial" w:hAnsi="Arial" w:cs="Arial"/>
                <w:noProof/>
                <w:webHidden/>
                <w:sz w:val="24"/>
                <w:szCs w:val="24"/>
              </w:rPr>
              <w:fldChar w:fldCharType="begin"/>
            </w:r>
            <w:r w:rsidR="003F0969" w:rsidRPr="007F30B6">
              <w:rPr>
                <w:rFonts w:ascii="Arial" w:hAnsi="Arial" w:cs="Arial"/>
                <w:noProof/>
                <w:webHidden/>
                <w:sz w:val="24"/>
                <w:szCs w:val="24"/>
              </w:rPr>
              <w:instrText xml:space="preserve"> PAGEREF _Toc27362958 \h </w:instrText>
            </w:r>
            <w:r w:rsidR="003F0969" w:rsidRPr="007F30B6">
              <w:rPr>
                <w:rFonts w:ascii="Arial" w:hAnsi="Arial" w:cs="Arial"/>
                <w:noProof/>
                <w:webHidden/>
                <w:sz w:val="24"/>
                <w:szCs w:val="24"/>
              </w:rPr>
            </w:r>
            <w:r w:rsidR="003F0969" w:rsidRPr="007F30B6">
              <w:rPr>
                <w:rFonts w:ascii="Arial" w:hAnsi="Arial" w:cs="Arial"/>
                <w:noProof/>
                <w:webHidden/>
                <w:sz w:val="24"/>
                <w:szCs w:val="24"/>
              </w:rPr>
              <w:fldChar w:fldCharType="separate"/>
            </w:r>
            <w:r w:rsidR="003F0969" w:rsidRPr="007F30B6">
              <w:rPr>
                <w:rFonts w:ascii="Arial" w:hAnsi="Arial" w:cs="Arial"/>
                <w:noProof/>
                <w:webHidden/>
                <w:sz w:val="24"/>
                <w:szCs w:val="24"/>
              </w:rPr>
              <w:t>3</w:t>
            </w:r>
            <w:r w:rsidR="003F0969" w:rsidRPr="007F30B6">
              <w:rPr>
                <w:rFonts w:ascii="Arial" w:hAnsi="Arial" w:cs="Arial"/>
                <w:noProof/>
                <w:webHidden/>
                <w:sz w:val="24"/>
                <w:szCs w:val="24"/>
              </w:rPr>
              <w:fldChar w:fldCharType="end"/>
            </w:r>
          </w:hyperlink>
        </w:p>
        <w:p w14:paraId="7FAE4989" w14:textId="77777777" w:rsidR="003F0969" w:rsidRPr="007F30B6" w:rsidRDefault="008C26DD" w:rsidP="007F30B6">
          <w:pPr>
            <w:pStyle w:val="TOC3"/>
            <w:tabs>
              <w:tab w:val="right" w:leader="dot" w:pos="9010"/>
            </w:tabs>
            <w:spacing w:line="360" w:lineRule="auto"/>
            <w:jc w:val="both"/>
            <w:rPr>
              <w:rFonts w:ascii="Arial" w:eastAsiaTheme="minorEastAsia" w:hAnsi="Arial" w:cs="Arial"/>
              <w:noProof/>
              <w:sz w:val="24"/>
              <w:szCs w:val="24"/>
              <w:lang w:eastAsia="en-GB"/>
            </w:rPr>
          </w:pPr>
          <w:hyperlink w:anchor="_Toc27362959" w:history="1">
            <w:r w:rsidR="003F0969" w:rsidRPr="007F30B6">
              <w:rPr>
                <w:rStyle w:val="Hyperlink"/>
                <w:rFonts w:ascii="Arial" w:hAnsi="Arial" w:cs="Arial"/>
                <w:b/>
                <w:bCs/>
                <w:noProof/>
                <w:sz w:val="24"/>
                <w:szCs w:val="24"/>
              </w:rPr>
              <w:t>Social</w:t>
            </w:r>
            <w:r w:rsidR="003F0969" w:rsidRPr="007F30B6">
              <w:rPr>
                <w:rFonts w:ascii="Arial" w:hAnsi="Arial" w:cs="Arial"/>
                <w:noProof/>
                <w:webHidden/>
                <w:sz w:val="24"/>
                <w:szCs w:val="24"/>
              </w:rPr>
              <w:tab/>
            </w:r>
            <w:r w:rsidR="003F0969" w:rsidRPr="007F30B6">
              <w:rPr>
                <w:rFonts w:ascii="Arial" w:hAnsi="Arial" w:cs="Arial"/>
                <w:noProof/>
                <w:webHidden/>
                <w:sz w:val="24"/>
                <w:szCs w:val="24"/>
              </w:rPr>
              <w:fldChar w:fldCharType="begin"/>
            </w:r>
            <w:r w:rsidR="003F0969" w:rsidRPr="007F30B6">
              <w:rPr>
                <w:rFonts w:ascii="Arial" w:hAnsi="Arial" w:cs="Arial"/>
                <w:noProof/>
                <w:webHidden/>
                <w:sz w:val="24"/>
                <w:szCs w:val="24"/>
              </w:rPr>
              <w:instrText xml:space="preserve"> PAGEREF _Toc27362959 \h </w:instrText>
            </w:r>
            <w:r w:rsidR="003F0969" w:rsidRPr="007F30B6">
              <w:rPr>
                <w:rFonts w:ascii="Arial" w:hAnsi="Arial" w:cs="Arial"/>
                <w:noProof/>
                <w:webHidden/>
                <w:sz w:val="24"/>
                <w:szCs w:val="24"/>
              </w:rPr>
            </w:r>
            <w:r w:rsidR="003F0969" w:rsidRPr="007F30B6">
              <w:rPr>
                <w:rFonts w:ascii="Arial" w:hAnsi="Arial" w:cs="Arial"/>
                <w:noProof/>
                <w:webHidden/>
                <w:sz w:val="24"/>
                <w:szCs w:val="24"/>
              </w:rPr>
              <w:fldChar w:fldCharType="separate"/>
            </w:r>
            <w:r w:rsidR="003F0969" w:rsidRPr="007F30B6">
              <w:rPr>
                <w:rFonts w:ascii="Arial" w:hAnsi="Arial" w:cs="Arial"/>
                <w:noProof/>
                <w:webHidden/>
                <w:sz w:val="24"/>
                <w:szCs w:val="24"/>
              </w:rPr>
              <w:t>3</w:t>
            </w:r>
            <w:r w:rsidR="003F0969" w:rsidRPr="007F30B6">
              <w:rPr>
                <w:rFonts w:ascii="Arial" w:hAnsi="Arial" w:cs="Arial"/>
                <w:noProof/>
                <w:webHidden/>
                <w:sz w:val="24"/>
                <w:szCs w:val="24"/>
              </w:rPr>
              <w:fldChar w:fldCharType="end"/>
            </w:r>
          </w:hyperlink>
        </w:p>
        <w:p w14:paraId="5C4808D9" w14:textId="149A77B8" w:rsidR="003F0969" w:rsidRPr="007F30B6" w:rsidRDefault="008C26DD" w:rsidP="007F30B6">
          <w:pPr>
            <w:pStyle w:val="TOC3"/>
            <w:tabs>
              <w:tab w:val="right" w:leader="dot" w:pos="9010"/>
            </w:tabs>
            <w:spacing w:line="360" w:lineRule="auto"/>
            <w:jc w:val="both"/>
            <w:rPr>
              <w:rFonts w:ascii="Arial" w:eastAsiaTheme="minorEastAsia" w:hAnsi="Arial" w:cs="Arial"/>
              <w:noProof/>
              <w:sz w:val="24"/>
              <w:szCs w:val="24"/>
              <w:lang w:eastAsia="en-GB"/>
            </w:rPr>
          </w:pPr>
          <w:hyperlink w:anchor="_Toc27362960" w:history="1">
            <w:r w:rsidR="003F0969" w:rsidRPr="007F30B6">
              <w:rPr>
                <w:rStyle w:val="Hyperlink"/>
                <w:rFonts w:ascii="Arial" w:hAnsi="Arial" w:cs="Arial"/>
                <w:b/>
                <w:bCs/>
                <w:noProof/>
                <w:sz w:val="24"/>
                <w:szCs w:val="24"/>
              </w:rPr>
              <w:t>Technological</w:t>
            </w:r>
            <w:r w:rsidR="003F0969" w:rsidRPr="007F30B6">
              <w:rPr>
                <w:rFonts w:ascii="Arial" w:hAnsi="Arial" w:cs="Arial"/>
                <w:noProof/>
                <w:webHidden/>
                <w:sz w:val="24"/>
                <w:szCs w:val="24"/>
              </w:rPr>
              <w:tab/>
            </w:r>
            <w:r w:rsidR="009D6F85">
              <w:rPr>
                <w:rFonts w:ascii="Arial" w:hAnsi="Arial" w:cs="Arial"/>
                <w:noProof/>
                <w:webHidden/>
                <w:sz w:val="24"/>
                <w:szCs w:val="24"/>
              </w:rPr>
              <w:t>4</w:t>
            </w:r>
          </w:hyperlink>
        </w:p>
        <w:p w14:paraId="5288653E" w14:textId="729FFFB3" w:rsidR="003F0969" w:rsidRPr="007F30B6" w:rsidRDefault="008C26DD" w:rsidP="007F30B6">
          <w:pPr>
            <w:pStyle w:val="TOC3"/>
            <w:tabs>
              <w:tab w:val="right" w:leader="dot" w:pos="9010"/>
            </w:tabs>
            <w:spacing w:line="360" w:lineRule="auto"/>
            <w:jc w:val="both"/>
            <w:rPr>
              <w:rFonts w:ascii="Arial" w:eastAsiaTheme="minorEastAsia" w:hAnsi="Arial" w:cs="Arial"/>
              <w:noProof/>
              <w:sz w:val="24"/>
              <w:szCs w:val="24"/>
              <w:lang w:eastAsia="en-GB"/>
            </w:rPr>
          </w:pPr>
          <w:hyperlink w:anchor="_Toc27362961" w:history="1">
            <w:r w:rsidR="003F0969" w:rsidRPr="007F30B6">
              <w:rPr>
                <w:rStyle w:val="Hyperlink"/>
                <w:rFonts w:ascii="Arial" w:hAnsi="Arial" w:cs="Arial"/>
                <w:b/>
                <w:bCs/>
                <w:noProof/>
                <w:sz w:val="24"/>
                <w:szCs w:val="24"/>
              </w:rPr>
              <w:t>Environmental</w:t>
            </w:r>
            <w:r w:rsidR="003F0969" w:rsidRPr="007F30B6">
              <w:rPr>
                <w:rFonts w:ascii="Arial" w:hAnsi="Arial" w:cs="Arial"/>
                <w:noProof/>
                <w:webHidden/>
                <w:sz w:val="24"/>
                <w:szCs w:val="24"/>
              </w:rPr>
              <w:tab/>
            </w:r>
            <w:r w:rsidR="009D6F85">
              <w:rPr>
                <w:rFonts w:ascii="Arial" w:hAnsi="Arial" w:cs="Arial"/>
                <w:noProof/>
                <w:webHidden/>
                <w:sz w:val="24"/>
                <w:szCs w:val="24"/>
              </w:rPr>
              <w:t>4</w:t>
            </w:r>
          </w:hyperlink>
        </w:p>
        <w:p w14:paraId="55A0D164" w14:textId="41C746EC" w:rsidR="003F0969" w:rsidRPr="007F30B6" w:rsidRDefault="008C26DD" w:rsidP="007F30B6">
          <w:pPr>
            <w:pStyle w:val="TOC3"/>
            <w:tabs>
              <w:tab w:val="right" w:leader="dot" w:pos="9010"/>
            </w:tabs>
            <w:spacing w:line="360" w:lineRule="auto"/>
            <w:jc w:val="both"/>
            <w:rPr>
              <w:rFonts w:ascii="Arial" w:eastAsiaTheme="minorEastAsia" w:hAnsi="Arial" w:cs="Arial"/>
              <w:noProof/>
              <w:sz w:val="24"/>
              <w:szCs w:val="24"/>
              <w:lang w:eastAsia="en-GB"/>
            </w:rPr>
          </w:pPr>
          <w:hyperlink w:anchor="_Toc27362962" w:history="1">
            <w:r w:rsidR="003F0969" w:rsidRPr="007F30B6">
              <w:rPr>
                <w:rStyle w:val="Hyperlink"/>
                <w:rFonts w:ascii="Arial" w:hAnsi="Arial" w:cs="Arial"/>
                <w:b/>
                <w:bCs/>
                <w:noProof/>
                <w:sz w:val="24"/>
                <w:szCs w:val="24"/>
              </w:rPr>
              <w:t>Legal</w:t>
            </w:r>
            <w:r w:rsidR="003F0969" w:rsidRPr="007F30B6">
              <w:rPr>
                <w:rFonts w:ascii="Arial" w:hAnsi="Arial" w:cs="Arial"/>
                <w:noProof/>
                <w:webHidden/>
                <w:sz w:val="24"/>
                <w:szCs w:val="24"/>
              </w:rPr>
              <w:tab/>
            </w:r>
            <w:r w:rsidR="009D6F85">
              <w:rPr>
                <w:rFonts w:ascii="Arial" w:hAnsi="Arial" w:cs="Arial"/>
                <w:noProof/>
                <w:webHidden/>
                <w:sz w:val="24"/>
                <w:szCs w:val="24"/>
              </w:rPr>
              <w:t>4</w:t>
            </w:r>
          </w:hyperlink>
        </w:p>
        <w:p w14:paraId="158DC950" w14:textId="272D5979" w:rsidR="003F0969" w:rsidRPr="007F30B6" w:rsidRDefault="009D6F85" w:rsidP="007F30B6">
          <w:pPr>
            <w:pStyle w:val="TOC2"/>
            <w:tabs>
              <w:tab w:val="right" w:leader="dot" w:pos="9010"/>
            </w:tabs>
            <w:spacing w:line="360" w:lineRule="auto"/>
            <w:jc w:val="both"/>
            <w:rPr>
              <w:rFonts w:ascii="Arial" w:eastAsiaTheme="minorEastAsia" w:hAnsi="Arial" w:cs="Arial"/>
              <w:b w:val="0"/>
              <w:bCs w:val="0"/>
              <w:noProof/>
              <w:sz w:val="24"/>
              <w:szCs w:val="24"/>
              <w:lang w:eastAsia="en-GB"/>
            </w:rPr>
          </w:pPr>
          <w:r>
            <w:rPr>
              <w:rFonts w:ascii="Arial" w:hAnsi="Arial" w:cs="Arial"/>
              <w:sz w:val="24"/>
              <w:szCs w:val="24"/>
            </w:rPr>
            <w:t xml:space="preserve"> 4.</w:t>
          </w:r>
          <w:hyperlink w:anchor="_Toc27362963" w:history="1">
            <w:r w:rsidR="003F0969" w:rsidRPr="007F30B6">
              <w:rPr>
                <w:rStyle w:val="Hyperlink"/>
                <w:rFonts w:ascii="Arial" w:hAnsi="Arial" w:cs="Arial"/>
                <w:noProof/>
                <w:sz w:val="24"/>
                <w:szCs w:val="24"/>
              </w:rPr>
              <w:t>Porter’s Five Forces</w:t>
            </w:r>
            <w:r w:rsidR="003F0969" w:rsidRPr="007F30B6">
              <w:rPr>
                <w:rFonts w:ascii="Arial" w:hAnsi="Arial" w:cs="Arial"/>
                <w:noProof/>
                <w:webHidden/>
                <w:sz w:val="24"/>
                <w:szCs w:val="24"/>
              </w:rPr>
              <w:tab/>
            </w:r>
            <w:r w:rsidR="003F0969" w:rsidRPr="007F30B6">
              <w:rPr>
                <w:rFonts w:ascii="Arial" w:hAnsi="Arial" w:cs="Arial"/>
                <w:noProof/>
                <w:webHidden/>
                <w:sz w:val="24"/>
                <w:szCs w:val="24"/>
              </w:rPr>
              <w:fldChar w:fldCharType="begin"/>
            </w:r>
            <w:r w:rsidR="003F0969" w:rsidRPr="007F30B6">
              <w:rPr>
                <w:rFonts w:ascii="Arial" w:hAnsi="Arial" w:cs="Arial"/>
                <w:noProof/>
                <w:webHidden/>
                <w:sz w:val="24"/>
                <w:szCs w:val="24"/>
              </w:rPr>
              <w:instrText xml:space="preserve"> PAGEREF _Toc27362963 \h </w:instrText>
            </w:r>
            <w:r w:rsidR="003F0969" w:rsidRPr="007F30B6">
              <w:rPr>
                <w:rFonts w:ascii="Arial" w:hAnsi="Arial" w:cs="Arial"/>
                <w:noProof/>
                <w:webHidden/>
                <w:sz w:val="24"/>
                <w:szCs w:val="24"/>
              </w:rPr>
            </w:r>
            <w:r w:rsidR="003F0969" w:rsidRPr="007F30B6">
              <w:rPr>
                <w:rFonts w:ascii="Arial" w:hAnsi="Arial" w:cs="Arial"/>
                <w:noProof/>
                <w:webHidden/>
                <w:sz w:val="24"/>
                <w:szCs w:val="24"/>
              </w:rPr>
              <w:fldChar w:fldCharType="separate"/>
            </w:r>
            <w:r w:rsidR="003F0969" w:rsidRPr="007F30B6">
              <w:rPr>
                <w:rFonts w:ascii="Arial" w:hAnsi="Arial" w:cs="Arial"/>
                <w:noProof/>
                <w:webHidden/>
                <w:sz w:val="24"/>
                <w:szCs w:val="24"/>
              </w:rPr>
              <w:t>4</w:t>
            </w:r>
            <w:r w:rsidR="003F0969" w:rsidRPr="007F30B6">
              <w:rPr>
                <w:rFonts w:ascii="Arial" w:hAnsi="Arial" w:cs="Arial"/>
                <w:noProof/>
                <w:webHidden/>
                <w:sz w:val="24"/>
                <w:szCs w:val="24"/>
              </w:rPr>
              <w:fldChar w:fldCharType="end"/>
            </w:r>
          </w:hyperlink>
        </w:p>
        <w:p w14:paraId="7B70CFAF" w14:textId="77777777" w:rsidR="003F0969" w:rsidRPr="007F30B6" w:rsidRDefault="008C26DD" w:rsidP="007F30B6">
          <w:pPr>
            <w:pStyle w:val="TOC3"/>
            <w:tabs>
              <w:tab w:val="right" w:leader="dot" w:pos="9010"/>
            </w:tabs>
            <w:spacing w:line="360" w:lineRule="auto"/>
            <w:jc w:val="both"/>
            <w:rPr>
              <w:rFonts w:ascii="Arial" w:eastAsiaTheme="minorEastAsia" w:hAnsi="Arial" w:cs="Arial"/>
              <w:noProof/>
              <w:sz w:val="24"/>
              <w:szCs w:val="24"/>
              <w:lang w:eastAsia="en-GB"/>
            </w:rPr>
          </w:pPr>
          <w:hyperlink w:anchor="_Toc27362964" w:history="1">
            <w:r w:rsidR="003F0969" w:rsidRPr="007F30B6">
              <w:rPr>
                <w:rStyle w:val="Hyperlink"/>
                <w:rFonts w:ascii="Arial" w:hAnsi="Arial" w:cs="Arial"/>
                <w:b/>
                <w:bCs/>
                <w:noProof/>
                <w:sz w:val="24"/>
                <w:szCs w:val="24"/>
              </w:rPr>
              <w:t>Threat of New Entrants - High</w:t>
            </w:r>
            <w:r w:rsidR="003F0969" w:rsidRPr="007F30B6">
              <w:rPr>
                <w:rFonts w:ascii="Arial" w:hAnsi="Arial" w:cs="Arial"/>
                <w:noProof/>
                <w:webHidden/>
                <w:sz w:val="24"/>
                <w:szCs w:val="24"/>
              </w:rPr>
              <w:tab/>
            </w:r>
            <w:r w:rsidR="003F0969" w:rsidRPr="007F30B6">
              <w:rPr>
                <w:rFonts w:ascii="Arial" w:hAnsi="Arial" w:cs="Arial"/>
                <w:noProof/>
                <w:webHidden/>
                <w:sz w:val="24"/>
                <w:szCs w:val="24"/>
              </w:rPr>
              <w:fldChar w:fldCharType="begin"/>
            </w:r>
            <w:r w:rsidR="003F0969" w:rsidRPr="007F30B6">
              <w:rPr>
                <w:rFonts w:ascii="Arial" w:hAnsi="Arial" w:cs="Arial"/>
                <w:noProof/>
                <w:webHidden/>
                <w:sz w:val="24"/>
                <w:szCs w:val="24"/>
              </w:rPr>
              <w:instrText xml:space="preserve"> PAGEREF _Toc27362964 \h </w:instrText>
            </w:r>
            <w:r w:rsidR="003F0969" w:rsidRPr="007F30B6">
              <w:rPr>
                <w:rFonts w:ascii="Arial" w:hAnsi="Arial" w:cs="Arial"/>
                <w:noProof/>
                <w:webHidden/>
                <w:sz w:val="24"/>
                <w:szCs w:val="24"/>
              </w:rPr>
            </w:r>
            <w:r w:rsidR="003F0969" w:rsidRPr="007F30B6">
              <w:rPr>
                <w:rFonts w:ascii="Arial" w:hAnsi="Arial" w:cs="Arial"/>
                <w:noProof/>
                <w:webHidden/>
                <w:sz w:val="24"/>
                <w:szCs w:val="24"/>
              </w:rPr>
              <w:fldChar w:fldCharType="separate"/>
            </w:r>
            <w:r w:rsidR="003F0969" w:rsidRPr="007F30B6">
              <w:rPr>
                <w:rFonts w:ascii="Arial" w:hAnsi="Arial" w:cs="Arial"/>
                <w:noProof/>
                <w:webHidden/>
                <w:sz w:val="24"/>
                <w:szCs w:val="24"/>
              </w:rPr>
              <w:t>4</w:t>
            </w:r>
            <w:r w:rsidR="003F0969" w:rsidRPr="007F30B6">
              <w:rPr>
                <w:rFonts w:ascii="Arial" w:hAnsi="Arial" w:cs="Arial"/>
                <w:noProof/>
                <w:webHidden/>
                <w:sz w:val="24"/>
                <w:szCs w:val="24"/>
              </w:rPr>
              <w:fldChar w:fldCharType="end"/>
            </w:r>
          </w:hyperlink>
        </w:p>
        <w:p w14:paraId="31DC73AC" w14:textId="77777777" w:rsidR="003F0969" w:rsidRPr="007F30B6" w:rsidRDefault="008C26DD" w:rsidP="007F30B6">
          <w:pPr>
            <w:pStyle w:val="TOC3"/>
            <w:tabs>
              <w:tab w:val="right" w:leader="dot" w:pos="9010"/>
            </w:tabs>
            <w:spacing w:line="360" w:lineRule="auto"/>
            <w:jc w:val="both"/>
            <w:rPr>
              <w:rFonts w:ascii="Arial" w:eastAsiaTheme="minorEastAsia" w:hAnsi="Arial" w:cs="Arial"/>
              <w:noProof/>
              <w:sz w:val="24"/>
              <w:szCs w:val="24"/>
              <w:lang w:eastAsia="en-GB"/>
            </w:rPr>
          </w:pPr>
          <w:hyperlink w:anchor="_Toc27362965" w:history="1">
            <w:r w:rsidR="003F0969" w:rsidRPr="007F30B6">
              <w:rPr>
                <w:rStyle w:val="Hyperlink"/>
                <w:rFonts w:ascii="Arial" w:hAnsi="Arial" w:cs="Arial"/>
                <w:b/>
                <w:bCs/>
                <w:noProof/>
                <w:sz w:val="24"/>
                <w:szCs w:val="24"/>
              </w:rPr>
              <w:t>Threat of Substitutes - Low</w:t>
            </w:r>
            <w:r w:rsidR="003F0969" w:rsidRPr="007F30B6">
              <w:rPr>
                <w:rFonts w:ascii="Arial" w:hAnsi="Arial" w:cs="Arial"/>
                <w:noProof/>
                <w:webHidden/>
                <w:sz w:val="24"/>
                <w:szCs w:val="24"/>
              </w:rPr>
              <w:tab/>
            </w:r>
            <w:r w:rsidR="003F0969" w:rsidRPr="007F30B6">
              <w:rPr>
                <w:rFonts w:ascii="Arial" w:hAnsi="Arial" w:cs="Arial"/>
                <w:noProof/>
                <w:webHidden/>
                <w:sz w:val="24"/>
                <w:szCs w:val="24"/>
              </w:rPr>
              <w:fldChar w:fldCharType="begin"/>
            </w:r>
            <w:r w:rsidR="003F0969" w:rsidRPr="007F30B6">
              <w:rPr>
                <w:rFonts w:ascii="Arial" w:hAnsi="Arial" w:cs="Arial"/>
                <w:noProof/>
                <w:webHidden/>
                <w:sz w:val="24"/>
                <w:szCs w:val="24"/>
              </w:rPr>
              <w:instrText xml:space="preserve"> PAGEREF _Toc27362965 \h </w:instrText>
            </w:r>
            <w:r w:rsidR="003F0969" w:rsidRPr="007F30B6">
              <w:rPr>
                <w:rFonts w:ascii="Arial" w:hAnsi="Arial" w:cs="Arial"/>
                <w:noProof/>
                <w:webHidden/>
                <w:sz w:val="24"/>
                <w:szCs w:val="24"/>
              </w:rPr>
            </w:r>
            <w:r w:rsidR="003F0969" w:rsidRPr="007F30B6">
              <w:rPr>
                <w:rFonts w:ascii="Arial" w:hAnsi="Arial" w:cs="Arial"/>
                <w:noProof/>
                <w:webHidden/>
                <w:sz w:val="24"/>
                <w:szCs w:val="24"/>
              </w:rPr>
              <w:fldChar w:fldCharType="separate"/>
            </w:r>
            <w:r w:rsidR="003F0969" w:rsidRPr="007F30B6">
              <w:rPr>
                <w:rFonts w:ascii="Arial" w:hAnsi="Arial" w:cs="Arial"/>
                <w:noProof/>
                <w:webHidden/>
                <w:sz w:val="24"/>
                <w:szCs w:val="24"/>
              </w:rPr>
              <w:t>4</w:t>
            </w:r>
            <w:r w:rsidR="003F0969" w:rsidRPr="007F30B6">
              <w:rPr>
                <w:rFonts w:ascii="Arial" w:hAnsi="Arial" w:cs="Arial"/>
                <w:noProof/>
                <w:webHidden/>
                <w:sz w:val="24"/>
                <w:szCs w:val="24"/>
              </w:rPr>
              <w:fldChar w:fldCharType="end"/>
            </w:r>
          </w:hyperlink>
        </w:p>
        <w:p w14:paraId="714E5424" w14:textId="21B58CEC" w:rsidR="003F0969" w:rsidRPr="007F30B6" w:rsidRDefault="008C26DD" w:rsidP="007F30B6">
          <w:pPr>
            <w:pStyle w:val="TOC3"/>
            <w:tabs>
              <w:tab w:val="right" w:leader="dot" w:pos="9010"/>
            </w:tabs>
            <w:spacing w:line="360" w:lineRule="auto"/>
            <w:jc w:val="both"/>
            <w:rPr>
              <w:rFonts w:ascii="Arial" w:eastAsiaTheme="minorEastAsia" w:hAnsi="Arial" w:cs="Arial"/>
              <w:noProof/>
              <w:sz w:val="24"/>
              <w:szCs w:val="24"/>
              <w:lang w:eastAsia="en-GB"/>
            </w:rPr>
          </w:pPr>
          <w:hyperlink w:anchor="_Toc27362966" w:history="1">
            <w:r w:rsidR="003F0969" w:rsidRPr="007F30B6">
              <w:rPr>
                <w:rStyle w:val="Hyperlink"/>
                <w:rFonts w:ascii="Arial" w:hAnsi="Arial" w:cs="Arial"/>
                <w:b/>
                <w:bCs/>
                <w:noProof/>
                <w:sz w:val="24"/>
                <w:szCs w:val="24"/>
              </w:rPr>
              <w:t>Bargaining Power of Suppliers - Moderate</w:t>
            </w:r>
            <w:r w:rsidR="003F0969" w:rsidRPr="007F30B6">
              <w:rPr>
                <w:rFonts w:ascii="Arial" w:hAnsi="Arial" w:cs="Arial"/>
                <w:noProof/>
                <w:webHidden/>
                <w:sz w:val="24"/>
                <w:szCs w:val="24"/>
              </w:rPr>
              <w:tab/>
            </w:r>
            <w:r w:rsidR="009D6F85">
              <w:rPr>
                <w:rFonts w:ascii="Arial" w:hAnsi="Arial" w:cs="Arial"/>
                <w:noProof/>
                <w:webHidden/>
                <w:sz w:val="24"/>
                <w:szCs w:val="24"/>
              </w:rPr>
              <w:t>5</w:t>
            </w:r>
          </w:hyperlink>
        </w:p>
        <w:p w14:paraId="64FECDEE" w14:textId="13FD6B03" w:rsidR="003F0969" w:rsidRPr="007F30B6" w:rsidRDefault="008C26DD" w:rsidP="007F30B6">
          <w:pPr>
            <w:pStyle w:val="TOC3"/>
            <w:tabs>
              <w:tab w:val="right" w:leader="dot" w:pos="9010"/>
            </w:tabs>
            <w:spacing w:line="360" w:lineRule="auto"/>
            <w:jc w:val="both"/>
            <w:rPr>
              <w:rFonts w:ascii="Arial" w:eastAsiaTheme="minorEastAsia" w:hAnsi="Arial" w:cs="Arial"/>
              <w:noProof/>
              <w:sz w:val="24"/>
              <w:szCs w:val="24"/>
              <w:lang w:eastAsia="en-GB"/>
            </w:rPr>
          </w:pPr>
          <w:hyperlink w:anchor="_Toc27362967" w:history="1">
            <w:r w:rsidR="003F0969" w:rsidRPr="007F30B6">
              <w:rPr>
                <w:rStyle w:val="Hyperlink"/>
                <w:rFonts w:ascii="Arial" w:hAnsi="Arial" w:cs="Arial"/>
                <w:b/>
                <w:bCs/>
                <w:noProof/>
                <w:sz w:val="24"/>
                <w:szCs w:val="24"/>
              </w:rPr>
              <w:t>Bargaining Power of Buyers - High</w:t>
            </w:r>
            <w:r w:rsidR="003F0969" w:rsidRPr="007F30B6">
              <w:rPr>
                <w:rFonts w:ascii="Arial" w:hAnsi="Arial" w:cs="Arial"/>
                <w:noProof/>
                <w:webHidden/>
                <w:sz w:val="24"/>
                <w:szCs w:val="24"/>
              </w:rPr>
              <w:tab/>
            </w:r>
            <w:r w:rsidR="009D6F85">
              <w:rPr>
                <w:rFonts w:ascii="Arial" w:hAnsi="Arial" w:cs="Arial"/>
                <w:noProof/>
                <w:webHidden/>
                <w:sz w:val="24"/>
                <w:szCs w:val="24"/>
              </w:rPr>
              <w:t>5</w:t>
            </w:r>
          </w:hyperlink>
        </w:p>
        <w:p w14:paraId="1E2F102F" w14:textId="05457228" w:rsidR="003F0969" w:rsidRPr="007F30B6" w:rsidRDefault="008C26DD" w:rsidP="007F30B6">
          <w:pPr>
            <w:pStyle w:val="TOC3"/>
            <w:tabs>
              <w:tab w:val="right" w:leader="dot" w:pos="9010"/>
            </w:tabs>
            <w:spacing w:line="360" w:lineRule="auto"/>
            <w:jc w:val="both"/>
            <w:rPr>
              <w:rFonts w:ascii="Arial" w:eastAsiaTheme="minorEastAsia" w:hAnsi="Arial" w:cs="Arial"/>
              <w:noProof/>
              <w:sz w:val="24"/>
              <w:szCs w:val="24"/>
              <w:lang w:eastAsia="en-GB"/>
            </w:rPr>
          </w:pPr>
          <w:hyperlink w:anchor="_Toc27362968" w:history="1">
            <w:r w:rsidR="003F0969" w:rsidRPr="007F30B6">
              <w:rPr>
                <w:rStyle w:val="Hyperlink"/>
                <w:rFonts w:ascii="Arial" w:hAnsi="Arial" w:cs="Arial"/>
                <w:b/>
                <w:bCs/>
                <w:noProof/>
                <w:sz w:val="24"/>
                <w:szCs w:val="24"/>
              </w:rPr>
              <w:t>Competitive Rivalry</w:t>
            </w:r>
            <w:r w:rsidR="003F0969" w:rsidRPr="007F30B6">
              <w:rPr>
                <w:rFonts w:ascii="Arial" w:hAnsi="Arial" w:cs="Arial"/>
                <w:noProof/>
                <w:webHidden/>
                <w:sz w:val="24"/>
                <w:szCs w:val="24"/>
              </w:rPr>
              <w:tab/>
            </w:r>
            <w:r w:rsidR="009D6F85">
              <w:rPr>
                <w:rFonts w:ascii="Arial" w:hAnsi="Arial" w:cs="Arial"/>
                <w:noProof/>
                <w:webHidden/>
                <w:sz w:val="24"/>
                <w:szCs w:val="24"/>
              </w:rPr>
              <w:t>5</w:t>
            </w:r>
          </w:hyperlink>
        </w:p>
        <w:p w14:paraId="0E8CA40F" w14:textId="2D4CDED6" w:rsidR="003F0969" w:rsidRPr="007F30B6" w:rsidRDefault="009D6F85" w:rsidP="007F30B6">
          <w:pPr>
            <w:pStyle w:val="TOC2"/>
            <w:tabs>
              <w:tab w:val="right" w:leader="dot" w:pos="9010"/>
            </w:tabs>
            <w:spacing w:line="360" w:lineRule="auto"/>
            <w:jc w:val="both"/>
            <w:rPr>
              <w:rFonts w:ascii="Arial" w:eastAsiaTheme="minorEastAsia" w:hAnsi="Arial" w:cs="Arial"/>
              <w:b w:val="0"/>
              <w:bCs w:val="0"/>
              <w:noProof/>
              <w:sz w:val="24"/>
              <w:szCs w:val="24"/>
              <w:lang w:eastAsia="en-GB"/>
            </w:rPr>
          </w:pPr>
          <w:r>
            <w:rPr>
              <w:rFonts w:ascii="Arial" w:hAnsi="Arial" w:cs="Arial"/>
              <w:sz w:val="24"/>
              <w:szCs w:val="24"/>
            </w:rPr>
            <w:t xml:space="preserve"> 5.</w:t>
          </w:r>
          <w:hyperlink w:anchor="_Toc27362969" w:history="1">
            <w:r w:rsidR="003F0969" w:rsidRPr="007F30B6">
              <w:rPr>
                <w:rStyle w:val="Hyperlink"/>
                <w:rFonts w:ascii="Arial" w:hAnsi="Arial" w:cs="Arial"/>
                <w:noProof/>
                <w:sz w:val="24"/>
                <w:szCs w:val="24"/>
              </w:rPr>
              <w:t>Organisational Changes</w:t>
            </w:r>
            <w:r w:rsidR="003F0969" w:rsidRPr="007F30B6">
              <w:rPr>
                <w:rFonts w:ascii="Arial" w:hAnsi="Arial" w:cs="Arial"/>
                <w:noProof/>
                <w:webHidden/>
                <w:sz w:val="24"/>
                <w:szCs w:val="24"/>
              </w:rPr>
              <w:tab/>
            </w:r>
            <w:r>
              <w:rPr>
                <w:rFonts w:ascii="Arial" w:hAnsi="Arial" w:cs="Arial"/>
                <w:noProof/>
                <w:webHidden/>
                <w:sz w:val="24"/>
                <w:szCs w:val="24"/>
              </w:rPr>
              <w:t>6</w:t>
            </w:r>
          </w:hyperlink>
        </w:p>
        <w:p w14:paraId="447E83C7" w14:textId="42A300E7" w:rsidR="003F0969" w:rsidRPr="007F30B6" w:rsidRDefault="009D6F85" w:rsidP="007F30B6">
          <w:pPr>
            <w:pStyle w:val="TOC2"/>
            <w:tabs>
              <w:tab w:val="right" w:leader="dot" w:pos="9010"/>
            </w:tabs>
            <w:spacing w:line="360" w:lineRule="auto"/>
            <w:jc w:val="both"/>
            <w:rPr>
              <w:rFonts w:ascii="Arial" w:eastAsiaTheme="minorEastAsia" w:hAnsi="Arial" w:cs="Arial"/>
              <w:b w:val="0"/>
              <w:bCs w:val="0"/>
              <w:noProof/>
              <w:sz w:val="24"/>
              <w:szCs w:val="24"/>
              <w:lang w:eastAsia="en-GB"/>
            </w:rPr>
          </w:pPr>
          <w:r>
            <w:rPr>
              <w:rFonts w:ascii="Arial" w:hAnsi="Arial" w:cs="Arial"/>
              <w:sz w:val="24"/>
              <w:szCs w:val="24"/>
            </w:rPr>
            <w:t xml:space="preserve"> 6.</w:t>
          </w:r>
          <w:hyperlink w:anchor="_Toc27362970" w:history="1">
            <w:r w:rsidR="003F0969" w:rsidRPr="007F30B6">
              <w:rPr>
                <w:rStyle w:val="Hyperlink"/>
                <w:rFonts w:ascii="Arial" w:hAnsi="Arial" w:cs="Arial"/>
                <w:noProof/>
                <w:sz w:val="24"/>
                <w:szCs w:val="24"/>
              </w:rPr>
              <w:t>Conclusion</w:t>
            </w:r>
            <w:r w:rsidR="003F0969" w:rsidRPr="007F30B6">
              <w:rPr>
                <w:rFonts w:ascii="Arial" w:hAnsi="Arial" w:cs="Arial"/>
                <w:noProof/>
                <w:webHidden/>
                <w:sz w:val="24"/>
                <w:szCs w:val="24"/>
              </w:rPr>
              <w:tab/>
            </w:r>
            <w:r>
              <w:rPr>
                <w:rFonts w:ascii="Arial" w:hAnsi="Arial" w:cs="Arial"/>
                <w:noProof/>
                <w:webHidden/>
                <w:sz w:val="24"/>
                <w:szCs w:val="24"/>
              </w:rPr>
              <w:t>7</w:t>
            </w:r>
          </w:hyperlink>
        </w:p>
        <w:p w14:paraId="44924934" w14:textId="2E954328" w:rsidR="003F0969" w:rsidRPr="007F30B6" w:rsidRDefault="008C26DD" w:rsidP="00694BE7">
          <w:pPr>
            <w:pStyle w:val="TOC1"/>
            <w:rPr>
              <w:rFonts w:eastAsiaTheme="minorEastAsia"/>
              <w:lang w:eastAsia="en-GB"/>
            </w:rPr>
          </w:pPr>
          <w:hyperlink w:anchor="_Toc27362971" w:history="1">
            <w:r w:rsidR="003F0969" w:rsidRPr="007F30B6">
              <w:rPr>
                <w:rStyle w:val="Hyperlink"/>
              </w:rPr>
              <w:t xml:space="preserve">Part 2: </w:t>
            </w:r>
            <w:r w:rsidR="003F0969" w:rsidRPr="009D6F85">
              <w:rPr>
                <w:rStyle w:val="Hyperlink"/>
                <w:i w:val="0"/>
                <w:iCs w:val="0"/>
              </w:rPr>
              <w:t>New Opportunities</w:t>
            </w:r>
            <w:r w:rsidR="003F0969" w:rsidRPr="007F30B6">
              <w:rPr>
                <w:webHidden/>
              </w:rPr>
              <w:tab/>
            </w:r>
            <w:r w:rsidR="009D6F85">
              <w:rPr>
                <w:webHidden/>
              </w:rPr>
              <w:t>7</w:t>
            </w:r>
          </w:hyperlink>
        </w:p>
        <w:p w14:paraId="3B0F168C" w14:textId="3DD0505D" w:rsidR="003F0969" w:rsidRPr="007F30B6" w:rsidRDefault="009D6F85" w:rsidP="007F30B6">
          <w:pPr>
            <w:pStyle w:val="TOC2"/>
            <w:tabs>
              <w:tab w:val="right" w:leader="dot" w:pos="9010"/>
            </w:tabs>
            <w:spacing w:line="360" w:lineRule="auto"/>
            <w:jc w:val="both"/>
            <w:rPr>
              <w:rFonts w:ascii="Arial" w:eastAsiaTheme="minorEastAsia" w:hAnsi="Arial" w:cs="Arial"/>
              <w:b w:val="0"/>
              <w:bCs w:val="0"/>
              <w:noProof/>
              <w:sz w:val="24"/>
              <w:szCs w:val="24"/>
              <w:lang w:eastAsia="en-GB"/>
            </w:rPr>
          </w:pPr>
          <w:r>
            <w:rPr>
              <w:rFonts w:ascii="Arial" w:hAnsi="Arial" w:cs="Arial"/>
              <w:sz w:val="24"/>
              <w:szCs w:val="24"/>
            </w:rPr>
            <w:t xml:space="preserve"> 1.</w:t>
          </w:r>
          <w:hyperlink w:anchor="_Toc27362972" w:history="1">
            <w:r w:rsidR="003F0969" w:rsidRPr="007F30B6">
              <w:rPr>
                <w:rStyle w:val="Hyperlink"/>
                <w:rFonts w:ascii="Arial" w:hAnsi="Arial" w:cs="Arial"/>
                <w:noProof/>
                <w:sz w:val="24"/>
                <w:szCs w:val="24"/>
              </w:rPr>
              <w:t>Porter’s Value Chain</w:t>
            </w:r>
            <w:r w:rsidR="003F0969" w:rsidRPr="007F30B6">
              <w:rPr>
                <w:rFonts w:ascii="Arial" w:hAnsi="Arial" w:cs="Arial"/>
                <w:noProof/>
                <w:webHidden/>
                <w:sz w:val="24"/>
                <w:szCs w:val="24"/>
              </w:rPr>
              <w:tab/>
            </w:r>
            <w:r>
              <w:rPr>
                <w:rFonts w:ascii="Arial" w:hAnsi="Arial" w:cs="Arial"/>
                <w:noProof/>
                <w:webHidden/>
                <w:sz w:val="24"/>
                <w:szCs w:val="24"/>
              </w:rPr>
              <w:t>7</w:t>
            </w:r>
          </w:hyperlink>
        </w:p>
        <w:p w14:paraId="4CE0DDB6" w14:textId="2C54EA83" w:rsidR="003F0969" w:rsidRPr="007F30B6" w:rsidRDefault="009D6F85" w:rsidP="007F30B6">
          <w:pPr>
            <w:pStyle w:val="TOC2"/>
            <w:tabs>
              <w:tab w:val="right" w:leader="dot" w:pos="9010"/>
            </w:tabs>
            <w:spacing w:line="360" w:lineRule="auto"/>
            <w:jc w:val="both"/>
            <w:rPr>
              <w:rFonts w:ascii="Arial" w:eastAsiaTheme="minorEastAsia" w:hAnsi="Arial" w:cs="Arial"/>
              <w:b w:val="0"/>
              <w:bCs w:val="0"/>
              <w:noProof/>
              <w:sz w:val="24"/>
              <w:szCs w:val="24"/>
              <w:lang w:eastAsia="en-GB"/>
            </w:rPr>
          </w:pPr>
          <w:r>
            <w:rPr>
              <w:rFonts w:ascii="Arial" w:hAnsi="Arial" w:cs="Arial"/>
              <w:sz w:val="24"/>
              <w:szCs w:val="24"/>
            </w:rPr>
            <w:t xml:space="preserve">  2.</w:t>
          </w:r>
          <w:hyperlink w:anchor="_Toc27362973" w:history="1">
            <w:r w:rsidR="003F0969" w:rsidRPr="007F30B6">
              <w:rPr>
                <w:rStyle w:val="Hyperlink"/>
                <w:rFonts w:ascii="Arial" w:hAnsi="Arial" w:cs="Arial"/>
                <w:noProof/>
                <w:sz w:val="24"/>
                <w:szCs w:val="24"/>
              </w:rPr>
              <w:t>New Business Opportunities</w:t>
            </w:r>
            <w:r w:rsidR="003F0969" w:rsidRPr="007F30B6">
              <w:rPr>
                <w:rFonts w:ascii="Arial" w:hAnsi="Arial" w:cs="Arial"/>
                <w:noProof/>
                <w:webHidden/>
                <w:sz w:val="24"/>
                <w:szCs w:val="24"/>
              </w:rPr>
              <w:tab/>
            </w:r>
            <w:r>
              <w:rPr>
                <w:rFonts w:ascii="Arial" w:hAnsi="Arial" w:cs="Arial"/>
                <w:noProof/>
                <w:webHidden/>
                <w:sz w:val="24"/>
                <w:szCs w:val="24"/>
              </w:rPr>
              <w:t>7</w:t>
            </w:r>
          </w:hyperlink>
        </w:p>
        <w:p w14:paraId="69A67BB0" w14:textId="373F99DE" w:rsidR="003F0969" w:rsidRPr="007F30B6" w:rsidRDefault="009D6F85" w:rsidP="007F30B6">
          <w:pPr>
            <w:pStyle w:val="TOC2"/>
            <w:tabs>
              <w:tab w:val="right" w:leader="dot" w:pos="9010"/>
            </w:tabs>
            <w:spacing w:line="360" w:lineRule="auto"/>
            <w:jc w:val="both"/>
            <w:rPr>
              <w:rFonts w:ascii="Arial" w:eastAsiaTheme="minorEastAsia" w:hAnsi="Arial" w:cs="Arial"/>
              <w:b w:val="0"/>
              <w:bCs w:val="0"/>
              <w:noProof/>
              <w:sz w:val="24"/>
              <w:szCs w:val="24"/>
              <w:lang w:eastAsia="en-GB"/>
            </w:rPr>
          </w:pPr>
          <w:r>
            <w:rPr>
              <w:rFonts w:ascii="Arial" w:hAnsi="Arial" w:cs="Arial"/>
              <w:sz w:val="24"/>
              <w:szCs w:val="24"/>
            </w:rPr>
            <w:t xml:space="preserve">  3.</w:t>
          </w:r>
          <w:hyperlink w:anchor="_Toc27362974" w:history="1">
            <w:r w:rsidR="003F0969" w:rsidRPr="007F30B6">
              <w:rPr>
                <w:rStyle w:val="Hyperlink"/>
                <w:rFonts w:ascii="Arial" w:hAnsi="Arial" w:cs="Arial"/>
                <w:noProof/>
                <w:sz w:val="24"/>
                <w:szCs w:val="24"/>
              </w:rPr>
              <w:t>Businesses to be Discontinued</w:t>
            </w:r>
            <w:r w:rsidR="003F0969" w:rsidRPr="007F30B6">
              <w:rPr>
                <w:rFonts w:ascii="Arial" w:hAnsi="Arial" w:cs="Arial"/>
                <w:noProof/>
                <w:webHidden/>
                <w:sz w:val="24"/>
                <w:szCs w:val="24"/>
              </w:rPr>
              <w:tab/>
            </w:r>
            <w:r>
              <w:rPr>
                <w:rFonts w:ascii="Arial" w:hAnsi="Arial" w:cs="Arial"/>
                <w:noProof/>
                <w:webHidden/>
                <w:sz w:val="24"/>
                <w:szCs w:val="24"/>
              </w:rPr>
              <w:t>9</w:t>
            </w:r>
          </w:hyperlink>
        </w:p>
        <w:p w14:paraId="32E3F058" w14:textId="4724DD41" w:rsidR="003F0969" w:rsidRPr="007F30B6" w:rsidRDefault="009D6F85" w:rsidP="007F30B6">
          <w:pPr>
            <w:pStyle w:val="TOC2"/>
            <w:tabs>
              <w:tab w:val="right" w:leader="dot" w:pos="9010"/>
            </w:tabs>
            <w:spacing w:line="360" w:lineRule="auto"/>
            <w:jc w:val="both"/>
            <w:rPr>
              <w:rFonts w:ascii="Arial" w:eastAsiaTheme="minorEastAsia" w:hAnsi="Arial" w:cs="Arial"/>
              <w:b w:val="0"/>
              <w:bCs w:val="0"/>
              <w:noProof/>
              <w:sz w:val="24"/>
              <w:szCs w:val="24"/>
              <w:lang w:eastAsia="en-GB"/>
            </w:rPr>
          </w:pPr>
          <w:r>
            <w:rPr>
              <w:rFonts w:ascii="Arial" w:hAnsi="Arial" w:cs="Arial"/>
              <w:sz w:val="24"/>
              <w:szCs w:val="24"/>
            </w:rPr>
            <w:t xml:space="preserve">  4.</w:t>
          </w:r>
          <w:hyperlink w:anchor="_Toc27362975" w:history="1">
            <w:r w:rsidR="003F0969" w:rsidRPr="007F30B6">
              <w:rPr>
                <w:rStyle w:val="Hyperlink"/>
                <w:rFonts w:ascii="Arial" w:hAnsi="Arial" w:cs="Arial"/>
                <w:noProof/>
                <w:sz w:val="24"/>
                <w:szCs w:val="24"/>
              </w:rPr>
              <w:t>Conclusion</w:t>
            </w:r>
            <w:r w:rsidR="003F0969" w:rsidRPr="007F30B6">
              <w:rPr>
                <w:rFonts w:ascii="Arial" w:hAnsi="Arial" w:cs="Arial"/>
                <w:noProof/>
                <w:webHidden/>
                <w:sz w:val="24"/>
                <w:szCs w:val="24"/>
              </w:rPr>
              <w:tab/>
            </w:r>
            <w:r>
              <w:rPr>
                <w:rFonts w:ascii="Arial" w:hAnsi="Arial" w:cs="Arial"/>
                <w:noProof/>
                <w:webHidden/>
                <w:sz w:val="24"/>
                <w:szCs w:val="24"/>
              </w:rPr>
              <w:t>9</w:t>
            </w:r>
          </w:hyperlink>
        </w:p>
        <w:p w14:paraId="6D883EE7" w14:textId="2E3A9729" w:rsidR="003F0969" w:rsidRPr="007F30B6" w:rsidRDefault="008C26DD" w:rsidP="00694BE7">
          <w:pPr>
            <w:pStyle w:val="TOC1"/>
            <w:rPr>
              <w:rFonts w:eastAsiaTheme="minorEastAsia"/>
              <w:lang w:eastAsia="en-GB"/>
            </w:rPr>
          </w:pPr>
          <w:hyperlink w:anchor="_Toc27362976" w:history="1">
            <w:r w:rsidR="003F0969" w:rsidRPr="007F30B6">
              <w:rPr>
                <w:rStyle w:val="Hyperlink"/>
              </w:rPr>
              <w:t>References</w:t>
            </w:r>
            <w:r w:rsidR="003F0969" w:rsidRPr="007F30B6">
              <w:rPr>
                <w:webHidden/>
              </w:rPr>
              <w:tab/>
            </w:r>
            <w:r w:rsidR="009D6F85">
              <w:rPr>
                <w:webHidden/>
              </w:rPr>
              <w:t>11</w:t>
            </w:r>
          </w:hyperlink>
        </w:p>
        <w:p w14:paraId="1EE20314" w14:textId="77777777" w:rsidR="003F0969" w:rsidRPr="007F30B6" w:rsidRDefault="003F0969" w:rsidP="007F30B6">
          <w:pPr>
            <w:spacing w:line="360" w:lineRule="auto"/>
            <w:jc w:val="both"/>
            <w:rPr>
              <w:rFonts w:ascii="Arial" w:hAnsi="Arial" w:cs="Arial"/>
              <w:sz w:val="24"/>
            </w:rPr>
          </w:pPr>
          <w:r w:rsidRPr="007F30B6">
            <w:rPr>
              <w:rFonts w:ascii="Arial" w:hAnsi="Arial" w:cs="Arial"/>
              <w:b/>
              <w:bCs/>
              <w:noProof/>
              <w:sz w:val="24"/>
            </w:rPr>
            <w:fldChar w:fldCharType="end"/>
          </w:r>
        </w:p>
      </w:sdtContent>
    </w:sdt>
    <w:p w14:paraId="5F9CE41D" w14:textId="77777777" w:rsidR="003F0969" w:rsidRPr="007F30B6" w:rsidRDefault="003F0969" w:rsidP="007F30B6">
      <w:pPr>
        <w:spacing w:line="360" w:lineRule="auto"/>
        <w:jc w:val="both"/>
        <w:rPr>
          <w:rFonts w:ascii="Arial" w:hAnsi="Arial" w:cs="Arial"/>
          <w:sz w:val="24"/>
        </w:rPr>
      </w:pPr>
      <w:r w:rsidRPr="007F30B6">
        <w:rPr>
          <w:rFonts w:ascii="Arial" w:hAnsi="Arial" w:cs="Arial"/>
          <w:sz w:val="24"/>
        </w:rPr>
        <w:br w:type="page"/>
      </w:r>
    </w:p>
    <w:p w14:paraId="20E8222D" w14:textId="6B8D5BC1" w:rsidR="003F0969" w:rsidRPr="007F30B6" w:rsidRDefault="00F877F3" w:rsidP="00F877F3">
      <w:pPr>
        <w:pStyle w:val="Heading1"/>
        <w:numPr>
          <w:ilvl w:val="0"/>
          <w:numId w:val="1"/>
        </w:numPr>
        <w:spacing w:line="360" w:lineRule="auto"/>
        <w:jc w:val="both"/>
        <w:rPr>
          <w:rFonts w:ascii="Arial" w:hAnsi="Arial" w:cs="Arial"/>
          <w:b/>
          <w:bCs/>
          <w:sz w:val="24"/>
          <w:szCs w:val="24"/>
        </w:rPr>
      </w:pPr>
      <w:r>
        <w:rPr>
          <w:rFonts w:ascii="Arial" w:hAnsi="Arial" w:cs="Arial"/>
          <w:b/>
          <w:bCs/>
          <w:sz w:val="24"/>
          <w:szCs w:val="24"/>
        </w:rPr>
        <w:lastRenderedPageBreak/>
        <w:t>INTRODUCTION</w:t>
      </w:r>
    </w:p>
    <w:p w14:paraId="0473D292" w14:textId="39180E21" w:rsidR="003F0969" w:rsidRPr="007F30B6" w:rsidRDefault="00F877F3"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The purpose of this report is to present an external environmental analysis of the electric vehicle (EV) industry in Europe. In the first part, this report will explore recent trends in Europe’s car manufacturing industry, using the PESTEL and Porter’s Five Forces framework to understand the current external trends. This report will also explore how organisations are increasingly shifting towards the concept of EVs, and their strategic reasoning behind this shift. In the second part, this report will also identify new and potential business trends in the EVs industry, as well as current business industries in relation to EVs that might be discontinued in the future.</w:t>
      </w:r>
    </w:p>
    <w:p w14:paraId="6A61E3AF" w14:textId="0D83E167" w:rsidR="003F0969" w:rsidRPr="007F30B6" w:rsidRDefault="003F0969" w:rsidP="009D6F85">
      <w:pPr>
        <w:pStyle w:val="Heading1"/>
        <w:numPr>
          <w:ilvl w:val="0"/>
          <w:numId w:val="1"/>
        </w:numPr>
        <w:spacing w:line="360" w:lineRule="auto"/>
        <w:jc w:val="both"/>
        <w:rPr>
          <w:rFonts w:ascii="Arial" w:hAnsi="Arial" w:cs="Arial"/>
          <w:b/>
          <w:bCs/>
          <w:sz w:val="24"/>
          <w:szCs w:val="24"/>
        </w:rPr>
      </w:pPr>
      <w:bookmarkStart w:id="0" w:name="_Toc27362955"/>
      <w:r w:rsidRPr="007F30B6">
        <w:rPr>
          <w:rFonts w:ascii="Arial" w:hAnsi="Arial" w:cs="Arial"/>
          <w:b/>
          <w:bCs/>
          <w:sz w:val="24"/>
          <w:szCs w:val="24"/>
        </w:rPr>
        <w:t xml:space="preserve">Part 1: </w:t>
      </w:r>
      <w:r w:rsidR="00F877F3">
        <w:rPr>
          <w:rFonts w:ascii="Arial" w:hAnsi="Arial" w:cs="Arial"/>
          <w:b/>
          <w:bCs/>
          <w:sz w:val="24"/>
          <w:szCs w:val="24"/>
        </w:rPr>
        <w:t xml:space="preserve">EXPLORATION OF EXTERNAL FORCES </w:t>
      </w:r>
      <w:bookmarkEnd w:id="0"/>
    </w:p>
    <w:p w14:paraId="486896B4" w14:textId="088FA2EF" w:rsidR="003F0969" w:rsidRPr="007F30B6" w:rsidRDefault="003F0969" w:rsidP="009D6F85">
      <w:pPr>
        <w:pStyle w:val="Heading2"/>
        <w:numPr>
          <w:ilvl w:val="0"/>
          <w:numId w:val="1"/>
        </w:numPr>
        <w:spacing w:line="360" w:lineRule="auto"/>
        <w:jc w:val="both"/>
        <w:rPr>
          <w:rFonts w:ascii="Arial" w:hAnsi="Arial" w:cs="Arial"/>
          <w:b/>
          <w:bCs/>
          <w:sz w:val="24"/>
          <w:szCs w:val="24"/>
        </w:rPr>
      </w:pPr>
      <w:bookmarkStart w:id="1" w:name="_Toc27362956"/>
      <w:r w:rsidRPr="007F30B6">
        <w:rPr>
          <w:rFonts w:ascii="Arial" w:hAnsi="Arial" w:cs="Arial"/>
          <w:b/>
          <w:bCs/>
          <w:sz w:val="24"/>
          <w:szCs w:val="24"/>
        </w:rPr>
        <w:t>PESTEL A</w:t>
      </w:r>
      <w:bookmarkEnd w:id="1"/>
      <w:r w:rsidR="00F877F3">
        <w:rPr>
          <w:rFonts w:ascii="Arial" w:hAnsi="Arial" w:cs="Arial"/>
          <w:b/>
          <w:bCs/>
          <w:sz w:val="24"/>
          <w:szCs w:val="24"/>
        </w:rPr>
        <w:t xml:space="preserve">NALYSIS </w:t>
      </w:r>
    </w:p>
    <w:p w14:paraId="6F6A40F8" w14:textId="77777777" w:rsidR="003F0969" w:rsidRPr="00F877F3" w:rsidRDefault="003F0969" w:rsidP="007F30B6">
      <w:pPr>
        <w:pStyle w:val="Heading3"/>
        <w:spacing w:line="360" w:lineRule="auto"/>
        <w:jc w:val="both"/>
        <w:rPr>
          <w:rFonts w:ascii="Arial" w:hAnsi="Arial" w:cs="Arial"/>
          <w:b/>
          <w:bCs/>
          <w:color w:val="auto"/>
          <w:sz w:val="24"/>
        </w:rPr>
      </w:pPr>
      <w:bookmarkStart w:id="2" w:name="_Toc27362957"/>
      <w:r w:rsidRPr="00F877F3">
        <w:rPr>
          <w:rFonts w:ascii="Arial" w:hAnsi="Arial" w:cs="Arial"/>
          <w:b/>
          <w:bCs/>
          <w:color w:val="auto"/>
          <w:sz w:val="24"/>
        </w:rPr>
        <w:t>Political</w:t>
      </w:r>
      <w:bookmarkEnd w:id="2"/>
    </w:p>
    <w:p w14:paraId="5A4B522B" w14:textId="03A4A46C" w:rsidR="003F0969" w:rsidRPr="007F30B6" w:rsidRDefault="00F877F3"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The political environment in Europe is consistently in favour of adopting EVs through policy changes, at present at least 24 countries in the EU are offering some sort of stimulus for the adoption of EVs, both on the personal and corporate level. However, there are only 12 EU members that are offering some sort of financial premiums or bonuses for their adoption</w:t>
      </w:r>
      <w:sdt>
        <w:sdtPr>
          <w:rPr>
            <w:rFonts w:ascii="Arial" w:hAnsi="Arial" w:cs="Arial"/>
            <w:sz w:val="24"/>
          </w:rPr>
          <w:id w:val="468718109"/>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ACE19 \l 2057 </w:instrText>
          </w:r>
          <w:r w:rsidR="003F0969" w:rsidRPr="007F30B6">
            <w:rPr>
              <w:rFonts w:ascii="Arial" w:hAnsi="Arial" w:cs="Arial"/>
              <w:sz w:val="24"/>
            </w:rPr>
            <w:fldChar w:fldCharType="separate"/>
          </w:r>
          <w:r w:rsidR="003F0969" w:rsidRPr="007F30B6">
            <w:rPr>
              <w:rFonts w:ascii="Arial" w:hAnsi="Arial" w:cs="Arial"/>
              <w:noProof/>
              <w:sz w:val="24"/>
            </w:rPr>
            <w:t xml:space="preserve"> (ACEA, 2019)</w:t>
          </w:r>
          <w:r w:rsidR="003F0969" w:rsidRPr="007F30B6">
            <w:rPr>
              <w:rFonts w:ascii="Arial" w:hAnsi="Arial" w:cs="Arial"/>
              <w:sz w:val="24"/>
            </w:rPr>
            <w:fldChar w:fldCharType="end"/>
          </w:r>
        </w:sdtContent>
      </w:sdt>
      <w:r w:rsidR="003F0969" w:rsidRPr="007F30B6">
        <w:rPr>
          <w:rFonts w:ascii="Arial" w:hAnsi="Arial" w:cs="Arial"/>
          <w:sz w:val="24"/>
        </w:rPr>
        <w:t>.</w:t>
      </w:r>
    </w:p>
    <w:p w14:paraId="169C2100" w14:textId="77777777" w:rsidR="003F0969" w:rsidRPr="00F877F3" w:rsidRDefault="003F0969" w:rsidP="007F30B6">
      <w:pPr>
        <w:pStyle w:val="Heading3"/>
        <w:spacing w:line="360" w:lineRule="auto"/>
        <w:jc w:val="both"/>
        <w:rPr>
          <w:rFonts w:ascii="Arial" w:hAnsi="Arial" w:cs="Arial"/>
          <w:b/>
          <w:bCs/>
          <w:color w:val="auto"/>
          <w:sz w:val="24"/>
        </w:rPr>
      </w:pPr>
      <w:bookmarkStart w:id="3" w:name="_Toc27362958"/>
      <w:r w:rsidRPr="00F877F3">
        <w:rPr>
          <w:rFonts w:ascii="Arial" w:hAnsi="Arial" w:cs="Arial"/>
          <w:b/>
          <w:bCs/>
          <w:color w:val="auto"/>
          <w:sz w:val="24"/>
        </w:rPr>
        <w:t>Economic</w:t>
      </w:r>
      <w:bookmarkEnd w:id="3"/>
    </w:p>
    <w:p w14:paraId="7EAACD9F" w14:textId="2CD828E2" w:rsidR="003F0969" w:rsidRPr="007F30B6" w:rsidRDefault="00F877F3"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There appears to be a monetary capacity to serve EVs demand in Europe – according to data from International Energy Agency, Europe is the second-faster growing market for EVs in the world</w:t>
      </w:r>
      <w:sdt>
        <w:sdtPr>
          <w:rPr>
            <w:rFonts w:ascii="Arial" w:hAnsi="Arial" w:cs="Arial"/>
            <w:sz w:val="24"/>
          </w:rPr>
          <w:id w:val="-1741709356"/>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IEA192 \l 2057 </w:instrText>
          </w:r>
          <w:r w:rsidR="003F0969" w:rsidRPr="007F30B6">
            <w:rPr>
              <w:rFonts w:ascii="Arial" w:hAnsi="Arial" w:cs="Arial"/>
              <w:sz w:val="24"/>
            </w:rPr>
            <w:fldChar w:fldCharType="separate"/>
          </w:r>
          <w:r w:rsidR="003F0969" w:rsidRPr="007F30B6">
            <w:rPr>
              <w:rFonts w:ascii="Arial" w:hAnsi="Arial" w:cs="Arial"/>
              <w:noProof/>
              <w:sz w:val="24"/>
            </w:rPr>
            <w:t xml:space="preserve"> (IEA, 2019)</w:t>
          </w:r>
          <w:r w:rsidR="003F0969" w:rsidRPr="007F30B6">
            <w:rPr>
              <w:rFonts w:ascii="Arial" w:hAnsi="Arial" w:cs="Arial"/>
              <w:sz w:val="24"/>
            </w:rPr>
            <w:fldChar w:fldCharType="end"/>
          </w:r>
        </w:sdtContent>
      </w:sdt>
      <w:r w:rsidR="003F0969" w:rsidRPr="007F30B6">
        <w:rPr>
          <w:rFonts w:ascii="Arial" w:hAnsi="Arial" w:cs="Arial"/>
          <w:sz w:val="24"/>
        </w:rPr>
        <w:t>, and with the latest wave of regulations to curb carbon emissions from cars, it is expected that the number of EVs offered in the EU will swell from 60 at present, to more 214 by 2021</w:t>
      </w:r>
      <w:sdt>
        <w:sdtPr>
          <w:rPr>
            <w:rFonts w:ascii="Arial" w:hAnsi="Arial" w:cs="Arial"/>
            <w:sz w:val="24"/>
          </w:rPr>
          <w:id w:val="-1100324492"/>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Kea19 \l 2057 </w:instrText>
          </w:r>
          <w:r w:rsidR="003F0969" w:rsidRPr="007F30B6">
            <w:rPr>
              <w:rFonts w:ascii="Arial" w:hAnsi="Arial" w:cs="Arial"/>
              <w:sz w:val="24"/>
            </w:rPr>
            <w:fldChar w:fldCharType="separate"/>
          </w:r>
          <w:r w:rsidR="003F0969" w:rsidRPr="007F30B6">
            <w:rPr>
              <w:rFonts w:ascii="Arial" w:hAnsi="Arial" w:cs="Arial"/>
              <w:noProof/>
              <w:sz w:val="24"/>
            </w:rPr>
            <w:t xml:space="preserve"> (Keating, 2019)</w:t>
          </w:r>
          <w:r w:rsidR="003F0969" w:rsidRPr="007F30B6">
            <w:rPr>
              <w:rFonts w:ascii="Arial" w:hAnsi="Arial" w:cs="Arial"/>
              <w:sz w:val="24"/>
            </w:rPr>
            <w:fldChar w:fldCharType="end"/>
          </w:r>
        </w:sdtContent>
      </w:sdt>
      <w:r w:rsidR="003F0969" w:rsidRPr="007F30B6">
        <w:rPr>
          <w:rFonts w:ascii="Arial" w:hAnsi="Arial" w:cs="Arial"/>
          <w:sz w:val="24"/>
        </w:rPr>
        <w:t xml:space="preserve">. </w:t>
      </w:r>
    </w:p>
    <w:p w14:paraId="799F37AE" w14:textId="77777777" w:rsidR="003F0969" w:rsidRPr="00F877F3" w:rsidRDefault="003F0969" w:rsidP="007F30B6">
      <w:pPr>
        <w:pStyle w:val="Heading3"/>
        <w:spacing w:line="360" w:lineRule="auto"/>
        <w:jc w:val="both"/>
        <w:rPr>
          <w:rFonts w:ascii="Arial" w:hAnsi="Arial" w:cs="Arial"/>
          <w:b/>
          <w:bCs/>
          <w:color w:val="auto"/>
          <w:sz w:val="24"/>
        </w:rPr>
      </w:pPr>
      <w:bookmarkStart w:id="4" w:name="_Toc27362959"/>
      <w:r w:rsidRPr="00F877F3">
        <w:rPr>
          <w:rFonts w:ascii="Arial" w:hAnsi="Arial" w:cs="Arial"/>
          <w:b/>
          <w:bCs/>
          <w:color w:val="auto"/>
          <w:sz w:val="24"/>
        </w:rPr>
        <w:t>Social</w:t>
      </w:r>
      <w:bookmarkEnd w:id="4"/>
    </w:p>
    <w:p w14:paraId="6C281634" w14:textId="7376AFFF" w:rsidR="003F0969" w:rsidRPr="007F30B6" w:rsidRDefault="00F877F3"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 xml:space="preserve">Customers exhibit an increasing openness towards the adoption of EVs, in particular due to the influence of the political environment that is pushing the sale of electric cars as a replacement for conventional gasoline cars. However, it is notable that current data indicates that even by 2025, only 22% of the new cars in Europe will belong to the EV category. This trend indicates the continued prevalence of conventional cars. </w:t>
      </w:r>
    </w:p>
    <w:p w14:paraId="58E8BCCE" w14:textId="77777777" w:rsidR="003F0969" w:rsidRPr="00F877F3" w:rsidRDefault="003F0969" w:rsidP="007F30B6">
      <w:pPr>
        <w:pStyle w:val="Heading3"/>
        <w:spacing w:line="360" w:lineRule="auto"/>
        <w:jc w:val="both"/>
        <w:rPr>
          <w:rFonts w:ascii="Arial" w:hAnsi="Arial" w:cs="Arial"/>
          <w:b/>
          <w:bCs/>
          <w:color w:val="auto"/>
          <w:sz w:val="24"/>
        </w:rPr>
      </w:pPr>
      <w:bookmarkStart w:id="5" w:name="_Toc27362960"/>
      <w:r w:rsidRPr="00F877F3">
        <w:rPr>
          <w:rFonts w:ascii="Arial" w:hAnsi="Arial" w:cs="Arial"/>
          <w:b/>
          <w:bCs/>
          <w:color w:val="auto"/>
          <w:sz w:val="24"/>
        </w:rPr>
        <w:lastRenderedPageBreak/>
        <w:t>Technological</w:t>
      </w:r>
      <w:bookmarkEnd w:id="5"/>
    </w:p>
    <w:p w14:paraId="73A004AC" w14:textId="517B842F" w:rsidR="003F0969" w:rsidRPr="007F30B6" w:rsidRDefault="00F877F3"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Even compared to 2014, the technological base of EVs has not improved substantially, at least in the EU context. With the present infrastructure, there is still a shortfall of sufficiently equipped charging stations. At the same time, fuel cell technology vehicles have still not become economically viable for mass-adoption, which furthers the demand for hybrid vehicles, as compared to full electric vehicles</w:t>
      </w:r>
      <w:sdt>
        <w:sdtPr>
          <w:rPr>
            <w:rFonts w:ascii="Arial" w:hAnsi="Arial" w:cs="Arial"/>
            <w:sz w:val="24"/>
          </w:rPr>
          <w:id w:val="759265609"/>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IEA192 \l 2057 </w:instrText>
          </w:r>
          <w:r w:rsidR="003F0969" w:rsidRPr="007F30B6">
            <w:rPr>
              <w:rFonts w:ascii="Arial" w:hAnsi="Arial" w:cs="Arial"/>
              <w:sz w:val="24"/>
            </w:rPr>
            <w:fldChar w:fldCharType="separate"/>
          </w:r>
          <w:r w:rsidR="003F0969" w:rsidRPr="007F30B6">
            <w:rPr>
              <w:rFonts w:ascii="Arial" w:hAnsi="Arial" w:cs="Arial"/>
              <w:noProof/>
              <w:sz w:val="24"/>
            </w:rPr>
            <w:t xml:space="preserve"> (IEA, 2019)</w:t>
          </w:r>
          <w:r w:rsidR="003F0969" w:rsidRPr="007F30B6">
            <w:rPr>
              <w:rFonts w:ascii="Arial" w:hAnsi="Arial" w:cs="Arial"/>
              <w:sz w:val="24"/>
            </w:rPr>
            <w:fldChar w:fldCharType="end"/>
          </w:r>
        </w:sdtContent>
      </w:sdt>
      <w:r w:rsidR="003F0969" w:rsidRPr="007F30B6">
        <w:rPr>
          <w:rFonts w:ascii="Arial" w:hAnsi="Arial" w:cs="Arial"/>
          <w:sz w:val="24"/>
        </w:rPr>
        <w:t>.</w:t>
      </w:r>
    </w:p>
    <w:p w14:paraId="5CE03285" w14:textId="77777777" w:rsidR="003F0969" w:rsidRPr="00F877F3" w:rsidRDefault="003F0969" w:rsidP="007F30B6">
      <w:pPr>
        <w:pStyle w:val="Heading3"/>
        <w:spacing w:line="360" w:lineRule="auto"/>
        <w:jc w:val="both"/>
        <w:rPr>
          <w:rFonts w:ascii="Arial" w:hAnsi="Arial" w:cs="Arial"/>
          <w:b/>
          <w:bCs/>
          <w:color w:val="auto"/>
          <w:sz w:val="24"/>
        </w:rPr>
      </w:pPr>
      <w:bookmarkStart w:id="6" w:name="_Toc27362961"/>
      <w:r w:rsidRPr="00F877F3">
        <w:rPr>
          <w:rFonts w:ascii="Arial" w:hAnsi="Arial" w:cs="Arial"/>
          <w:b/>
          <w:bCs/>
          <w:color w:val="auto"/>
          <w:sz w:val="24"/>
        </w:rPr>
        <w:t>Environmental</w:t>
      </w:r>
      <w:bookmarkEnd w:id="6"/>
    </w:p>
    <w:p w14:paraId="1FFEF1DC" w14:textId="37EE72DA" w:rsidR="003F0969" w:rsidRPr="007F30B6" w:rsidRDefault="00F877F3"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Due to the infrastructural unviability of electric cars in Europe, there is still a strong market performance for Hybrid vehicles. Hybrids are not as environmentally clean as full-electric cars, which would indicate that further adoption of electric cars is still subject to the presence of developed infrastructure</w:t>
      </w:r>
      <w:sdt>
        <w:sdtPr>
          <w:rPr>
            <w:rFonts w:ascii="Arial" w:hAnsi="Arial" w:cs="Arial"/>
            <w:sz w:val="24"/>
          </w:rPr>
          <w:id w:val="1545876993"/>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IEA192 \l 2057 </w:instrText>
          </w:r>
          <w:r w:rsidR="003F0969" w:rsidRPr="007F30B6">
            <w:rPr>
              <w:rFonts w:ascii="Arial" w:hAnsi="Arial" w:cs="Arial"/>
              <w:sz w:val="24"/>
            </w:rPr>
            <w:fldChar w:fldCharType="separate"/>
          </w:r>
          <w:r w:rsidR="003F0969" w:rsidRPr="007F30B6">
            <w:rPr>
              <w:rFonts w:ascii="Arial" w:hAnsi="Arial" w:cs="Arial"/>
              <w:noProof/>
              <w:sz w:val="24"/>
            </w:rPr>
            <w:t xml:space="preserve"> (IEA, 2019)</w:t>
          </w:r>
          <w:r w:rsidR="003F0969" w:rsidRPr="007F30B6">
            <w:rPr>
              <w:rFonts w:ascii="Arial" w:hAnsi="Arial" w:cs="Arial"/>
              <w:sz w:val="24"/>
            </w:rPr>
            <w:fldChar w:fldCharType="end"/>
          </w:r>
        </w:sdtContent>
      </w:sdt>
      <w:r w:rsidR="003F0969" w:rsidRPr="007F30B6">
        <w:rPr>
          <w:rFonts w:ascii="Arial" w:hAnsi="Arial" w:cs="Arial"/>
          <w:sz w:val="24"/>
        </w:rPr>
        <w:t>.</w:t>
      </w:r>
    </w:p>
    <w:p w14:paraId="12913AB9" w14:textId="77777777" w:rsidR="003F0969" w:rsidRPr="00F877F3" w:rsidRDefault="003F0969" w:rsidP="007F30B6">
      <w:pPr>
        <w:pStyle w:val="Heading3"/>
        <w:spacing w:line="360" w:lineRule="auto"/>
        <w:jc w:val="both"/>
        <w:rPr>
          <w:rFonts w:ascii="Arial" w:hAnsi="Arial" w:cs="Arial"/>
          <w:b/>
          <w:bCs/>
          <w:color w:val="auto"/>
          <w:sz w:val="24"/>
        </w:rPr>
      </w:pPr>
      <w:bookmarkStart w:id="7" w:name="_Toc27362962"/>
      <w:r w:rsidRPr="00F877F3">
        <w:rPr>
          <w:rFonts w:ascii="Arial" w:hAnsi="Arial" w:cs="Arial"/>
          <w:b/>
          <w:bCs/>
          <w:color w:val="auto"/>
          <w:sz w:val="24"/>
        </w:rPr>
        <w:t>Legal</w:t>
      </w:r>
      <w:bookmarkEnd w:id="7"/>
    </w:p>
    <w:p w14:paraId="68868EB7" w14:textId="598C08B3" w:rsidR="003F0969" w:rsidRPr="007F30B6" w:rsidRDefault="00F877F3"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The EU, as a politically unified entity, is able to exert a strong control over CO2 emissions performance in automotive cars in the entire European continent. The European Council recently adopted the regulation 2019/631, which introduces stricter limits on how much carbon cars can emit, further pushing the market towards low-emission EVs</w:t>
      </w:r>
      <w:sdt>
        <w:sdtPr>
          <w:rPr>
            <w:rFonts w:ascii="Arial" w:hAnsi="Arial" w:cs="Arial"/>
            <w:sz w:val="24"/>
          </w:rPr>
          <w:id w:val="913504761"/>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EC19 \l 2057 </w:instrText>
          </w:r>
          <w:r w:rsidR="003F0969" w:rsidRPr="007F30B6">
            <w:rPr>
              <w:rFonts w:ascii="Arial" w:hAnsi="Arial" w:cs="Arial"/>
              <w:sz w:val="24"/>
            </w:rPr>
            <w:fldChar w:fldCharType="separate"/>
          </w:r>
          <w:r w:rsidR="003F0969" w:rsidRPr="007F30B6">
            <w:rPr>
              <w:rFonts w:ascii="Arial" w:hAnsi="Arial" w:cs="Arial"/>
              <w:noProof/>
              <w:sz w:val="24"/>
            </w:rPr>
            <w:t xml:space="preserve"> (EC, 2019)</w:t>
          </w:r>
          <w:r w:rsidR="003F0969" w:rsidRPr="007F30B6">
            <w:rPr>
              <w:rFonts w:ascii="Arial" w:hAnsi="Arial" w:cs="Arial"/>
              <w:sz w:val="24"/>
            </w:rPr>
            <w:fldChar w:fldCharType="end"/>
          </w:r>
        </w:sdtContent>
      </w:sdt>
      <w:r w:rsidR="003F0969" w:rsidRPr="007F30B6">
        <w:rPr>
          <w:rFonts w:ascii="Arial" w:hAnsi="Arial" w:cs="Arial"/>
          <w:sz w:val="24"/>
        </w:rPr>
        <w:t>.</w:t>
      </w:r>
    </w:p>
    <w:p w14:paraId="0D1DF593" w14:textId="7E492BB5" w:rsidR="003F0969" w:rsidRPr="007F30B6" w:rsidRDefault="00F877F3" w:rsidP="009D6F85">
      <w:pPr>
        <w:pStyle w:val="Heading2"/>
        <w:numPr>
          <w:ilvl w:val="0"/>
          <w:numId w:val="1"/>
        </w:numPr>
        <w:spacing w:line="360" w:lineRule="auto"/>
        <w:jc w:val="both"/>
        <w:rPr>
          <w:rFonts w:ascii="Arial" w:hAnsi="Arial" w:cs="Arial"/>
          <w:b/>
          <w:bCs/>
          <w:sz w:val="24"/>
          <w:szCs w:val="24"/>
        </w:rPr>
      </w:pPr>
      <w:bookmarkStart w:id="8" w:name="_Toc27362963"/>
      <w:r>
        <w:rPr>
          <w:rFonts w:ascii="Arial" w:hAnsi="Arial" w:cs="Arial"/>
          <w:b/>
          <w:bCs/>
          <w:sz w:val="24"/>
          <w:szCs w:val="24"/>
        </w:rPr>
        <w:t xml:space="preserve">PORTER’S FIVE FORCES </w:t>
      </w:r>
      <w:bookmarkEnd w:id="8"/>
    </w:p>
    <w:p w14:paraId="5162BBE1" w14:textId="77777777" w:rsidR="003F0969" w:rsidRPr="00F877F3" w:rsidRDefault="003F0969" w:rsidP="007F30B6">
      <w:pPr>
        <w:pStyle w:val="Heading3"/>
        <w:spacing w:line="360" w:lineRule="auto"/>
        <w:jc w:val="both"/>
        <w:rPr>
          <w:rFonts w:ascii="Arial" w:hAnsi="Arial" w:cs="Arial"/>
          <w:b/>
          <w:bCs/>
          <w:color w:val="auto"/>
          <w:sz w:val="24"/>
        </w:rPr>
      </w:pPr>
      <w:bookmarkStart w:id="9" w:name="_Toc27362964"/>
      <w:r w:rsidRPr="00F877F3">
        <w:rPr>
          <w:rFonts w:ascii="Arial" w:hAnsi="Arial" w:cs="Arial"/>
          <w:b/>
          <w:bCs/>
          <w:color w:val="auto"/>
          <w:sz w:val="24"/>
        </w:rPr>
        <w:t>Threat of New Entrants - High</w:t>
      </w:r>
      <w:bookmarkEnd w:id="9"/>
    </w:p>
    <w:p w14:paraId="53CE7869" w14:textId="18C36585" w:rsidR="003F0969" w:rsidRPr="007F30B6" w:rsidRDefault="00F877F3"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Competition in Europe’s EV industry is quite substantial, as the EU facilitates a relatively easy business environment to start business operations. As indicated in the current market data, it is expected that the number of EV models available to customers will increase substantially in the coming few years</w:t>
      </w:r>
      <w:sdt>
        <w:sdtPr>
          <w:rPr>
            <w:rFonts w:ascii="Arial" w:hAnsi="Arial" w:cs="Arial"/>
            <w:sz w:val="24"/>
          </w:rPr>
          <w:id w:val="918207785"/>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Kea19 \l 2057 </w:instrText>
          </w:r>
          <w:r w:rsidR="003F0969" w:rsidRPr="007F30B6">
            <w:rPr>
              <w:rFonts w:ascii="Arial" w:hAnsi="Arial" w:cs="Arial"/>
              <w:sz w:val="24"/>
            </w:rPr>
            <w:fldChar w:fldCharType="separate"/>
          </w:r>
          <w:r w:rsidR="003F0969" w:rsidRPr="007F30B6">
            <w:rPr>
              <w:rFonts w:ascii="Arial" w:hAnsi="Arial" w:cs="Arial"/>
              <w:noProof/>
              <w:sz w:val="24"/>
            </w:rPr>
            <w:t xml:space="preserve"> (Keating, 2019)</w:t>
          </w:r>
          <w:r w:rsidR="003F0969" w:rsidRPr="007F30B6">
            <w:rPr>
              <w:rFonts w:ascii="Arial" w:hAnsi="Arial" w:cs="Arial"/>
              <w:sz w:val="24"/>
            </w:rPr>
            <w:fldChar w:fldCharType="end"/>
          </w:r>
        </w:sdtContent>
      </w:sdt>
      <w:r w:rsidR="003F0969" w:rsidRPr="007F30B6">
        <w:rPr>
          <w:rFonts w:ascii="Arial" w:hAnsi="Arial" w:cs="Arial"/>
          <w:sz w:val="24"/>
        </w:rPr>
        <w:t>, which indicates an open and competitive environment where dominant market share trends have still not settled and there is opportunity for substantial growth for competitors with advanced value chains.</w:t>
      </w:r>
    </w:p>
    <w:p w14:paraId="32EE2D89" w14:textId="77777777" w:rsidR="003F0969" w:rsidRPr="00F877F3" w:rsidRDefault="003F0969" w:rsidP="007F30B6">
      <w:pPr>
        <w:pStyle w:val="Heading3"/>
        <w:spacing w:line="360" w:lineRule="auto"/>
        <w:jc w:val="both"/>
        <w:rPr>
          <w:rFonts w:ascii="Arial" w:hAnsi="Arial" w:cs="Arial"/>
          <w:b/>
          <w:bCs/>
          <w:color w:val="auto"/>
          <w:sz w:val="24"/>
        </w:rPr>
      </w:pPr>
      <w:bookmarkStart w:id="10" w:name="_Toc27362965"/>
      <w:r w:rsidRPr="00F877F3">
        <w:rPr>
          <w:rFonts w:ascii="Arial" w:hAnsi="Arial" w:cs="Arial"/>
          <w:b/>
          <w:bCs/>
          <w:color w:val="auto"/>
          <w:sz w:val="24"/>
        </w:rPr>
        <w:t>Threat of Substitutes - Low</w:t>
      </w:r>
      <w:bookmarkEnd w:id="10"/>
    </w:p>
    <w:p w14:paraId="7655AEFE" w14:textId="79300A6A" w:rsidR="003F0969" w:rsidRPr="007F30B6" w:rsidRDefault="00F877F3"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 xml:space="preserve">There does not appear to be any credible substitutes to EVs at the present; the most promising technology to replace battery based EVs, known as fuel cell technology, is still underdeveloped at this point and is too expensive for mass-market appeal. As most competitors (and customers) are still consolidating over a mixed adoption trend </w:t>
      </w:r>
      <w:r w:rsidR="003F0969" w:rsidRPr="007F30B6">
        <w:rPr>
          <w:rFonts w:ascii="Arial" w:hAnsi="Arial" w:cs="Arial"/>
          <w:sz w:val="24"/>
        </w:rPr>
        <w:lastRenderedPageBreak/>
        <w:t>of hybrids and full electric cars, there does not appear to be any credible threat of a substitute trend or disruption</w:t>
      </w:r>
      <w:sdt>
        <w:sdtPr>
          <w:rPr>
            <w:rFonts w:ascii="Arial" w:hAnsi="Arial" w:cs="Arial"/>
            <w:sz w:val="24"/>
          </w:rPr>
          <w:id w:val="864942074"/>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IEA192 \l 2057 </w:instrText>
          </w:r>
          <w:r w:rsidR="003F0969" w:rsidRPr="007F30B6">
            <w:rPr>
              <w:rFonts w:ascii="Arial" w:hAnsi="Arial" w:cs="Arial"/>
              <w:sz w:val="24"/>
            </w:rPr>
            <w:fldChar w:fldCharType="separate"/>
          </w:r>
          <w:r w:rsidR="003F0969" w:rsidRPr="007F30B6">
            <w:rPr>
              <w:rFonts w:ascii="Arial" w:hAnsi="Arial" w:cs="Arial"/>
              <w:noProof/>
              <w:sz w:val="24"/>
            </w:rPr>
            <w:t xml:space="preserve"> (IEA, 2019)</w:t>
          </w:r>
          <w:r w:rsidR="003F0969" w:rsidRPr="007F30B6">
            <w:rPr>
              <w:rFonts w:ascii="Arial" w:hAnsi="Arial" w:cs="Arial"/>
              <w:sz w:val="24"/>
            </w:rPr>
            <w:fldChar w:fldCharType="end"/>
          </w:r>
        </w:sdtContent>
      </w:sdt>
      <w:r w:rsidR="003F0969" w:rsidRPr="007F30B6">
        <w:rPr>
          <w:rFonts w:ascii="Arial" w:hAnsi="Arial" w:cs="Arial"/>
          <w:sz w:val="24"/>
        </w:rPr>
        <w:t>.</w:t>
      </w:r>
    </w:p>
    <w:p w14:paraId="50273863" w14:textId="77777777" w:rsidR="003F0969" w:rsidRPr="00F877F3" w:rsidRDefault="003F0969" w:rsidP="007F30B6">
      <w:pPr>
        <w:pStyle w:val="Heading3"/>
        <w:spacing w:line="360" w:lineRule="auto"/>
        <w:jc w:val="both"/>
        <w:rPr>
          <w:rFonts w:ascii="Arial" w:hAnsi="Arial" w:cs="Arial"/>
          <w:b/>
          <w:bCs/>
          <w:color w:val="auto"/>
          <w:sz w:val="24"/>
        </w:rPr>
      </w:pPr>
      <w:bookmarkStart w:id="11" w:name="_Toc27362966"/>
      <w:r w:rsidRPr="00F877F3">
        <w:rPr>
          <w:rFonts w:ascii="Arial" w:hAnsi="Arial" w:cs="Arial"/>
          <w:b/>
          <w:bCs/>
          <w:color w:val="auto"/>
          <w:sz w:val="24"/>
        </w:rPr>
        <w:t>Bargaining Power of Suppliers - Moderate</w:t>
      </w:r>
      <w:bookmarkEnd w:id="11"/>
    </w:p>
    <w:p w14:paraId="0BAB2062" w14:textId="07B1A56C" w:rsidR="003F0969" w:rsidRPr="007F30B6" w:rsidRDefault="00F877F3"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Unlike conventional automobiles, it is arguable that the industry for EVs in terms of suppliers has not yet properly consolidated, with competitors requiring advanced supply chains to source the required material for the production of batteries and electric engines. This would indicate that suppliers still hold a moderate bargaining power in the industry</w:t>
      </w:r>
      <w:sdt>
        <w:sdtPr>
          <w:rPr>
            <w:rFonts w:ascii="Arial" w:hAnsi="Arial" w:cs="Arial"/>
            <w:sz w:val="24"/>
          </w:rPr>
          <w:id w:val="-504981291"/>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IEA192 \l 2057 </w:instrText>
          </w:r>
          <w:r w:rsidR="003F0969" w:rsidRPr="007F30B6">
            <w:rPr>
              <w:rFonts w:ascii="Arial" w:hAnsi="Arial" w:cs="Arial"/>
              <w:sz w:val="24"/>
            </w:rPr>
            <w:fldChar w:fldCharType="separate"/>
          </w:r>
          <w:r w:rsidR="003F0969" w:rsidRPr="007F30B6">
            <w:rPr>
              <w:rFonts w:ascii="Arial" w:hAnsi="Arial" w:cs="Arial"/>
              <w:noProof/>
              <w:sz w:val="24"/>
            </w:rPr>
            <w:t xml:space="preserve"> (IEA, 2019)</w:t>
          </w:r>
          <w:r w:rsidR="003F0969" w:rsidRPr="007F30B6">
            <w:rPr>
              <w:rFonts w:ascii="Arial" w:hAnsi="Arial" w:cs="Arial"/>
              <w:sz w:val="24"/>
            </w:rPr>
            <w:fldChar w:fldCharType="end"/>
          </w:r>
        </w:sdtContent>
      </w:sdt>
      <w:r w:rsidR="003F0969" w:rsidRPr="007F30B6">
        <w:rPr>
          <w:rFonts w:ascii="Arial" w:hAnsi="Arial" w:cs="Arial"/>
          <w:sz w:val="24"/>
        </w:rPr>
        <w:t>.</w:t>
      </w:r>
    </w:p>
    <w:p w14:paraId="3F061117" w14:textId="77777777" w:rsidR="003F0969" w:rsidRPr="00F877F3" w:rsidRDefault="003F0969" w:rsidP="007F30B6">
      <w:pPr>
        <w:pStyle w:val="Heading3"/>
        <w:spacing w:line="360" w:lineRule="auto"/>
        <w:jc w:val="both"/>
        <w:rPr>
          <w:rFonts w:ascii="Arial" w:hAnsi="Arial" w:cs="Arial"/>
          <w:b/>
          <w:bCs/>
          <w:color w:val="auto"/>
          <w:sz w:val="24"/>
        </w:rPr>
      </w:pPr>
      <w:bookmarkStart w:id="12" w:name="_Toc27362967"/>
      <w:r w:rsidRPr="00F877F3">
        <w:rPr>
          <w:rFonts w:ascii="Arial" w:hAnsi="Arial" w:cs="Arial"/>
          <w:b/>
          <w:bCs/>
          <w:color w:val="auto"/>
          <w:sz w:val="24"/>
        </w:rPr>
        <w:t>Bargaining Power of Buyers - High</w:t>
      </w:r>
      <w:bookmarkEnd w:id="12"/>
    </w:p>
    <w:p w14:paraId="66CA6FC0" w14:textId="590DF265" w:rsidR="003F0969" w:rsidRPr="007F30B6" w:rsidRDefault="00F877F3"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Current purchase trends appear to indicate a strong preference for conventional, gasoline cars. This is arguably because conventional gasoline cars are much cheaper compared to electric cars and come with the same features as electric cars with the exception of the different power source. As the electric charging infrastructure of Europe is still not sufficiently expanded, customers insofar have continued their reliance on conventional cars. This creates an industry that is entirely dependent on the preferences of buyers, giving them a high bargaining power to control market trends</w:t>
      </w:r>
      <w:sdt>
        <w:sdtPr>
          <w:rPr>
            <w:rFonts w:ascii="Arial" w:hAnsi="Arial" w:cs="Arial"/>
            <w:sz w:val="24"/>
          </w:rPr>
          <w:id w:val="-1137407611"/>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Kea19 \l 2057  \m IEA192</w:instrText>
          </w:r>
          <w:r w:rsidR="003F0969" w:rsidRPr="007F30B6">
            <w:rPr>
              <w:rFonts w:ascii="Arial" w:hAnsi="Arial" w:cs="Arial"/>
              <w:sz w:val="24"/>
            </w:rPr>
            <w:fldChar w:fldCharType="separate"/>
          </w:r>
          <w:r w:rsidR="003F0969" w:rsidRPr="007F30B6">
            <w:rPr>
              <w:rFonts w:ascii="Arial" w:hAnsi="Arial" w:cs="Arial"/>
              <w:noProof/>
              <w:sz w:val="24"/>
            </w:rPr>
            <w:t xml:space="preserve"> (Keating, 2019; IEA, 2019)</w:t>
          </w:r>
          <w:r w:rsidR="003F0969" w:rsidRPr="007F30B6">
            <w:rPr>
              <w:rFonts w:ascii="Arial" w:hAnsi="Arial" w:cs="Arial"/>
              <w:sz w:val="24"/>
            </w:rPr>
            <w:fldChar w:fldCharType="end"/>
          </w:r>
        </w:sdtContent>
      </w:sdt>
      <w:r w:rsidR="003F0969" w:rsidRPr="007F30B6">
        <w:rPr>
          <w:rFonts w:ascii="Arial" w:hAnsi="Arial" w:cs="Arial"/>
          <w:sz w:val="24"/>
        </w:rPr>
        <w:t>.</w:t>
      </w:r>
    </w:p>
    <w:p w14:paraId="7F2E1521" w14:textId="77777777" w:rsidR="003F0969" w:rsidRPr="00F877F3" w:rsidRDefault="003F0969" w:rsidP="007F30B6">
      <w:pPr>
        <w:pStyle w:val="Heading3"/>
        <w:spacing w:line="360" w:lineRule="auto"/>
        <w:jc w:val="both"/>
        <w:rPr>
          <w:rFonts w:ascii="Arial" w:hAnsi="Arial" w:cs="Arial"/>
          <w:b/>
          <w:bCs/>
          <w:color w:val="auto"/>
          <w:sz w:val="24"/>
        </w:rPr>
      </w:pPr>
      <w:bookmarkStart w:id="13" w:name="_Toc27362968"/>
      <w:r w:rsidRPr="00F877F3">
        <w:rPr>
          <w:rFonts w:ascii="Arial" w:hAnsi="Arial" w:cs="Arial"/>
          <w:b/>
          <w:bCs/>
          <w:color w:val="auto"/>
          <w:sz w:val="24"/>
        </w:rPr>
        <w:t>Competitive Rivalry</w:t>
      </w:r>
      <w:bookmarkEnd w:id="13"/>
    </w:p>
    <w:p w14:paraId="25ED80E9" w14:textId="7CF9FCF7" w:rsidR="003F0969" w:rsidRPr="007F30B6" w:rsidRDefault="00E142F8"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 xml:space="preserve">There is a strong competitive rivalry in Europe’s EV industry; the market is open to new entrants, and there is an influx of new options expected in the coming years. At the same time, there is no credible threat of substitutes. This creates an industry with internalised competition that is still at its early stages, as the potential market is expanding, and there is still appetite for technological and infrastructural improvements before the market expands further. </w:t>
      </w:r>
    </w:p>
    <w:p w14:paraId="2377301B" w14:textId="2C336B87" w:rsidR="003F0969" w:rsidRPr="007F30B6" w:rsidRDefault="00E142F8"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 xml:space="preserve">However, it is also notable that the bargaining power of suppliers is moderate; given that electric cars are still a concept in development and innovations are constantly occurring, this creates a need for advanced and sophisticated supply chains, which gives suppliers more bargaining power as their replacements and competitors are limited. At the same time, customers are spoilt for choices, having multiple manufacturers competing in the market for a wide range of conventional, hybrid, and electric car models. This provides customers a strong bargaining power to drive </w:t>
      </w:r>
      <w:r w:rsidR="003F0969" w:rsidRPr="007F30B6">
        <w:rPr>
          <w:rFonts w:ascii="Arial" w:hAnsi="Arial" w:cs="Arial"/>
          <w:sz w:val="24"/>
        </w:rPr>
        <w:lastRenderedPageBreak/>
        <w:t>market trends, as is indicated by the continued dominance of conventional gasoline cars.</w:t>
      </w:r>
    </w:p>
    <w:p w14:paraId="2E7D3DE6" w14:textId="2BFF8746" w:rsidR="003F0969" w:rsidRPr="007F30B6" w:rsidRDefault="00E142F8" w:rsidP="009D6F85">
      <w:pPr>
        <w:pStyle w:val="Heading2"/>
        <w:numPr>
          <w:ilvl w:val="0"/>
          <w:numId w:val="1"/>
        </w:numPr>
        <w:spacing w:line="360" w:lineRule="auto"/>
        <w:jc w:val="both"/>
        <w:rPr>
          <w:rFonts w:ascii="Arial" w:hAnsi="Arial" w:cs="Arial"/>
          <w:b/>
          <w:bCs/>
          <w:sz w:val="24"/>
          <w:szCs w:val="24"/>
        </w:rPr>
      </w:pPr>
      <w:bookmarkStart w:id="14" w:name="_Toc27362969"/>
      <w:r>
        <w:rPr>
          <w:rFonts w:ascii="Arial" w:hAnsi="Arial" w:cs="Arial"/>
          <w:b/>
          <w:bCs/>
          <w:sz w:val="24"/>
          <w:szCs w:val="24"/>
        </w:rPr>
        <w:t xml:space="preserve">ORGANISATIONAL CHANGES </w:t>
      </w:r>
      <w:bookmarkEnd w:id="14"/>
    </w:p>
    <w:p w14:paraId="15BC5BFA" w14:textId="233A4F6A" w:rsidR="003F0969" w:rsidRPr="007F30B6" w:rsidRDefault="00E142F8"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The current market trends indicate a substantial shift towards electric cars in manufacturers. This shift has been indicated by some of the dominant car manufactures in Europe, including Volvo. Almost all of the Europe’s largest and dominant car manufacturers now offer EV solutions to customers, as an indication of the prominence of the EV concept</w:t>
      </w:r>
      <w:sdt>
        <w:sdtPr>
          <w:rPr>
            <w:rFonts w:ascii="Arial" w:hAnsi="Arial" w:cs="Arial"/>
            <w:sz w:val="24"/>
          </w:rPr>
          <w:id w:val="-702788522"/>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IEA192 \l 2057 </w:instrText>
          </w:r>
          <w:r w:rsidR="003F0969" w:rsidRPr="007F30B6">
            <w:rPr>
              <w:rFonts w:ascii="Arial" w:hAnsi="Arial" w:cs="Arial"/>
              <w:sz w:val="24"/>
            </w:rPr>
            <w:fldChar w:fldCharType="separate"/>
          </w:r>
          <w:r w:rsidR="003F0969" w:rsidRPr="007F30B6">
            <w:rPr>
              <w:rFonts w:ascii="Arial" w:hAnsi="Arial" w:cs="Arial"/>
              <w:noProof/>
              <w:sz w:val="24"/>
            </w:rPr>
            <w:t xml:space="preserve"> (IEA, 2019)</w:t>
          </w:r>
          <w:r w:rsidR="003F0969" w:rsidRPr="007F30B6">
            <w:rPr>
              <w:rFonts w:ascii="Arial" w:hAnsi="Arial" w:cs="Arial"/>
              <w:sz w:val="24"/>
            </w:rPr>
            <w:fldChar w:fldCharType="end"/>
          </w:r>
        </w:sdtContent>
      </w:sdt>
      <w:r w:rsidR="003F0969" w:rsidRPr="007F30B6">
        <w:rPr>
          <w:rFonts w:ascii="Arial" w:hAnsi="Arial" w:cs="Arial"/>
          <w:sz w:val="24"/>
        </w:rPr>
        <w:t>. This shift is representative of the continued perception by car manufacturers that electric cars are the only present viable future for the industry, as the possibility of innovation and improvements in conventional gasoline engines is constrained from an increasingly strict political and regulatory environment that prohibits CO2 emissions from cars</w:t>
      </w:r>
      <w:sdt>
        <w:sdtPr>
          <w:rPr>
            <w:rFonts w:ascii="Arial" w:hAnsi="Arial" w:cs="Arial"/>
            <w:sz w:val="24"/>
          </w:rPr>
          <w:id w:val="1078712260"/>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EC19 \l 2057 </w:instrText>
          </w:r>
          <w:r w:rsidR="003F0969" w:rsidRPr="007F30B6">
            <w:rPr>
              <w:rFonts w:ascii="Arial" w:hAnsi="Arial" w:cs="Arial"/>
              <w:sz w:val="24"/>
            </w:rPr>
            <w:fldChar w:fldCharType="separate"/>
          </w:r>
          <w:r w:rsidR="003F0969" w:rsidRPr="007F30B6">
            <w:rPr>
              <w:rFonts w:ascii="Arial" w:hAnsi="Arial" w:cs="Arial"/>
              <w:noProof/>
              <w:sz w:val="24"/>
            </w:rPr>
            <w:t xml:space="preserve"> (EC, 2019)</w:t>
          </w:r>
          <w:r w:rsidR="003F0969" w:rsidRPr="007F30B6">
            <w:rPr>
              <w:rFonts w:ascii="Arial" w:hAnsi="Arial" w:cs="Arial"/>
              <w:sz w:val="24"/>
            </w:rPr>
            <w:fldChar w:fldCharType="end"/>
          </w:r>
        </w:sdtContent>
      </w:sdt>
      <w:r w:rsidR="003F0969" w:rsidRPr="007F30B6">
        <w:rPr>
          <w:rFonts w:ascii="Arial" w:hAnsi="Arial" w:cs="Arial"/>
          <w:sz w:val="24"/>
        </w:rPr>
        <w:t>.</w:t>
      </w:r>
    </w:p>
    <w:p w14:paraId="76213ADE" w14:textId="5577CB9A" w:rsidR="003F0969" w:rsidRPr="007F30B6" w:rsidRDefault="00E142F8"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As indicated in Porter’s Five forces, the dominant drivers for this change include suppliers, the current competition from existing competitors, and the bargaining power of buyers. From an environmental perspective, the regulatory, social, and economic environment are also driving this change. Although car manufactures are still finding it expensive to produce EVs, the industry’s adoption of battery-sharing and other innovative business models provides some certainty and incentive for manufactures to move towards EV production</w:t>
      </w:r>
      <w:sdt>
        <w:sdtPr>
          <w:rPr>
            <w:rFonts w:ascii="Arial" w:hAnsi="Arial" w:cs="Arial"/>
            <w:sz w:val="24"/>
          </w:rPr>
          <w:id w:val="1600216393"/>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IEA192 \l 2057 </w:instrText>
          </w:r>
          <w:r w:rsidR="003F0969" w:rsidRPr="007F30B6">
            <w:rPr>
              <w:rFonts w:ascii="Arial" w:hAnsi="Arial" w:cs="Arial"/>
              <w:sz w:val="24"/>
            </w:rPr>
            <w:fldChar w:fldCharType="separate"/>
          </w:r>
          <w:r w:rsidR="003F0969" w:rsidRPr="007F30B6">
            <w:rPr>
              <w:rFonts w:ascii="Arial" w:hAnsi="Arial" w:cs="Arial"/>
              <w:noProof/>
              <w:sz w:val="24"/>
            </w:rPr>
            <w:t xml:space="preserve"> (IEA, 2019)</w:t>
          </w:r>
          <w:r w:rsidR="003F0969" w:rsidRPr="007F30B6">
            <w:rPr>
              <w:rFonts w:ascii="Arial" w:hAnsi="Arial" w:cs="Arial"/>
              <w:sz w:val="24"/>
            </w:rPr>
            <w:fldChar w:fldCharType="end"/>
          </w:r>
        </w:sdtContent>
      </w:sdt>
      <w:r w:rsidR="003F0969" w:rsidRPr="007F30B6">
        <w:rPr>
          <w:rFonts w:ascii="Arial" w:hAnsi="Arial" w:cs="Arial"/>
          <w:sz w:val="24"/>
        </w:rPr>
        <w:t>. As suggested by current data, the adoption of electric cars in Europa has never been higher, which indicates that competitors would attempt to cater to this growing trend under the expectation that the future of automotive is entirely centric in the EVs industry</w:t>
      </w:r>
      <w:sdt>
        <w:sdtPr>
          <w:rPr>
            <w:rFonts w:ascii="Arial" w:hAnsi="Arial" w:cs="Arial"/>
            <w:sz w:val="24"/>
          </w:rPr>
          <w:id w:val="1635438893"/>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Kea19 \l 2057  \m ACE19</w:instrText>
          </w:r>
          <w:r w:rsidR="003F0969" w:rsidRPr="007F30B6">
            <w:rPr>
              <w:rFonts w:ascii="Arial" w:hAnsi="Arial" w:cs="Arial"/>
              <w:sz w:val="24"/>
            </w:rPr>
            <w:fldChar w:fldCharType="separate"/>
          </w:r>
          <w:r w:rsidR="003F0969" w:rsidRPr="007F30B6">
            <w:rPr>
              <w:rFonts w:ascii="Arial" w:hAnsi="Arial" w:cs="Arial"/>
              <w:noProof/>
              <w:sz w:val="24"/>
            </w:rPr>
            <w:t xml:space="preserve"> (Keating, 2019; ACEA, 2019)</w:t>
          </w:r>
          <w:r w:rsidR="003F0969" w:rsidRPr="007F30B6">
            <w:rPr>
              <w:rFonts w:ascii="Arial" w:hAnsi="Arial" w:cs="Arial"/>
              <w:sz w:val="24"/>
            </w:rPr>
            <w:fldChar w:fldCharType="end"/>
          </w:r>
        </w:sdtContent>
      </w:sdt>
      <w:r w:rsidR="003F0969" w:rsidRPr="007F30B6">
        <w:rPr>
          <w:rFonts w:ascii="Arial" w:hAnsi="Arial" w:cs="Arial"/>
          <w:sz w:val="24"/>
        </w:rPr>
        <w:t>.</w:t>
      </w:r>
    </w:p>
    <w:p w14:paraId="73DC4790" w14:textId="4A378EC5" w:rsidR="003F0969" w:rsidRPr="007F30B6" w:rsidRDefault="00E142F8"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The regulatory environment is also driving this change; the EU as a collective body has been placing more constraints on conventional automobiles by introducing caps on maximum CO2 emissions from newer models, a barrier which can only be surpassed by hybrids and electric cars. Therefore, continued investment on conventional cars is not business-viable, because conventional engines would eventually be eliminated from the market due to growing regulations. From the social and economic spheres, it is also notable that many European countries are providing incentives to customers (and manufacturers) to move towards EVs, which is another driver for industry-wide shift towards EVs</w:t>
      </w:r>
      <w:sdt>
        <w:sdtPr>
          <w:rPr>
            <w:rFonts w:ascii="Arial" w:hAnsi="Arial" w:cs="Arial"/>
            <w:sz w:val="24"/>
          </w:rPr>
          <w:id w:val="-1005596656"/>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IEA192 \l 2057 </w:instrText>
          </w:r>
          <w:r w:rsidR="003F0969" w:rsidRPr="007F30B6">
            <w:rPr>
              <w:rFonts w:ascii="Arial" w:hAnsi="Arial" w:cs="Arial"/>
              <w:sz w:val="24"/>
            </w:rPr>
            <w:fldChar w:fldCharType="separate"/>
          </w:r>
          <w:r w:rsidR="003F0969" w:rsidRPr="007F30B6">
            <w:rPr>
              <w:rFonts w:ascii="Arial" w:hAnsi="Arial" w:cs="Arial"/>
              <w:noProof/>
              <w:sz w:val="24"/>
            </w:rPr>
            <w:t xml:space="preserve"> (IEA, 2019)</w:t>
          </w:r>
          <w:r w:rsidR="003F0969" w:rsidRPr="007F30B6">
            <w:rPr>
              <w:rFonts w:ascii="Arial" w:hAnsi="Arial" w:cs="Arial"/>
              <w:sz w:val="24"/>
            </w:rPr>
            <w:fldChar w:fldCharType="end"/>
          </w:r>
        </w:sdtContent>
      </w:sdt>
      <w:r w:rsidR="003F0969" w:rsidRPr="007F30B6">
        <w:rPr>
          <w:rFonts w:ascii="Arial" w:hAnsi="Arial" w:cs="Arial"/>
          <w:sz w:val="24"/>
        </w:rPr>
        <w:t>.</w:t>
      </w:r>
    </w:p>
    <w:p w14:paraId="64B25553" w14:textId="67418FBD" w:rsidR="003F0969" w:rsidRPr="007F30B6" w:rsidRDefault="00E142F8" w:rsidP="009D6F85">
      <w:pPr>
        <w:pStyle w:val="Heading2"/>
        <w:numPr>
          <w:ilvl w:val="0"/>
          <w:numId w:val="1"/>
        </w:numPr>
        <w:spacing w:line="360" w:lineRule="auto"/>
        <w:jc w:val="both"/>
        <w:rPr>
          <w:rFonts w:ascii="Arial" w:hAnsi="Arial" w:cs="Arial"/>
          <w:b/>
          <w:bCs/>
          <w:sz w:val="24"/>
          <w:szCs w:val="24"/>
        </w:rPr>
      </w:pPr>
      <w:r>
        <w:rPr>
          <w:rFonts w:ascii="Arial" w:hAnsi="Arial" w:cs="Arial"/>
          <w:b/>
          <w:bCs/>
          <w:sz w:val="24"/>
          <w:szCs w:val="24"/>
        </w:rPr>
        <w:lastRenderedPageBreak/>
        <w:t>CONCLUSION</w:t>
      </w:r>
    </w:p>
    <w:p w14:paraId="28802E4A" w14:textId="4489BB24" w:rsidR="003F0969" w:rsidRPr="007F30B6" w:rsidRDefault="00E142F8"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 xml:space="preserve">This report has examined different facets of the external and internal environment of Europe’s EV sector. It is explored that a supportive political, legal, and social environment are the main drivers of growth behind increasing EVs adoption. As the government keeps introducing stricter rules on maximum CO2 emissions from cars, electric cars are becoming more attractive to customers. An analysis of the current extent of competition also indicates that competitive rivalry in Europe is quite significant, as the market is open to new entrants, customers have high bargaining power, and suppliers are limited. This creates an uncertain competitive environment as car manufacturers are competing for market growth as it expands. </w:t>
      </w:r>
    </w:p>
    <w:p w14:paraId="587C9E41" w14:textId="660BB0BD" w:rsidR="003F0969" w:rsidRPr="007F30B6" w:rsidRDefault="000D0632" w:rsidP="007F30B6">
      <w:pPr>
        <w:pStyle w:val="Heading1"/>
        <w:spacing w:line="360" w:lineRule="auto"/>
        <w:jc w:val="both"/>
        <w:rPr>
          <w:rFonts w:ascii="Arial" w:hAnsi="Arial" w:cs="Arial"/>
          <w:b/>
          <w:bCs/>
          <w:sz w:val="24"/>
          <w:szCs w:val="24"/>
        </w:rPr>
      </w:pPr>
      <w:bookmarkStart w:id="15" w:name="_Toc27362971"/>
      <w:r>
        <w:rPr>
          <w:rFonts w:ascii="Arial" w:hAnsi="Arial" w:cs="Arial"/>
          <w:b/>
          <w:bCs/>
          <w:sz w:val="24"/>
          <w:szCs w:val="24"/>
        </w:rPr>
        <w:t xml:space="preserve">PART 2: NEW OPPORTUNITIES </w:t>
      </w:r>
      <w:bookmarkEnd w:id="15"/>
    </w:p>
    <w:p w14:paraId="3FD0077E" w14:textId="60DE3A22" w:rsidR="003F0969" w:rsidRPr="007F30B6" w:rsidRDefault="000D0632" w:rsidP="00CB6B17">
      <w:pPr>
        <w:pStyle w:val="Heading2"/>
        <w:numPr>
          <w:ilvl w:val="0"/>
          <w:numId w:val="2"/>
        </w:numPr>
        <w:spacing w:line="360" w:lineRule="auto"/>
        <w:jc w:val="both"/>
        <w:rPr>
          <w:rFonts w:ascii="Arial" w:hAnsi="Arial" w:cs="Arial"/>
          <w:b/>
          <w:bCs/>
          <w:sz w:val="24"/>
          <w:szCs w:val="24"/>
        </w:rPr>
      </w:pPr>
      <w:bookmarkStart w:id="16" w:name="_Toc27362972"/>
      <w:r>
        <w:rPr>
          <w:rFonts w:ascii="Arial" w:hAnsi="Arial" w:cs="Arial"/>
          <w:b/>
          <w:bCs/>
          <w:sz w:val="24"/>
          <w:szCs w:val="24"/>
        </w:rPr>
        <w:t>PORTES’S VALUE CHAIN</w:t>
      </w:r>
      <w:bookmarkEnd w:id="16"/>
    </w:p>
    <w:p w14:paraId="2ABC4B7C" w14:textId="12163707" w:rsidR="003F0969" w:rsidRPr="007F30B6" w:rsidRDefault="000D0632"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Competitors in the EVs industry, considering its recent performance and potential for growth in the long-term, are also considering their long-term value chain. At the present, the focus of the value chain appears to be on consolidating to a ‘choice’ EVs model for customers, as there are several variations of the EV’s concept, including hybrids, fuel cell, and battery-powered cars. Because hybrids are not complete electric cars, competitors are moving towards adopting full-electric cars are the dominant standard for the market, as there is no sufficient promise that fuel cell technology will develop enough in the coming years to allow for mass-market adoption.</w:t>
      </w:r>
    </w:p>
    <w:p w14:paraId="14A89E4E" w14:textId="3BF3E19B" w:rsidR="003F0969" w:rsidRPr="007F30B6" w:rsidRDefault="000D0632"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Given this consolidation of the value chain towards a single EV type, there is potential for the industry to develop several different new business opportunities as both primary and support-level services that augment the industry, increasing its value, and arguably the rate of its adoption relative to conventional gasoline cars. The following two sections will explore how new innovative concepts are enhancing the value chain of the overall EV industry.</w:t>
      </w:r>
    </w:p>
    <w:p w14:paraId="23CDCA0A" w14:textId="598CE53E" w:rsidR="003F0969" w:rsidRPr="007F30B6" w:rsidRDefault="000D0632" w:rsidP="00CB6B17">
      <w:pPr>
        <w:pStyle w:val="Heading2"/>
        <w:numPr>
          <w:ilvl w:val="0"/>
          <w:numId w:val="2"/>
        </w:numPr>
        <w:spacing w:line="360" w:lineRule="auto"/>
        <w:jc w:val="both"/>
        <w:rPr>
          <w:rFonts w:ascii="Arial" w:hAnsi="Arial" w:cs="Arial"/>
          <w:b/>
          <w:bCs/>
          <w:sz w:val="24"/>
          <w:szCs w:val="24"/>
        </w:rPr>
      </w:pPr>
      <w:bookmarkStart w:id="17" w:name="_Toc27362973"/>
      <w:r>
        <w:rPr>
          <w:rFonts w:ascii="Arial" w:hAnsi="Arial" w:cs="Arial"/>
          <w:b/>
          <w:bCs/>
          <w:sz w:val="24"/>
          <w:szCs w:val="24"/>
        </w:rPr>
        <w:t>NEW BUSINESS OPPORTUNITIES</w:t>
      </w:r>
      <w:bookmarkEnd w:id="17"/>
    </w:p>
    <w:p w14:paraId="28CCA1D9" w14:textId="1538BA07" w:rsidR="003F0969" w:rsidRPr="007F30B6" w:rsidRDefault="000D0632"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 xml:space="preserve">There is no single, universal solution thus far for charging of car batteries; home-based charging is accessible only for those with access to the necessary infrastructure (i.e. home garage, sufficient space in their home). This makes it difficult for customers in dense urban areas to charge their cars themselves, thus indicating a dependence </w:t>
      </w:r>
      <w:r w:rsidR="003F0969" w:rsidRPr="007F30B6">
        <w:rPr>
          <w:rFonts w:ascii="Arial" w:hAnsi="Arial" w:cs="Arial"/>
          <w:sz w:val="24"/>
        </w:rPr>
        <w:lastRenderedPageBreak/>
        <w:t>on external power solutions that include charging stations</w:t>
      </w:r>
      <w:sdt>
        <w:sdtPr>
          <w:rPr>
            <w:rFonts w:ascii="Arial" w:hAnsi="Arial" w:cs="Arial"/>
            <w:sz w:val="24"/>
          </w:rPr>
          <w:id w:val="31232118"/>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ART14 \l 2057  \m Sol17</w:instrText>
          </w:r>
          <w:r w:rsidR="003F0969" w:rsidRPr="007F30B6">
            <w:rPr>
              <w:rFonts w:ascii="Arial" w:hAnsi="Arial" w:cs="Arial"/>
              <w:sz w:val="24"/>
            </w:rPr>
            <w:fldChar w:fldCharType="separate"/>
          </w:r>
          <w:r w:rsidR="003F0969" w:rsidRPr="007F30B6">
            <w:rPr>
              <w:rFonts w:ascii="Arial" w:hAnsi="Arial" w:cs="Arial"/>
              <w:noProof/>
              <w:sz w:val="24"/>
            </w:rPr>
            <w:t xml:space="preserve"> (ART, 2014; Soltani-Sobh, et al., 2017)</w:t>
          </w:r>
          <w:r w:rsidR="003F0969" w:rsidRPr="007F30B6">
            <w:rPr>
              <w:rFonts w:ascii="Arial" w:hAnsi="Arial" w:cs="Arial"/>
              <w:sz w:val="24"/>
            </w:rPr>
            <w:fldChar w:fldCharType="end"/>
          </w:r>
        </w:sdtContent>
      </w:sdt>
      <w:r w:rsidR="003F0969" w:rsidRPr="007F30B6">
        <w:rPr>
          <w:rFonts w:ascii="Arial" w:hAnsi="Arial" w:cs="Arial"/>
          <w:sz w:val="24"/>
        </w:rPr>
        <w:t>. There are several different business models being developed on this front; these include creating stations with wireless charging pads that would allow cars to charge their batteries, whilst other business models include battery replacement services, where customers will be able to swap their batteries on depletion for a replacement.</w:t>
      </w:r>
    </w:p>
    <w:p w14:paraId="4D69CEDC" w14:textId="3EEFCF48" w:rsidR="003F0969" w:rsidRPr="007F30B6" w:rsidRDefault="000D0632"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There is also potential for an augmentation industry to develop; centred on the recycling of EV batteries, engines, and automobiles. In the long-term, this EV industry could prove to be a contributor to the reduction in the cost of electric cars, as more manufacturers will have access to recycled material that can be used in new cars, in particular, the recycling of expensive battery parts which would allow for some cost reduction in customer pricing</w:t>
      </w:r>
      <w:sdt>
        <w:sdtPr>
          <w:rPr>
            <w:rFonts w:ascii="Arial" w:hAnsi="Arial" w:cs="Arial"/>
            <w:sz w:val="24"/>
          </w:rPr>
          <w:id w:val="706525921"/>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Mad17 \l 2057 </w:instrText>
          </w:r>
          <w:r w:rsidR="003F0969" w:rsidRPr="007F30B6">
            <w:rPr>
              <w:rFonts w:ascii="Arial" w:hAnsi="Arial" w:cs="Arial"/>
              <w:sz w:val="24"/>
            </w:rPr>
            <w:fldChar w:fldCharType="separate"/>
          </w:r>
          <w:r w:rsidR="003F0969" w:rsidRPr="007F30B6">
            <w:rPr>
              <w:rFonts w:ascii="Arial" w:hAnsi="Arial" w:cs="Arial"/>
              <w:noProof/>
              <w:sz w:val="24"/>
            </w:rPr>
            <w:t xml:space="preserve"> (Madlener &amp; Kirmas, 2017)</w:t>
          </w:r>
          <w:r w:rsidR="003F0969" w:rsidRPr="007F30B6">
            <w:rPr>
              <w:rFonts w:ascii="Arial" w:hAnsi="Arial" w:cs="Arial"/>
              <w:sz w:val="24"/>
            </w:rPr>
            <w:fldChar w:fldCharType="end"/>
          </w:r>
        </w:sdtContent>
      </w:sdt>
      <w:r w:rsidR="003F0969" w:rsidRPr="007F30B6">
        <w:rPr>
          <w:rFonts w:ascii="Arial" w:hAnsi="Arial" w:cs="Arial"/>
          <w:sz w:val="24"/>
        </w:rPr>
        <w:t>. In concurrence, another related industry that is booming around the world due to the increased demand for electric cars is mining. EVs require a strong volume of copper, neodymium, and other precious ores and material for electric batteries, motors, and fuel cell engines</w:t>
      </w:r>
      <w:sdt>
        <w:sdtPr>
          <w:rPr>
            <w:rFonts w:ascii="Arial" w:hAnsi="Arial" w:cs="Arial"/>
            <w:sz w:val="24"/>
          </w:rPr>
          <w:id w:val="1129430319"/>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ART14 \l 2057 </w:instrText>
          </w:r>
          <w:r w:rsidR="003F0969" w:rsidRPr="007F30B6">
            <w:rPr>
              <w:rFonts w:ascii="Arial" w:hAnsi="Arial" w:cs="Arial"/>
              <w:sz w:val="24"/>
            </w:rPr>
            <w:fldChar w:fldCharType="separate"/>
          </w:r>
          <w:r w:rsidR="003F0969" w:rsidRPr="007F30B6">
            <w:rPr>
              <w:rFonts w:ascii="Arial" w:hAnsi="Arial" w:cs="Arial"/>
              <w:noProof/>
              <w:sz w:val="24"/>
            </w:rPr>
            <w:t xml:space="preserve"> (ART, 2014)</w:t>
          </w:r>
          <w:r w:rsidR="003F0969" w:rsidRPr="007F30B6">
            <w:rPr>
              <w:rFonts w:ascii="Arial" w:hAnsi="Arial" w:cs="Arial"/>
              <w:sz w:val="24"/>
            </w:rPr>
            <w:fldChar w:fldCharType="end"/>
          </w:r>
        </w:sdtContent>
      </w:sdt>
      <w:r w:rsidR="003F0969" w:rsidRPr="007F30B6">
        <w:rPr>
          <w:rFonts w:ascii="Arial" w:hAnsi="Arial" w:cs="Arial"/>
          <w:sz w:val="24"/>
        </w:rPr>
        <w:t xml:space="preserve">. </w:t>
      </w:r>
    </w:p>
    <w:p w14:paraId="6F319D45" w14:textId="297300C3" w:rsidR="003F0969" w:rsidRPr="007F30B6" w:rsidRDefault="000D0632"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However, it is notable that as this demand increases, due to a limited supply of these material (due to both physical availability and the political environment in different countries that have these resources), the cost of electric cars will increase as well, as this material cannot be replaced or substituted. In comparison, conventional gasoline cars have well-established supply chains that do not require as much dependence on precious ores and material for cost-efficient continuity</w:t>
      </w:r>
      <w:sdt>
        <w:sdtPr>
          <w:rPr>
            <w:rFonts w:ascii="Arial" w:hAnsi="Arial" w:cs="Arial"/>
            <w:sz w:val="24"/>
          </w:rPr>
          <w:id w:val="322399599"/>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ART14 \l 2057 </w:instrText>
          </w:r>
          <w:r w:rsidR="003F0969" w:rsidRPr="007F30B6">
            <w:rPr>
              <w:rFonts w:ascii="Arial" w:hAnsi="Arial" w:cs="Arial"/>
              <w:sz w:val="24"/>
            </w:rPr>
            <w:fldChar w:fldCharType="separate"/>
          </w:r>
          <w:r w:rsidR="003F0969" w:rsidRPr="007F30B6">
            <w:rPr>
              <w:rFonts w:ascii="Arial" w:hAnsi="Arial" w:cs="Arial"/>
              <w:noProof/>
              <w:sz w:val="24"/>
            </w:rPr>
            <w:t xml:space="preserve"> (ART, 2014)</w:t>
          </w:r>
          <w:r w:rsidR="003F0969" w:rsidRPr="007F30B6">
            <w:rPr>
              <w:rFonts w:ascii="Arial" w:hAnsi="Arial" w:cs="Arial"/>
              <w:sz w:val="24"/>
            </w:rPr>
            <w:fldChar w:fldCharType="end"/>
          </w:r>
        </w:sdtContent>
      </w:sdt>
      <w:r w:rsidR="003F0969" w:rsidRPr="007F30B6">
        <w:rPr>
          <w:rFonts w:ascii="Arial" w:hAnsi="Arial" w:cs="Arial"/>
          <w:sz w:val="24"/>
        </w:rPr>
        <w:t>.</w:t>
      </w:r>
    </w:p>
    <w:p w14:paraId="5D6B479E" w14:textId="56BE2C05" w:rsidR="003F0969" w:rsidRPr="007F30B6" w:rsidRDefault="000D0632"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There is also potential for innovation in the software and IT side of electric cars; although the demand for electric cars is increasing, there is still a major concern of infrastructure and the availability of charging stations. To cope with this concern, it is theorised that smartphone software and applications can connect EV users into a network of charging station, through which they would be able to track the closest charging station to them, as well as allow them to make reservations and estimate the charging time of their car</w:t>
      </w:r>
      <w:sdt>
        <w:sdtPr>
          <w:rPr>
            <w:rFonts w:ascii="Arial" w:hAnsi="Arial" w:cs="Arial"/>
            <w:sz w:val="24"/>
          </w:rPr>
          <w:id w:val="1428852269"/>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ART14 \l 2057 </w:instrText>
          </w:r>
          <w:r w:rsidR="003F0969" w:rsidRPr="007F30B6">
            <w:rPr>
              <w:rFonts w:ascii="Arial" w:hAnsi="Arial" w:cs="Arial"/>
              <w:sz w:val="24"/>
            </w:rPr>
            <w:fldChar w:fldCharType="separate"/>
          </w:r>
          <w:r w:rsidR="003F0969" w:rsidRPr="007F30B6">
            <w:rPr>
              <w:rFonts w:ascii="Arial" w:hAnsi="Arial" w:cs="Arial"/>
              <w:noProof/>
              <w:sz w:val="24"/>
            </w:rPr>
            <w:t xml:space="preserve"> (ART, 2014)</w:t>
          </w:r>
          <w:r w:rsidR="003F0969" w:rsidRPr="007F30B6">
            <w:rPr>
              <w:rFonts w:ascii="Arial" w:hAnsi="Arial" w:cs="Arial"/>
              <w:sz w:val="24"/>
            </w:rPr>
            <w:fldChar w:fldCharType="end"/>
          </w:r>
        </w:sdtContent>
      </w:sdt>
      <w:r w:rsidR="003F0969" w:rsidRPr="007F30B6">
        <w:rPr>
          <w:rFonts w:ascii="Arial" w:hAnsi="Arial" w:cs="Arial"/>
          <w:sz w:val="24"/>
        </w:rPr>
        <w:t>. The increasing adoption of electric cars have the potential to create such a software market, as it is reasonable to expect that electric car users will have to continue to cope with an underdeveloped infrastructure, making network and software-side collaboration and consolidation essential.</w:t>
      </w:r>
    </w:p>
    <w:p w14:paraId="77A7536F" w14:textId="3B3D832D" w:rsidR="003F0969" w:rsidRPr="007F30B6" w:rsidRDefault="000D0632" w:rsidP="00CB6B17">
      <w:pPr>
        <w:pStyle w:val="Heading2"/>
        <w:numPr>
          <w:ilvl w:val="0"/>
          <w:numId w:val="2"/>
        </w:numPr>
        <w:spacing w:line="360" w:lineRule="auto"/>
        <w:jc w:val="both"/>
        <w:rPr>
          <w:rFonts w:ascii="Arial" w:hAnsi="Arial" w:cs="Arial"/>
          <w:b/>
          <w:bCs/>
          <w:sz w:val="24"/>
          <w:szCs w:val="24"/>
        </w:rPr>
      </w:pPr>
      <w:bookmarkStart w:id="18" w:name="_Toc27362974"/>
      <w:r>
        <w:rPr>
          <w:rFonts w:ascii="Arial" w:hAnsi="Arial" w:cs="Arial"/>
          <w:b/>
          <w:bCs/>
          <w:sz w:val="24"/>
          <w:szCs w:val="24"/>
        </w:rPr>
        <w:lastRenderedPageBreak/>
        <w:t>BUSINESS TO BE DISCOUNTED</w:t>
      </w:r>
      <w:bookmarkEnd w:id="18"/>
    </w:p>
    <w:p w14:paraId="6938BDC3" w14:textId="6A12337D" w:rsidR="003F0969" w:rsidRPr="007F30B6" w:rsidRDefault="000D0632"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Where the EVs industry is responsible for stimulating growth in many different industries and creating entire sub-industries to support its growth and continuity, there are still some industries that are implicated to discontinuation from the increasing adoption of EVs, which also includes the impact of the political environment. This subsection will explore some industries that are expected to take a negative impact from the increasing prominence of electric cars.</w:t>
      </w:r>
    </w:p>
    <w:p w14:paraId="40D4C62B" w14:textId="0BB85E37" w:rsidR="003F0969" w:rsidRPr="007F30B6" w:rsidRDefault="000D0632"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Arguably the most prominent discontinuation for the long-term (i.e. several decades) is the gradual reduction on the infrastructure that maintains mechanical and gasoline cars. As electric engines have a different architecture and reduced need for maintenance, this would lead to a reduced demand for mechanical maintenance and repair services</w:t>
      </w:r>
      <w:sdt>
        <w:sdtPr>
          <w:rPr>
            <w:rFonts w:ascii="Arial" w:hAnsi="Arial" w:cs="Arial"/>
            <w:sz w:val="24"/>
          </w:rPr>
          <w:id w:val="-1419250674"/>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ART14 \l 2057 </w:instrText>
          </w:r>
          <w:r w:rsidR="003F0969" w:rsidRPr="007F30B6">
            <w:rPr>
              <w:rFonts w:ascii="Arial" w:hAnsi="Arial" w:cs="Arial"/>
              <w:sz w:val="24"/>
            </w:rPr>
            <w:fldChar w:fldCharType="separate"/>
          </w:r>
          <w:r w:rsidR="003F0969" w:rsidRPr="007F30B6">
            <w:rPr>
              <w:rFonts w:ascii="Arial" w:hAnsi="Arial" w:cs="Arial"/>
              <w:noProof/>
              <w:sz w:val="24"/>
            </w:rPr>
            <w:t xml:space="preserve"> (ART, 2014)</w:t>
          </w:r>
          <w:r w:rsidR="003F0969" w:rsidRPr="007F30B6">
            <w:rPr>
              <w:rFonts w:ascii="Arial" w:hAnsi="Arial" w:cs="Arial"/>
              <w:sz w:val="24"/>
            </w:rPr>
            <w:fldChar w:fldCharType="end"/>
          </w:r>
        </w:sdtContent>
      </w:sdt>
      <w:r w:rsidR="003F0969" w:rsidRPr="007F30B6">
        <w:rPr>
          <w:rFonts w:ascii="Arial" w:hAnsi="Arial" w:cs="Arial"/>
          <w:sz w:val="24"/>
        </w:rPr>
        <w:t xml:space="preserve">. </w:t>
      </w:r>
    </w:p>
    <w:p w14:paraId="3DC341C7" w14:textId="5A1E56C0" w:rsidR="003F0969" w:rsidRPr="007F30B6" w:rsidRDefault="000D0632"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There is another potential discontinuation, and one that could create additional strain on the EVs industry. Where many competitors are shifting towards EVs, there is a continued reliance on customised and OEM-specific charging plus of EVs. The implication of this customisation is that there is no single or unified charging system for all electric cars. It is possible that certain stations not have the correct plug or charging equipment for a specific EV model</w:t>
      </w:r>
      <w:sdt>
        <w:sdtPr>
          <w:rPr>
            <w:rFonts w:ascii="Arial" w:hAnsi="Arial" w:cs="Arial"/>
            <w:sz w:val="24"/>
          </w:rPr>
          <w:id w:val="1316072309"/>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ART14 \l 2057 </w:instrText>
          </w:r>
          <w:r w:rsidR="003F0969" w:rsidRPr="007F30B6">
            <w:rPr>
              <w:rFonts w:ascii="Arial" w:hAnsi="Arial" w:cs="Arial"/>
              <w:sz w:val="24"/>
            </w:rPr>
            <w:fldChar w:fldCharType="separate"/>
          </w:r>
          <w:r w:rsidR="003F0969" w:rsidRPr="007F30B6">
            <w:rPr>
              <w:rFonts w:ascii="Arial" w:hAnsi="Arial" w:cs="Arial"/>
              <w:noProof/>
              <w:sz w:val="24"/>
            </w:rPr>
            <w:t xml:space="preserve"> (ART, 2014)</w:t>
          </w:r>
          <w:r w:rsidR="003F0969" w:rsidRPr="007F30B6">
            <w:rPr>
              <w:rFonts w:ascii="Arial" w:hAnsi="Arial" w:cs="Arial"/>
              <w:sz w:val="24"/>
            </w:rPr>
            <w:fldChar w:fldCharType="end"/>
          </w:r>
        </w:sdtContent>
      </w:sdt>
      <w:r w:rsidR="003F0969" w:rsidRPr="007F30B6">
        <w:rPr>
          <w:rFonts w:ascii="Arial" w:hAnsi="Arial" w:cs="Arial"/>
          <w:sz w:val="24"/>
        </w:rPr>
        <w:t>. This trend has the potential to fragment the small EVs market, as customers would not be confident about their travel, particularly if there is no universal charging port of EVs. Different countries could adopt different models as the universal model, making it difficult for electric vehicles to offer long-range travel solutions (i.e. travelling through various European countries).</w:t>
      </w:r>
    </w:p>
    <w:p w14:paraId="06BF4730" w14:textId="48B604DC" w:rsidR="003F0969" w:rsidRPr="007F30B6" w:rsidRDefault="000D0632"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However, it is expected that the EU will create regulations to prevent this sort of scenario, even though it is a problem already. This could lead to a future-proof regulatory system where OEM cannot customise the charging ports of their cars, allowing for the creation of a universal charging infrastructure that supports all EVs, regardless of their make, model, or country of origin</w:t>
      </w:r>
      <w:sdt>
        <w:sdtPr>
          <w:rPr>
            <w:rFonts w:ascii="Arial" w:hAnsi="Arial" w:cs="Arial"/>
            <w:sz w:val="24"/>
          </w:rPr>
          <w:id w:val="700752971"/>
          <w:citation/>
        </w:sdtPr>
        <w:sdtEndPr/>
        <w:sdtContent>
          <w:r w:rsidR="003F0969" w:rsidRPr="007F30B6">
            <w:rPr>
              <w:rFonts w:ascii="Arial" w:hAnsi="Arial" w:cs="Arial"/>
              <w:sz w:val="24"/>
            </w:rPr>
            <w:fldChar w:fldCharType="begin"/>
          </w:r>
          <w:r w:rsidR="003F0969" w:rsidRPr="007F30B6">
            <w:rPr>
              <w:rFonts w:ascii="Arial" w:hAnsi="Arial" w:cs="Arial"/>
              <w:sz w:val="24"/>
            </w:rPr>
            <w:instrText xml:space="preserve"> CITATION ART14 \l 2057 </w:instrText>
          </w:r>
          <w:r w:rsidR="003F0969" w:rsidRPr="007F30B6">
            <w:rPr>
              <w:rFonts w:ascii="Arial" w:hAnsi="Arial" w:cs="Arial"/>
              <w:sz w:val="24"/>
            </w:rPr>
            <w:fldChar w:fldCharType="separate"/>
          </w:r>
          <w:r w:rsidR="003F0969" w:rsidRPr="007F30B6">
            <w:rPr>
              <w:rFonts w:ascii="Arial" w:hAnsi="Arial" w:cs="Arial"/>
              <w:noProof/>
              <w:sz w:val="24"/>
            </w:rPr>
            <w:t xml:space="preserve"> (ART, 2014)</w:t>
          </w:r>
          <w:r w:rsidR="003F0969" w:rsidRPr="007F30B6">
            <w:rPr>
              <w:rFonts w:ascii="Arial" w:hAnsi="Arial" w:cs="Arial"/>
              <w:sz w:val="24"/>
            </w:rPr>
            <w:fldChar w:fldCharType="end"/>
          </w:r>
        </w:sdtContent>
      </w:sdt>
      <w:r w:rsidR="003F0969" w:rsidRPr="007F30B6">
        <w:rPr>
          <w:rFonts w:ascii="Arial" w:hAnsi="Arial" w:cs="Arial"/>
          <w:sz w:val="24"/>
        </w:rPr>
        <w:t xml:space="preserve">. </w:t>
      </w:r>
    </w:p>
    <w:p w14:paraId="731AB262" w14:textId="3A2D9E90" w:rsidR="003F0969" w:rsidRPr="007F30B6" w:rsidRDefault="000D0632" w:rsidP="00CB6B17">
      <w:pPr>
        <w:pStyle w:val="Heading2"/>
        <w:numPr>
          <w:ilvl w:val="0"/>
          <w:numId w:val="2"/>
        </w:numPr>
        <w:spacing w:line="360" w:lineRule="auto"/>
        <w:jc w:val="both"/>
        <w:rPr>
          <w:rFonts w:ascii="Arial" w:hAnsi="Arial" w:cs="Arial"/>
          <w:b/>
          <w:bCs/>
          <w:sz w:val="24"/>
          <w:szCs w:val="24"/>
        </w:rPr>
      </w:pPr>
      <w:bookmarkStart w:id="19" w:name="_GoBack"/>
      <w:bookmarkEnd w:id="19"/>
      <w:r>
        <w:rPr>
          <w:rFonts w:ascii="Arial" w:hAnsi="Arial" w:cs="Arial"/>
          <w:b/>
          <w:bCs/>
          <w:sz w:val="24"/>
          <w:szCs w:val="24"/>
        </w:rPr>
        <w:t>CONCLUSION</w:t>
      </w:r>
    </w:p>
    <w:p w14:paraId="623A5169" w14:textId="117ADCEB" w:rsidR="003F0969" w:rsidRPr="007F30B6" w:rsidRDefault="000D0632"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 xml:space="preserve">The purpose of this section was to identify and evaluate new and potential business trends that would augment the current of EV adoption in Europe. It was also intended </w:t>
      </w:r>
      <w:r w:rsidR="003F0969" w:rsidRPr="007F30B6">
        <w:rPr>
          <w:rFonts w:ascii="Arial" w:hAnsi="Arial" w:cs="Arial"/>
          <w:sz w:val="24"/>
        </w:rPr>
        <w:lastRenderedPageBreak/>
        <w:t>to learn more about potential business models that would be discontinued as an implication of increasing EV adoption. This report has explored some potential innovations, including; innovative models for EV charging (i.e. wireless, tethered, reserved, battery-swapping). It is also expected that a recycling industry dedicated to EVs would develop as the earlier electric cars complete their intended lifecycle, allowing for material to be salvaged for new cars. Other trends of new growth include more demand for precious ores, which might lead to increased cost of production, and software-side connectivity solutions that link EVs into a single network.</w:t>
      </w:r>
    </w:p>
    <w:p w14:paraId="72521411" w14:textId="69C4DBC5" w:rsidR="003F0969" w:rsidRPr="007F30B6" w:rsidRDefault="000D0632" w:rsidP="007F30B6">
      <w:pPr>
        <w:spacing w:line="360" w:lineRule="auto"/>
        <w:jc w:val="both"/>
        <w:rPr>
          <w:rFonts w:ascii="Arial" w:hAnsi="Arial" w:cs="Arial"/>
          <w:sz w:val="24"/>
        </w:rPr>
      </w:pPr>
      <w:r>
        <w:rPr>
          <w:rFonts w:ascii="Arial" w:hAnsi="Arial" w:cs="Arial"/>
          <w:sz w:val="24"/>
        </w:rPr>
        <w:t xml:space="preserve">   </w:t>
      </w:r>
      <w:r w:rsidR="003F0969" w:rsidRPr="007F30B6">
        <w:rPr>
          <w:rFonts w:ascii="Arial" w:hAnsi="Arial" w:cs="Arial"/>
          <w:sz w:val="24"/>
        </w:rPr>
        <w:t>In terms of discontinuation, this report has explored that the current industry of mechanical car repair might decline in relevance over the long-term. It is also expected that future regulations will consolidate the current OEM infrastructure into a single, unified EVs infrastructure across Europe (i.e. charging ports).</w:t>
      </w:r>
    </w:p>
    <w:p w14:paraId="51D8B1BB" w14:textId="77777777" w:rsidR="003F0969" w:rsidRPr="007F30B6" w:rsidRDefault="003F0969" w:rsidP="007F30B6">
      <w:pPr>
        <w:spacing w:line="360" w:lineRule="auto"/>
        <w:jc w:val="both"/>
        <w:rPr>
          <w:rFonts w:ascii="Arial" w:hAnsi="Arial" w:cs="Arial"/>
          <w:sz w:val="24"/>
        </w:rPr>
      </w:pPr>
      <w:r w:rsidRPr="007F30B6">
        <w:rPr>
          <w:rFonts w:ascii="Arial" w:hAnsi="Arial" w:cs="Arial"/>
          <w:sz w:val="24"/>
        </w:rPr>
        <w:br w:type="page"/>
      </w:r>
    </w:p>
    <w:bookmarkStart w:id="20" w:name="_Toc27362976" w:displacedByCustomXml="next"/>
    <w:sdt>
      <w:sdtPr>
        <w:rPr>
          <w:rFonts w:ascii="Arial" w:eastAsiaTheme="minorHAnsi" w:hAnsi="Arial" w:cs="Arial"/>
          <w:color w:val="auto"/>
          <w:sz w:val="24"/>
          <w:szCs w:val="24"/>
        </w:rPr>
        <w:id w:val="-1555076348"/>
        <w:docPartObj>
          <w:docPartGallery w:val="Bibliographies"/>
          <w:docPartUnique/>
        </w:docPartObj>
      </w:sdtPr>
      <w:sdtEndPr/>
      <w:sdtContent>
        <w:p w14:paraId="01273FF5" w14:textId="77777777" w:rsidR="003F0969" w:rsidRPr="007F30B6" w:rsidRDefault="003F0969" w:rsidP="007F30B6">
          <w:pPr>
            <w:pStyle w:val="Heading1"/>
            <w:spacing w:line="360" w:lineRule="auto"/>
            <w:jc w:val="both"/>
            <w:rPr>
              <w:rFonts w:ascii="Arial" w:hAnsi="Arial" w:cs="Arial"/>
              <w:sz w:val="24"/>
              <w:szCs w:val="24"/>
            </w:rPr>
          </w:pPr>
          <w:r w:rsidRPr="007F30B6">
            <w:rPr>
              <w:rFonts w:ascii="Arial" w:hAnsi="Arial" w:cs="Arial"/>
              <w:b/>
              <w:bCs/>
              <w:sz w:val="24"/>
              <w:szCs w:val="24"/>
            </w:rPr>
            <w:t>References</w:t>
          </w:r>
          <w:bookmarkEnd w:id="20"/>
        </w:p>
        <w:sdt>
          <w:sdtPr>
            <w:rPr>
              <w:rFonts w:ascii="Arial" w:hAnsi="Arial" w:cs="Arial"/>
              <w:sz w:val="24"/>
            </w:rPr>
            <w:id w:val="111145805"/>
            <w:bibliography/>
          </w:sdtPr>
          <w:sdtEndPr/>
          <w:sdtContent>
            <w:p w14:paraId="59CD587E" w14:textId="2F2047FA" w:rsidR="003F0969" w:rsidRDefault="000502EC" w:rsidP="007F30B6">
              <w:pPr>
                <w:pStyle w:val="Bibliography"/>
                <w:spacing w:line="360" w:lineRule="auto"/>
                <w:jc w:val="both"/>
                <w:rPr>
                  <w:rFonts w:ascii="Arial" w:hAnsi="Arial" w:cs="Arial"/>
                  <w:noProof/>
                  <w:sz w:val="24"/>
                  <w:u w:val="single"/>
                </w:rPr>
              </w:pPr>
              <w:r>
                <w:rPr>
                  <w:rFonts w:ascii="Arial" w:hAnsi="Arial" w:cs="Arial"/>
                  <w:sz w:val="24"/>
                </w:rPr>
                <w:t>1.</w:t>
              </w:r>
              <w:r w:rsidR="003F0969" w:rsidRPr="007F30B6">
                <w:rPr>
                  <w:rFonts w:ascii="Arial" w:hAnsi="Arial" w:cs="Arial"/>
                  <w:sz w:val="24"/>
                </w:rPr>
                <w:fldChar w:fldCharType="begin"/>
              </w:r>
              <w:r w:rsidR="003F0969" w:rsidRPr="007F30B6">
                <w:rPr>
                  <w:rFonts w:ascii="Arial" w:hAnsi="Arial" w:cs="Arial"/>
                  <w:sz w:val="24"/>
                </w:rPr>
                <w:instrText xml:space="preserve"> BIBLIOGRAPHY </w:instrText>
              </w:r>
              <w:r w:rsidR="003F0969" w:rsidRPr="007F30B6">
                <w:rPr>
                  <w:rFonts w:ascii="Arial" w:hAnsi="Arial" w:cs="Arial"/>
                  <w:sz w:val="24"/>
                </w:rPr>
                <w:fldChar w:fldCharType="separate"/>
              </w:r>
              <w:r w:rsidR="003F0969" w:rsidRPr="007F30B6">
                <w:rPr>
                  <w:rFonts w:ascii="Arial" w:hAnsi="Arial" w:cs="Arial"/>
                  <w:noProof/>
                  <w:sz w:val="24"/>
                </w:rPr>
                <w:t xml:space="preserve">ACEA, 2019. </w:t>
              </w:r>
              <w:r w:rsidR="003F0969" w:rsidRPr="007F30B6">
                <w:rPr>
                  <w:rFonts w:ascii="Arial" w:hAnsi="Arial" w:cs="Arial"/>
                  <w:i/>
                  <w:iCs/>
                  <w:noProof/>
                  <w:sz w:val="24"/>
                </w:rPr>
                <w:t xml:space="preserve">Overview – Electric vehicles: tax benefits and incentives in the EU. </w:t>
              </w:r>
              <w:r w:rsidR="00D21A46">
                <w:rPr>
                  <w:rFonts w:ascii="Arial" w:hAnsi="Arial" w:cs="Arial"/>
                  <w:noProof/>
                  <w:sz w:val="24"/>
                </w:rPr>
                <w:t>(</w:t>
              </w:r>
              <w:r w:rsidR="003F0969" w:rsidRPr="007F30B6">
                <w:rPr>
                  <w:rFonts w:ascii="Arial" w:hAnsi="Arial" w:cs="Arial"/>
                  <w:noProof/>
                  <w:sz w:val="24"/>
                </w:rPr>
                <w:t>Online</w:t>
              </w:r>
              <w:r w:rsidR="00D21A46">
                <w:rPr>
                  <w:rFonts w:ascii="Arial" w:hAnsi="Arial" w:cs="Arial"/>
                  <w:noProof/>
                  <w:sz w:val="24"/>
                </w:rPr>
                <w:t>)</w:t>
              </w:r>
              <w:r w:rsidR="003F0969" w:rsidRPr="007F30B6">
                <w:rPr>
                  <w:rFonts w:ascii="Arial" w:hAnsi="Arial" w:cs="Arial"/>
                  <w:noProof/>
                  <w:sz w:val="24"/>
                </w:rPr>
                <w:br/>
                <w:t xml:space="preserve">Available at: </w:t>
              </w:r>
              <w:hyperlink r:id="rId9" w:history="1">
                <w:r w:rsidR="00D21A46" w:rsidRPr="00D21A46">
                  <w:rPr>
                    <w:rStyle w:val="Hyperlink"/>
                    <w:rFonts w:ascii="Arial" w:hAnsi="Arial" w:cs="Arial"/>
                    <w:noProof/>
                    <w:sz w:val="24"/>
                  </w:rPr>
                  <w:t>https://www.acea.be/publications/article/overview-of-incentives-for-buying-electric-vehicles</w:t>
                </w:r>
              </w:hyperlink>
            </w:p>
            <w:p w14:paraId="34B774DB" w14:textId="1475B443" w:rsidR="00D21A46" w:rsidRPr="00D21A46" w:rsidRDefault="00D21A46" w:rsidP="00D21A46">
              <w:pPr>
                <w:rPr>
                  <w:rFonts w:ascii="Arial" w:hAnsi="Arial" w:cs="Arial"/>
                  <w:sz w:val="24"/>
                </w:rPr>
              </w:pPr>
              <w:r>
                <w:rPr>
                  <w:rFonts w:ascii="Arial" w:hAnsi="Arial" w:cs="Arial"/>
                  <w:sz w:val="24"/>
                </w:rPr>
                <w:t>(Accessed 24.12.2019)</w:t>
              </w:r>
            </w:p>
            <w:p w14:paraId="35C8C659" w14:textId="40BCC354" w:rsidR="003F0969" w:rsidRPr="007F30B6" w:rsidRDefault="000502EC" w:rsidP="007F30B6">
              <w:pPr>
                <w:pStyle w:val="Bibliography"/>
                <w:spacing w:line="360" w:lineRule="auto"/>
                <w:jc w:val="both"/>
                <w:rPr>
                  <w:rFonts w:ascii="Arial" w:hAnsi="Arial" w:cs="Arial"/>
                  <w:noProof/>
                  <w:sz w:val="24"/>
                </w:rPr>
              </w:pPr>
              <w:r>
                <w:rPr>
                  <w:rFonts w:ascii="Arial" w:hAnsi="Arial" w:cs="Arial"/>
                  <w:noProof/>
                  <w:sz w:val="24"/>
                </w:rPr>
                <w:t>2.</w:t>
              </w:r>
              <w:r w:rsidR="003F0969" w:rsidRPr="007F30B6">
                <w:rPr>
                  <w:rFonts w:ascii="Arial" w:hAnsi="Arial" w:cs="Arial"/>
                  <w:noProof/>
                  <w:sz w:val="24"/>
                </w:rPr>
                <w:t xml:space="preserve">ART, 2014. </w:t>
              </w:r>
              <w:r w:rsidR="003F0969" w:rsidRPr="007F30B6">
                <w:rPr>
                  <w:rFonts w:ascii="Arial" w:hAnsi="Arial" w:cs="Arial"/>
                  <w:i/>
                  <w:iCs/>
                  <w:noProof/>
                  <w:sz w:val="24"/>
                </w:rPr>
                <w:t xml:space="preserve">Evolution: Electric vehicles in Europe: gearing up for a new phase?, </w:t>
              </w:r>
              <w:r w:rsidR="003F0969" w:rsidRPr="007F30B6">
                <w:rPr>
                  <w:rFonts w:ascii="Arial" w:hAnsi="Arial" w:cs="Arial"/>
                  <w:noProof/>
                  <w:sz w:val="24"/>
                </w:rPr>
                <w:t>s.l.: Amsterdam Round Tables.</w:t>
              </w:r>
            </w:p>
            <w:p w14:paraId="726E0AD6" w14:textId="6535D5F9" w:rsidR="003F0969" w:rsidRDefault="000502EC" w:rsidP="007F30B6">
              <w:pPr>
                <w:pStyle w:val="Bibliography"/>
                <w:spacing w:line="360" w:lineRule="auto"/>
                <w:jc w:val="both"/>
                <w:rPr>
                  <w:rFonts w:ascii="Arial" w:hAnsi="Arial" w:cs="Arial"/>
                  <w:noProof/>
                  <w:sz w:val="24"/>
                  <w:u w:val="single"/>
                </w:rPr>
              </w:pPr>
              <w:r>
                <w:rPr>
                  <w:rFonts w:ascii="Arial" w:hAnsi="Arial" w:cs="Arial"/>
                  <w:noProof/>
                  <w:sz w:val="24"/>
                </w:rPr>
                <w:t>3.</w:t>
              </w:r>
              <w:r w:rsidR="003F0969" w:rsidRPr="007F30B6">
                <w:rPr>
                  <w:rFonts w:ascii="Arial" w:hAnsi="Arial" w:cs="Arial"/>
                  <w:noProof/>
                  <w:sz w:val="24"/>
                </w:rPr>
                <w:t xml:space="preserve">EC, 2019. </w:t>
              </w:r>
              <w:r w:rsidR="003F0969" w:rsidRPr="007F30B6">
                <w:rPr>
                  <w:rFonts w:ascii="Arial" w:hAnsi="Arial" w:cs="Arial"/>
                  <w:i/>
                  <w:iCs/>
                  <w:noProof/>
                  <w:sz w:val="24"/>
                </w:rPr>
                <w:t xml:space="preserve">Post-2020 CO2 emission performance standards for cars and vans. </w:t>
              </w:r>
              <w:r w:rsidR="007F30B6">
                <w:rPr>
                  <w:rFonts w:ascii="Arial" w:hAnsi="Arial" w:cs="Arial"/>
                  <w:noProof/>
                  <w:sz w:val="24"/>
                </w:rPr>
                <w:t>(</w:t>
              </w:r>
              <w:r w:rsidR="003F0969" w:rsidRPr="007F30B6">
                <w:rPr>
                  <w:rFonts w:ascii="Arial" w:hAnsi="Arial" w:cs="Arial"/>
                  <w:noProof/>
                  <w:sz w:val="24"/>
                </w:rPr>
                <w:t>Online</w:t>
              </w:r>
              <w:r w:rsidR="007F30B6">
                <w:rPr>
                  <w:rFonts w:ascii="Arial" w:hAnsi="Arial" w:cs="Arial"/>
                  <w:noProof/>
                  <w:sz w:val="24"/>
                </w:rPr>
                <w:t>)</w:t>
              </w:r>
              <w:r w:rsidR="003F0969" w:rsidRPr="007F30B6">
                <w:rPr>
                  <w:rFonts w:ascii="Arial" w:hAnsi="Arial" w:cs="Arial"/>
                  <w:noProof/>
                  <w:sz w:val="24"/>
                </w:rPr>
                <w:t xml:space="preserve"> </w:t>
              </w:r>
              <w:r w:rsidR="003F0969" w:rsidRPr="007F30B6">
                <w:rPr>
                  <w:rFonts w:ascii="Arial" w:hAnsi="Arial" w:cs="Arial"/>
                  <w:noProof/>
                  <w:sz w:val="24"/>
                </w:rPr>
                <w:br/>
                <w:t xml:space="preserve">Available at: </w:t>
              </w:r>
              <w:hyperlink r:id="rId10" w:history="1">
                <w:r w:rsidR="007F30B6" w:rsidRPr="007F30B6">
                  <w:rPr>
                    <w:rStyle w:val="Hyperlink"/>
                    <w:rFonts w:ascii="Arial" w:hAnsi="Arial" w:cs="Arial"/>
                    <w:noProof/>
                    <w:sz w:val="24"/>
                  </w:rPr>
                  <w:t>https://ec.europa.eu/clima/policies/transport/vehicles/regulation_en</w:t>
                </w:r>
              </w:hyperlink>
            </w:p>
            <w:p w14:paraId="09B4C944" w14:textId="34D738DA" w:rsidR="007F30B6" w:rsidRPr="007F30B6" w:rsidRDefault="007F30B6" w:rsidP="007F30B6">
              <w:pPr>
                <w:rPr>
                  <w:rFonts w:ascii="Arial" w:hAnsi="Arial" w:cs="Arial"/>
                  <w:sz w:val="24"/>
                </w:rPr>
              </w:pPr>
              <w:r>
                <w:rPr>
                  <w:rFonts w:ascii="Arial" w:hAnsi="Arial" w:cs="Arial"/>
                  <w:sz w:val="24"/>
                </w:rPr>
                <w:t>(Accessed 24.12.2019)</w:t>
              </w:r>
            </w:p>
            <w:p w14:paraId="02A2B107" w14:textId="11BED581" w:rsidR="003F0969" w:rsidRDefault="000502EC" w:rsidP="007F30B6">
              <w:pPr>
                <w:pStyle w:val="Bibliography"/>
                <w:spacing w:line="360" w:lineRule="auto"/>
                <w:jc w:val="both"/>
                <w:rPr>
                  <w:rFonts w:ascii="Arial" w:hAnsi="Arial" w:cs="Arial"/>
                  <w:noProof/>
                  <w:sz w:val="24"/>
                  <w:u w:val="single"/>
                </w:rPr>
              </w:pPr>
              <w:r>
                <w:rPr>
                  <w:rFonts w:ascii="Arial" w:hAnsi="Arial" w:cs="Arial"/>
                  <w:noProof/>
                  <w:sz w:val="24"/>
                </w:rPr>
                <w:t>4.</w:t>
              </w:r>
              <w:r w:rsidR="003F0969" w:rsidRPr="007F30B6">
                <w:rPr>
                  <w:rFonts w:ascii="Arial" w:hAnsi="Arial" w:cs="Arial"/>
                  <w:noProof/>
                  <w:sz w:val="24"/>
                </w:rPr>
                <w:t xml:space="preserve">IEA, 2019. </w:t>
              </w:r>
              <w:r w:rsidR="003F0969" w:rsidRPr="007F30B6">
                <w:rPr>
                  <w:rFonts w:ascii="Arial" w:hAnsi="Arial" w:cs="Arial"/>
                  <w:i/>
                  <w:iCs/>
                  <w:noProof/>
                  <w:sz w:val="24"/>
                </w:rPr>
                <w:t xml:space="preserve">Global EV Outlook 2019. </w:t>
              </w:r>
              <w:r w:rsidR="007F30B6">
                <w:rPr>
                  <w:rFonts w:ascii="Arial" w:hAnsi="Arial" w:cs="Arial"/>
                  <w:noProof/>
                  <w:sz w:val="24"/>
                </w:rPr>
                <w:t>(</w:t>
              </w:r>
              <w:r w:rsidR="003F0969" w:rsidRPr="007F30B6">
                <w:rPr>
                  <w:rFonts w:ascii="Arial" w:hAnsi="Arial" w:cs="Arial"/>
                  <w:noProof/>
                  <w:sz w:val="24"/>
                </w:rPr>
                <w:t>Online</w:t>
              </w:r>
              <w:r w:rsidR="007F30B6">
                <w:rPr>
                  <w:rFonts w:ascii="Arial" w:hAnsi="Arial" w:cs="Arial"/>
                  <w:noProof/>
                  <w:sz w:val="24"/>
                </w:rPr>
                <w:t>)</w:t>
              </w:r>
              <w:r w:rsidR="003F0969" w:rsidRPr="007F30B6">
                <w:rPr>
                  <w:rFonts w:ascii="Arial" w:hAnsi="Arial" w:cs="Arial"/>
                  <w:noProof/>
                  <w:sz w:val="24"/>
                </w:rPr>
                <w:t xml:space="preserve"> </w:t>
              </w:r>
              <w:r w:rsidR="003F0969" w:rsidRPr="007F30B6">
                <w:rPr>
                  <w:rFonts w:ascii="Arial" w:hAnsi="Arial" w:cs="Arial"/>
                  <w:noProof/>
                  <w:sz w:val="24"/>
                </w:rPr>
                <w:br/>
                <w:t xml:space="preserve">Available at: </w:t>
              </w:r>
              <w:hyperlink r:id="rId11" w:history="1">
                <w:r w:rsidR="007F30B6" w:rsidRPr="007F30B6">
                  <w:rPr>
                    <w:rStyle w:val="Hyperlink"/>
                    <w:rFonts w:ascii="Arial" w:hAnsi="Arial" w:cs="Arial"/>
                    <w:noProof/>
                    <w:sz w:val="24"/>
                  </w:rPr>
                  <w:t>https://www.iea.org/reports/global-ev-outlook-2019</w:t>
                </w:r>
              </w:hyperlink>
            </w:p>
            <w:p w14:paraId="08719FF5" w14:textId="02141083" w:rsidR="007F30B6" w:rsidRPr="007F30B6" w:rsidRDefault="007F30B6" w:rsidP="007F30B6">
              <w:pPr>
                <w:rPr>
                  <w:rFonts w:ascii="Arial" w:hAnsi="Arial" w:cs="Arial"/>
                  <w:sz w:val="24"/>
                </w:rPr>
              </w:pPr>
              <w:r>
                <w:rPr>
                  <w:rFonts w:ascii="Arial" w:hAnsi="Arial" w:cs="Arial"/>
                  <w:sz w:val="24"/>
                </w:rPr>
                <w:t>(Accessed 24.12.2019)</w:t>
              </w:r>
            </w:p>
            <w:p w14:paraId="366E01A1" w14:textId="766FE457" w:rsidR="003F0969" w:rsidRDefault="000502EC" w:rsidP="007F30B6">
              <w:pPr>
                <w:pStyle w:val="Bibliography"/>
                <w:spacing w:line="360" w:lineRule="auto"/>
                <w:jc w:val="both"/>
                <w:rPr>
                  <w:rFonts w:ascii="Arial" w:hAnsi="Arial" w:cs="Arial"/>
                  <w:noProof/>
                  <w:sz w:val="24"/>
                  <w:u w:val="single"/>
                </w:rPr>
              </w:pPr>
              <w:r>
                <w:rPr>
                  <w:rFonts w:ascii="Arial" w:hAnsi="Arial" w:cs="Arial"/>
                  <w:noProof/>
                  <w:sz w:val="24"/>
                </w:rPr>
                <w:t>5.</w:t>
              </w:r>
              <w:r w:rsidR="003F0969" w:rsidRPr="007F30B6">
                <w:rPr>
                  <w:rFonts w:ascii="Arial" w:hAnsi="Arial" w:cs="Arial"/>
                  <w:noProof/>
                  <w:sz w:val="24"/>
                </w:rPr>
                <w:t xml:space="preserve">Keating, D., 2019. </w:t>
              </w:r>
              <w:r w:rsidR="003F0969" w:rsidRPr="007F30B6">
                <w:rPr>
                  <w:rFonts w:ascii="Arial" w:hAnsi="Arial" w:cs="Arial"/>
                  <w:i/>
                  <w:iCs/>
                  <w:noProof/>
                  <w:sz w:val="24"/>
                </w:rPr>
                <w:t xml:space="preserve">Electric Cars In Europe Will Triple By 2021 - Report. </w:t>
              </w:r>
              <w:r w:rsidR="007F30B6">
                <w:rPr>
                  <w:rFonts w:ascii="Arial" w:hAnsi="Arial" w:cs="Arial"/>
                  <w:noProof/>
                  <w:sz w:val="24"/>
                </w:rPr>
                <w:t>(</w:t>
              </w:r>
              <w:r w:rsidR="003F0969" w:rsidRPr="007F30B6">
                <w:rPr>
                  <w:rFonts w:ascii="Arial" w:hAnsi="Arial" w:cs="Arial"/>
                  <w:noProof/>
                  <w:sz w:val="24"/>
                </w:rPr>
                <w:t>Online</w:t>
              </w:r>
              <w:r w:rsidR="007F30B6">
                <w:rPr>
                  <w:rFonts w:ascii="Arial" w:hAnsi="Arial" w:cs="Arial"/>
                  <w:noProof/>
                  <w:sz w:val="24"/>
                </w:rPr>
                <w:t>)</w:t>
              </w:r>
              <w:r w:rsidR="003F0969" w:rsidRPr="007F30B6">
                <w:rPr>
                  <w:rFonts w:ascii="Arial" w:hAnsi="Arial" w:cs="Arial"/>
                  <w:noProof/>
                  <w:sz w:val="24"/>
                </w:rPr>
                <w:t xml:space="preserve"> </w:t>
              </w:r>
              <w:r w:rsidR="003F0969" w:rsidRPr="007F30B6">
                <w:rPr>
                  <w:rFonts w:ascii="Arial" w:hAnsi="Arial" w:cs="Arial"/>
                  <w:noProof/>
                  <w:sz w:val="24"/>
                </w:rPr>
                <w:br/>
                <w:t xml:space="preserve">Available at: </w:t>
              </w:r>
              <w:hyperlink r:id="rId12" w:anchor="498bcc711fd7" w:history="1">
                <w:r w:rsidR="007F30B6" w:rsidRPr="007F30B6">
                  <w:rPr>
                    <w:rStyle w:val="Hyperlink"/>
                    <w:rFonts w:ascii="Arial" w:hAnsi="Arial" w:cs="Arial"/>
                    <w:noProof/>
                    <w:sz w:val="24"/>
                  </w:rPr>
                  <w:t>https://www.forbes.com/sites/davekeating/2019/07/18/electric-cars-in-europe-will-triple-by-2021-report/#498bcc711fd7</w:t>
                </w:r>
              </w:hyperlink>
            </w:p>
            <w:p w14:paraId="0817AC67" w14:textId="343FA759" w:rsidR="007F30B6" w:rsidRPr="007F30B6" w:rsidRDefault="007F30B6" w:rsidP="007F30B6">
              <w:pPr>
                <w:rPr>
                  <w:rFonts w:ascii="Arial" w:hAnsi="Arial" w:cs="Arial"/>
                  <w:sz w:val="24"/>
                </w:rPr>
              </w:pPr>
              <w:r>
                <w:rPr>
                  <w:rFonts w:ascii="Arial" w:hAnsi="Arial" w:cs="Arial"/>
                  <w:sz w:val="24"/>
                </w:rPr>
                <w:t>(Accessed 24.12.2019)</w:t>
              </w:r>
            </w:p>
            <w:p w14:paraId="35415E26" w14:textId="04E8EE2D" w:rsidR="003F0969" w:rsidRPr="007F30B6" w:rsidRDefault="000502EC" w:rsidP="007F30B6">
              <w:pPr>
                <w:pStyle w:val="Bibliography"/>
                <w:spacing w:line="360" w:lineRule="auto"/>
                <w:jc w:val="both"/>
                <w:rPr>
                  <w:rFonts w:ascii="Arial" w:hAnsi="Arial" w:cs="Arial"/>
                  <w:noProof/>
                  <w:sz w:val="24"/>
                </w:rPr>
              </w:pPr>
              <w:r>
                <w:rPr>
                  <w:rFonts w:ascii="Arial" w:hAnsi="Arial" w:cs="Arial"/>
                  <w:noProof/>
                  <w:sz w:val="24"/>
                </w:rPr>
                <w:t>6.</w:t>
              </w:r>
              <w:r w:rsidR="003F0969" w:rsidRPr="007F30B6">
                <w:rPr>
                  <w:rFonts w:ascii="Arial" w:hAnsi="Arial" w:cs="Arial"/>
                  <w:noProof/>
                  <w:sz w:val="24"/>
                </w:rPr>
                <w:t xml:space="preserve">Madlener, R. &amp; Kirmas, A., 2017. Economic Viability of Second Use Electric Vehicle Batteries for Energy Storage in Residential Applications. </w:t>
              </w:r>
              <w:r w:rsidR="003F0969" w:rsidRPr="007F30B6">
                <w:rPr>
                  <w:rFonts w:ascii="Arial" w:hAnsi="Arial" w:cs="Arial"/>
                  <w:i/>
                  <w:iCs/>
                  <w:noProof/>
                  <w:sz w:val="24"/>
                </w:rPr>
                <w:t xml:space="preserve">Energy Procedia, </w:t>
              </w:r>
              <w:r w:rsidR="003F0969" w:rsidRPr="007F30B6">
                <w:rPr>
                  <w:rFonts w:ascii="Arial" w:hAnsi="Arial" w:cs="Arial"/>
                  <w:noProof/>
                  <w:sz w:val="24"/>
                </w:rPr>
                <w:t>, 105(), pp. 3806-3815.</w:t>
              </w:r>
            </w:p>
            <w:p w14:paraId="27C5AE6C" w14:textId="3CD48DA8" w:rsidR="003F0969" w:rsidRPr="007F30B6" w:rsidRDefault="000D0632" w:rsidP="007F30B6">
              <w:pPr>
                <w:pStyle w:val="Bibliography"/>
                <w:spacing w:line="360" w:lineRule="auto"/>
                <w:jc w:val="both"/>
                <w:rPr>
                  <w:rFonts w:ascii="Arial" w:hAnsi="Arial" w:cs="Arial"/>
                  <w:noProof/>
                  <w:sz w:val="24"/>
                </w:rPr>
              </w:pPr>
              <w:r>
                <w:rPr>
                  <w:rFonts w:ascii="Arial" w:hAnsi="Arial" w:cs="Arial"/>
                  <w:noProof/>
                  <w:sz w:val="24"/>
                </w:rPr>
                <w:t>7.</w:t>
              </w:r>
              <w:r w:rsidR="003F0969" w:rsidRPr="007F30B6">
                <w:rPr>
                  <w:rFonts w:ascii="Arial" w:hAnsi="Arial" w:cs="Arial"/>
                  <w:noProof/>
                  <w:sz w:val="24"/>
                </w:rPr>
                <w:t xml:space="preserve">Shirk, M. &amp; Wishart, J., 2015. </w:t>
              </w:r>
              <w:r w:rsidR="003F0969" w:rsidRPr="007F30B6">
                <w:rPr>
                  <w:rFonts w:ascii="Arial" w:hAnsi="Arial" w:cs="Arial"/>
                  <w:i/>
                  <w:iCs/>
                  <w:noProof/>
                  <w:sz w:val="24"/>
                </w:rPr>
                <w:t xml:space="preserve">Effects of Electric Vehicle Fast Charging on Battery Life and Vehicle Performance. </w:t>
              </w:r>
              <w:r w:rsidR="007F30B6">
                <w:rPr>
                  <w:rFonts w:ascii="Arial" w:hAnsi="Arial" w:cs="Arial"/>
                  <w:noProof/>
                  <w:sz w:val="24"/>
                </w:rPr>
                <w:t>(</w:t>
              </w:r>
              <w:r w:rsidR="003F0969" w:rsidRPr="007F30B6">
                <w:rPr>
                  <w:rFonts w:ascii="Arial" w:hAnsi="Arial" w:cs="Arial"/>
                  <w:noProof/>
                  <w:sz w:val="24"/>
                </w:rPr>
                <w:t>Online</w:t>
              </w:r>
              <w:r w:rsidR="007F30B6">
                <w:rPr>
                  <w:rFonts w:ascii="Arial" w:hAnsi="Arial" w:cs="Arial"/>
                  <w:noProof/>
                  <w:sz w:val="24"/>
                </w:rPr>
                <w:t>)</w:t>
              </w:r>
              <w:r w:rsidR="003F0969" w:rsidRPr="007F30B6">
                <w:rPr>
                  <w:rFonts w:ascii="Arial" w:hAnsi="Arial" w:cs="Arial"/>
                  <w:noProof/>
                  <w:sz w:val="24"/>
                </w:rPr>
                <w:t xml:space="preserve"> </w:t>
              </w:r>
              <w:r w:rsidR="003F0969" w:rsidRPr="007F30B6">
                <w:rPr>
                  <w:rFonts w:ascii="Arial" w:hAnsi="Arial" w:cs="Arial"/>
                  <w:noProof/>
                  <w:sz w:val="24"/>
                </w:rPr>
                <w:br/>
                <w:t xml:space="preserve">Available at: </w:t>
              </w:r>
              <w:hyperlink r:id="rId13" w:history="1">
                <w:r w:rsidR="007F30B6" w:rsidRPr="007F30B6">
                  <w:rPr>
                    <w:rStyle w:val="Hyperlink"/>
                    <w:rFonts w:ascii="Arial" w:hAnsi="Arial" w:cs="Arial"/>
                    <w:noProof/>
                    <w:sz w:val="24"/>
                  </w:rPr>
                  <w:t>https://www.sae.org/publications/technical-papers/content/2015-01-1190/</w:t>
                </w:r>
              </w:hyperlink>
              <w:r w:rsidR="003F0969" w:rsidRPr="007F30B6">
                <w:rPr>
                  <w:rFonts w:ascii="Arial" w:hAnsi="Arial" w:cs="Arial"/>
                  <w:noProof/>
                  <w:sz w:val="24"/>
                </w:rPr>
                <w:br/>
              </w:r>
              <w:r w:rsidR="007F30B6">
                <w:rPr>
                  <w:rFonts w:ascii="Arial" w:hAnsi="Arial" w:cs="Arial"/>
                  <w:noProof/>
                  <w:sz w:val="24"/>
                </w:rPr>
                <w:t>(</w:t>
              </w:r>
              <w:r w:rsidR="003F0969" w:rsidRPr="007F30B6">
                <w:rPr>
                  <w:rFonts w:ascii="Arial" w:hAnsi="Arial" w:cs="Arial"/>
                  <w:noProof/>
                  <w:sz w:val="24"/>
                </w:rPr>
                <w:t>Accessed 16</w:t>
              </w:r>
              <w:r w:rsidR="007F30B6">
                <w:rPr>
                  <w:rFonts w:ascii="Arial" w:hAnsi="Arial" w:cs="Arial"/>
                  <w:noProof/>
                  <w:sz w:val="24"/>
                </w:rPr>
                <w:t>.</w:t>
              </w:r>
              <w:r w:rsidR="003F0969" w:rsidRPr="007F30B6">
                <w:rPr>
                  <w:rFonts w:ascii="Arial" w:hAnsi="Arial" w:cs="Arial"/>
                  <w:noProof/>
                  <w:sz w:val="24"/>
                </w:rPr>
                <w:t>12</w:t>
              </w:r>
              <w:r w:rsidR="007F30B6">
                <w:rPr>
                  <w:rFonts w:ascii="Arial" w:hAnsi="Arial" w:cs="Arial"/>
                  <w:noProof/>
                  <w:sz w:val="24"/>
                </w:rPr>
                <w:t>.</w:t>
              </w:r>
              <w:r w:rsidR="003F0969" w:rsidRPr="007F30B6">
                <w:rPr>
                  <w:rFonts w:ascii="Arial" w:hAnsi="Arial" w:cs="Arial"/>
                  <w:noProof/>
                  <w:sz w:val="24"/>
                </w:rPr>
                <w:t>2019</w:t>
              </w:r>
              <w:r w:rsidR="007F30B6">
                <w:rPr>
                  <w:rFonts w:ascii="Arial" w:hAnsi="Arial" w:cs="Arial"/>
                  <w:noProof/>
                  <w:sz w:val="24"/>
                </w:rPr>
                <w:t>)</w:t>
              </w:r>
            </w:p>
            <w:p w14:paraId="65C13E2C" w14:textId="7E9922C9" w:rsidR="003F0969" w:rsidRPr="007F30B6" w:rsidRDefault="000D0632" w:rsidP="007F30B6">
              <w:pPr>
                <w:pStyle w:val="Bibliography"/>
                <w:spacing w:line="360" w:lineRule="auto"/>
                <w:jc w:val="both"/>
                <w:rPr>
                  <w:rFonts w:ascii="Arial" w:hAnsi="Arial" w:cs="Arial"/>
                  <w:noProof/>
                  <w:sz w:val="24"/>
                </w:rPr>
              </w:pPr>
              <w:r>
                <w:rPr>
                  <w:rFonts w:ascii="Arial" w:hAnsi="Arial" w:cs="Arial"/>
                  <w:noProof/>
                  <w:sz w:val="24"/>
                </w:rPr>
                <w:t>8.</w:t>
              </w:r>
              <w:r w:rsidR="003F0969" w:rsidRPr="007F30B6">
                <w:rPr>
                  <w:rFonts w:ascii="Arial" w:hAnsi="Arial" w:cs="Arial"/>
                  <w:noProof/>
                  <w:sz w:val="24"/>
                </w:rPr>
                <w:t xml:space="preserve">Soltani-Sobh, A. et al., 2017. Analysis of the Electric Vehicles Adoption over the United States. </w:t>
              </w:r>
              <w:r w:rsidR="003F0969" w:rsidRPr="007F30B6">
                <w:rPr>
                  <w:rFonts w:ascii="Arial" w:hAnsi="Arial" w:cs="Arial"/>
                  <w:i/>
                  <w:iCs/>
                  <w:noProof/>
                  <w:sz w:val="24"/>
                </w:rPr>
                <w:t xml:space="preserve">Transportation research procedia, </w:t>
              </w:r>
              <w:r w:rsidR="003F0969" w:rsidRPr="007F30B6">
                <w:rPr>
                  <w:rFonts w:ascii="Arial" w:hAnsi="Arial" w:cs="Arial"/>
                  <w:noProof/>
                  <w:sz w:val="24"/>
                </w:rPr>
                <w:t>, 22(), pp. 203-212.</w:t>
              </w:r>
            </w:p>
            <w:p w14:paraId="417B0F20" w14:textId="77777777" w:rsidR="003F0969" w:rsidRPr="007F30B6" w:rsidRDefault="003F0969" w:rsidP="007F30B6">
              <w:pPr>
                <w:spacing w:line="360" w:lineRule="auto"/>
                <w:jc w:val="both"/>
                <w:rPr>
                  <w:rFonts w:ascii="Arial" w:hAnsi="Arial" w:cs="Arial"/>
                  <w:sz w:val="24"/>
                </w:rPr>
              </w:pPr>
              <w:r w:rsidRPr="007F30B6">
                <w:rPr>
                  <w:rFonts w:ascii="Arial" w:hAnsi="Arial" w:cs="Arial"/>
                  <w:b/>
                  <w:bCs/>
                  <w:noProof/>
                  <w:sz w:val="24"/>
                </w:rPr>
                <w:fldChar w:fldCharType="end"/>
              </w:r>
            </w:p>
          </w:sdtContent>
        </w:sdt>
      </w:sdtContent>
    </w:sdt>
    <w:p w14:paraId="2900231B" w14:textId="77777777" w:rsidR="003F0969" w:rsidRPr="007F30B6" w:rsidRDefault="003F0969" w:rsidP="007F30B6">
      <w:pPr>
        <w:spacing w:line="360" w:lineRule="auto"/>
        <w:jc w:val="both"/>
        <w:rPr>
          <w:rFonts w:ascii="Arial" w:hAnsi="Arial" w:cs="Arial"/>
          <w:sz w:val="24"/>
        </w:rPr>
      </w:pPr>
    </w:p>
    <w:p w14:paraId="26228C26" w14:textId="77777777" w:rsidR="00C0279E" w:rsidRPr="007F30B6" w:rsidRDefault="008C26DD" w:rsidP="007F30B6">
      <w:pPr>
        <w:spacing w:line="360" w:lineRule="auto"/>
        <w:jc w:val="both"/>
        <w:rPr>
          <w:rFonts w:ascii="Arial" w:hAnsi="Arial" w:cs="Arial"/>
          <w:sz w:val="24"/>
        </w:rPr>
      </w:pPr>
    </w:p>
    <w:sectPr w:rsidR="00C0279E" w:rsidRPr="007F30B6" w:rsidSect="00EE66C6">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4ECCB5" w14:textId="77777777" w:rsidR="008C26DD" w:rsidRDefault="008C26DD">
      <w:pPr>
        <w:spacing w:after="0" w:line="240" w:lineRule="auto"/>
      </w:pPr>
      <w:r>
        <w:separator/>
      </w:r>
    </w:p>
  </w:endnote>
  <w:endnote w:type="continuationSeparator" w:id="0">
    <w:p w14:paraId="134A6EB7" w14:textId="77777777" w:rsidR="008C26DD" w:rsidRDefault="008C2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56539415"/>
      <w:docPartObj>
        <w:docPartGallery w:val="Page Numbers (Bottom of Page)"/>
        <w:docPartUnique/>
      </w:docPartObj>
    </w:sdtPr>
    <w:sdtEndPr>
      <w:rPr>
        <w:rStyle w:val="PageNumber"/>
      </w:rPr>
    </w:sdtEndPr>
    <w:sdtContent>
      <w:p w14:paraId="054F8C8B" w14:textId="77777777" w:rsidR="00865011" w:rsidRDefault="00EE3366" w:rsidP="0086501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CF59C8" w14:textId="77777777" w:rsidR="00865011" w:rsidRDefault="008C26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9933175"/>
      <w:docPartObj>
        <w:docPartGallery w:val="Page Numbers (Bottom of Page)"/>
        <w:docPartUnique/>
      </w:docPartObj>
    </w:sdtPr>
    <w:sdtEndPr>
      <w:rPr>
        <w:rStyle w:val="PageNumber"/>
      </w:rPr>
    </w:sdtEndPr>
    <w:sdtContent>
      <w:p w14:paraId="42D79F3F" w14:textId="77777777" w:rsidR="00865011" w:rsidRDefault="00EE3366" w:rsidP="0086501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051BE3" w14:textId="77777777" w:rsidR="00865011" w:rsidRDefault="008C26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F4C74E" w14:textId="77777777" w:rsidR="008C26DD" w:rsidRDefault="008C26DD">
      <w:pPr>
        <w:spacing w:after="0" w:line="240" w:lineRule="auto"/>
      </w:pPr>
      <w:r>
        <w:separator/>
      </w:r>
    </w:p>
  </w:footnote>
  <w:footnote w:type="continuationSeparator" w:id="0">
    <w:p w14:paraId="7EC345F7" w14:textId="77777777" w:rsidR="008C26DD" w:rsidRDefault="008C26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6803CF"/>
    <w:multiLevelType w:val="hybridMultilevel"/>
    <w:tmpl w:val="CCD46B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58405F"/>
    <w:multiLevelType w:val="hybridMultilevel"/>
    <w:tmpl w:val="F3966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969"/>
    <w:rsid w:val="000502EC"/>
    <w:rsid w:val="00062372"/>
    <w:rsid w:val="000821E2"/>
    <w:rsid w:val="000D0632"/>
    <w:rsid w:val="0017116B"/>
    <w:rsid w:val="003F0969"/>
    <w:rsid w:val="004F1415"/>
    <w:rsid w:val="00591ADE"/>
    <w:rsid w:val="0059403C"/>
    <w:rsid w:val="005D5408"/>
    <w:rsid w:val="00694BE7"/>
    <w:rsid w:val="00781EED"/>
    <w:rsid w:val="007F30B6"/>
    <w:rsid w:val="008C26DD"/>
    <w:rsid w:val="009D6F85"/>
    <w:rsid w:val="00C30627"/>
    <w:rsid w:val="00C8435D"/>
    <w:rsid w:val="00CA72E7"/>
    <w:rsid w:val="00CB6B17"/>
    <w:rsid w:val="00D21A46"/>
    <w:rsid w:val="00D24DF1"/>
    <w:rsid w:val="00D363B9"/>
    <w:rsid w:val="00E142F8"/>
    <w:rsid w:val="00EE209E"/>
    <w:rsid w:val="00EE3366"/>
    <w:rsid w:val="00EE66C6"/>
    <w:rsid w:val="00F87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0CA04"/>
  <w15:chartTrackingRefBased/>
  <w15:docId w15:val="{71ACE3E5-6D2C-9149-9592-460D0858B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F0969"/>
    <w:rPr>
      <w:sz w:val="22"/>
    </w:rPr>
  </w:style>
  <w:style w:type="paragraph" w:styleId="Heading1">
    <w:name w:val="heading 1"/>
    <w:basedOn w:val="Normal"/>
    <w:next w:val="Normal"/>
    <w:link w:val="Heading1Char"/>
    <w:uiPriority w:val="9"/>
    <w:qFormat/>
    <w:rsid w:val="00781EED"/>
    <w:pPr>
      <w:keepNext/>
      <w:keepLines/>
      <w:spacing w:before="24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781EED"/>
    <w:pPr>
      <w:keepNext/>
      <w:keepLines/>
      <w:spacing w:before="4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781EED"/>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EED"/>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781EED"/>
    <w:rPr>
      <w:rFonts w:asciiTheme="majorHAnsi" w:eastAsiaTheme="majorEastAsia" w:hAnsiTheme="majorHAnsi" w:cstheme="majorBidi"/>
      <w:sz w:val="26"/>
      <w:szCs w:val="26"/>
    </w:rPr>
  </w:style>
  <w:style w:type="paragraph" w:styleId="ListParagraph">
    <w:name w:val="List Paragraph"/>
    <w:basedOn w:val="Normal"/>
    <w:uiPriority w:val="34"/>
    <w:qFormat/>
    <w:rsid w:val="00781EED"/>
    <w:pPr>
      <w:contextualSpacing/>
    </w:pPr>
  </w:style>
  <w:style w:type="character" w:customStyle="1" w:styleId="Heading3Char">
    <w:name w:val="Heading 3 Char"/>
    <w:basedOn w:val="DefaultParagraphFont"/>
    <w:link w:val="Heading3"/>
    <w:uiPriority w:val="9"/>
    <w:rsid w:val="00781EED"/>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781E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EED"/>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F0969"/>
    <w:pPr>
      <w:spacing w:before="480" w:after="0" w:line="276" w:lineRule="auto"/>
      <w:outlineLvl w:val="9"/>
    </w:pPr>
    <w:rPr>
      <w:b/>
      <w:bCs/>
      <w:color w:val="2F5496" w:themeColor="accent1" w:themeShade="BF"/>
      <w:sz w:val="28"/>
      <w:szCs w:val="28"/>
      <w:lang w:val="en-US"/>
    </w:rPr>
  </w:style>
  <w:style w:type="paragraph" w:styleId="TOC1">
    <w:name w:val="toc 1"/>
    <w:basedOn w:val="Normal"/>
    <w:next w:val="Normal"/>
    <w:autoRedefine/>
    <w:uiPriority w:val="39"/>
    <w:unhideWhenUsed/>
    <w:rsid w:val="00694BE7"/>
    <w:pPr>
      <w:tabs>
        <w:tab w:val="right" w:leader="dot" w:pos="9010"/>
      </w:tabs>
      <w:spacing w:before="120" w:after="0" w:line="360" w:lineRule="auto"/>
      <w:jc w:val="both"/>
    </w:pPr>
    <w:rPr>
      <w:rFonts w:ascii="Arial" w:hAnsi="Arial" w:cs="Arial"/>
      <w:b/>
      <w:bCs/>
      <w:i/>
      <w:iCs/>
      <w:noProof/>
      <w:sz w:val="24"/>
    </w:rPr>
  </w:style>
  <w:style w:type="paragraph" w:styleId="TOC2">
    <w:name w:val="toc 2"/>
    <w:basedOn w:val="Normal"/>
    <w:next w:val="Normal"/>
    <w:autoRedefine/>
    <w:uiPriority w:val="39"/>
    <w:unhideWhenUsed/>
    <w:rsid w:val="003F0969"/>
    <w:pPr>
      <w:spacing w:before="120" w:after="0"/>
      <w:ind w:left="220"/>
    </w:pPr>
    <w:rPr>
      <w:rFonts w:cstheme="minorHAnsi"/>
      <w:b/>
      <w:bCs/>
      <w:szCs w:val="22"/>
    </w:rPr>
  </w:style>
  <w:style w:type="paragraph" w:styleId="TOC3">
    <w:name w:val="toc 3"/>
    <w:basedOn w:val="Normal"/>
    <w:next w:val="Normal"/>
    <w:autoRedefine/>
    <w:uiPriority w:val="39"/>
    <w:unhideWhenUsed/>
    <w:rsid w:val="003F0969"/>
    <w:pPr>
      <w:spacing w:after="0"/>
      <w:ind w:left="440"/>
    </w:pPr>
    <w:rPr>
      <w:rFonts w:cstheme="minorHAnsi"/>
      <w:sz w:val="20"/>
      <w:szCs w:val="20"/>
    </w:rPr>
  </w:style>
  <w:style w:type="paragraph" w:styleId="TOC4">
    <w:name w:val="toc 4"/>
    <w:basedOn w:val="Normal"/>
    <w:next w:val="Normal"/>
    <w:autoRedefine/>
    <w:uiPriority w:val="39"/>
    <w:semiHidden/>
    <w:unhideWhenUsed/>
    <w:rsid w:val="003F0969"/>
    <w:pPr>
      <w:spacing w:after="0"/>
      <w:ind w:left="660"/>
    </w:pPr>
    <w:rPr>
      <w:rFonts w:cstheme="minorHAnsi"/>
      <w:sz w:val="20"/>
      <w:szCs w:val="20"/>
    </w:rPr>
  </w:style>
  <w:style w:type="paragraph" w:styleId="TOC5">
    <w:name w:val="toc 5"/>
    <w:basedOn w:val="Normal"/>
    <w:next w:val="Normal"/>
    <w:autoRedefine/>
    <w:uiPriority w:val="39"/>
    <w:semiHidden/>
    <w:unhideWhenUsed/>
    <w:rsid w:val="003F0969"/>
    <w:pPr>
      <w:spacing w:after="0"/>
      <w:ind w:left="880"/>
    </w:pPr>
    <w:rPr>
      <w:rFonts w:cstheme="minorHAnsi"/>
      <w:sz w:val="20"/>
      <w:szCs w:val="20"/>
    </w:rPr>
  </w:style>
  <w:style w:type="paragraph" w:styleId="TOC6">
    <w:name w:val="toc 6"/>
    <w:basedOn w:val="Normal"/>
    <w:next w:val="Normal"/>
    <w:autoRedefine/>
    <w:uiPriority w:val="39"/>
    <w:semiHidden/>
    <w:unhideWhenUsed/>
    <w:rsid w:val="003F0969"/>
    <w:pPr>
      <w:spacing w:after="0"/>
      <w:ind w:left="1100"/>
    </w:pPr>
    <w:rPr>
      <w:rFonts w:cstheme="minorHAnsi"/>
      <w:sz w:val="20"/>
      <w:szCs w:val="20"/>
    </w:rPr>
  </w:style>
  <w:style w:type="paragraph" w:styleId="TOC7">
    <w:name w:val="toc 7"/>
    <w:basedOn w:val="Normal"/>
    <w:next w:val="Normal"/>
    <w:autoRedefine/>
    <w:uiPriority w:val="39"/>
    <w:semiHidden/>
    <w:unhideWhenUsed/>
    <w:rsid w:val="003F0969"/>
    <w:pPr>
      <w:spacing w:after="0"/>
      <w:ind w:left="1320"/>
    </w:pPr>
    <w:rPr>
      <w:rFonts w:cstheme="minorHAnsi"/>
      <w:sz w:val="20"/>
      <w:szCs w:val="20"/>
    </w:rPr>
  </w:style>
  <w:style w:type="paragraph" w:styleId="TOC8">
    <w:name w:val="toc 8"/>
    <w:basedOn w:val="Normal"/>
    <w:next w:val="Normal"/>
    <w:autoRedefine/>
    <w:uiPriority w:val="39"/>
    <w:semiHidden/>
    <w:unhideWhenUsed/>
    <w:rsid w:val="003F0969"/>
    <w:pPr>
      <w:spacing w:after="0"/>
      <w:ind w:left="1540"/>
    </w:pPr>
    <w:rPr>
      <w:rFonts w:cstheme="minorHAnsi"/>
      <w:sz w:val="20"/>
      <w:szCs w:val="20"/>
    </w:rPr>
  </w:style>
  <w:style w:type="paragraph" w:styleId="TOC9">
    <w:name w:val="toc 9"/>
    <w:basedOn w:val="Normal"/>
    <w:next w:val="Normal"/>
    <w:autoRedefine/>
    <w:uiPriority w:val="39"/>
    <w:semiHidden/>
    <w:unhideWhenUsed/>
    <w:rsid w:val="003F0969"/>
    <w:pPr>
      <w:spacing w:after="0"/>
      <w:ind w:left="1760"/>
    </w:pPr>
    <w:rPr>
      <w:rFonts w:cstheme="minorHAnsi"/>
      <w:sz w:val="20"/>
      <w:szCs w:val="20"/>
    </w:rPr>
  </w:style>
  <w:style w:type="paragraph" w:styleId="Footer">
    <w:name w:val="footer"/>
    <w:basedOn w:val="Normal"/>
    <w:link w:val="FooterChar"/>
    <w:uiPriority w:val="99"/>
    <w:unhideWhenUsed/>
    <w:rsid w:val="003F09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969"/>
    <w:rPr>
      <w:sz w:val="22"/>
    </w:rPr>
  </w:style>
  <w:style w:type="character" w:styleId="PageNumber">
    <w:name w:val="page number"/>
    <w:basedOn w:val="DefaultParagraphFont"/>
    <w:uiPriority w:val="99"/>
    <w:semiHidden/>
    <w:unhideWhenUsed/>
    <w:rsid w:val="003F0969"/>
  </w:style>
  <w:style w:type="paragraph" w:styleId="Bibliography">
    <w:name w:val="Bibliography"/>
    <w:basedOn w:val="Normal"/>
    <w:next w:val="Normal"/>
    <w:uiPriority w:val="37"/>
    <w:unhideWhenUsed/>
    <w:rsid w:val="003F0969"/>
  </w:style>
  <w:style w:type="character" w:styleId="Hyperlink">
    <w:name w:val="Hyperlink"/>
    <w:basedOn w:val="DefaultParagraphFont"/>
    <w:uiPriority w:val="99"/>
    <w:unhideWhenUsed/>
    <w:rsid w:val="003F0969"/>
    <w:rPr>
      <w:color w:val="0563C1" w:themeColor="hyperlink"/>
      <w:u w:val="single"/>
    </w:rPr>
  </w:style>
  <w:style w:type="character" w:styleId="UnresolvedMention">
    <w:name w:val="Unresolved Mention"/>
    <w:basedOn w:val="DefaultParagraphFont"/>
    <w:uiPriority w:val="99"/>
    <w:semiHidden/>
    <w:unhideWhenUsed/>
    <w:rsid w:val="007F30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ae.org/publications/technical-papers/content/2015-01-11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bes.com/sites/davekeating/2019/07/18/electric-cars-in-europe-will-triple-by-2021-repor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ea.org/reports/global-ev-outlook-2019"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c.europa.eu/clima/policies/transport/vehicles/regulation_en" TargetMode="External"/><Relationship Id="rId4" Type="http://schemas.openxmlformats.org/officeDocument/2006/relationships/settings" Target="settings.xml"/><Relationship Id="rId9" Type="http://schemas.openxmlformats.org/officeDocument/2006/relationships/hyperlink" Target="https://www.acea.be/publications/article/overview-of-incentives-for-buying-electric-vehicl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ACE19</b:Tag>
    <b:SourceType>InternetSite</b:SourceType>
    <b:Guid>{C1ABC2B9-E926-D844-9B2C-C245B49E4FED}</b:Guid>
    <b:Author>
      <b:Author>
        <b:Corporate>ACEA</b:Corporate>
      </b:Author>
    </b:Author>
    <b:Title>Overview – Electric vehicles: tax benefits and incentives in the EU</b:Title>
    <b:URL>https://www.acea.be/publications/article/overview-of-incentives-for-buying-electric-vehicles</b:URL>
    <b:Year>2019</b:Year>
    <b:RefOrder>1</b:RefOrder>
  </b:Source>
  <b:Source>
    <b:Tag>IEA192</b:Tag>
    <b:SourceType>InternetSite</b:SourceType>
    <b:Guid>{DF707C25-EA6E-C941-9A0E-D5F8ED1C9CAC}</b:Guid>
    <b:Author>
      <b:Author>
        <b:Corporate>IEA</b:Corporate>
      </b:Author>
    </b:Author>
    <b:Title>Global EV Outlook 2019</b:Title>
    <b:URL>https://www.iea.org/reports/global-ev-outlook-2019</b:URL>
    <b:Year>2019</b:Year>
    <b:RefOrder>2</b:RefOrder>
  </b:Source>
  <b:Source>
    <b:Tag>Kea19</b:Tag>
    <b:SourceType>InternetSite</b:SourceType>
    <b:Guid>{01436A45-D4EF-2C41-B114-69F3930A15B8}</b:Guid>
    <b:Author>
      <b:Author>
        <b:NameList>
          <b:Person>
            <b:Last>Keating</b:Last>
            <b:First>D.</b:First>
          </b:Person>
        </b:NameList>
      </b:Author>
    </b:Author>
    <b:Title>Electric Cars In Europe Will Triple By 2021 - Report</b:Title>
    <b:URL>https://www.forbes.com/sites/davekeating/2019/07/18/electric-cars-in-europe-will-triple-by-2021-report/#395de11fd776</b:URL>
    <b:Year>2019</b:Year>
    <b:RefOrder>3</b:RefOrder>
  </b:Source>
  <b:Source>
    <b:Tag>EC19</b:Tag>
    <b:SourceType>InternetSite</b:SourceType>
    <b:Guid>{A8037E6A-077E-6743-9469-D5FD69461FF2}</b:Guid>
    <b:Author>
      <b:Author>
        <b:Corporate>EC</b:Corporate>
      </b:Author>
    </b:Author>
    <b:Title>Post-2020 CO2 emission performance standards for cars and vans</b:Title>
    <b:URL>https://ec.europa.eu/clima/policies/transport/vehicles/regulation_en</b:URL>
    <b:Year>2019</b:Year>
    <b:RefOrder>4</b:RefOrder>
  </b:Source>
  <b:Source>
    <b:Tag>ART14</b:Tag>
    <b:SourceType>Report</b:SourceType>
    <b:Guid>{86D9875C-665C-7049-B017-FA7652E5E5B1}</b:Guid>
    <b:Title>Evolution: Electric vehicles in Europe: gearing up for a new phase?</b:Title>
    <b:Year>2014</b:Year>
    <b:Author>
      <b:Author>
        <b:Corporate>ART</b:Corporate>
      </b:Author>
    </b:Author>
    <b:Publisher>Amsterdam Round Tables</b:Publisher>
    <b:RefOrder>5</b:RefOrder>
  </b:Source>
  <b:Source>
    <b:Tag>Sol17</b:Tag>
    <b:SourceType>JournalArticle</b:SourceType>
    <b:Guid>{FD19008B-8384-5648-9468-9E0D272C8D66}</b:Guid>
    <b:Author>
      <b:Author>
        <b:NameList xmlns:msxsl="urn:schemas-microsoft-com:xslt" xmlns:b="http://schemas.openxmlformats.org/officeDocument/2006/bibliography">
          <b:Person>
            <b:Last>Soltani-Sobh</b:Last>
            <b:First>Ali</b:First>
            <b:Middle/>
          </b:Person>
          <b:Person>
            <b:Last>Heaslip</b:Last>
            <b:First>Kevin</b:First>
            <b:Middle/>
          </b:Person>
          <b:Person>
            <b:Last>Stevanovic</b:Last>
            <b:First>Aleksandar</b:First>
            <b:Middle/>
          </b:Person>
          <b:Person>
            <b:Last>Bosworth</b:Last>
            <b:First>Ryan</b:First>
            <b:Middle/>
          </b:Person>
          <b:Person>
            <b:Last>Radivojevic</b:Last>
            <b:First>Danilo</b:First>
            <b:Middle/>
          </b:Person>
        </b:NameList>
      </b:Author>
    </b:Author>
    <b:Title>Analysis of the Electric Vehicles Adoption over the United States</b:Title>
    <b:JournalName>Transportation research procedia</b:JournalName>
    <b:Publisher/>
    <b:City/>
    <b:Year>2017</b:Year>
    <b:Month/>
    <b:Day/>
    <b:Volume>22</b:Volume>
    <b:Issue/>
    <b:Pages>203-212</b:Pages>
    <b:ShortTitle/>
    <b:StandardNumber/>
    <b:Comments/>
    <b:RefOrder>6</b:RefOrder>
  </b:Source>
  <b:Source>
    <b:Tag>Mad17</b:Tag>
    <b:SourceType>JournalArticle</b:SourceType>
    <b:Guid>{07237E97-49DB-9949-8E0E-05034614A3C3}</b:Guid>
    <b:Author>
      <b:Author>
        <b:NameList xmlns:msxsl="urn:schemas-microsoft-com:xslt" xmlns:b="http://schemas.openxmlformats.org/officeDocument/2006/bibliography">
          <b:Person>
            <b:Last>Madlener</b:Last>
            <b:First>Reinhard</b:First>
            <b:Middle/>
          </b:Person>
          <b:Person>
            <b:Last>Kirmas</b:Last>
            <b:First>Alexander</b:First>
            <b:Middle/>
          </b:Person>
        </b:NameList>
      </b:Author>
    </b:Author>
    <b:Title>Economic Viability of Second Use Electric Vehicle Batteries for Energy Storage in Residential Applications</b:Title>
    <b:JournalName>Energy Procedia</b:JournalName>
    <b:Publisher/>
    <b:City/>
    <b:Year>2017</b:Year>
    <b:Month/>
    <b:Day/>
    <b:Volume>105</b:Volume>
    <b:Issue/>
    <b:Pages>3806-3815</b:Pages>
    <b:ShortTitle/>
    <b:StandardNumber/>
    <b:Comments/>
    <b:RefOrder>7</b:RefOrder>
  </b:Source>
  <b:Source>
    <b:Tag>Shi15</b:Tag>
    <b:SourceType>InternetSite</b:SourceType>
    <b:Guid>{B4D7681F-CA9C-A542-9F79-66E147302998}</b:Guid>
    <b:Author>
      <b:Author>
        <b:NameList xmlns:msxsl="urn:schemas-microsoft-com:xslt" xmlns:b="http://schemas.openxmlformats.org/officeDocument/2006/bibliography">
          <b:Person>
            <b:Last>Shirk</b:Last>
            <b:First>Matthew</b:First>
            <b:Middle/>
          </b:Person>
          <b:Person>
            <b:Last>Wishart</b:Last>
            <b:First>Jeffrey</b:First>
            <b:Middle/>
          </b:Person>
        </b:NameList>
      </b:Author>
    </b:Author>
    <b:Title>Effects of Electric Vehicle Fast Charging on Battery Life and Vehicle Performance</b:Title>
    <b:InternetSiteTitle/>
    <b:URL>https://sae.org/publications/technical-papers/content/2015-01-1190</b:URL>
    <b:ProductionCompany/>
    <b:Year>2015</b:Year>
    <b:Month/>
    <b:Day/>
    <b:YearAccessed>2019</b:YearAccessed>
    <b:MonthAccessed>12</b:MonthAccessed>
    <b:DayAccessed>16</b:DayAccessed>
    <b:ShortTitle/>
    <b:Version/>
    <b:StandardNumber/>
    <b:Comments/>
    <b:RefOrder>8</b:RefOrder>
  </b:Source>
</b:Sources>
</file>

<file path=customXml/itemProps1.xml><?xml version="1.0" encoding="utf-8"?>
<ds:datastoreItem xmlns:ds="http://schemas.openxmlformats.org/officeDocument/2006/customXml" ds:itemID="{4F178929-8820-4819-9E33-973ACF624CEB}">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3187</Words>
  <Characters>18170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dc:creator>
  <cp:keywords/>
  <dc:description/>
  <cp:lastModifiedBy>HP</cp:lastModifiedBy>
  <cp:revision>11</cp:revision>
  <dcterms:created xsi:type="dcterms:W3CDTF">2019-12-22T21:21:00Z</dcterms:created>
  <dcterms:modified xsi:type="dcterms:W3CDTF">2019-12-24T11:40:00Z</dcterms:modified>
</cp:coreProperties>
</file>