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58CE61" w14:textId="77777777" w:rsidR="007C1C79" w:rsidRPr="00E44A83" w:rsidRDefault="007C1C79" w:rsidP="007C1C79">
      <w:pPr>
        <w:pStyle w:val="NormalWeb"/>
        <w:spacing w:before="0" w:beforeAutospacing="0" w:after="0" w:afterAutospacing="0"/>
        <w:ind w:left="-180" w:right="-334"/>
        <w:rPr>
          <w:rFonts w:ascii="Arial" w:hAnsi="Arial" w:cs="Arial"/>
        </w:rPr>
      </w:pPr>
      <w:bookmarkStart w:id="0" w:name="_Hlk183615581"/>
      <w:bookmarkEnd w:id="0"/>
      <w:r w:rsidRPr="00E44A83">
        <w:rPr>
          <w:rFonts w:ascii="Arial" w:hAnsi="Arial" w:cs="Arial"/>
          <w:noProof/>
        </w:rPr>
        <w:drawing>
          <wp:inline distT="0" distB="0" distL="0" distR="0" wp14:anchorId="5CEB99D9" wp14:editId="557A01C2">
            <wp:extent cx="1905000" cy="635000"/>
            <wp:effectExtent l="19050" t="19050" r="19050" b="12700"/>
            <wp:docPr id="873449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EF25661" w14:textId="77777777" w:rsidR="007C1C79" w:rsidRPr="00E44A83" w:rsidRDefault="007C1C79" w:rsidP="007C1C79">
      <w:pPr>
        <w:pStyle w:val="NormalWeb"/>
        <w:spacing w:before="0" w:beforeAutospacing="0" w:after="0" w:afterAutospacing="0"/>
        <w:ind w:left="-180" w:right="-334"/>
        <w:rPr>
          <w:rFonts w:ascii="Arial" w:hAnsi="Arial" w:cs="Arial"/>
        </w:rPr>
      </w:pPr>
    </w:p>
    <w:p w14:paraId="01E87360" w14:textId="77777777" w:rsidR="007C1C79" w:rsidRPr="00E44A83" w:rsidRDefault="007C1C79" w:rsidP="007C1C79">
      <w:pPr>
        <w:pStyle w:val="NormalWeb"/>
        <w:spacing w:before="0" w:beforeAutospacing="0" w:after="0" w:afterAutospacing="0"/>
        <w:ind w:left="-180" w:right="-334"/>
        <w:rPr>
          <w:rFonts w:ascii="Arial" w:hAnsi="Arial" w:cs="Arial"/>
        </w:rPr>
      </w:pPr>
    </w:p>
    <w:p w14:paraId="4D9EDCD3" w14:textId="77777777" w:rsidR="007C1C79" w:rsidRPr="00E44A83" w:rsidRDefault="007C1C79" w:rsidP="007C1C79">
      <w:pPr>
        <w:pStyle w:val="NormalWeb"/>
        <w:spacing w:before="0" w:beforeAutospacing="0" w:after="0" w:afterAutospacing="0"/>
        <w:ind w:left="-180" w:right="-334"/>
        <w:jc w:val="center"/>
        <w:rPr>
          <w:rFonts w:ascii="Arial" w:hAnsi="Arial" w:cs="Arial"/>
          <w:b/>
          <w:sz w:val="28"/>
          <w:szCs w:val="28"/>
          <w:lang w:val="cy-GB"/>
        </w:rPr>
      </w:pPr>
      <w:r w:rsidRPr="00E44A83">
        <w:rPr>
          <w:rFonts w:ascii="Arial" w:hAnsi="Arial" w:cs="Arial"/>
          <w:b/>
          <w:sz w:val="28"/>
          <w:szCs w:val="28"/>
          <w:lang w:val="cy-GB"/>
        </w:rPr>
        <w:t xml:space="preserve">Postgraduate/Distance Learning </w:t>
      </w:r>
    </w:p>
    <w:p w14:paraId="628A7846" w14:textId="77777777" w:rsidR="007C1C79" w:rsidRPr="00E44A83" w:rsidRDefault="007C1C79" w:rsidP="007C1C79">
      <w:pPr>
        <w:pStyle w:val="NormalWeb"/>
        <w:spacing w:before="0" w:beforeAutospacing="0" w:after="0" w:afterAutospacing="0"/>
        <w:ind w:left="-180" w:right="-334"/>
        <w:jc w:val="center"/>
        <w:rPr>
          <w:rFonts w:ascii="Arial" w:hAnsi="Arial" w:cs="Arial"/>
          <w:b/>
          <w:sz w:val="28"/>
          <w:szCs w:val="28"/>
        </w:rPr>
      </w:pPr>
      <w:r w:rsidRPr="00E44A83">
        <w:rPr>
          <w:rFonts w:ascii="Arial" w:hAnsi="Arial" w:cs="Arial"/>
          <w:b/>
          <w:sz w:val="28"/>
          <w:szCs w:val="28"/>
          <w:lang w:val="cy-GB"/>
        </w:rPr>
        <w:t>Assignment coversheet &amp; feedback form</w:t>
      </w:r>
    </w:p>
    <w:p w14:paraId="7534FC4E" w14:textId="77777777" w:rsidR="007C1C79" w:rsidRPr="00E44A83" w:rsidRDefault="007C1C79" w:rsidP="007C1C79">
      <w:pPr>
        <w:rPr>
          <w:rFonts w:ascii="Arial" w:hAnsi="Arial" w:cs="Arial"/>
          <w:sz w:val="28"/>
          <w:szCs w:val="28"/>
          <w:lang w:val="cy-GB"/>
        </w:rPr>
      </w:pPr>
    </w:p>
    <w:p w14:paraId="0CC0253D" w14:textId="77777777" w:rsidR="007C1C79" w:rsidRPr="00E44A83" w:rsidRDefault="007C1C79" w:rsidP="007C1C79">
      <w:pPr>
        <w:pStyle w:val="Heading3"/>
        <w:jc w:val="center"/>
        <w:rPr>
          <w:rFonts w:ascii="Arial" w:hAnsi="Arial" w:cs="Arial"/>
          <w:lang w:val="cy-GB"/>
        </w:rPr>
      </w:pPr>
      <w:r w:rsidRPr="00E44A83">
        <w:rPr>
          <w:rFonts w:ascii="Arial" w:hAnsi="Arial" w:cs="Arial"/>
          <w:lang w:val="cy-GB"/>
        </w:rPr>
        <w:t>THIS SHEET MUST BE THE FIRST PAGE OF THE ASSIGNMENT YOU ARE SUBMITTING  (DO NOT SEND AS A SEPARATE FILE)</w:t>
      </w:r>
    </w:p>
    <w:p w14:paraId="42615406" w14:textId="77777777" w:rsidR="007C1C79" w:rsidRPr="00E44A83" w:rsidRDefault="007C1C79" w:rsidP="007C1C79">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C1C79" w:rsidRPr="00E44A83" w14:paraId="2142CB3D" w14:textId="77777777" w:rsidTr="00CC0753">
        <w:trPr>
          <w:trHeight w:val="614"/>
        </w:trPr>
        <w:tc>
          <w:tcPr>
            <w:tcW w:w="8856" w:type="dxa"/>
            <w:gridSpan w:val="5"/>
          </w:tcPr>
          <w:p w14:paraId="2AE1533B" w14:textId="77777777"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b/>
                <w:sz w:val="22"/>
                <w:szCs w:val="22"/>
              </w:rPr>
              <w:t>For completion by the student</w:t>
            </w:r>
            <w:r w:rsidRPr="00E44A83">
              <w:rPr>
                <w:rFonts w:ascii="Arial" w:hAnsi="Arial" w:cs="Arial"/>
                <w:sz w:val="22"/>
                <w:szCs w:val="22"/>
              </w:rPr>
              <w:t>:</w:t>
            </w:r>
            <w:r w:rsidRPr="00E44A83">
              <w:rPr>
                <w:rFonts w:ascii="Arial" w:hAnsi="Arial" w:cs="Arial"/>
              </w:rPr>
              <w:t xml:space="preserve"> A critical comparison of two secondary sources</w:t>
            </w:r>
          </w:p>
        </w:tc>
      </w:tr>
      <w:tr w:rsidR="007C1C79" w:rsidRPr="00E44A83" w14:paraId="0145A1B1" w14:textId="77777777" w:rsidTr="00CC0753">
        <w:trPr>
          <w:trHeight w:val="718"/>
        </w:trPr>
        <w:tc>
          <w:tcPr>
            <w:tcW w:w="8856" w:type="dxa"/>
            <w:gridSpan w:val="5"/>
          </w:tcPr>
          <w:p w14:paraId="1A7B9D9B" w14:textId="77777777"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Student Name:</w:t>
            </w:r>
          </w:p>
          <w:p w14:paraId="135A10DD" w14:textId="77777777"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 xml:space="preserve">Madeline Cheng </w:t>
            </w:r>
          </w:p>
        </w:tc>
      </w:tr>
      <w:tr w:rsidR="007C1C79" w:rsidRPr="00E44A83" w14:paraId="5DAE5A49" w14:textId="77777777" w:rsidTr="00CC0753">
        <w:trPr>
          <w:trHeight w:val="849"/>
        </w:trPr>
        <w:tc>
          <w:tcPr>
            <w:tcW w:w="4788" w:type="dxa"/>
          </w:tcPr>
          <w:p w14:paraId="6758A7A4" w14:textId="5778369D"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Module code:</w:t>
            </w:r>
            <w:r w:rsidRPr="00E44A83">
              <w:rPr>
                <w:rFonts w:ascii="Arial" w:eastAsia="Times New Roman" w:hAnsi="Arial" w:cs="Arial"/>
                <w:kern w:val="24"/>
                <w:sz w:val="58"/>
                <w:szCs w:val="58"/>
              </w:rPr>
              <w:t xml:space="preserve"> </w:t>
            </w:r>
            <w:r w:rsidRPr="00E44A83">
              <w:rPr>
                <w:rFonts w:ascii="Arial" w:hAnsi="Arial" w:cs="Arial"/>
                <w:sz w:val="22"/>
                <w:szCs w:val="22"/>
              </w:rPr>
              <w:t>HPCA701</w:t>
            </w:r>
            <w:r>
              <w:rPr>
                <w:rFonts w:ascii="Arial" w:hAnsi="Arial" w:cs="Arial"/>
                <w:sz w:val="22"/>
                <w:szCs w:val="22"/>
              </w:rPr>
              <w:t>6</w:t>
            </w:r>
          </w:p>
          <w:p w14:paraId="4F241C17" w14:textId="77777777" w:rsidR="007C1C79" w:rsidRPr="00E44A83" w:rsidRDefault="007C1C79" w:rsidP="00CC0753">
            <w:pPr>
              <w:pStyle w:val="NormalWeb"/>
              <w:spacing w:before="0" w:beforeAutospacing="0" w:after="0" w:afterAutospacing="0"/>
              <w:ind w:right="34"/>
              <w:rPr>
                <w:rFonts w:ascii="Arial" w:hAnsi="Arial" w:cs="Arial"/>
                <w:sz w:val="22"/>
                <w:szCs w:val="22"/>
              </w:rPr>
            </w:pPr>
          </w:p>
          <w:p w14:paraId="375677AC" w14:textId="4A1E553B"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 xml:space="preserve">Module title: </w:t>
            </w:r>
            <w:r w:rsidR="0071240E">
              <w:rPr>
                <w:rFonts w:ascii="Arial" w:hAnsi="Arial" w:cs="Arial"/>
                <w:sz w:val="22"/>
                <w:szCs w:val="22"/>
              </w:rPr>
              <w:t>Researching Contemporary Cosmologies</w:t>
            </w:r>
          </w:p>
          <w:p w14:paraId="0B39C8BF" w14:textId="77777777" w:rsidR="007C1C79" w:rsidRPr="00E44A83" w:rsidRDefault="007C1C79" w:rsidP="00CC0753">
            <w:pPr>
              <w:pStyle w:val="NormalWeb"/>
              <w:spacing w:before="0" w:beforeAutospacing="0" w:after="0" w:afterAutospacing="0"/>
              <w:ind w:right="34"/>
              <w:rPr>
                <w:rFonts w:ascii="Arial" w:hAnsi="Arial" w:cs="Arial"/>
                <w:sz w:val="22"/>
                <w:szCs w:val="22"/>
              </w:rPr>
            </w:pPr>
          </w:p>
          <w:p w14:paraId="42D6F0E6" w14:textId="77777777" w:rsidR="007C1C79" w:rsidRPr="00E44A83" w:rsidRDefault="007C1C79" w:rsidP="00CC0753">
            <w:pPr>
              <w:pStyle w:val="NormalWeb"/>
              <w:spacing w:before="0" w:beforeAutospacing="0" w:after="0" w:afterAutospacing="0"/>
              <w:ind w:right="34"/>
              <w:rPr>
                <w:rFonts w:ascii="Arial" w:hAnsi="Arial" w:cs="Arial"/>
                <w:sz w:val="22"/>
                <w:szCs w:val="22"/>
              </w:rPr>
            </w:pPr>
          </w:p>
        </w:tc>
        <w:tc>
          <w:tcPr>
            <w:tcW w:w="2266" w:type="dxa"/>
            <w:gridSpan w:val="3"/>
          </w:tcPr>
          <w:p w14:paraId="4AE47328" w14:textId="77777777"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Student ID number:</w:t>
            </w:r>
          </w:p>
          <w:p w14:paraId="3922A9F0" w14:textId="77777777" w:rsidR="007C1C79" w:rsidRPr="00E44A83" w:rsidRDefault="007C1C79" w:rsidP="00CC0753">
            <w:pPr>
              <w:pStyle w:val="NormalWeb"/>
              <w:spacing w:before="0" w:beforeAutospacing="0" w:after="0" w:afterAutospacing="0"/>
              <w:ind w:right="34"/>
              <w:rPr>
                <w:rFonts w:ascii="Arial" w:hAnsi="Arial" w:cs="Arial"/>
                <w:sz w:val="22"/>
                <w:szCs w:val="22"/>
              </w:rPr>
            </w:pPr>
          </w:p>
          <w:p w14:paraId="01DE1EF4" w14:textId="77777777"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2325964</w:t>
            </w:r>
          </w:p>
        </w:tc>
        <w:tc>
          <w:tcPr>
            <w:tcW w:w="1802" w:type="dxa"/>
          </w:tcPr>
          <w:p w14:paraId="4156240C" w14:textId="77777777"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Educational support needs:</w:t>
            </w:r>
          </w:p>
          <w:p w14:paraId="20B1BD0D" w14:textId="77777777"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Yes</w:t>
            </w:r>
            <w:r w:rsidRPr="00E44A83">
              <w:rPr>
                <w:rFonts w:ascii="Arial" w:hAnsi="Arial" w:cs="Arial"/>
                <w:sz w:val="22"/>
                <w:szCs w:val="22"/>
                <w:highlight w:val="yellow"/>
              </w:rPr>
              <w:t>/No</w:t>
            </w:r>
          </w:p>
        </w:tc>
      </w:tr>
      <w:tr w:rsidR="007C1C79" w:rsidRPr="00E44A83" w14:paraId="3CAD6973" w14:textId="77777777" w:rsidTr="00CC0753">
        <w:trPr>
          <w:trHeight w:val="1139"/>
        </w:trPr>
        <w:tc>
          <w:tcPr>
            <w:tcW w:w="8856" w:type="dxa"/>
            <w:gridSpan w:val="5"/>
          </w:tcPr>
          <w:p w14:paraId="04CA9610" w14:textId="2DA5B9DD"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 xml:space="preserve">Module tutor: Dr. </w:t>
            </w:r>
            <w:r>
              <w:rPr>
                <w:rFonts w:ascii="Arial" w:hAnsi="Arial" w:cs="Arial"/>
                <w:sz w:val="22"/>
                <w:szCs w:val="22"/>
              </w:rPr>
              <w:t>Jack Hunter, Dr. Dawn Collins, Dr. Wendy</w:t>
            </w:r>
            <w:r w:rsidR="009E518B">
              <w:rPr>
                <w:rFonts w:ascii="Arial" w:hAnsi="Arial" w:cs="Arial"/>
                <w:sz w:val="22"/>
                <w:szCs w:val="22"/>
              </w:rPr>
              <w:t xml:space="preserve"> Stacey-Alidina</w:t>
            </w:r>
          </w:p>
          <w:p w14:paraId="6AEB9ABC" w14:textId="77777777" w:rsidR="007C1C79" w:rsidRPr="00E44A83" w:rsidRDefault="007C1C79" w:rsidP="00CC0753">
            <w:pPr>
              <w:pStyle w:val="NormalWeb"/>
              <w:spacing w:before="0" w:beforeAutospacing="0" w:after="0" w:afterAutospacing="0"/>
              <w:ind w:right="34"/>
              <w:rPr>
                <w:rFonts w:ascii="Arial" w:hAnsi="Arial" w:cs="Arial"/>
                <w:sz w:val="22"/>
                <w:szCs w:val="22"/>
              </w:rPr>
            </w:pPr>
          </w:p>
          <w:p w14:paraId="6B9BFD9A" w14:textId="77777777" w:rsidR="007C1C79" w:rsidRPr="00E44A83" w:rsidRDefault="007C1C79" w:rsidP="00CC0753">
            <w:pPr>
              <w:pStyle w:val="NormalWeb"/>
              <w:spacing w:before="0" w:beforeAutospacing="0" w:after="0" w:afterAutospacing="0"/>
              <w:ind w:right="34"/>
              <w:rPr>
                <w:rFonts w:ascii="Arial" w:hAnsi="Arial" w:cs="Arial"/>
                <w:sz w:val="22"/>
                <w:szCs w:val="22"/>
              </w:rPr>
            </w:pPr>
          </w:p>
          <w:p w14:paraId="5A5CFEF2" w14:textId="406AA2DC"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 xml:space="preserve">Assignment due date: </w:t>
            </w:r>
            <w:r w:rsidR="009E518B">
              <w:rPr>
                <w:rFonts w:ascii="Arial" w:hAnsi="Arial" w:cs="Arial"/>
                <w:sz w:val="22"/>
                <w:szCs w:val="22"/>
              </w:rPr>
              <w:t>Monday March 17</w:t>
            </w:r>
            <w:r>
              <w:rPr>
                <w:rFonts w:ascii="Arial" w:hAnsi="Arial" w:cs="Arial"/>
                <w:sz w:val="22"/>
                <w:szCs w:val="22"/>
              </w:rPr>
              <w:t>, 2025</w:t>
            </w:r>
          </w:p>
        </w:tc>
      </w:tr>
      <w:tr w:rsidR="007C1C79" w:rsidRPr="00E44A83" w14:paraId="68194164" w14:textId="77777777" w:rsidTr="00CC0753">
        <w:trPr>
          <w:trHeight w:val="978"/>
        </w:trPr>
        <w:tc>
          <w:tcPr>
            <w:tcW w:w="8856" w:type="dxa"/>
            <w:gridSpan w:val="5"/>
            <w:tcBorders>
              <w:bottom w:val="single" w:sz="4" w:space="0" w:color="000000"/>
            </w:tcBorders>
          </w:tcPr>
          <w:p w14:paraId="63B32AF4" w14:textId="77777777" w:rsidR="007C1C79" w:rsidRPr="00E44A83" w:rsidRDefault="007C1C79" w:rsidP="00CC0753">
            <w:pPr>
              <w:rPr>
                <w:rFonts w:ascii="Arial" w:hAnsi="Arial" w:cs="Arial"/>
              </w:rPr>
            </w:pPr>
            <w:r w:rsidRPr="00E44A83">
              <w:rPr>
                <w:rFonts w:ascii="Arial" w:hAnsi="Arial" w:cs="Arial"/>
              </w:rPr>
              <w:t xml:space="preserve">If your module has multiple </w:t>
            </w:r>
            <w:proofErr w:type="gramStart"/>
            <w:r w:rsidRPr="00E44A83">
              <w:rPr>
                <w:rFonts w:ascii="Arial" w:hAnsi="Arial" w:cs="Arial"/>
              </w:rPr>
              <w:t>submissions</w:t>
            </w:r>
            <w:proofErr w:type="gramEnd"/>
            <w:r w:rsidRPr="00E44A83">
              <w:rPr>
                <w:rFonts w:ascii="Arial" w:hAnsi="Arial" w:cs="Arial"/>
              </w:rPr>
              <w:t xml:space="preserve"> please indicate which piece of work this is.</w:t>
            </w:r>
          </w:p>
          <w:p w14:paraId="6B83CC19" w14:textId="77777777" w:rsidR="007C1C79" w:rsidRPr="00E44A83" w:rsidRDefault="007C1C79" w:rsidP="00CC0753">
            <w:pPr>
              <w:rPr>
                <w:rFonts w:ascii="Arial" w:hAnsi="Arial" w:cs="Arial"/>
              </w:rPr>
            </w:pPr>
          </w:p>
          <w:p w14:paraId="3A39C5C8" w14:textId="1FBABBA5" w:rsidR="007C1C79" w:rsidRPr="00E44A83" w:rsidRDefault="007C1C79" w:rsidP="00CC0753">
            <w:pPr>
              <w:rPr>
                <w:rFonts w:ascii="Arial" w:hAnsi="Arial" w:cs="Arial"/>
              </w:rPr>
            </w:pPr>
            <w:r w:rsidRPr="00E44A83">
              <w:rPr>
                <w:rFonts w:ascii="Arial" w:hAnsi="Arial" w:cs="Arial"/>
              </w:rPr>
              <w:t>1</w:t>
            </w:r>
            <w:r w:rsidRPr="00E44A83">
              <w:rPr>
                <w:rFonts w:ascii="Arial" w:hAnsi="Arial" w:cs="Arial"/>
                <w:vertAlign w:val="superscript"/>
              </w:rPr>
              <w:t xml:space="preserve">st </w:t>
            </w:r>
            <w:r w:rsidR="0004200D">
              <w:rPr>
                <w:rFonts w:ascii="Arial" w:hAnsi="Arial" w:cs="Arial"/>
              </w:rPr>
              <w:fldChar w:fldCharType="begin">
                <w:ffData>
                  <w:name w:val="Check15"/>
                  <w:enabled w:val="0"/>
                  <w:calcOnExit w:val="0"/>
                  <w:checkBox>
                    <w:sizeAuto/>
                    <w:default w:val="1"/>
                  </w:checkBox>
                </w:ffData>
              </w:fldChar>
            </w:r>
            <w:r w:rsidR="0004200D">
              <w:rPr>
                <w:rFonts w:ascii="Arial" w:hAnsi="Arial" w:cs="Arial"/>
              </w:rPr>
              <w:instrText xml:space="preserve"> FORMCHECKBOX </w:instrText>
            </w:r>
            <w:r w:rsidR="0004200D">
              <w:rPr>
                <w:rFonts w:ascii="Arial" w:hAnsi="Arial" w:cs="Arial"/>
              </w:rPr>
            </w:r>
            <w:r w:rsidR="0004200D">
              <w:rPr>
                <w:rFonts w:ascii="Arial" w:hAnsi="Arial" w:cs="Arial"/>
              </w:rPr>
              <w:fldChar w:fldCharType="separate"/>
            </w:r>
            <w:r w:rsidR="0004200D">
              <w:rPr>
                <w:rFonts w:ascii="Arial" w:hAnsi="Arial" w:cs="Arial"/>
              </w:rPr>
              <w:fldChar w:fldCharType="end"/>
            </w:r>
            <w:r w:rsidR="0004200D">
              <w:rPr>
                <w:rFonts w:ascii="Arial" w:hAnsi="Arial" w:cs="Arial"/>
              </w:rPr>
              <w:t xml:space="preserve"> </w:t>
            </w:r>
            <w:r w:rsidRPr="00E44A83">
              <w:rPr>
                <w:rFonts w:ascii="Arial" w:hAnsi="Arial" w:cs="Arial"/>
              </w:rPr>
              <w:t xml:space="preserve">   2</w:t>
            </w:r>
            <w:r w:rsidRPr="00E44A83">
              <w:rPr>
                <w:rFonts w:ascii="Arial" w:hAnsi="Arial" w:cs="Arial"/>
                <w:vertAlign w:val="superscript"/>
              </w:rPr>
              <w:t>nd</w:t>
            </w:r>
            <w:r w:rsidRPr="00E44A83">
              <w:rPr>
                <w:rFonts w:ascii="Arial" w:hAnsi="Arial" w:cs="Arial"/>
              </w:rPr>
              <w:t xml:space="preserve">  </w:t>
            </w:r>
            <w:r w:rsidRPr="00E44A83">
              <w:rPr>
                <w:rFonts w:ascii="Arial" w:hAnsi="Arial" w:cs="Arial"/>
              </w:rPr>
              <w:fldChar w:fldCharType="begin">
                <w:ffData>
                  <w:name w:val="Check14"/>
                  <w:enabled/>
                  <w:calcOnExit w:val="0"/>
                  <w:checkBox>
                    <w:sizeAuto/>
                    <w:default w:val="0"/>
                  </w:checkBox>
                </w:ffData>
              </w:fldChar>
            </w:r>
            <w:bookmarkStart w:id="1" w:name="Check14"/>
            <w:r w:rsidRPr="00E44A83">
              <w:rPr>
                <w:rFonts w:ascii="Arial" w:hAnsi="Arial" w:cs="Arial"/>
              </w:rPr>
              <w:instrText xml:space="preserve"> FORMCHECKBOX </w:instrText>
            </w:r>
            <w:r w:rsidRPr="00E44A83">
              <w:rPr>
                <w:rFonts w:ascii="Arial" w:hAnsi="Arial" w:cs="Arial"/>
              </w:rPr>
            </w:r>
            <w:r w:rsidRPr="00E44A83">
              <w:rPr>
                <w:rFonts w:ascii="Arial" w:hAnsi="Arial" w:cs="Arial"/>
              </w:rPr>
              <w:fldChar w:fldCharType="separate"/>
            </w:r>
            <w:r w:rsidRPr="00E44A83">
              <w:rPr>
                <w:rFonts w:ascii="Arial" w:hAnsi="Arial" w:cs="Arial"/>
              </w:rPr>
              <w:fldChar w:fldCharType="end"/>
            </w:r>
            <w:bookmarkEnd w:id="1"/>
            <w:r w:rsidRPr="00E44A83">
              <w:rPr>
                <w:rFonts w:ascii="Arial" w:hAnsi="Arial" w:cs="Arial"/>
              </w:rPr>
              <w:t xml:space="preserve">     3</w:t>
            </w:r>
            <w:r w:rsidRPr="00E44A83">
              <w:rPr>
                <w:rFonts w:ascii="Arial" w:hAnsi="Arial" w:cs="Arial"/>
                <w:vertAlign w:val="superscript"/>
              </w:rPr>
              <w:t>rd</w:t>
            </w:r>
            <w:r w:rsidRPr="00E44A83">
              <w:rPr>
                <w:rFonts w:ascii="Arial" w:hAnsi="Arial" w:cs="Arial"/>
              </w:rPr>
              <w:t xml:space="preserve"> </w:t>
            </w:r>
            <w:r w:rsidR="0004200D" w:rsidRPr="00E44A83">
              <w:rPr>
                <w:rFonts w:ascii="Arial" w:hAnsi="Arial" w:cs="Arial"/>
              </w:rPr>
              <w:fldChar w:fldCharType="begin">
                <w:ffData>
                  <w:name w:val="Check14"/>
                  <w:enabled/>
                  <w:calcOnExit w:val="0"/>
                  <w:checkBox>
                    <w:sizeAuto/>
                    <w:default w:val="0"/>
                  </w:checkBox>
                </w:ffData>
              </w:fldChar>
            </w:r>
            <w:r w:rsidR="0004200D" w:rsidRPr="00E44A83">
              <w:rPr>
                <w:rFonts w:ascii="Arial" w:hAnsi="Arial" w:cs="Arial"/>
              </w:rPr>
              <w:instrText xml:space="preserve"> FORMCHECKBOX </w:instrText>
            </w:r>
            <w:r w:rsidR="0004200D" w:rsidRPr="00E44A83">
              <w:rPr>
                <w:rFonts w:ascii="Arial" w:hAnsi="Arial" w:cs="Arial"/>
              </w:rPr>
            </w:r>
            <w:r w:rsidR="0004200D" w:rsidRPr="00E44A83">
              <w:rPr>
                <w:rFonts w:ascii="Arial" w:hAnsi="Arial" w:cs="Arial"/>
              </w:rPr>
              <w:fldChar w:fldCharType="separate"/>
            </w:r>
            <w:r w:rsidR="0004200D" w:rsidRPr="00E44A83">
              <w:rPr>
                <w:rFonts w:ascii="Arial" w:hAnsi="Arial" w:cs="Arial"/>
              </w:rPr>
              <w:fldChar w:fldCharType="end"/>
            </w:r>
            <w:r w:rsidRPr="00E44A83">
              <w:rPr>
                <w:rFonts w:ascii="Arial" w:hAnsi="Arial" w:cs="Arial"/>
              </w:rPr>
              <w:t xml:space="preserve">     4</w:t>
            </w:r>
            <w:r w:rsidRPr="00E44A83">
              <w:rPr>
                <w:rFonts w:ascii="Arial" w:hAnsi="Arial" w:cs="Arial"/>
                <w:vertAlign w:val="superscript"/>
              </w:rPr>
              <w:t>th</w:t>
            </w:r>
            <w:r w:rsidRPr="00E44A83">
              <w:rPr>
                <w:rFonts w:ascii="Arial" w:hAnsi="Arial" w:cs="Arial"/>
              </w:rPr>
              <w:t xml:space="preserve"> </w:t>
            </w:r>
            <w:r w:rsidRPr="00E44A83">
              <w:rPr>
                <w:rFonts w:ascii="Arial" w:hAnsi="Arial" w:cs="Arial"/>
              </w:rPr>
              <w:fldChar w:fldCharType="begin">
                <w:ffData>
                  <w:name w:val="Check16"/>
                  <w:enabled/>
                  <w:calcOnExit w:val="0"/>
                  <w:checkBox>
                    <w:sizeAuto/>
                    <w:default w:val="0"/>
                  </w:checkBox>
                </w:ffData>
              </w:fldChar>
            </w:r>
            <w:bookmarkStart w:id="2" w:name="Check16"/>
            <w:r w:rsidRPr="00E44A83">
              <w:rPr>
                <w:rFonts w:ascii="Arial" w:hAnsi="Arial" w:cs="Arial"/>
              </w:rPr>
              <w:instrText xml:space="preserve"> FORMCHECKBOX </w:instrText>
            </w:r>
            <w:r w:rsidRPr="00E44A83">
              <w:rPr>
                <w:rFonts w:ascii="Arial" w:hAnsi="Arial" w:cs="Arial"/>
              </w:rPr>
            </w:r>
            <w:r w:rsidRPr="00E44A83">
              <w:rPr>
                <w:rFonts w:ascii="Arial" w:hAnsi="Arial" w:cs="Arial"/>
              </w:rPr>
              <w:fldChar w:fldCharType="separate"/>
            </w:r>
            <w:r w:rsidRPr="00E44A83">
              <w:rPr>
                <w:rFonts w:ascii="Arial" w:hAnsi="Arial" w:cs="Arial"/>
              </w:rPr>
              <w:fldChar w:fldCharType="end"/>
            </w:r>
            <w:bookmarkEnd w:id="2"/>
            <w:r w:rsidRPr="00E44A83">
              <w:rPr>
                <w:rFonts w:ascii="Arial" w:hAnsi="Arial" w:cs="Arial"/>
              </w:rPr>
              <w:t xml:space="preserve">      5</w:t>
            </w:r>
            <w:r w:rsidRPr="00E44A83">
              <w:rPr>
                <w:rFonts w:ascii="Arial" w:hAnsi="Arial" w:cs="Arial"/>
                <w:vertAlign w:val="superscript"/>
              </w:rPr>
              <w:t>th</w:t>
            </w:r>
            <w:r w:rsidRPr="00E44A83">
              <w:rPr>
                <w:rFonts w:ascii="Arial" w:hAnsi="Arial" w:cs="Arial"/>
              </w:rPr>
              <w:t xml:space="preserve"> </w:t>
            </w:r>
            <w:r w:rsidRPr="00E44A83">
              <w:rPr>
                <w:rFonts w:ascii="Arial" w:hAnsi="Arial" w:cs="Arial"/>
              </w:rPr>
              <w:fldChar w:fldCharType="begin">
                <w:ffData>
                  <w:name w:val="Check17"/>
                  <w:enabled/>
                  <w:calcOnExit w:val="0"/>
                  <w:checkBox>
                    <w:sizeAuto/>
                    <w:default w:val="0"/>
                  </w:checkBox>
                </w:ffData>
              </w:fldChar>
            </w:r>
            <w:bookmarkStart w:id="3" w:name="Check17"/>
            <w:r w:rsidRPr="00E44A83">
              <w:rPr>
                <w:rFonts w:ascii="Arial" w:hAnsi="Arial" w:cs="Arial"/>
              </w:rPr>
              <w:instrText xml:space="preserve"> FORMCHECKBOX </w:instrText>
            </w:r>
            <w:r w:rsidRPr="00E44A83">
              <w:rPr>
                <w:rFonts w:ascii="Arial" w:hAnsi="Arial" w:cs="Arial"/>
              </w:rPr>
            </w:r>
            <w:r w:rsidRPr="00E44A83">
              <w:rPr>
                <w:rFonts w:ascii="Arial" w:hAnsi="Arial" w:cs="Arial"/>
              </w:rPr>
              <w:fldChar w:fldCharType="separate"/>
            </w:r>
            <w:r w:rsidRPr="00E44A83">
              <w:rPr>
                <w:rFonts w:ascii="Arial" w:hAnsi="Arial" w:cs="Arial"/>
              </w:rPr>
              <w:fldChar w:fldCharType="end"/>
            </w:r>
            <w:bookmarkEnd w:id="3"/>
            <w:r w:rsidRPr="00E44A83">
              <w:rPr>
                <w:rFonts w:ascii="Arial" w:hAnsi="Arial" w:cs="Arial"/>
              </w:rPr>
              <w:t xml:space="preserve">      6</w:t>
            </w:r>
            <w:r w:rsidRPr="00E44A83">
              <w:rPr>
                <w:rFonts w:ascii="Arial" w:hAnsi="Arial" w:cs="Arial"/>
                <w:vertAlign w:val="superscript"/>
              </w:rPr>
              <w:t>th</w:t>
            </w:r>
            <w:r w:rsidRPr="00E44A83">
              <w:rPr>
                <w:rFonts w:ascii="Arial" w:hAnsi="Arial" w:cs="Arial"/>
              </w:rPr>
              <w:t xml:space="preserve"> </w:t>
            </w:r>
            <w:r w:rsidRPr="00E44A83">
              <w:rPr>
                <w:rFonts w:ascii="Arial" w:hAnsi="Arial" w:cs="Arial"/>
              </w:rPr>
              <w:fldChar w:fldCharType="begin">
                <w:ffData>
                  <w:name w:val="Check18"/>
                  <w:enabled/>
                  <w:calcOnExit w:val="0"/>
                  <w:checkBox>
                    <w:sizeAuto/>
                    <w:default w:val="0"/>
                  </w:checkBox>
                </w:ffData>
              </w:fldChar>
            </w:r>
            <w:bookmarkStart w:id="4" w:name="Check18"/>
            <w:r w:rsidRPr="00E44A83">
              <w:rPr>
                <w:rFonts w:ascii="Arial" w:hAnsi="Arial" w:cs="Arial"/>
              </w:rPr>
              <w:instrText xml:space="preserve"> FORMCHECKBOX </w:instrText>
            </w:r>
            <w:r w:rsidRPr="00E44A83">
              <w:rPr>
                <w:rFonts w:ascii="Arial" w:hAnsi="Arial" w:cs="Arial"/>
              </w:rPr>
            </w:r>
            <w:r w:rsidRPr="00E44A83">
              <w:rPr>
                <w:rFonts w:ascii="Arial" w:hAnsi="Arial" w:cs="Arial"/>
              </w:rPr>
              <w:fldChar w:fldCharType="separate"/>
            </w:r>
            <w:r w:rsidRPr="00E44A83">
              <w:rPr>
                <w:rFonts w:ascii="Arial" w:hAnsi="Arial" w:cs="Arial"/>
              </w:rPr>
              <w:fldChar w:fldCharType="end"/>
            </w:r>
            <w:bookmarkEnd w:id="4"/>
            <w:r w:rsidRPr="00E44A83">
              <w:rPr>
                <w:rFonts w:ascii="Arial" w:hAnsi="Arial" w:cs="Arial"/>
              </w:rPr>
              <w:t xml:space="preserve">  </w:t>
            </w:r>
          </w:p>
          <w:p w14:paraId="5565564F" w14:textId="77777777" w:rsidR="007C1C79" w:rsidRPr="00E44A83" w:rsidRDefault="007C1C79" w:rsidP="00CC0753">
            <w:pPr>
              <w:rPr>
                <w:rFonts w:ascii="Arial" w:hAnsi="Arial" w:cs="Arial"/>
              </w:rPr>
            </w:pPr>
          </w:p>
          <w:p w14:paraId="2BACE792" w14:textId="0AEEFAB2" w:rsidR="007C1C79" w:rsidRPr="00E44A83" w:rsidRDefault="007C1C79" w:rsidP="00CC0753">
            <w:pPr>
              <w:rPr>
                <w:rFonts w:ascii="Arial" w:hAnsi="Arial" w:cs="Arial"/>
              </w:rPr>
            </w:pPr>
            <w:r w:rsidRPr="00E44A83">
              <w:rPr>
                <w:rFonts w:ascii="Arial" w:hAnsi="Arial" w:cs="Arial"/>
              </w:rPr>
              <w:t xml:space="preserve">(Madeline note: </w:t>
            </w:r>
            <w:r w:rsidR="000E13B3">
              <w:rPr>
                <w:rFonts w:ascii="Arial" w:hAnsi="Arial" w:cs="Arial"/>
              </w:rPr>
              <w:t>6th paper for</w:t>
            </w:r>
            <w:r w:rsidRPr="00E44A83">
              <w:rPr>
                <w:rFonts w:ascii="Arial" w:hAnsi="Arial" w:cs="Arial"/>
              </w:rPr>
              <w:t xml:space="preserve"> MA, </w:t>
            </w:r>
            <w:r w:rsidR="000E13B3">
              <w:rPr>
                <w:rFonts w:ascii="Arial" w:hAnsi="Arial" w:cs="Arial"/>
              </w:rPr>
              <w:t>1st</w:t>
            </w:r>
            <w:r w:rsidRPr="00E44A83">
              <w:rPr>
                <w:rFonts w:ascii="Arial" w:hAnsi="Arial" w:cs="Arial"/>
              </w:rPr>
              <w:t xml:space="preserve"> paper for HPCA701</w:t>
            </w:r>
            <w:r w:rsidR="000E13B3">
              <w:rPr>
                <w:rFonts w:ascii="Arial" w:hAnsi="Arial" w:cs="Arial"/>
              </w:rPr>
              <w:t>6</w:t>
            </w:r>
            <w:r w:rsidRPr="00E44A83">
              <w:rPr>
                <w:rFonts w:ascii="Arial" w:hAnsi="Arial" w:cs="Arial"/>
              </w:rPr>
              <w:t>)</w:t>
            </w:r>
          </w:p>
          <w:p w14:paraId="233CA1D6" w14:textId="77777777" w:rsidR="007C1C79" w:rsidRPr="00E44A83" w:rsidRDefault="007C1C79" w:rsidP="00CC0753">
            <w:pPr>
              <w:rPr>
                <w:rFonts w:ascii="Arial" w:hAnsi="Arial" w:cs="Arial"/>
              </w:rPr>
            </w:pPr>
          </w:p>
        </w:tc>
      </w:tr>
      <w:tr w:rsidR="007C1C79" w:rsidRPr="00E44A83" w14:paraId="079227E9" w14:textId="77777777" w:rsidTr="00CC0753">
        <w:trPr>
          <w:trHeight w:val="978"/>
        </w:trPr>
        <w:tc>
          <w:tcPr>
            <w:tcW w:w="8856" w:type="dxa"/>
            <w:gridSpan w:val="5"/>
            <w:shd w:val="clear" w:color="auto" w:fill="D9D9D9"/>
          </w:tcPr>
          <w:p w14:paraId="2BEE9171" w14:textId="77777777"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I confirm that this is my original work and that I have adhered to the University policy on plagiarism.</w:t>
            </w:r>
          </w:p>
          <w:p w14:paraId="7A4E560B" w14:textId="77777777"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Signed …………………Madeline Cheng…………………………………………</w:t>
            </w:r>
          </w:p>
          <w:p w14:paraId="2A47D477" w14:textId="77777777" w:rsidR="007C1C79" w:rsidRPr="00E44A83" w:rsidRDefault="007C1C79" w:rsidP="00CC0753">
            <w:pPr>
              <w:pStyle w:val="NormalWeb"/>
              <w:spacing w:before="0" w:beforeAutospacing="0" w:after="0" w:afterAutospacing="0"/>
              <w:ind w:right="34"/>
              <w:rPr>
                <w:rFonts w:ascii="Arial" w:hAnsi="Arial" w:cs="Arial"/>
                <w:sz w:val="22"/>
                <w:szCs w:val="22"/>
              </w:rPr>
            </w:pPr>
          </w:p>
          <w:p w14:paraId="20AEA56F" w14:textId="77777777" w:rsidR="007C1C79" w:rsidRPr="00E44A83" w:rsidRDefault="007C1C79" w:rsidP="00CC0753">
            <w:pPr>
              <w:pStyle w:val="NormalWeb"/>
              <w:spacing w:before="0" w:beforeAutospacing="0" w:after="0" w:afterAutospacing="0"/>
              <w:ind w:right="34"/>
              <w:rPr>
                <w:rFonts w:ascii="Arial" w:hAnsi="Arial" w:cs="Arial"/>
                <w:b/>
                <w:sz w:val="44"/>
                <w:szCs w:val="44"/>
              </w:rPr>
            </w:pPr>
            <w:r w:rsidRPr="00E44A83">
              <w:rPr>
                <w:rFonts w:ascii="Arial" w:hAnsi="Arial" w:cs="Arial"/>
                <w:b/>
                <w:sz w:val="24"/>
                <w:szCs w:val="24"/>
              </w:rPr>
              <w:t xml:space="preserve">Email submission: if you are submitting this form via email, please tick this box </w:t>
            </w:r>
            <w:r w:rsidRPr="00E44A83">
              <w:rPr>
                <w:rFonts w:ascii="Arial" w:hAnsi="Arial" w:cs="Arial"/>
                <w:sz w:val="22"/>
                <w:szCs w:val="22"/>
              </w:rPr>
              <w:fldChar w:fldCharType="begin">
                <w:ffData>
                  <w:name w:val=""/>
                  <w:enabled/>
                  <w:calcOnExit w:val="0"/>
                  <w:checkBox>
                    <w:sizeAuto/>
                    <w:default w:val="1"/>
                  </w:checkBox>
                </w:ffData>
              </w:fldChar>
            </w:r>
            <w:r w:rsidRPr="00E44A83">
              <w:rPr>
                <w:rFonts w:ascii="Arial" w:hAnsi="Arial" w:cs="Arial"/>
                <w:sz w:val="22"/>
                <w:szCs w:val="22"/>
              </w:rPr>
              <w:instrText xml:space="preserve"> FORMCHECKBOX </w:instrText>
            </w:r>
            <w:r w:rsidRPr="00E44A83">
              <w:rPr>
                <w:rFonts w:ascii="Arial" w:hAnsi="Arial" w:cs="Arial"/>
                <w:sz w:val="22"/>
                <w:szCs w:val="22"/>
              </w:rPr>
            </w:r>
            <w:r w:rsidRPr="00E44A83">
              <w:rPr>
                <w:rFonts w:ascii="Arial" w:hAnsi="Arial" w:cs="Arial"/>
                <w:sz w:val="22"/>
                <w:szCs w:val="22"/>
              </w:rPr>
              <w:fldChar w:fldCharType="separate"/>
            </w:r>
            <w:r w:rsidRPr="00E44A83">
              <w:rPr>
                <w:rFonts w:ascii="Arial" w:hAnsi="Arial" w:cs="Arial"/>
                <w:sz w:val="22"/>
                <w:szCs w:val="22"/>
              </w:rPr>
              <w:fldChar w:fldCharType="end"/>
            </w:r>
          </w:p>
          <w:p w14:paraId="670D62BF" w14:textId="77777777" w:rsidR="007C1C79" w:rsidRPr="00E44A83" w:rsidRDefault="007C1C79" w:rsidP="00CC0753">
            <w:pPr>
              <w:pStyle w:val="NormalWeb"/>
              <w:spacing w:before="0" w:beforeAutospacing="0" w:after="0" w:afterAutospacing="0"/>
              <w:ind w:right="34"/>
              <w:rPr>
                <w:rFonts w:ascii="Arial" w:hAnsi="Arial" w:cs="Arial"/>
                <w:sz w:val="22"/>
                <w:szCs w:val="22"/>
              </w:rPr>
            </w:pPr>
            <w:r w:rsidRPr="00E44A83">
              <w:rPr>
                <w:rFonts w:ascii="Arial" w:hAnsi="Arial" w:cs="Arial"/>
                <w:b/>
                <w:sz w:val="24"/>
                <w:szCs w:val="24"/>
              </w:rPr>
              <w:t>(as a substitute for your signature) to confirm that you agree to the above declaration.</w:t>
            </w:r>
          </w:p>
        </w:tc>
      </w:tr>
      <w:tr w:rsidR="007C1C79" w:rsidRPr="00E44A83" w14:paraId="5A67D1B9" w14:textId="77777777" w:rsidTr="00CC0753">
        <w:trPr>
          <w:trHeight w:val="3972"/>
        </w:trPr>
        <w:tc>
          <w:tcPr>
            <w:tcW w:w="8856" w:type="dxa"/>
            <w:gridSpan w:val="5"/>
          </w:tcPr>
          <w:p w14:paraId="0D11C60D" w14:textId="77777777" w:rsidR="007C1C79" w:rsidRPr="00E44A83" w:rsidRDefault="007C1C79" w:rsidP="00CC0753">
            <w:pPr>
              <w:rPr>
                <w:rFonts w:ascii="Arial" w:hAnsi="Arial" w:cs="Arial"/>
                <w:b/>
              </w:rPr>
            </w:pPr>
          </w:p>
          <w:p w14:paraId="7DE7A13C" w14:textId="77777777" w:rsidR="007C1C79" w:rsidRPr="00E44A83" w:rsidRDefault="007C1C79" w:rsidP="00CC0753">
            <w:pPr>
              <w:rPr>
                <w:rFonts w:ascii="Arial" w:hAnsi="Arial" w:cs="Arial"/>
                <w:b/>
              </w:rPr>
            </w:pPr>
            <w:r w:rsidRPr="00E44A83">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C1C79" w:rsidRPr="00E44A83" w14:paraId="60C11603" w14:textId="77777777" w:rsidTr="00CC0753">
              <w:tc>
                <w:tcPr>
                  <w:tcW w:w="6970" w:type="dxa"/>
                </w:tcPr>
                <w:p w14:paraId="3A2163B2" w14:textId="77777777" w:rsidR="007C1C79" w:rsidRPr="00E44A83" w:rsidRDefault="007C1C79" w:rsidP="00CC0753">
                  <w:pPr>
                    <w:rPr>
                      <w:rFonts w:ascii="Arial" w:hAnsi="Arial" w:cs="Arial"/>
                      <w:sz w:val="20"/>
                      <w:szCs w:val="20"/>
                    </w:rPr>
                  </w:pPr>
                </w:p>
                <w:p w14:paraId="2DFA88E5" w14:textId="77777777" w:rsidR="007C1C79" w:rsidRPr="00E44A83" w:rsidRDefault="007C1C79" w:rsidP="00CC0753">
                  <w:pPr>
                    <w:rPr>
                      <w:rFonts w:ascii="Arial" w:hAnsi="Arial" w:cs="Arial"/>
                      <w:b/>
                      <w:sz w:val="20"/>
                      <w:szCs w:val="20"/>
                    </w:rPr>
                  </w:pPr>
                  <w:r w:rsidRPr="00E44A83">
                    <w:rPr>
                      <w:rFonts w:ascii="Arial" w:hAnsi="Arial" w:cs="Arial"/>
                      <w:b/>
                      <w:sz w:val="20"/>
                      <w:szCs w:val="20"/>
                    </w:rPr>
                    <w:t>Final Mark</w:t>
                  </w:r>
                </w:p>
                <w:p w14:paraId="7F627BE0" w14:textId="77777777" w:rsidR="007C1C79" w:rsidRPr="00E44A83" w:rsidRDefault="007C1C79" w:rsidP="00CC0753">
                  <w:pPr>
                    <w:rPr>
                      <w:rFonts w:ascii="Arial" w:hAnsi="Arial" w:cs="Arial"/>
                      <w:sz w:val="20"/>
                      <w:szCs w:val="20"/>
                    </w:rPr>
                  </w:pPr>
                </w:p>
              </w:tc>
              <w:tc>
                <w:tcPr>
                  <w:tcW w:w="1660" w:type="dxa"/>
                </w:tcPr>
                <w:p w14:paraId="0037338B" w14:textId="77777777" w:rsidR="007C1C79" w:rsidRPr="00E44A83" w:rsidRDefault="007C1C79" w:rsidP="00CC0753">
                  <w:pPr>
                    <w:rPr>
                      <w:rFonts w:ascii="Arial" w:hAnsi="Arial" w:cs="Arial"/>
                      <w:sz w:val="20"/>
                      <w:szCs w:val="20"/>
                    </w:rPr>
                  </w:pPr>
                  <w:r w:rsidRPr="00E44A83">
                    <w:rPr>
                      <w:rFonts w:ascii="Arial" w:hAnsi="Arial" w:cs="Arial"/>
                      <w:sz w:val="20"/>
                      <w:szCs w:val="20"/>
                    </w:rPr>
                    <w:t>WILL BE GIVEN ON TURNITIN</w:t>
                  </w:r>
                </w:p>
              </w:tc>
            </w:tr>
          </w:tbl>
          <w:p w14:paraId="6A766BF9" w14:textId="77777777" w:rsidR="007C1C79" w:rsidRPr="00E44A83" w:rsidRDefault="007C1C79" w:rsidP="00CC0753">
            <w:pPr>
              <w:pStyle w:val="NormalWeb"/>
              <w:spacing w:before="0" w:beforeAutospacing="0" w:after="0" w:afterAutospacing="0"/>
              <w:ind w:left="142" w:right="34"/>
              <w:rPr>
                <w:rFonts w:ascii="Arial" w:hAnsi="Arial" w:cs="Arial"/>
                <w:b/>
                <w:sz w:val="22"/>
                <w:szCs w:val="22"/>
              </w:rPr>
            </w:pPr>
          </w:p>
          <w:p w14:paraId="5C19137C" w14:textId="77777777" w:rsidR="007C1C79" w:rsidRPr="00E44A83" w:rsidRDefault="007C1C79" w:rsidP="00CC0753">
            <w:pPr>
              <w:pStyle w:val="NormalWeb"/>
              <w:spacing w:before="0" w:beforeAutospacing="0" w:after="0" w:afterAutospacing="0"/>
              <w:ind w:left="142" w:right="34"/>
              <w:rPr>
                <w:rFonts w:ascii="Arial" w:hAnsi="Arial" w:cs="Arial"/>
                <w:sz w:val="22"/>
                <w:szCs w:val="22"/>
              </w:rPr>
            </w:pPr>
            <w:r w:rsidRPr="00E44A83">
              <w:rPr>
                <w:rFonts w:ascii="Arial" w:hAnsi="Arial" w:cs="Arial"/>
                <w:b/>
                <w:sz w:val="22"/>
                <w:szCs w:val="22"/>
              </w:rPr>
              <w:t>NB.</w:t>
            </w:r>
            <w:r w:rsidRPr="00E44A83">
              <w:rPr>
                <w:rFonts w:ascii="Arial" w:hAnsi="Arial" w:cs="Arial"/>
                <w:sz w:val="22"/>
                <w:szCs w:val="22"/>
              </w:rPr>
              <w:t xml:space="preserve">  All marks are provisional until confirmed by the Final Examination Board.</w:t>
            </w:r>
          </w:p>
          <w:p w14:paraId="490D68B1" w14:textId="77777777" w:rsidR="007C1C79" w:rsidRPr="00E44A83" w:rsidRDefault="007C1C79" w:rsidP="00CC0753">
            <w:pPr>
              <w:pStyle w:val="NormalWeb"/>
              <w:spacing w:before="0" w:beforeAutospacing="0" w:after="0" w:afterAutospacing="0"/>
              <w:rPr>
                <w:rFonts w:ascii="Arial" w:hAnsi="Arial" w:cs="Arial"/>
                <w:b/>
                <w:sz w:val="22"/>
                <w:szCs w:val="22"/>
              </w:rPr>
            </w:pPr>
          </w:p>
          <w:p w14:paraId="227636AE" w14:textId="77777777" w:rsidR="007C1C79" w:rsidRPr="00E44A83" w:rsidRDefault="007C1C79" w:rsidP="00CC0753">
            <w:pPr>
              <w:pStyle w:val="NormalWeb"/>
              <w:spacing w:before="0" w:beforeAutospacing="0" w:after="0" w:afterAutospacing="0"/>
              <w:rPr>
                <w:rFonts w:ascii="Arial" w:hAnsi="Arial" w:cs="Arial"/>
                <w:b/>
                <w:sz w:val="22"/>
                <w:szCs w:val="22"/>
              </w:rPr>
            </w:pPr>
            <w:r w:rsidRPr="00E44A83">
              <w:rPr>
                <w:rFonts w:ascii="Arial" w:hAnsi="Arial" w:cs="Arial"/>
                <w:b/>
                <w:sz w:val="22"/>
                <w:szCs w:val="22"/>
              </w:rPr>
              <w:t>PLEASE NOTE: ALL COMMENTS WIL BE POSTED ON TURNITIN</w:t>
            </w:r>
          </w:p>
          <w:p w14:paraId="2C1C65AA" w14:textId="77777777" w:rsidR="007C1C79" w:rsidRPr="00E44A83" w:rsidRDefault="007C1C79" w:rsidP="00CC0753">
            <w:pPr>
              <w:pStyle w:val="NormalWeb"/>
              <w:spacing w:before="0" w:beforeAutospacing="0" w:after="0" w:afterAutospacing="0"/>
              <w:rPr>
                <w:rFonts w:ascii="Arial" w:hAnsi="Arial" w:cs="Arial"/>
                <w:b/>
                <w:sz w:val="22"/>
                <w:szCs w:val="22"/>
              </w:rPr>
            </w:pPr>
          </w:p>
          <w:p w14:paraId="5874E3ED" w14:textId="77777777" w:rsidR="007C1C79" w:rsidRPr="00E44A83" w:rsidRDefault="007C1C79" w:rsidP="00CC0753">
            <w:pPr>
              <w:pStyle w:val="NormalWeb"/>
              <w:spacing w:before="0" w:beforeAutospacing="0" w:after="0" w:afterAutospacing="0"/>
              <w:rPr>
                <w:rFonts w:ascii="Arial" w:hAnsi="Arial" w:cs="Arial"/>
                <w:b/>
                <w:sz w:val="22"/>
                <w:szCs w:val="22"/>
              </w:rPr>
            </w:pPr>
          </w:p>
          <w:p w14:paraId="1758EBA5" w14:textId="77777777" w:rsidR="007C1C79" w:rsidRPr="00E44A83" w:rsidRDefault="007C1C79" w:rsidP="00CC0753">
            <w:pPr>
              <w:pStyle w:val="NormalWeb"/>
              <w:spacing w:before="0" w:beforeAutospacing="0" w:after="0" w:afterAutospacing="0"/>
              <w:rPr>
                <w:rFonts w:ascii="Arial" w:hAnsi="Arial" w:cs="Arial"/>
                <w:b/>
                <w:sz w:val="22"/>
                <w:szCs w:val="22"/>
              </w:rPr>
            </w:pPr>
            <w:r w:rsidRPr="00E44A83">
              <w:rPr>
                <w:rFonts w:ascii="Arial" w:hAnsi="Arial" w:cs="Arial"/>
                <w:b/>
                <w:sz w:val="22"/>
                <w:szCs w:val="22"/>
              </w:rPr>
              <w:t xml:space="preserve">For completion by Marker </w:t>
            </w:r>
            <w:proofErr w:type="gramStart"/>
            <w:r w:rsidRPr="00E44A83">
              <w:rPr>
                <w:rFonts w:ascii="Arial" w:hAnsi="Arial" w:cs="Arial"/>
                <w:b/>
                <w:sz w:val="22"/>
                <w:szCs w:val="22"/>
              </w:rPr>
              <w:t>1 :</w:t>
            </w:r>
            <w:proofErr w:type="gramEnd"/>
          </w:p>
          <w:p w14:paraId="4954C5AC" w14:textId="77777777" w:rsidR="007C1C79" w:rsidRPr="00E44A83" w:rsidRDefault="007C1C79" w:rsidP="00CC0753">
            <w:pPr>
              <w:pStyle w:val="NormalWeb"/>
              <w:rPr>
                <w:rFonts w:ascii="Arial" w:hAnsi="Arial" w:cs="Arial"/>
                <w:sz w:val="22"/>
                <w:szCs w:val="22"/>
              </w:rPr>
            </w:pPr>
            <w:r w:rsidRPr="00E44A83">
              <w:rPr>
                <w:rFonts w:ascii="Arial" w:hAnsi="Arial" w:cs="Arial"/>
                <w:sz w:val="22"/>
                <w:szCs w:val="22"/>
              </w:rPr>
              <w:t>Comments:</w:t>
            </w:r>
          </w:p>
          <w:p w14:paraId="5430422E" w14:textId="77777777" w:rsidR="007C1C79" w:rsidRPr="00E44A83" w:rsidRDefault="007C1C79" w:rsidP="00CC0753">
            <w:pPr>
              <w:pStyle w:val="NormalWeb"/>
              <w:rPr>
                <w:rFonts w:ascii="Arial" w:hAnsi="Arial" w:cs="Arial"/>
                <w:sz w:val="22"/>
                <w:szCs w:val="22"/>
              </w:rPr>
            </w:pPr>
          </w:p>
        </w:tc>
      </w:tr>
      <w:tr w:rsidR="007C1C79" w:rsidRPr="00E44A83" w14:paraId="2EC2427C" w14:textId="77777777" w:rsidTr="00CC0753">
        <w:trPr>
          <w:trHeight w:val="492"/>
        </w:trPr>
        <w:tc>
          <w:tcPr>
            <w:tcW w:w="6768" w:type="dxa"/>
            <w:gridSpan w:val="3"/>
          </w:tcPr>
          <w:p w14:paraId="5BE59F71" w14:textId="77777777" w:rsidR="007C1C79" w:rsidRPr="00E44A83" w:rsidRDefault="007C1C79" w:rsidP="00CC0753">
            <w:pPr>
              <w:pStyle w:val="NormalWeb"/>
              <w:ind w:left="142" w:right="34"/>
              <w:rPr>
                <w:rFonts w:ascii="Arial" w:hAnsi="Arial" w:cs="Arial"/>
                <w:sz w:val="22"/>
                <w:szCs w:val="22"/>
              </w:rPr>
            </w:pPr>
            <w:r w:rsidRPr="00E44A83">
              <w:rPr>
                <w:rFonts w:ascii="Arial" w:hAnsi="Arial" w:cs="Arial"/>
                <w:sz w:val="22"/>
                <w:szCs w:val="22"/>
              </w:rPr>
              <w:t>Marker’s signature:</w:t>
            </w:r>
          </w:p>
        </w:tc>
        <w:tc>
          <w:tcPr>
            <w:tcW w:w="2088" w:type="dxa"/>
            <w:gridSpan w:val="2"/>
          </w:tcPr>
          <w:p w14:paraId="132287D9" w14:textId="77777777" w:rsidR="007C1C79" w:rsidRPr="00E44A83" w:rsidRDefault="007C1C79" w:rsidP="00CC0753">
            <w:pPr>
              <w:pStyle w:val="NormalWeb"/>
              <w:spacing w:after="0"/>
              <w:ind w:left="142" w:right="34"/>
              <w:rPr>
                <w:rFonts w:ascii="Arial" w:hAnsi="Arial" w:cs="Arial"/>
                <w:sz w:val="22"/>
                <w:szCs w:val="22"/>
              </w:rPr>
            </w:pPr>
            <w:r w:rsidRPr="00E44A83">
              <w:rPr>
                <w:rFonts w:ascii="Arial" w:hAnsi="Arial" w:cs="Arial"/>
                <w:sz w:val="22"/>
                <w:szCs w:val="22"/>
              </w:rPr>
              <w:t>Date:</w:t>
            </w:r>
          </w:p>
        </w:tc>
      </w:tr>
      <w:tr w:rsidR="007C1C79" w:rsidRPr="00E44A83" w14:paraId="41E83E84" w14:textId="77777777" w:rsidTr="00CC0753">
        <w:tc>
          <w:tcPr>
            <w:tcW w:w="8856" w:type="dxa"/>
            <w:gridSpan w:val="5"/>
          </w:tcPr>
          <w:p w14:paraId="6D7D60CB" w14:textId="77777777" w:rsidR="007C1C79" w:rsidRPr="00E44A83" w:rsidRDefault="007C1C79" w:rsidP="00CC0753">
            <w:pPr>
              <w:pStyle w:val="NormalWeb"/>
              <w:spacing w:before="0" w:beforeAutospacing="0" w:after="0" w:afterAutospacing="0"/>
              <w:ind w:right="-334"/>
              <w:rPr>
                <w:rFonts w:ascii="Arial" w:hAnsi="Arial" w:cs="Arial"/>
                <w:bCs/>
                <w:i/>
                <w:sz w:val="22"/>
                <w:szCs w:val="22"/>
              </w:rPr>
            </w:pPr>
          </w:p>
          <w:p w14:paraId="7DF72C1A" w14:textId="77777777" w:rsidR="007C1C79" w:rsidRPr="00E44A83" w:rsidRDefault="007C1C79" w:rsidP="00CC0753">
            <w:pPr>
              <w:pStyle w:val="NormalWeb"/>
              <w:spacing w:before="0" w:beforeAutospacing="0" w:after="0" w:afterAutospacing="0"/>
              <w:ind w:right="-334"/>
              <w:rPr>
                <w:rFonts w:ascii="Arial" w:hAnsi="Arial" w:cs="Arial"/>
                <w:b/>
                <w:bCs/>
                <w:sz w:val="22"/>
                <w:szCs w:val="22"/>
              </w:rPr>
            </w:pPr>
            <w:r w:rsidRPr="00E44A83">
              <w:rPr>
                <w:rFonts w:ascii="Arial" w:hAnsi="Arial" w:cs="Arial"/>
                <w:b/>
                <w:bCs/>
                <w:sz w:val="22"/>
                <w:szCs w:val="22"/>
              </w:rPr>
              <w:t>For completion by Marker 2/Moderator:</w:t>
            </w:r>
          </w:p>
          <w:p w14:paraId="0E63D211" w14:textId="77777777" w:rsidR="007C1C79" w:rsidRPr="00E44A83" w:rsidRDefault="007C1C79" w:rsidP="00CC0753">
            <w:pPr>
              <w:pStyle w:val="NormalWeb"/>
              <w:spacing w:before="0" w:beforeAutospacing="0" w:after="0" w:afterAutospacing="0"/>
              <w:ind w:right="-334"/>
              <w:rPr>
                <w:rFonts w:ascii="Arial" w:hAnsi="Arial" w:cs="Arial"/>
                <w:b/>
                <w:bCs/>
                <w:sz w:val="22"/>
                <w:szCs w:val="22"/>
              </w:rPr>
            </w:pPr>
          </w:p>
          <w:p w14:paraId="267E89F4" w14:textId="77777777" w:rsidR="007C1C79" w:rsidRPr="00E44A83" w:rsidRDefault="007C1C79" w:rsidP="00CC0753">
            <w:pPr>
              <w:pStyle w:val="NormalWeb"/>
              <w:spacing w:before="0" w:beforeAutospacing="0" w:after="0" w:afterAutospacing="0"/>
              <w:ind w:right="-334"/>
              <w:rPr>
                <w:rFonts w:ascii="Arial" w:hAnsi="Arial" w:cs="Arial"/>
                <w:bCs/>
                <w:sz w:val="22"/>
                <w:szCs w:val="22"/>
              </w:rPr>
            </w:pPr>
            <w:r w:rsidRPr="00E44A83">
              <w:rPr>
                <w:rFonts w:ascii="Arial" w:hAnsi="Arial" w:cs="Arial"/>
                <w:bCs/>
                <w:sz w:val="22"/>
                <w:szCs w:val="22"/>
              </w:rPr>
              <w:t>Comments:</w:t>
            </w:r>
          </w:p>
          <w:p w14:paraId="5F7F1CD2" w14:textId="77777777" w:rsidR="007C1C79" w:rsidRPr="00E44A83" w:rsidRDefault="007C1C79" w:rsidP="00CC0753">
            <w:pPr>
              <w:pStyle w:val="NormalWeb"/>
              <w:spacing w:before="0" w:beforeAutospacing="0" w:after="0" w:afterAutospacing="0"/>
              <w:ind w:right="-334"/>
              <w:rPr>
                <w:rFonts w:ascii="Arial" w:hAnsi="Arial" w:cs="Arial"/>
                <w:bCs/>
                <w:sz w:val="22"/>
                <w:szCs w:val="22"/>
              </w:rPr>
            </w:pPr>
          </w:p>
          <w:p w14:paraId="2A81938F" w14:textId="77777777" w:rsidR="007C1C79" w:rsidRPr="00E44A83" w:rsidRDefault="007C1C79" w:rsidP="00CC0753">
            <w:pPr>
              <w:pStyle w:val="NormalWeb"/>
              <w:spacing w:before="0" w:beforeAutospacing="0" w:after="0" w:afterAutospacing="0"/>
              <w:ind w:right="-334"/>
              <w:rPr>
                <w:rFonts w:ascii="Arial" w:hAnsi="Arial" w:cs="Arial"/>
                <w:bCs/>
                <w:sz w:val="22"/>
                <w:szCs w:val="22"/>
              </w:rPr>
            </w:pPr>
          </w:p>
          <w:p w14:paraId="4806A4AC" w14:textId="77777777" w:rsidR="007C1C79" w:rsidRPr="00E44A83" w:rsidRDefault="007C1C79" w:rsidP="00CC0753">
            <w:pPr>
              <w:pStyle w:val="NormalWeb"/>
              <w:spacing w:before="0" w:beforeAutospacing="0" w:after="0" w:afterAutospacing="0"/>
              <w:ind w:right="-334"/>
              <w:rPr>
                <w:rFonts w:ascii="Arial" w:hAnsi="Arial" w:cs="Arial"/>
                <w:bCs/>
                <w:sz w:val="22"/>
                <w:szCs w:val="22"/>
              </w:rPr>
            </w:pPr>
          </w:p>
        </w:tc>
      </w:tr>
      <w:tr w:rsidR="007C1C79" w:rsidRPr="00E44A83" w14:paraId="4D8AB4CC" w14:textId="77777777" w:rsidTr="00CC0753">
        <w:trPr>
          <w:trHeight w:val="720"/>
        </w:trPr>
        <w:tc>
          <w:tcPr>
            <w:tcW w:w="5211" w:type="dxa"/>
            <w:gridSpan w:val="2"/>
          </w:tcPr>
          <w:p w14:paraId="05B3143D" w14:textId="77777777" w:rsidR="007C1C79" w:rsidRPr="00E44A83" w:rsidRDefault="007C1C79" w:rsidP="00CC0753">
            <w:pPr>
              <w:pStyle w:val="NormalWeb"/>
              <w:spacing w:before="0" w:beforeAutospacing="0" w:after="0" w:afterAutospacing="0"/>
              <w:ind w:right="-334"/>
              <w:rPr>
                <w:rFonts w:ascii="Arial" w:hAnsi="Arial" w:cs="Arial"/>
                <w:bCs/>
                <w:sz w:val="22"/>
                <w:szCs w:val="22"/>
              </w:rPr>
            </w:pPr>
            <w:r w:rsidRPr="00E44A83">
              <w:rPr>
                <w:rFonts w:ascii="Arial" w:hAnsi="Arial" w:cs="Arial"/>
                <w:bCs/>
                <w:sz w:val="22"/>
                <w:szCs w:val="22"/>
              </w:rPr>
              <w:t>Marker’s Signature:</w:t>
            </w:r>
          </w:p>
        </w:tc>
        <w:tc>
          <w:tcPr>
            <w:tcW w:w="3645" w:type="dxa"/>
            <w:gridSpan w:val="3"/>
          </w:tcPr>
          <w:p w14:paraId="421C2A2C" w14:textId="77777777" w:rsidR="007C1C79" w:rsidRPr="00E44A83" w:rsidRDefault="007C1C79" w:rsidP="00CC0753">
            <w:pPr>
              <w:pStyle w:val="NormalWeb"/>
              <w:spacing w:before="0" w:beforeAutospacing="0" w:after="0" w:afterAutospacing="0"/>
              <w:ind w:right="-334"/>
              <w:rPr>
                <w:rFonts w:ascii="Arial" w:hAnsi="Arial" w:cs="Arial"/>
                <w:bCs/>
                <w:sz w:val="22"/>
                <w:szCs w:val="22"/>
              </w:rPr>
            </w:pPr>
            <w:r w:rsidRPr="00E44A83">
              <w:rPr>
                <w:rFonts w:ascii="Arial" w:hAnsi="Arial" w:cs="Arial"/>
                <w:bCs/>
                <w:sz w:val="22"/>
                <w:szCs w:val="22"/>
              </w:rPr>
              <w:t>Date:</w:t>
            </w:r>
          </w:p>
        </w:tc>
      </w:tr>
      <w:tr w:rsidR="007C1C79" w:rsidRPr="00E44A83" w14:paraId="7151E4D0" w14:textId="77777777" w:rsidTr="00CC0753">
        <w:trPr>
          <w:trHeight w:val="720"/>
        </w:trPr>
        <w:tc>
          <w:tcPr>
            <w:tcW w:w="8856" w:type="dxa"/>
            <w:gridSpan w:val="5"/>
          </w:tcPr>
          <w:p w14:paraId="5D46D5A4" w14:textId="77777777" w:rsidR="007C1C79" w:rsidRPr="00E44A83" w:rsidRDefault="007C1C79" w:rsidP="00CC0753">
            <w:pPr>
              <w:rPr>
                <w:rFonts w:ascii="Arial" w:hAnsi="Arial" w:cs="Arial"/>
                <w:b/>
              </w:rPr>
            </w:pPr>
            <w:r w:rsidRPr="00E44A83">
              <w:rPr>
                <w:rFonts w:ascii="Arial" w:hAnsi="Arial" w:cs="Arial"/>
                <w:b/>
              </w:rPr>
              <w:t>AGREED INTERNAL MARK (where necessary):</w:t>
            </w:r>
          </w:p>
          <w:p w14:paraId="017EE520" w14:textId="77777777" w:rsidR="007C1C79" w:rsidRPr="00E44A83" w:rsidRDefault="007C1C79" w:rsidP="00CC0753">
            <w:pPr>
              <w:rPr>
                <w:rFonts w:ascii="Arial" w:hAnsi="Arial" w:cs="Arial"/>
                <w:b/>
              </w:rPr>
            </w:pPr>
          </w:p>
          <w:p w14:paraId="7C28A95B" w14:textId="77777777" w:rsidR="007C1C79" w:rsidRPr="00E44A83" w:rsidRDefault="007C1C79" w:rsidP="00CC0753">
            <w:pPr>
              <w:rPr>
                <w:rFonts w:ascii="Arial" w:hAnsi="Arial" w:cs="Arial"/>
                <w:b/>
              </w:rPr>
            </w:pPr>
            <w:r w:rsidRPr="00E44A83">
              <w:rPr>
                <w:rFonts w:ascii="Arial" w:hAnsi="Arial" w:cs="Arial"/>
                <w:b/>
              </w:rPr>
              <w:t>Comment on process of arriving at agreed mark:</w:t>
            </w:r>
          </w:p>
          <w:p w14:paraId="3EF5F2C2" w14:textId="77777777" w:rsidR="007C1C79" w:rsidRPr="00E44A83" w:rsidRDefault="007C1C79" w:rsidP="00CC0753">
            <w:pPr>
              <w:rPr>
                <w:rFonts w:ascii="Arial" w:hAnsi="Arial" w:cs="Arial"/>
                <w:b/>
              </w:rPr>
            </w:pPr>
          </w:p>
          <w:p w14:paraId="7C6ED4AA" w14:textId="77777777" w:rsidR="007C1C79" w:rsidRPr="00E44A83" w:rsidRDefault="007C1C79" w:rsidP="00CC0753">
            <w:pPr>
              <w:rPr>
                <w:rFonts w:ascii="Arial" w:hAnsi="Arial" w:cs="Arial"/>
                <w:b/>
              </w:rPr>
            </w:pPr>
          </w:p>
          <w:p w14:paraId="42E175F1" w14:textId="77777777" w:rsidR="007C1C79" w:rsidRPr="00E44A83" w:rsidRDefault="007C1C79" w:rsidP="00CC0753">
            <w:pPr>
              <w:rPr>
                <w:rFonts w:ascii="Arial" w:hAnsi="Arial" w:cs="Arial"/>
                <w:b/>
              </w:rPr>
            </w:pPr>
          </w:p>
          <w:p w14:paraId="5E7685E0" w14:textId="77777777" w:rsidR="007C1C79" w:rsidRPr="00E44A83" w:rsidRDefault="007C1C79" w:rsidP="00CC0753">
            <w:pPr>
              <w:rPr>
                <w:rFonts w:ascii="Arial" w:hAnsi="Arial" w:cs="Arial"/>
                <w:b/>
              </w:rPr>
            </w:pPr>
          </w:p>
          <w:p w14:paraId="03FACEBA" w14:textId="77777777" w:rsidR="007C1C79" w:rsidRPr="00E44A83" w:rsidRDefault="007C1C79" w:rsidP="00CC0753">
            <w:pPr>
              <w:rPr>
                <w:rFonts w:ascii="Arial" w:hAnsi="Arial" w:cs="Arial"/>
                <w:b/>
              </w:rPr>
            </w:pPr>
          </w:p>
          <w:p w14:paraId="47D95BB5" w14:textId="77777777" w:rsidR="007C1C79" w:rsidRPr="00E44A83" w:rsidRDefault="007C1C79" w:rsidP="00CC0753">
            <w:pPr>
              <w:rPr>
                <w:rFonts w:ascii="Arial" w:hAnsi="Arial" w:cs="Arial"/>
                <w:b/>
              </w:rPr>
            </w:pPr>
          </w:p>
          <w:p w14:paraId="78A01A0C" w14:textId="77777777" w:rsidR="007C1C79" w:rsidRPr="00E44A83" w:rsidRDefault="007C1C79" w:rsidP="00CC0753">
            <w:pPr>
              <w:rPr>
                <w:rFonts w:ascii="Arial" w:hAnsi="Arial" w:cs="Arial"/>
                <w:b/>
              </w:rPr>
            </w:pPr>
          </w:p>
          <w:p w14:paraId="311442C2" w14:textId="77777777" w:rsidR="007C1C79" w:rsidRPr="00E44A83" w:rsidRDefault="007C1C79" w:rsidP="00CC0753">
            <w:pPr>
              <w:rPr>
                <w:rFonts w:ascii="Arial" w:hAnsi="Arial" w:cs="Arial"/>
                <w:b/>
              </w:rPr>
            </w:pPr>
          </w:p>
        </w:tc>
      </w:tr>
      <w:tr w:rsidR="007C1C79" w:rsidRPr="00E44A83" w14:paraId="166B52ED" w14:textId="77777777" w:rsidTr="00CC0753">
        <w:trPr>
          <w:trHeight w:val="720"/>
        </w:trPr>
        <w:tc>
          <w:tcPr>
            <w:tcW w:w="8856" w:type="dxa"/>
            <w:gridSpan w:val="5"/>
          </w:tcPr>
          <w:p w14:paraId="6DC405AF" w14:textId="77777777" w:rsidR="007C1C79" w:rsidRPr="00E44A83" w:rsidRDefault="007C1C79" w:rsidP="00CC0753">
            <w:pPr>
              <w:rPr>
                <w:rFonts w:ascii="Arial" w:hAnsi="Arial" w:cs="Arial"/>
                <w:b/>
              </w:rPr>
            </w:pPr>
            <w:r w:rsidRPr="00E44A83">
              <w:rPr>
                <w:rFonts w:ascii="Arial" w:hAnsi="Arial" w:cs="Arial"/>
                <w:b/>
              </w:rPr>
              <w:lastRenderedPageBreak/>
              <w:t>External Examiner’s comments (if relevant)</w:t>
            </w:r>
          </w:p>
          <w:p w14:paraId="141AE9D0" w14:textId="77777777" w:rsidR="007C1C79" w:rsidRPr="00E44A83" w:rsidRDefault="007C1C79" w:rsidP="00CC0753">
            <w:pPr>
              <w:pStyle w:val="NormalWeb"/>
              <w:spacing w:before="0" w:beforeAutospacing="0" w:after="0" w:afterAutospacing="0"/>
              <w:ind w:right="-334"/>
              <w:rPr>
                <w:rFonts w:ascii="Arial" w:hAnsi="Arial" w:cs="Arial"/>
                <w:bCs/>
                <w:sz w:val="22"/>
                <w:szCs w:val="22"/>
              </w:rPr>
            </w:pPr>
          </w:p>
          <w:p w14:paraId="67887EF1" w14:textId="77777777" w:rsidR="007C1C79" w:rsidRPr="00E44A83" w:rsidRDefault="007C1C79" w:rsidP="00CC0753">
            <w:pPr>
              <w:pStyle w:val="NormalWeb"/>
              <w:spacing w:before="0" w:beforeAutospacing="0" w:after="0" w:afterAutospacing="0"/>
              <w:ind w:right="-334"/>
              <w:rPr>
                <w:rFonts w:ascii="Arial" w:hAnsi="Arial" w:cs="Arial"/>
                <w:bCs/>
                <w:sz w:val="22"/>
                <w:szCs w:val="22"/>
              </w:rPr>
            </w:pPr>
          </w:p>
          <w:p w14:paraId="7A7ACE18" w14:textId="77777777" w:rsidR="007C1C79" w:rsidRPr="00E44A83" w:rsidRDefault="007C1C79" w:rsidP="00CC0753">
            <w:pPr>
              <w:pStyle w:val="NormalWeb"/>
              <w:spacing w:before="0" w:beforeAutospacing="0" w:after="0" w:afterAutospacing="0"/>
              <w:ind w:right="-334"/>
              <w:rPr>
                <w:rFonts w:ascii="Arial" w:hAnsi="Arial" w:cs="Arial"/>
                <w:bCs/>
                <w:sz w:val="22"/>
                <w:szCs w:val="22"/>
              </w:rPr>
            </w:pPr>
          </w:p>
          <w:p w14:paraId="54417A29" w14:textId="77777777" w:rsidR="007C1C79" w:rsidRPr="00E44A83" w:rsidRDefault="007C1C79" w:rsidP="00CC0753">
            <w:pPr>
              <w:pStyle w:val="NormalWeb"/>
              <w:spacing w:before="0" w:beforeAutospacing="0" w:after="0" w:afterAutospacing="0"/>
              <w:ind w:right="-334"/>
              <w:rPr>
                <w:rFonts w:ascii="Arial" w:hAnsi="Arial" w:cs="Arial"/>
                <w:bCs/>
                <w:sz w:val="22"/>
                <w:szCs w:val="22"/>
              </w:rPr>
            </w:pPr>
          </w:p>
          <w:p w14:paraId="6EF85214" w14:textId="77777777" w:rsidR="007C1C79" w:rsidRPr="00E44A83" w:rsidRDefault="007C1C79" w:rsidP="00CC0753">
            <w:pPr>
              <w:pStyle w:val="NormalWeb"/>
              <w:spacing w:before="0" w:beforeAutospacing="0" w:after="0" w:afterAutospacing="0"/>
              <w:ind w:right="-334"/>
              <w:rPr>
                <w:rFonts w:ascii="Arial" w:hAnsi="Arial" w:cs="Arial"/>
                <w:bCs/>
                <w:sz w:val="22"/>
                <w:szCs w:val="22"/>
              </w:rPr>
            </w:pPr>
          </w:p>
          <w:p w14:paraId="4771CBA4" w14:textId="77777777" w:rsidR="007C1C79" w:rsidRPr="00E44A83" w:rsidRDefault="007C1C79" w:rsidP="00CC0753">
            <w:pPr>
              <w:pStyle w:val="NormalWeb"/>
              <w:spacing w:before="0" w:beforeAutospacing="0" w:after="0" w:afterAutospacing="0"/>
              <w:ind w:right="-334"/>
              <w:rPr>
                <w:rFonts w:ascii="Arial" w:hAnsi="Arial" w:cs="Arial"/>
                <w:bCs/>
                <w:sz w:val="22"/>
                <w:szCs w:val="22"/>
              </w:rPr>
            </w:pPr>
          </w:p>
          <w:p w14:paraId="739E2E83" w14:textId="77777777" w:rsidR="007C1C79" w:rsidRPr="00E44A83" w:rsidRDefault="007C1C79" w:rsidP="00CC0753">
            <w:pPr>
              <w:pStyle w:val="NormalWeb"/>
              <w:spacing w:before="0" w:beforeAutospacing="0" w:after="0" w:afterAutospacing="0"/>
              <w:ind w:right="-334"/>
              <w:rPr>
                <w:rFonts w:ascii="Arial" w:hAnsi="Arial" w:cs="Arial"/>
                <w:bCs/>
                <w:sz w:val="22"/>
                <w:szCs w:val="22"/>
              </w:rPr>
            </w:pPr>
          </w:p>
        </w:tc>
      </w:tr>
      <w:tr w:rsidR="007C1C79" w:rsidRPr="00E44A83" w14:paraId="095A012C" w14:textId="77777777" w:rsidTr="00CC0753">
        <w:trPr>
          <w:trHeight w:val="720"/>
        </w:trPr>
        <w:tc>
          <w:tcPr>
            <w:tcW w:w="5211" w:type="dxa"/>
            <w:gridSpan w:val="2"/>
          </w:tcPr>
          <w:p w14:paraId="2E5900FA" w14:textId="77777777" w:rsidR="007C1C79" w:rsidRPr="00E44A83" w:rsidRDefault="007C1C79" w:rsidP="00CC0753">
            <w:pPr>
              <w:rPr>
                <w:rFonts w:ascii="Arial" w:hAnsi="Arial" w:cs="Arial"/>
              </w:rPr>
            </w:pPr>
            <w:r w:rsidRPr="00E44A83">
              <w:rPr>
                <w:rFonts w:ascii="Arial" w:hAnsi="Arial" w:cs="Arial"/>
              </w:rPr>
              <w:t>External Examiner’s Signature:</w:t>
            </w:r>
          </w:p>
        </w:tc>
        <w:tc>
          <w:tcPr>
            <w:tcW w:w="3645" w:type="dxa"/>
            <w:gridSpan w:val="3"/>
          </w:tcPr>
          <w:p w14:paraId="2787371C" w14:textId="77777777" w:rsidR="007C1C79" w:rsidRPr="00E44A83" w:rsidRDefault="007C1C79" w:rsidP="00CC0753">
            <w:pPr>
              <w:rPr>
                <w:rFonts w:ascii="Arial" w:hAnsi="Arial" w:cs="Arial"/>
              </w:rPr>
            </w:pPr>
            <w:r w:rsidRPr="00E44A83">
              <w:rPr>
                <w:rFonts w:ascii="Arial" w:hAnsi="Arial" w:cs="Arial"/>
              </w:rPr>
              <w:t>Date:</w:t>
            </w:r>
          </w:p>
        </w:tc>
      </w:tr>
    </w:tbl>
    <w:p w14:paraId="5893CC4C" w14:textId="77777777" w:rsidR="007C1C79" w:rsidRDefault="007C1C79" w:rsidP="00FC2825">
      <w:pPr>
        <w:spacing w:after="0"/>
        <w:contextualSpacing/>
        <w:rPr>
          <w:b/>
          <w:bCs/>
          <w:u w:val="single"/>
        </w:rPr>
      </w:pPr>
    </w:p>
    <w:p w14:paraId="6CCEDDD9" w14:textId="77777777" w:rsidR="007C1C79" w:rsidRDefault="007C1C79" w:rsidP="00FC2825">
      <w:pPr>
        <w:spacing w:after="0"/>
        <w:contextualSpacing/>
        <w:rPr>
          <w:b/>
          <w:bCs/>
          <w:u w:val="single"/>
        </w:rPr>
      </w:pPr>
    </w:p>
    <w:p w14:paraId="448B7C3B" w14:textId="77777777" w:rsidR="007C1C79" w:rsidRDefault="007C1C79" w:rsidP="00FC2825">
      <w:pPr>
        <w:spacing w:after="0"/>
        <w:contextualSpacing/>
        <w:rPr>
          <w:b/>
          <w:bCs/>
          <w:u w:val="single"/>
        </w:rPr>
      </w:pPr>
    </w:p>
    <w:p w14:paraId="78522EFD" w14:textId="77777777" w:rsidR="007C1C79" w:rsidRDefault="007C1C79" w:rsidP="00FC2825">
      <w:pPr>
        <w:spacing w:after="0"/>
        <w:contextualSpacing/>
        <w:rPr>
          <w:b/>
          <w:bCs/>
          <w:u w:val="single"/>
        </w:rPr>
      </w:pPr>
    </w:p>
    <w:p w14:paraId="01CB2A15" w14:textId="77777777" w:rsidR="007C1C79" w:rsidRDefault="007C1C79" w:rsidP="00FC2825">
      <w:pPr>
        <w:spacing w:after="0"/>
        <w:contextualSpacing/>
        <w:rPr>
          <w:b/>
          <w:bCs/>
          <w:u w:val="single"/>
        </w:rPr>
      </w:pPr>
    </w:p>
    <w:p w14:paraId="05DF5460" w14:textId="77777777" w:rsidR="007C1C79" w:rsidRDefault="007C1C79" w:rsidP="00FC2825">
      <w:pPr>
        <w:spacing w:after="0"/>
        <w:contextualSpacing/>
        <w:rPr>
          <w:b/>
          <w:bCs/>
          <w:u w:val="single"/>
        </w:rPr>
      </w:pPr>
    </w:p>
    <w:p w14:paraId="2361370F" w14:textId="77777777" w:rsidR="007C1C79" w:rsidRDefault="007C1C79" w:rsidP="00FC2825">
      <w:pPr>
        <w:spacing w:after="0"/>
        <w:contextualSpacing/>
        <w:rPr>
          <w:b/>
          <w:bCs/>
          <w:u w:val="single"/>
        </w:rPr>
      </w:pPr>
    </w:p>
    <w:p w14:paraId="3EEF1DF5" w14:textId="77777777" w:rsidR="007C1C79" w:rsidRDefault="007C1C79" w:rsidP="00FC2825">
      <w:pPr>
        <w:spacing w:after="0"/>
        <w:contextualSpacing/>
        <w:rPr>
          <w:b/>
          <w:bCs/>
          <w:u w:val="single"/>
        </w:rPr>
      </w:pPr>
    </w:p>
    <w:p w14:paraId="6CD7C396" w14:textId="77777777" w:rsidR="007C1C79" w:rsidRDefault="007C1C79" w:rsidP="00FC2825">
      <w:pPr>
        <w:spacing w:after="0"/>
        <w:contextualSpacing/>
        <w:rPr>
          <w:b/>
          <w:bCs/>
          <w:u w:val="single"/>
        </w:rPr>
      </w:pPr>
    </w:p>
    <w:p w14:paraId="76D0FF11" w14:textId="77777777" w:rsidR="007C1C79" w:rsidRDefault="007C1C79" w:rsidP="00FC2825">
      <w:pPr>
        <w:spacing w:after="0"/>
        <w:contextualSpacing/>
        <w:rPr>
          <w:b/>
          <w:bCs/>
          <w:u w:val="single"/>
        </w:rPr>
      </w:pPr>
    </w:p>
    <w:p w14:paraId="1301AF4D" w14:textId="77777777" w:rsidR="007C1C79" w:rsidRDefault="007C1C79" w:rsidP="00FC2825">
      <w:pPr>
        <w:spacing w:after="0"/>
        <w:contextualSpacing/>
        <w:rPr>
          <w:b/>
          <w:bCs/>
          <w:u w:val="single"/>
        </w:rPr>
      </w:pPr>
    </w:p>
    <w:p w14:paraId="4743402A" w14:textId="77777777" w:rsidR="007C1C79" w:rsidRDefault="007C1C79" w:rsidP="00FC2825">
      <w:pPr>
        <w:spacing w:after="0"/>
        <w:contextualSpacing/>
        <w:rPr>
          <w:b/>
          <w:bCs/>
          <w:u w:val="single"/>
        </w:rPr>
      </w:pPr>
    </w:p>
    <w:p w14:paraId="23F79197" w14:textId="77777777" w:rsidR="007C1C79" w:rsidRDefault="007C1C79" w:rsidP="00FC2825">
      <w:pPr>
        <w:spacing w:after="0"/>
        <w:contextualSpacing/>
        <w:rPr>
          <w:b/>
          <w:bCs/>
          <w:u w:val="single"/>
        </w:rPr>
      </w:pPr>
    </w:p>
    <w:p w14:paraId="6B10C64D" w14:textId="77777777" w:rsidR="007C1C79" w:rsidRDefault="007C1C79" w:rsidP="00FC2825">
      <w:pPr>
        <w:spacing w:after="0"/>
        <w:contextualSpacing/>
        <w:rPr>
          <w:b/>
          <w:bCs/>
          <w:u w:val="single"/>
        </w:rPr>
      </w:pPr>
    </w:p>
    <w:p w14:paraId="4423A479" w14:textId="77777777" w:rsidR="007C1C79" w:rsidRDefault="007C1C79" w:rsidP="00FC2825">
      <w:pPr>
        <w:spacing w:after="0"/>
        <w:contextualSpacing/>
        <w:rPr>
          <w:b/>
          <w:bCs/>
          <w:u w:val="single"/>
        </w:rPr>
      </w:pPr>
    </w:p>
    <w:p w14:paraId="3BAFCBEB" w14:textId="77777777" w:rsidR="007C1C79" w:rsidRDefault="007C1C79" w:rsidP="00FC2825">
      <w:pPr>
        <w:spacing w:after="0"/>
        <w:contextualSpacing/>
        <w:rPr>
          <w:b/>
          <w:bCs/>
          <w:u w:val="single"/>
        </w:rPr>
      </w:pPr>
    </w:p>
    <w:p w14:paraId="38C2BB9E" w14:textId="77777777" w:rsidR="007C1C79" w:rsidRDefault="007C1C79" w:rsidP="00FC2825">
      <w:pPr>
        <w:spacing w:after="0"/>
        <w:contextualSpacing/>
        <w:rPr>
          <w:b/>
          <w:bCs/>
          <w:u w:val="single"/>
        </w:rPr>
      </w:pPr>
    </w:p>
    <w:p w14:paraId="3CE5D901" w14:textId="77777777" w:rsidR="007C1C79" w:rsidRDefault="007C1C79" w:rsidP="00FC2825">
      <w:pPr>
        <w:spacing w:after="0"/>
        <w:contextualSpacing/>
        <w:rPr>
          <w:b/>
          <w:bCs/>
          <w:u w:val="single"/>
        </w:rPr>
      </w:pPr>
    </w:p>
    <w:p w14:paraId="471DAAAE" w14:textId="77777777" w:rsidR="007C1C79" w:rsidRDefault="007C1C79" w:rsidP="00FC2825">
      <w:pPr>
        <w:spacing w:after="0"/>
        <w:contextualSpacing/>
        <w:rPr>
          <w:b/>
          <w:bCs/>
          <w:u w:val="single"/>
        </w:rPr>
      </w:pPr>
    </w:p>
    <w:p w14:paraId="53EDC338" w14:textId="77777777" w:rsidR="007C1C79" w:rsidRDefault="007C1C79" w:rsidP="00FC2825">
      <w:pPr>
        <w:spacing w:after="0"/>
        <w:contextualSpacing/>
        <w:rPr>
          <w:b/>
          <w:bCs/>
          <w:u w:val="single"/>
        </w:rPr>
      </w:pPr>
    </w:p>
    <w:p w14:paraId="05F7AE7D" w14:textId="77777777" w:rsidR="007C1C79" w:rsidRDefault="007C1C79" w:rsidP="00FC2825">
      <w:pPr>
        <w:spacing w:after="0"/>
        <w:contextualSpacing/>
        <w:rPr>
          <w:b/>
          <w:bCs/>
          <w:u w:val="single"/>
        </w:rPr>
      </w:pPr>
    </w:p>
    <w:p w14:paraId="7EA75571" w14:textId="77777777" w:rsidR="007C1C79" w:rsidRDefault="007C1C79" w:rsidP="00FC2825">
      <w:pPr>
        <w:spacing w:after="0"/>
        <w:contextualSpacing/>
        <w:rPr>
          <w:b/>
          <w:bCs/>
          <w:u w:val="single"/>
        </w:rPr>
      </w:pPr>
    </w:p>
    <w:p w14:paraId="4B6DEC8D" w14:textId="77777777" w:rsidR="007C1C79" w:rsidRDefault="007C1C79" w:rsidP="00FC2825">
      <w:pPr>
        <w:spacing w:after="0"/>
        <w:contextualSpacing/>
        <w:rPr>
          <w:b/>
          <w:bCs/>
          <w:u w:val="single"/>
        </w:rPr>
      </w:pPr>
    </w:p>
    <w:p w14:paraId="76F169F2" w14:textId="77777777" w:rsidR="007C1C79" w:rsidRDefault="007C1C79" w:rsidP="00FC2825">
      <w:pPr>
        <w:spacing w:after="0"/>
        <w:contextualSpacing/>
        <w:rPr>
          <w:b/>
          <w:bCs/>
          <w:u w:val="single"/>
        </w:rPr>
      </w:pPr>
    </w:p>
    <w:p w14:paraId="4089FC5F" w14:textId="77777777" w:rsidR="007C1C79" w:rsidRDefault="007C1C79" w:rsidP="00FC2825">
      <w:pPr>
        <w:spacing w:after="0"/>
        <w:contextualSpacing/>
        <w:rPr>
          <w:b/>
          <w:bCs/>
          <w:u w:val="single"/>
        </w:rPr>
      </w:pPr>
    </w:p>
    <w:p w14:paraId="0730D889" w14:textId="77777777" w:rsidR="007C1C79" w:rsidRDefault="007C1C79" w:rsidP="00FC2825">
      <w:pPr>
        <w:spacing w:after="0"/>
        <w:contextualSpacing/>
        <w:rPr>
          <w:b/>
          <w:bCs/>
          <w:u w:val="single"/>
        </w:rPr>
      </w:pPr>
    </w:p>
    <w:p w14:paraId="44208E03" w14:textId="77777777" w:rsidR="007C1C79" w:rsidRDefault="007C1C79" w:rsidP="00FC2825">
      <w:pPr>
        <w:spacing w:after="0"/>
        <w:contextualSpacing/>
        <w:rPr>
          <w:b/>
          <w:bCs/>
          <w:u w:val="single"/>
        </w:rPr>
      </w:pPr>
    </w:p>
    <w:p w14:paraId="61538EE4" w14:textId="77777777" w:rsidR="007C1C79" w:rsidRDefault="007C1C79" w:rsidP="00FC2825">
      <w:pPr>
        <w:spacing w:after="0"/>
        <w:contextualSpacing/>
        <w:rPr>
          <w:b/>
          <w:bCs/>
          <w:u w:val="single"/>
        </w:rPr>
      </w:pPr>
    </w:p>
    <w:p w14:paraId="021B259C" w14:textId="77777777" w:rsidR="007C1C79" w:rsidRDefault="007C1C79" w:rsidP="00FC2825">
      <w:pPr>
        <w:spacing w:after="0"/>
        <w:contextualSpacing/>
        <w:rPr>
          <w:b/>
          <w:bCs/>
          <w:u w:val="single"/>
        </w:rPr>
      </w:pPr>
    </w:p>
    <w:p w14:paraId="1BDB761B" w14:textId="77777777" w:rsidR="007C1C79" w:rsidRDefault="007C1C79" w:rsidP="00FC2825">
      <w:pPr>
        <w:spacing w:after="0"/>
        <w:contextualSpacing/>
        <w:rPr>
          <w:b/>
          <w:bCs/>
          <w:u w:val="single"/>
        </w:rPr>
      </w:pPr>
    </w:p>
    <w:p w14:paraId="5EEE88EB" w14:textId="77777777" w:rsidR="007C1C79" w:rsidRDefault="007C1C79" w:rsidP="00FC2825">
      <w:pPr>
        <w:spacing w:after="0"/>
        <w:contextualSpacing/>
        <w:rPr>
          <w:b/>
          <w:bCs/>
          <w:u w:val="single"/>
        </w:rPr>
      </w:pPr>
    </w:p>
    <w:p w14:paraId="3CC15BC2" w14:textId="77777777" w:rsidR="007C1C79" w:rsidRDefault="007C1C79" w:rsidP="00FC2825">
      <w:pPr>
        <w:spacing w:after="0"/>
        <w:contextualSpacing/>
        <w:rPr>
          <w:b/>
          <w:bCs/>
          <w:u w:val="single"/>
        </w:rPr>
      </w:pPr>
    </w:p>
    <w:p w14:paraId="0D1E7D6F" w14:textId="77777777" w:rsidR="007C1C79" w:rsidRDefault="007C1C79" w:rsidP="00FC2825">
      <w:pPr>
        <w:spacing w:after="0"/>
        <w:contextualSpacing/>
        <w:rPr>
          <w:b/>
          <w:bCs/>
          <w:u w:val="single"/>
        </w:rPr>
      </w:pPr>
    </w:p>
    <w:p w14:paraId="3A1FEA20" w14:textId="77777777" w:rsidR="00880441" w:rsidRDefault="00880441" w:rsidP="00880441">
      <w:pPr>
        <w:spacing w:after="0"/>
        <w:contextualSpacing/>
        <w:rPr>
          <w:b/>
          <w:bCs/>
          <w:u w:val="single"/>
        </w:rPr>
      </w:pPr>
    </w:p>
    <w:p w14:paraId="1E713182" w14:textId="536DE611" w:rsidR="00880441" w:rsidRPr="00880441" w:rsidRDefault="00880441" w:rsidP="00880441">
      <w:pPr>
        <w:spacing w:after="0"/>
        <w:contextualSpacing/>
        <w:rPr>
          <w:b/>
          <w:bCs/>
          <w:u w:val="single"/>
          <w:lang w:val="en-GB"/>
        </w:rPr>
      </w:pPr>
      <w:r w:rsidRPr="00880441">
        <w:rPr>
          <w:b/>
          <w:bCs/>
          <w:u w:val="single"/>
          <w:lang w:val="en-GB"/>
        </w:rPr>
        <w:lastRenderedPageBreak/>
        <w:t>A Critical Comparison of Two Secondary Sources</w:t>
      </w:r>
    </w:p>
    <w:p w14:paraId="6CB437FC" w14:textId="49783EF9" w:rsidR="007D75CC" w:rsidRPr="00FC2825" w:rsidRDefault="007D75CC" w:rsidP="00FC2825">
      <w:pPr>
        <w:spacing w:after="0"/>
        <w:contextualSpacing/>
      </w:pPr>
      <w:r w:rsidRPr="00FC2825">
        <w:t xml:space="preserve">Word Count: </w:t>
      </w:r>
      <w:proofErr w:type="spellStart"/>
      <w:r w:rsidR="006603C1">
        <w:t>aprox</w:t>
      </w:r>
      <w:proofErr w:type="spellEnd"/>
      <w:r w:rsidR="006603C1">
        <w:t xml:space="preserve">. </w:t>
      </w:r>
      <w:r w:rsidR="00FC2825" w:rsidRPr="00FC2825">
        <w:t>2</w:t>
      </w:r>
      <w:r w:rsidR="002543F1">
        <w:t>6</w:t>
      </w:r>
      <w:r w:rsidR="000E64B2">
        <w:t>0</w:t>
      </w:r>
      <w:r w:rsidR="009658E2">
        <w:t>7</w:t>
      </w:r>
    </w:p>
    <w:p w14:paraId="73A30BC0" w14:textId="77777777" w:rsidR="007D75CC" w:rsidRDefault="007D75CC" w:rsidP="003D5C25">
      <w:pPr>
        <w:rPr>
          <w:u w:val="single"/>
        </w:rPr>
      </w:pPr>
    </w:p>
    <w:p w14:paraId="7759D7D7" w14:textId="75450378" w:rsidR="003D5C25" w:rsidRPr="003D5C25" w:rsidRDefault="003D5C25" w:rsidP="003D5C25">
      <w:pPr>
        <w:rPr>
          <w:u w:val="single"/>
        </w:rPr>
      </w:pPr>
      <w:r w:rsidRPr="003D5C25">
        <w:rPr>
          <w:u w:val="single"/>
        </w:rPr>
        <w:t>Introduction</w:t>
      </w:r>
    </w:p>
    <w:p w14:paraId="5B5B3E39" w14:textId="37576A4E" w:rsidR="003D5C25" w:rsidRDefault="003D5C25" w:rsidP="003D5C25">
      <w:r>
        <w:t xml:space="preserve">This essay compares and contrasts </w:t>
      </w:r>
      <w:r w:rsidRPr="00374F64">
        <w:rPr>
          <w:i/>
          <w:iCs/>
        </w:rPr>
        <w:t xml:space="preserve">Speaking </w:t>
      </w:r>
      <w:proofErr w:type="spellStart"/>
      <w:r w:rsidRPr="00374F64">
        <w:rPr>
          <w:i/>
          <w:iCs/>
        </w:rPr>
        <w:t>Shamanistically</w:t>
      </w:r>
      <w:proofErr w:type="spellEnd"/>
      <w:r w:rsidRPr="00374F64">
        <w:rPr>
          <w:i/>
          <w:iCs/>
        </w:rPr>
        <w:t xml:space="preserve">: </w:t>
      </w:r>
      <w:proofErr w:type="spellStart"/>
      <w:r w:rsidRPr="00374F64">
        <w:rPr>
          <w:i/>
          <w:iCs/>
        </w:rPr>
        <w:t>Seidr</w:t>
      </w:r>
      <w:proofErr w:type="spellEnd"/>
      <w:r w:rsidRPr="00374F64">
        <w:rPr>
          <w:i/>
          <w:iCs/>
        </w:rPr>
        <w:t>, Academia and Rationality</w:t>
      </w:r>
      <w:r>
        <w:t xml:space="preserve"> by Jenny Blain and </w:t>
      </w:r>
      <w:r w:rsidRPr="00EB1C7B">
        <w:rPr>
          <w:i/>
          <w:iCs/>
        </w:rPr>
        <w:t>A Very Private Belief: Reincarnation in Contemporary England</w:t>
      </w:r>
      <w:r>
        <w:t xml:space="preserve"> by Tony Walter and Helen Waterhouse. The paper will compare and contrast the </w:t>
      </w:r>
      <w:r w:rsidR="00061B92">
        <w:t xml:space="preserve">background and </w:t>
      </w:r>
      <w:r w:rsidR="004A7D4A">
        <w:t>position of the researchers, their methodology, ethical concerns</w:t>
      </w:r>
      <w:r w:rsidR="008C1C25">
        <w:t xml:space="preserve">, and </w:t>
      </w:r>
      <w:r>
        <w:t>literature that was used to position their project within the larger academic framework.</w:t>
      </w:r>
    </w:p>
    <w:p w14:paraId="2EDD1576" w14:textId="7B0CEF41" w:rsidR="00230C30" w:rsidRDefault="00D20C40" w:rsidP="003D5C25">
      <w:pPr>
        <w:rPr>
          <w:u w:val="single"/>
        </w:rPr>
      </w:pPr>
      <w:r>
        <w:rPr>
          <w:u w:val="single"/>
        </w:rPr>
        <w:t xml:space="preserve">Position and </w:t>
      </w:r>
      <w:r w:rsidR="00E04B59">
        <w:rPr>
          <w:u w:val="single"/>
        </w:rPr>
        <w:t xml:space="preserve">Background on Researchers </w:t>
      </w:r>
      <w:r w:rsidR="007B3AA8">
        <w:rPr>
          <w:u w:val="single"/>
        </w:rPr>
        <w:t>and their Paper</w:t>
      </w:r>
    </w:p>
    <w:p w14:paraId="0D61D013" w14:textId="74E231E7" w:rsidR="0064002D" w:rsidRDefault="002C40A1" w:rsidP="008B520B">
      <w:bookmarkStart w:id="5" w:name="_Hlk192946894"/>
      <w:r>
        <w:t>Jenny Blain was a Senior Lecturer in the subject of sociology. She specialized in teaching methodologies and epistemologies. Her research focused on tracking family history within social contexts in Lowland Scotland. Her articles focused on individual people and their lives, challenges and successes.</w:t>
      </w:r>
      <w:r w:rsidR="00A752DD">
        <w:rPr>
          <w:rStyle w:val="FootnoteReference"/>
        </w:rPr>
        <w:footnoteReference w:id="1"/>
      </w:r>
      <w:r>
        <w:t xml:space="preserve"> Beyond doing research in Scotland, she also wrote extensively on contemporary </w:t>
      </w:r>
      <w:r w:rsidR="00411824">
        <w:t>Heathenry</w:t>
      </w:r>
      <w:r>
        <w:t xml:space="preserve">, shamanistic </w:t>
      </w:r>
      <w:proofErr w:type="spellStart"/>
      <w:r>
        <w:t>seidr</w:t>
      </w:r>
      <w:proofErr w:type="spellEnd"/>
      <w:r>
        <w:t>,</w:t>
      </w:r>
      <w:r w:rsidR="00411824">
        <w:t xml:space="preserve"> and</w:t>
      </w:r>
      <w:r>
        <w:t xml:space="preserve"> indigenous British and North European shamanism.</w:t>
      </w:r>
      <w:r w:rsidR="00A752DD">
        <w:rPr>
          <w:rStyle w:val="FootnoteReference"/>
        </w:rPr>
        <w:footnoteReference w:id="2"/>
      </w:r>
      <w:r>
        <w:t xml:space="preserve"> </w:t>
      </w:r>
      <w:r w:rsidRPr="00374F64">
        <w:rPr>
          <w:i/>
          <w:iCs/>
        </w:rPr>
        <w:t xml:space="preserve">Speaking </w:t>
      </w:r>
      <w:proofErr w:type="spellStart"/>
      <w:r w:rsidRPr="00374F64">
        <w:rPr>
          <w:i/>
          <w:iCs/>
        </w:rPr>
        <w:t>Shamanistically</w:t>
      </w:r>
      <w:proofErr w:type="spellEnd"/>
      <w:r w:rsidRPr="00374F64">
        <w:rPr>
          <w:i/>
          <w:iCs/>
        </w:rPr>
        <w:t xml:space="preserve">: </w:t>
      </w:r>
      <w:proofErr w:type="spellStart"/>
      <w:r w:rsidRPr="00374F64">
        <w:rPr>
          <w:i/>
          <w:iCs/>
        </w:rPr>
        <w:t>Seidr</w:t>
      </w:r>
      <w:proofErr w:type="spellEnd"/>
      <w:r w:rsidRPr="00374F64">
        <w:rPr>
          <w:i/>
          <w:iCs/>
        </w:rPr>
        <w:t>, Academia and Rationality</w:t>
      </w:r>
      <w:r>
        <w:t xml:space="preserve"> is a piece of experiential research about the shamanistic </w:t>
      </w:r>
      <w:proofErr w:type="spellStart"/>
      <w:r>
        <w:t>seidworkers</w:t>
      </w:r>
      <w:proofErr w:type="spellEnd"/>
      <w:r>
        <w:t xml:space="preserve"> and how her ethnographic study of them fit</w:t>
      </w:r>
      <w:r w:rsidR="004B132D">
        <w:t>ted</w:t>
      </w:r>
      <w:r>
        <w:t xml:space="preserve"> within an academic discourse.</w:t>
      </w:r>
      <w:r w:rsidR="00A752DD">
        <w:rPr>
          <w:rStyle w:val="FootnoteReference"/>
        </w:rPr>
        <w:footnoteReference w:id="3"/>
      </w:r>
      <w:r>
        <w:t xml:space="preserve"> </w:t>
      </w:r>
      <w:r w:rsidR="00AA37A6">
        <w:t>Information</w:t>
      </w:r>
      <w:r>
        <w:t xml:space="preserve"> Blain collected from the </w:t>
      </w:r>
      <w:proofErr w:type="spellStart"/>
      <w:r>
        <w:t>seidr</w:t>
      </w:r>
      <w:proofErr w:type="spellEnd"/>
      <w:r>
        <w:t xml:space="preserve"> community, particularly </w:t>
      </w:r>
      <w:r w:rsidR="00AA37A6">
        <w:t xml:space="preserve">individual </w:t>
      </w:r>
      <w:r>
        <w:t>experiences with shamanism, were used as a device for discussing the ethnographic challenges of researching experiences that were deemed as ‘imaginal’ or ‘non-rational’ within academic circles and Western society at large.</w:t>
      </w:r>
      <w:r w:rsidR="00A752DD">
        <w:rPr>
          <w:rStyle w:val="FootnoteReference"/>
        </w:rPr>
        <w:footnoteReference w:id="4"/>
      </w:r>
      <w:r>
        <w:t xml:space="preserve"> </w:t>
      </w:r>
      <w:r w:rsidR="002F1C74">
        <w:t xml:space="preserve">Blain’s paper is centred on her position as an insider to the </w:t>
      </w:r>
      <w:proofErr w:type="spellStart"/>
      <w:r w:rsidR="002F1C74">
        <w:t>seidr</w:t>
      </w:r>
      <w:proofErr w:type="spellEnd"/>
      <w:r w:rsidR="002F1C74">
        <w:t xml:space="preserve"> community</w:t>
      </w:r>
      <w:r>
        <w:t xml:space="preserve">. As a </w:t>
      </w:r>
      <w:proofErr w:type="spellStart"/>
      <w:r>
        <w:t>seidr</w:t>
      </w:r>
      <w:proofErr w:type="spellEnd"/>
      <w:r>
        <w:t xml:space="preserve"> native, she possessed the capacity to understand the community within their own cosmological understanding of the world,</w:t>
      </w:r>
      <w:r w:rsidR="00A752DD">
        <w:rPr>
          <w:rStyle w:val="FootnoteReference"/>
        </w:rPr>
        <w:footnoteReference w:id="5"/>
      </w:r>
      <w:r>
        <w:t xml:space="preserve"> which include</w:t>
      </w:r>
      <w:r w:rsidR="00022456">
        <w:t>d</w:t>
      </w:r>
      <w:r>
        <w:t xml:space="preserve"> </w:t>
      </w:r>
      <w:r w:rsidR="00896511">
        <w:t xml:space="preserve">the </w:t>
      </w:r>
      <w:r>
        <w:t xml:space="preserve">‘imaginal’ and ‘non-rational’ </w:t>
      </w:r>
      <w:r w:rsidR="002D34D4">
        <w:t>experiences</w:t>
      </w:r>
      <w:r w:rsidR="00896511">
        <w:t xml:space="preserve"> of communicating with spirits or venturing into a non-</w:t>
      </w:r>
      <w:r w:rsidR="00200228">
        <w:t>corporeal</w:t>
      </w:r>
      <w:r w:rsidR="00896511">
        <w:t xml:space="preserve"> realm</w:t>
      </w:r>
      <w:r>
        <w:t>. However, as a</w:t>
      </w:r>
      <w:r w:rsidR="00896511">
        <w:t xml:space="preserve"> </w:t>
      </w:r>
      <w:r>
        <w:t xml:space="preserve">researcher, </w:t>
      </w:r>
      <w:r w:rsidR="00A14151">
        <w:t>she faced the</w:t>
      </w:r>
      <w:r w:rsidR="00FB1351">
        <w:t xml:space="preserve"> </w:t>
      </w:r>
      <w:r w:rsidR="00EE343E">
        <w:t>pressure to</w:t>
      </w:r>
      <w:r>
        <w:t xml:space="preserve"> conform </w:t>
      </w:r>
      <w:r w:rsidR="00621100">
        <w:t>with</w:t>
      </w:r>
      <w:r>
        <w:t xml:space="preserve"> the reflexive standard of the academic community</w:t>
      </w:r>
      <w:r w:rsidR="0064002D">
        <w:t>,</w:t>
      </w:r>
      <w:r>
        <w:t xml:space="preserve"> which relie</w:t>
      </w:r>
      <w:r w:rsidR="002D34D4">
        <w:t>d</w:t>
      </w:r>
      <w:r>
        <w:t xml:space="preserve"> on</w:t>
      </w:r>
      <w:r w:rsidR="00C34A19">
        <w:t xml:space="preserve"> her</w:t>
      </w:r>
      <w:r>
        <w:t xml:space="preserve"> </w:t>
      </w:r>
      <w:r w:rsidR="00AF7F40">
        <w:t>‘</w:t>
      </w:r>
      <w:r>
        <w:t>rationality</w:t>
      </w:r>
      <w:r w:rsidR="00AF7F40">
        <w:t>’</w:t>
      </w:r>
      <w:r>
        <w:t xml:space="preserve"> to validate the research.</w:t>
      </w:r>
      <w:r w:rsidR="00A752DD">
        <w:rPr>
          <w:rStyle w:val="FootnoteReference"/>
        </w:rPr>
        <w:footnoteReference w:id="6"/>
      </w:r>
      <w:r>
        <w:t xml:space="preserve"> </w:t>
      </w:r>
      <w:bookmarkStart w:id="6" w:name="_Hlk192946160"/>
      <w:r w:rsidR="001A681A">
        <w:t xml:space="preserve">Acceptable (rational) approaches </w:t>
      </w:r>
      <w:r w:rsidR="009170F6">
        <w:t>may involve</w:t>
      </w:r>
      <w:r w:rsidR="001A681A">
        <w:t xml:space="preserve"> the study of </w:t>
      </w:r>
      <w:r w:rsidR="00914DB4">
        <w:t xml:space="preserve">non-corporeal experiences </w:t>
      </w:r>
      <w:r w:rsidR="008D16E8">
        <w:t>from a</w:t>
      </w:r>
      <w:r w:rsidR="00FE5A8C">
        <w:t xml:space="preserve"> </w:t>
      </w:r>
      <w:r w:rsidR="000D4374">
        <w:t>sociopolitical, psychological or neurophysiological perspective</w:t>
      </w:r>
      <w:r w:rsidR="00024359">
        <w:t xml:space="preserve">, but </w:t>
      </w:r>
      <w:r w:rsidR="00410292">
        <w:t xml:space="preserve">not from </w:t>
      </w:r>
      <w:r w:rsidR="003010AF">
        <w:t>the</w:t>
      </w:r>
      <w:r w:rsidR="00410292">
        <w:t xml:space="preserve"> perceived </w:t>
      </w:r>
      <w:r w:rsidR="00B12402">
        <w:t xml:space="preserve">‘realness’ of spirits and how </w:t>
      </w:r>
      <w:r w:rsidR="00896511">
        <w:t xml:space="preserve">shamans communicate with </w:t>
      </w:r>
      <w:r w:rsidR="000B41CD">
        <w:t>them</w:t>
      </w:r>
      <w:r w:rsidR="005E2A40">
        <w:t>.</w:t>
      </w:r>
      <w:r w:rsidR="00A752DD">
        <w:rPr>
          <w:rStyle w:val="FootnoteReference"/>
        </w:rPr>
        <w:footnoteReference w:id="7"/>
      </w:r>
      <w:r w:rsidR="000D4374">
        <w:t xml:space="preserve"> </w:t>
      </w:r>
      <w:r w:rsidR="007202DA">
        <w:t>The pressure to conform to</w:t>
      </w:r>
      <w:r w:rsidR="00140E75">
        <w:t xml:space="preserve"> this ‘rational’ standard expose</w:t>
      </w:r>
      <w:r w:rsidR="005E2A40">
        <w:t>d</w:t>
      </w:r>
      <w:r w:rsidR="00140E75">
        <w:t xml:space="preserve"> Blain to the vulnerability of having her work discredited if she tried to include her own exper</w:t>
      </w:r>
      <w:r w:rsidR="009E28D2">
        <w:t>iences into the research.</w:t>
      </w:r>
      <w:r w:rsidR="00A752DD">
        <w:rPr>
          <w:rStyle w:val="FootnoteReference"/>
        </w:rPr>
        <w:footnoteReference w:id="8"/>
      </w:r>
      <w:r w:rsidR="009E28D2">
        <w:t xml:space="preserve"> Instead, </w:t>
      </w:r>
      <w:r w:rsidR="00C129AA">
        <w:t>she must</w:t>
      </w:r>
      <w:r>
        <w:t xml:space="preserve"> rely on </w:t>
      </w:r>
      <w:r w:rsidR="00F149FE">
        <w:t>her</w:t>
      </w:r>
      <w:r>
        <w:t xml:space="preserve"> informants</w:t>
      </w:r>
      <w:r w:rsidR="00A70E8B">
        <w:t xml:space="preserve"> to provide the data</w:t>
      </w:r>
      <w:r w:rsidR="00EA58A0">
        <w:t xml:space="preserve"> as they</w:t>
      </w:r>
      <w:r>
        <w:t xml:space="preserve"> are not held to the same standard of </w:t>
      </w:r>
      <w:r w:rsidR="00FC57AE">
        <w:t xml:space="preserve">having to use </w:t>
      </w:r>
      <w:r>
        <w:t>rationalism to convey knowledge that is considered ‘imaginal’.</w:t>
      </w:r>
      <w:r w:rsidR="00A752DD">
        <w:rPr>
          <w:rStyle w:val="FootnoteReference"/>
        </w:rPr>
        <w:footnoteReference w:id="9"/>
      </w:r>
      <w:r>
        <w:t xml:space="preserve"> </w:t>
      </w:r>
      <w:r w:rsidR="00F94874">
        <w:t>Her paper serve</w:t>
      </w:r>
      <w:r w:rsidR="005E2A40">
        <w:t>d</w:t>
      </w:r>
      <w:r w:rsidR="00F149FE">
        <w:t xml:space="preserve"> </w:t>
      </w:r>
      <w:r w:rsidR="0064002D">
        <w:t>as a</w:t>
      </w:r>
      <w:r w:rsidR="006175AC">
        <w:t xml:space="preserve"> critique on </w:t>
      </w:r>
      <w:r w:rsidR="00FA1EC4">
        <w:t xml:space="preserve">the </w:t>
      </w:r>
      <w:r w:rsidR="0064002D">
        <w:t xml:space="preserve">ethnography surrounding the research of topics that are not within the scope </w:t>
      </w:r>
      <w:r w:rsidR="0064002D">
        <w:lastRenderedPageBreak/>
        <w:t xml:space="preserve">of what is considered to be the standard understanding of the world. It also </w:t>
      </w:r>
      <w:r w:rsidR="005E2A40">
        <w:t>brought</w:t>
      </w:r>
      <w:r w:rsidR="0064002D">
        <w:t xml:space="preserve"> into consideration how a researcher’s reflexive position </w:t>
      </w:r>
      <w:r w:rsidR="005E2A40">
        <w:t>could</w:t>
      </w:r>
      <w:r w:rsidR="0064002D">
        <w:t xml:space="preserve"> impact the study of the subject.</w:t>
      </w:r>
      <w:r w:rsidR="00A752DD">
        <w:rPr>
          <w:rStyle w:val="FootnoteReference"/>
        </w:rPr>
        <w:footnoteReference w:id="10"/>
      </w:r>
    </w:p>
    <w:bookmarkEnd w:id="5"/>
    <w:bookmarkEnd w:id="6"/>
    <w:p w14:paraId="50EACBAE" w14:textId="5FF5A80D" w:rsidR="00472822" w:rsidRDefault="008E3444" w:rsidP="003D5C25">
      <w:r>
        <w:t>Tony Walter is a sociology professor at Bath University who specializes in Death Studies.</w:t>
      </w:r>
      <w:r w:rsidR="00A752DD">
        <w:rPr>
          <w:rStyle w:val="FootnoteReference"/>
        </w:rPr>
        <w:footnoteReference w:id="11"/>
      </w:r>
      <w:r>
        <w:t xml:space="preserve"> He collaborated with academics in related fields to study death related topics such as afterlife beliefs and spirituality.</w:t>
      </w:r>
      <w:r w:rsidR="00A752DD">
        <w:rPr>
          <w:rStyle w:val="FootnoteReference"/>
        </w:rPr>
        <w:footnoteReference w:id="12"/>
      </w:r>
      <w:r>
        <w:t xml:space="preserve"> Helen Waterhouse appears to have a few publications with The Open University on the topics of Buddhism and reincarnation</w:t>
      </w:r>
      <w:r w:rsidR="00B047F5">
        <w:t>,</w:t>
      </w:r>
      <w:r w:rsidR="00A752DD">
        <w:rPr>
          <w:rStyle w:val="FootnoteReference"/>
        </w:rPr>
        <w:footnoteReference w:id="13"/>
      </w:r>
      <w:r w:rsidR="00B047F5">
        <w:t xml:space="preserve"> and according to the paper, she ha</w:t>
      </w:r>
      <w:r w:rsidR="00B90C6A">
        <w:t>d</w:t>
      </w:r>
      <w:r w:rsidR="00B047F5">
        <w:t xml:space="preserve"> her academic background in religious studies</w:t>
      </w:r>
      <w:r>
        <w:t>.</w:t>
      </w:r>
      <w:r w:rsidR="00A752DD">
        <w:rPr>
          <w:rStyle w:val="FootnoteReference"/>
        </w:rPr>
        <w:footnoteReference w:id="14"/>
      </w:r>
      <w:r w:rsidR="00B047F5">
        <w:t xml:space="preserve"> </w:t>
      </w:r>
      <w:r w:rsidR="008E4DDC" w:rsidRPr="00EB1C7B">
        <w:rPr>
          <w:i/>
          <w:iCs/>
        </w:rPr>
        <w:t>A Very Private Belief: Reincarnation in Contemporary England</w:t>
      </w:r>
      <w:r w:rsidR="008E4DDC">
        <w:t xml:space="preserve"> is an outline of</w:t>
      </w:r>
      <w:r w:rsidR="00E303EE">
        <w:t xml:space="preserve"> their research findings on what</w:t>
      </w:r>
      <w:r w:rsidR="00472822">
        <w:t xml:space="preserve"> reincarnation means to</w:t>
      </w:r>
      <w:r w:rsidR="00E303EE">
        <w:t xml:space="preserve"> the South West English population.</w:t>
      </w:r>
      <w:r w:rsidR="009B6C59">
        <w:rPr>
          <w:rStyle w:val="FootnoteReference"/>
        </w:rPr>
        <w:footnoteReference w:id="15"/>
      </w:r>
      <w:r w:rsidR="00E303EE" w:rsidRPr="00E303EE">
        <w:t xml:space="preserve"> </w:t>
      </w:r>
      <w:r w:rsidR="00E303EE">
        <w:t xml:space="preserve">Their </w:t>
      </w:r>
      <w:r w:rsidR="007654A6">
        <w:t xml:space="preserve">research </w:t>
      </w:r>
      <w:r w:rsidR="00E83F49">
        <w:t>was</w:t>
      </w:r>
      <w:r w:rsidR="00E303EE">
        <w:t xml:space="preserve"> based </w:t>
      </w:r>
      <w:r w:rsidR="007654A6">
        <w:t xml:space="preserve">various studies done by other research groups dating back to 1947 indicating that belief in reincarnation among English people </w:t>
      </w:r>
      <w:r w:rsidR="00E83F49">
        <w:t>had</w:t>
      </w:r>
      <w:r w:rsidR="007654A6">
        <w:t xml:space="preserve"> </w:t>
      </w:r>
      <w:r w:rsidR="00EF3971">
        <w:t>risen</w:t>
      </w:r>
      <w:r w:rsidR="007654A6">
        <w:t xml:space="preserve"> from 4 percent in 1947</w:t>
      </w:r>
      <w:r w:rsidR="0085677C">
        <w:t>,</w:t>
      </w:r>
      <w:r w:rsidR="007654A6">
        <w:t xml:space="preserve"> to 12 or 24 perce</w:t>
      </w:r>
      <w:r w:rsidR="00062F1F">
        <w:t>n</w:t>
      </w:r>
      <w:r w:rsidR="007654A6">
        <w:t>t in the 1990s</w:t>
      </w:r>
      <w:r w:rsidR="0085677C">
        <w:t>, depending on the study</w:t>
      </w:r>
      <w:r w:rsidR="007654A6">
        <w:t>.</w:t>
      </w:r>
      <w:r w:rsidR="009B6C59">
        <w:rPr>
          <w:rStyle w:val="FootnoteReference"/>
        </w:rPr>
        <w:footnoteReference w:id="16"/>
      </w:r>
      <w:r w:rsidR="007654A6">
        <w:t xml:space="preserve"> Walter and Waterhouse consider</w:t>
      </w:r>
      <w:r w:rsidR="007819CD">
        <w:t>ed</w:t>
      </w:r>
      <w:r w:rsidR="007654A6">
        <w:t xml:space="preserve"> the rising number of individuals that believe</w:t>
      </w:r>
      <w:r w:rsidR="007819CD">
        <w:t>d</w:t>
      </w:r>
      <w:r w:rsidR="007654A6">
        <w:t xml:space="preserve"> in reincarnation to be a sociological anomaly based on their understanding that Western society </w:t>
      </w:r>
      <w:r w:rsidR="007819CD">
        <w:t>was</w:t>
      </w:r>
      <w:r w:rsidR="007654A6">
        <w:t xml:space="preserve"> made up or majority Christian and secular beliefs, which they believe</w:t>
      </w:r>
      <w:r w:rsidR="007819CD">
        <w:t>d</w:t>
      </w:r>
      <w:r w:rsidR="007654A6">
        <w:t xml:space="preserve"> </w:t>
      </w:r>
      <w:r w:rsidR="00EB33C9">
        <w:t>were</w:t>
      </w:r>
      <w:r w:rsidR="007654A6">
        <w:t xml:space="preserve"> incompatible of reincarnation.</w:t>
      </w:r>
      <w:r w:rsidR="009B6C59">
        <w:rPr>
          <w:rStyle w:val="FootnoteReference"/>
        </w:rPr>
        <w:footnoteReference w:id="17"/>
      </w:r>
      <w:r w:rsidR="007654A6">
        <w:t xml:space="preserve"> </w:t>
      </w:r>
      <w:r w:rsidR="007E7557">
        <w:t>S</w:t>
      </w:r>
      <w:r w:rsidR="007654A6">
        <w:t xml:space="preserve">tatistical figures that suggest </w:t>
      </w:r>
      <w:r w:rsidR="00FB041B">
        <w:t>the presence of a</w:t>
      </w:r>
      <w:r w:rsidR="007654A6">
        <w:t xml:space="preserve">n anomaly are: </w:t>
      </w:r>
      <w:r w:rsidR="007F1668">
        <w:t>1) only 2 percent of the population in the UK are members of religions and spiritual communities that have reincarnation as part of their doctrine</w:t>
      </w:r>
      <w:r w:rsidR="00EF3971">
        <w:t xml:space="preserve">, meaning that they </w:t>
      </w:r>
      <w:r w:rsidR="008756B1">
        <w:t>did</w:t>
      </w:r>
      <w:r w:rsidR="00EF3971">
        <w:t xml:space="preserve"> not account for the 12 or 24 percent of reincarnation believers found in recent studies</w:t>
      </w:r>
      <w:r w:rsidR="007F1668">
        <w:t xml:space="preserve">, and 2) the </w:t>
      </w:r>
      <w:r w:rsidR="001C153F">
        <w:t>main paper</w:t>
      </w:r>
      <w:r w:rsidR="007F1668">
        <w:t xml:space="preserve"> they’ve based th</w:t>
      </w:r>
      <w:r w:rsidR="001C153F">
        <w:t xml:space="preserve">eir own research </w:t>
      </w:r>
      <w:r w:rsidR="007F1668">
        <w:t>on</w:t>
      </w:r>
      <w:r w:rsidR="001C153F">
        <w:t xml:space="preserve"> (the Europeans Values Survey </w:t>
      </w:r>
      <w:r w:rsidR="00B21132">
        <w:t xml:space="preserve">(EVS) </w:t>
      </w:r>
      <w:r w:rsidR="001C153F">
        <w:t>from 1980 and 1990),</w:t>
      </w:r>
      <w:r w:rsidR="007F1668">
        <w:t xml:space="preserve"> showed that belief in reincarnation is associated with conventional Christian beliefs.</w:t>
      </w:r>
      <w:r w:rsidR="009B6C59">
        <w:rPr>
          <w:rStyle w:val="FootnoteReference"/>
        </w:rPr>
        <w:footnoteReference w:id="18"/>
      </w:r>
      <w:r w:rsidR="001F1FCA">
        <w:t xml:space="preserve"> </w:t>
      </w:r>
      <w:r w:rsidR="00AB455F" w:rsidRPr="00F51A0D">
        <w:t xml:space="preserve">Their research focused on </w:t>
      </w:r>
      <w:r w:rsidR="002F417B" w:rsidRPr="00F51A0D">
        <w:t xml:space="preserve">finding emerging </w:t>
      </w:r>
      <w:r w:rsidR="00AB455F" w:rsidRPr="00F51A0D">
        <w:t xml:space="preserve">social trends </w:t>
      </w:r>
      <w:r w:rsidR="002F417B" w:rsidRPr="00F51A0D">
        <w:t xml:space="preserve">that </w:t>
      </w:r>
      <w:r w:rsidR="001B23BC" w:rsidRPr="00F51A0D">
        <w:t>drove</w:t>
      </w:r>
      <w:r w:rsidR="00AB455F" w:rsidRPr="00F51A0D">
        <w:t xml:space="preserve"> the belief in reincarnation </w:t>
      </w:r>
      <w:r w:rsidR="003F7329" w:rsidRPr="00F51A0D">
        <w:t xml:space="preserve">for </w:t>
      </w:r>
      <w:r w:rsidR="00E432A7" w:rsidRPr="00F51A0D">
        <w:t>the English population</w:t>
      </w:r>
      <w:r w:rsidR="00706403" w:rsidRPr="00F51A0D">
        <w:t xml:space="preserve"> that were</w:t>
      </w:r>
      <w:r w:rsidR="003F7329" w:rsidRPr="00F51A0D">
        <w:t xml:space="preserve"> not a part of any religious or spiritual groups that traditionally include reincarnation as part of their doctrine.</w:t>
      </w:r>
      <w:r w:rsidR="00255228" w:rsidRPr="00F51A0D">
        <w:rPr>
          <w:rStyle w:val="FootnoteReference"/>
        </w:rPr>
        <w:footnoteReference w:id="19"/>
      </w:r>
      <w:r w:rsidR="003F7329">
        <w:t xml:space="preserve"> </w:t>
      </w:r>
      <w:r w:rsidR="00157668">
        <w:t>Their paper</w:t>
      </w:r>
      <w:r w:rsidR="001C153F">
        <w:t xml:space="preserve"> </w:t>
      </w:r>
      <w:r w:rsidR="00706403">
        <w:t>had</w:t>
      </w:r>
      <w:r w:rsidR="001847DB">
        <w:t xml:space="preserve"> not disclose</w:t>
      </w:r>
      <w:r w:rsidR="00F77C1D">
        <w:t>d</w:t>
      </w:r>
      <w:r w:rsidR="001847DB">
        <w:t xml:space="preserve"> their positions as insiders or outsiders</w:t>
      </w:r>
      <w:r w:rsidR="001C153F">
        <w:t>, but their combined expertise</w:t>
      </w:r>
      <w:r w:rsidR="00AB455F">
        <w:t xml:space="preserve"> in the area</w:t>
      </w:r>
      <w:r w:rsidR="00F8174C">
        <w:t xml:space="preserve">s of death </w:t>
      </w:r>
      <w:r w:rsidR="00BF2E86">
        <w:t>and religion,</w:t>
      </w:r>
      <w:r w:rsidR="001C153F">
        <w:t xml:space="preserve"> </w:t>
      </w:r>
      <w:r w:rsidR="00BF2E86">
        <w:t xml:space="preserve">respectively, </w:t>
      </w:r>
      <w:r w:rsidR="001C153F">
        <w:t xml:space="preserve">suggest that even if they </w:t>
      </w:r>
      <w:r w:rsidR="001A61B7">
        <w:t>were</w:t>
      </w:r>
      <w:r w:rsidR="001C153F">
        <w:t xml:space="preserve"> non-believers of reincarnation, they </w:t>
      </w:r>
      <w:r w:rsidR="001A61B7">
        <w:t>were</w:t>
      </w:r>
      <w:r w:rsidR="001C153F">
        <w:t xml:space="preserve"> at least academically fluent in the subject</w:t>
      </w:r>
      <w:r w:rsidR="004F23B9">
        <w:t xml:space="preserve">, and </w:t>
      </w:r>
      <w:r w:rsidR="00617EEF">
        <w:t>possess</w:t>
      </w:r>
      <w:r w:rsidR="00BD69CC">
        <w:t>ed</w:t>
      </w:r>
      <w:r w:rsidR="00617EEF">
        <w:t xml:space="preserve"> </w:t>
      </w:r>
      <w:r w:rsidR="004F23B9">
        <w:t>the capacity to understand the information they collect</w:t>
      </w:r>
      <w:r w:rsidR="00BD69CC">
        <w:t>ed</w:t>
      </w:r>
      <w:r w:rsidR="004F23B9">
        <w:t xml:space="preserve"> and analyze</w:t>
      </w:r>
      <w:r w:rsidR="005914C5">
        <w:t>d</w:t>
      </w:r>
      <w:r w:rsidR="00CE44C7">
        <w:t>. Their personal identities are not factored into their research</w:t>
      </w:r>
      <w:r w:rsidR="004F23B9">
        <w:t>.</w:t>
      </w:r>
      <w:r w:rsidR="00257491">
        <w:t xml:space="preserve"> </w:t>
      </w:r>
    </w:p>
    <w:p w14:paraId="1D2EE0E9" w14:textId="23D5E4BC" w:rsidR="00AB455F" w:rsidRDefault="00AB455F" w:rsidP="003D5C25">
      <w:pPr>
        <w:rPr>
          <w:u w:val="single"/>
        </w:rPr>
      </w:pPr>
      <w:r w:rsidRPr="004F23B9">
        <w:rPr>
          <w:u w:val="single"/>
        </w:rPr>
        <w:t>Methodology</w:t>
      </w:r>
    </w:p>
    <w:p w14:paraId="6D197BF5" w14:textId="34DDED00" w:rsidR="00D067CC" w:rsidRPr="00160FF3" w:rsidRDefault="006260DA" w:rsidP="00D067CC">
      <w:pPr>
        <w:rPr>
          <w:strike/>
        </w:rPr>
      </w:pPr>
      <w:r>
        <w:t xml:space="preserve">Blain’s research can be thought of as </w:t>
      </w:r>
      <w:r w:rsidR="005E5896">
        <w:t>emic</w:t>
      </w:r>
      <w:r>
        <w:t>,</w:t>
      </w:r>
      <w:r w:rsidR="00255228">
        <w:rPr>
          <w:rStyle w:val="FootnoteReference"/>
        </w:rPr>
        <w:footnoteReference w:id="20"/>
      </w:r>
      <w:r>
        <w:t xml:space="preserve"> as she attempt</w:t>
      </w:r>
      <w:r w:rsidR="00723F1C">
        <w:t>ed</w:t>
      </w:r>
      <w:r>
        <w:t xml:space="preserve"> to extract </w:t>
      </w:r>
      <w:r w:rsidR="005E5896">
        <w:t xml:space="preserve">the essence of </w:t>
      </w:r>
      <w:proofErr w:type="spellStart"/>
      <w:r w:rsidR="005E5896">
        <w:t>seidwork</w:t>
      </w:r>
      <w:proofErr w:type="spellEnd"/>
      <w:r w:rsidR="005E5896">
        <w:t xml:space="preserve"> from the </w:t>
      </w:r>
      <w:r w:rsidR="00896511">
        <w:t>cosmological standpoint</w:t>
      </w:r>
      <w:r w:rsidR="005E5896">
        <w:t xml:space="preserve"> of </w:t>
      </w:r>
      <w:proofErr w:type="spellStart"/>
      <w:r w:rsidR="005E5896">
        <w:t>seidworker</w:t>
      </w:r>
      <w:r w:rsidR="00896511">
        <w:t>s</w:t>
      </w:r>
      <w:proofErr w:type="spellEnd"/>
      <w:r w:rsidRPr="006260DA">
        <w:t>.</w:t>
      </w:r>
      <w:r w:rsidR="00C41363">
        <w:t xml:space="preserve"> </w:t>
      </w:r>
      <w:r w:rsidR="00896511">
        <w:t>The paper does</w:t>
      </w:r>
      <w:r w:rsidR="00C41363">
        <w:t xml:space="preserve"> not </w:t>
      </w:r>
      <w:r w:rsidR="00AB455F">
        <w:t xml:space="preserve">provide </w:t>
      </w:r>
      <w:r w:rsidR="00224801">
        <w:t>a precise</w:t>
      </w:r>
      <w:r w:rsidR="00AB455F">
        <w:t xml:space="preserve"> outline of</w:t>
      </w:r>
      <w:r>
        <w:t xml:space="preserve"> </w:t>
      </w:r>
      <w:r w:rsidR="00C41363">
        <w:t>her methodology</w:t>
      </w:r>
      <w:r w:rsidR="004105CD">
        <w:t xml:space="preserve"> for data collection</w:t>
      </w:r>
      <w:r w:rsidR="00EB314B">
        <w:t xml:space="preserve">, but it does demonstrate </w:t>
      </w:r>
      <w:r w:rsidR="00D10028">
        <w:t>the use of at</w:t>
      </w:r>
      <w:r w:rsidR="00AB455F">
        <w:t xml:space="preserve"> least two different types of qualitative research methods; in-depth interviews and observation. </w:t>
      </w:r>
      <w:r w:rsidR="00676AD2">
        <w:t>The data she collect</w:t>
      </w:r>
      <w:r w:rsidR="00773112">
        <w:t>ed</w:t>
      </w:r>
      <w:r w:rsidR="00676AD2">
        <w:t xml:space="preserve"> from the interview method are detailed accounts </w:t>
      </w:r>
      <w:r w:rsidR="009A2817">
        <w:t xml:space="preserve">of shamanistic </w:t>
      </w:r>
      <w:proofErr w:type="spellStart"/>
      <w:r w:rsidR="009A2817">
        <w:t>seidr</w:t>
      </w:r>
      <w:proofErr w:type="spellEnd"/>
      <w:r w:rsidR="009A2817">
        <w:t xml:space="preserve"> </w:t>
      </w:r>
      <w:r w:rsidR="00CE7A41">
        <w:t>rituals</w:t>
      </w:r>
      <w:r w:rsidR="001C3F72">
        <w:t xml:space="preserve"> </w:t>
      </w:r>
      <w:r w:rsidR="00B21132" w:rsidRPr="00B21132">
        <w:t xml:space="preserve">or </w:t>
      </w:r>
      <w:r w:rsidR="00CE7A41">
        <w:t xml:space="preserve">social experiences as a </w:t>
      </w:r>
      <w:proofErr w:type="spellStart"/>
      <w:r w:rsidR="00CE7A41">
        <w:lastRenderedPageBreak/>
        <w:t>seidworker</w:t>
      </w:r>
      <w:proofErr w:type="spellEnd"/>
      <w:r w:rsidR="001C3F72">
        <w:t>.</w:t>
      </w:r>
      <w:r w:rsidR="001C3F72">
        <w:rPr>
          <w:rStyle w:val="FootnoteReference"/>
        </w:rPr>
        <w:footnoteReference w:id="21"/>
      </w:r>
      <w:r w:rsidR="003E00BC">
        <w:t xml:space="preserve"> </w:t>
      </w:r>
      <w:r w:rsidR="00625456">
        <w:t>The interview method</w:t>
      </w:r>
      <w:r w:rsidR="003E00BC">
        <w:t xml:space="preserve"> gives </w:t>
      </w:r>
      <w:r w:rsidR="00294D4D">
        <w:t>an</w:t>
      </w:r>
      <w:r w:rsidR="003E00BC">
        <w:t xml:space="preserve"> opportunity for the informant to convey information about their practices from the own perspective and in their own words. </w:t>
      </w:r>
      <w:r w:rsidR="00642E72">
        <w:t>T</w:t>
      </w:r>
      <w:r w:rsidR="003E00BC">
        <w:t xml:space="preserve">he purpose of using in-depth interviews is to provide narratives about the </w:t>
      </w:r>
      <w:r w:rsidR="0064696D">
        <w:t>informant’s</w:t>
      </w:r>
      <w:r w:rsidR="003E00BC">
        <w:t xml:space="preserve"> lives, the context in which they live, and the subjectivity of the </w:t>
      </w:r>
      <w:r w:rsidR="0064696D">
        <w:t>informant</w:t>
      </w:r>
      <w:r w:rsidR="003E00BC">
        <w:t>.</w:t>
      </w:r>
      <w:r w:rsidR="001C3F72">
        <w:rPr>
          <w:rStyle w:val="FootnoteReference"/>
        </w:rPr>
        <w:footnoteReference w:id="22"/>
      </w:r>
      <w:r w:rsidR="003E00BC">
        <w:t xml:space="preserve"> </w:t>
      </w:r>
      <w:r w:rsidR="00DD52A1">
        <w:t xml:space="preserve">Blain used the methodology of </w:t>
      </w:r>
      <w:r w:rsidR="0064696D">
        <w:t>informant</w:t>
      </w:r>
      <w:r w:rsidR="00D067CC">
        <w:t xml:space="preserve"> </w:t>
      </w:r>
      <w:r w:rsidR="00DD52A1">
        <w:t xml:space="preserve">observation to describe her own account of what it is like to </w:t>
      </w:r>
      <w:r w:rsidR="000C7DFC">
        <w:t xml:space="preserve">conduct a </w:t>
      </w:r>
      <w:proofErr w:type="spellStart"/>
      <w:r w:rsidR="000C7DFC">
        <w:t>seidr</w:t>
      </w:r>
      <w:proofErr w:type="spellEnd"/>
      <w:r w:rsidR="000C7DFC">
        <w:t xml:space="preserve"> performance, </w:t>
      </w:r>
      <w:r w:rsidR="00B21132">
        <w:t>which includes</w:t>
      </w:r>
      <w:r w:rsidR="002F10DF">
        <w:t xml:space="preserve"> </w:t>
      </w:r>
      <w:r w:rsidR="000C7DFC">
        <w:t>what</w:t>
      </w:r>
      <w:r w:rsidR="00706E82">
        <w:t xml:space="preserve"> she ‘sees’ during the </w:t>
      </w:r>
      <w:r w:rsidR="00B21132">
        <w:t>performance</w:t>
      </w:r>
      <w:r w:rsidR="00706E82">
        <w:t xml:space="preserve"> and how she interacts with spirits</w:t>
      </w:r>
      <w:r w:rsidR="000C7DFC">
        <w:t>.</w:t>
      </w:r>
      <w:r w:rsidR="001C3F72">
        <w:rPr>
          <w:rStyle w:val="FootnoteReference"/>
        </w:rPr>
        <w:footnoteReference w:id="23"/>
      </w:r>
      <w:r w:rsidR="000C7DFC">
        <w:t xml:space="preserve"> </w:t>
      </w:r>
      <w:r w:rsidR="00FB041B">
        <w:t xml:space="preserve">A form of </w:t>
      </w:r>
      <w:r w:rsidR="0064696D">
        <w:t>informant</w:t>
      </w:r>
      <w:r w:rsidR="00FB041B">
        <w:t xml:space="preserve"> observation </w:t>
      </w:r>
      <w:r w:rsidR="0050214C">
        <w:t>is for</w:t>
      </w:r>
      <w:r w:rsidR="00D067CC">
        <w:t xml:space="preserve"> the researcher </w:t>
      </w:r>
      <w:r w:rsidR="007A3E93">
        <w:t>to immerse themselves amongst the group they’re studying.</w:t>
      </w:r>
      <w:r w:rsidR="001C3F72">
        <w:rPr>
          <w:rStyle w:val="FootnoteReference"/>
        </w:rPr>
        <w:footnoteReference w:id="24"/>
      </w:r>
      <w:r w:rsidR="0062540C">
        <w:t xml:space="preserve"> This technique is often referred to </w:t>
      </w:r>
      <w:r w:rsidR="00FB041B">
        <w:t xml:space="preserve">as </w:t>
      </w:r>
      <w:r w:rsidR="0062540C">
        <w:t>‘going native’,</w:t>
      </w:r>
      <w:r w:rsidR="001C3F72">
        <w:rPr>
          <w:rStyle w:val="FootnoteReference"/>
        </w:rPr>
        <w:footnoteReference w:id="25"/>
      </w:r>
      <w:r w:rsidR="0062540C">
        <w:t xml:space="preserve"> which Blain </w:t>
      </w:r>
      <w:r w:rsidR="00642E72">
        <w:t>participates in but recognizes</w:t>
      </w:r>
      <w:r w:rsidR="0062540C">
        <w:t xml:space="preserve"> as not enough to truly understand the communit</w:t>
      </w:r>
      <w:r w:rsidR="009A54EE">
        <w:t>y, due to the researcher’s reflexive position</w:t>
      </w:r>
      <w:r w:rsidR="0062540C">
        <w:t>.</w:t>
      </w:r>
      <w:r w:rsidR="001C3F72">
        <w:rPr>
          <w:rStyle w:val="FootnoteReference"/>
        </w:rPr>
        <w:footnoteReference w:id="26"/>
      </w:r>
      <w:r w:rsidR="007A3E93">
        <w:t xml:space="preserve"> </w:t>
      </w:r>
      <w:r w:rsidR="003654F3">
        <w:t xml:space="preserve">Observations can </w:t>
      </w:r>
      <w:r w:rsidR="007E7557">
        <w:t xml:space="preserve">also </w:t>
      </w:r>
      <w:r w:rsidR="003654F3">
        <w:t>be used to provide context as an observer, describe social and physical settings, understand or explain people’s actions and complement other methods of research</w:t>
      </w:r>
      <w:r w:rsidR="003654F3" w:rsidRPr="0064002D">
        <w:t>.</w:t>
      </w:r>
      <w:r w:rsidR="001C3F72">
        <w:rPr>
          <w:rStyle w:val="FootnoteReference"/>
        </w:rPr>
        <w:footnoteReference w:id="27"/>
      </w:r>
      <w:r w:rsidR="003654F3" w:rsidRPr="0064002D">
        <w:t xml:space="preserve"> </w:t>
      </w:r>
      <w:r w:rsidR="0064002D" w:rsidRPr="0064002D">
        <w:t>Her position as</w:t>
      </w:r>
      <w:r w:rsidR="00FF4FC2" w:rsidRPr="0064002D">
        <w:t xml:space="preserve"> an </w:t>
      </w:r>
      <w:r w:rsidR="00D7378C" w:rsidRPr="0064002D">
        <w:t xml:space="preserve">insider </w:t>
      </w:r>
      <w:r w:rsidR="00F9746E" w:rsidRPr="0064002D">
        <w:t xml:space="preserve">appeared to influence her decision </w:t>
      </w:r>
      <w:r w:rsidR="00E60708" w:rsidRPr="0064002D">
        <w:t xml:space="preserve">to use research methodology that would maximize her ability to </w:t>
      </w:r>
      <w:r w:rsidR="009054A2" w:rsidRPr="0064002D">
        <w:t xml:space="preserve">represent the </w:t>
      </w:r>
      <w:proofErr w:type="spellStart"/>
      <w:r w:rsidR="009054A2" w:rsidRPr="0064002D">
        <w:t>seidr</w:t>
      </w:r>
      <w:proofErr w:type="spellEnd"/>
      <w:r w:rsidR="009054A2" w:rsidRPr="0064002D">
        <w:t xml:space="preserve"> community in the way that </w:t>
      </w:r>
      <w:r w:rsidR="00160FF3" w:rsidRPr="0064002D">
        <w:t xml:space="preserve">they would want to be understood. </w:t>
      </w:r>
      <w:r w:rsidR="00CE5A0B">
        <w:t>The methodology in her research aim</w:t>
      </w:r>
      <w:r w:rsidR="00B978A4">
        <w:t>ed</w:t>
      </w:r>
      <w:r w:rsidR="00CE5A0B">
        <w:t xml:space="preserve"> to embody the concept of ‘verstehen’</w:t>
      </w:r>
      <w:r w:rsidR="009B7A87">
        <w:t>, which is to understand the interpretive issues from the perspective as an insider.</w:t>
      </w:r>
      <w:r w:rsidR="001C3F72">
        <w:rPr>
          <w:rStyle w:val="FootnoteReference"/>
        </w:rPr>
        <w:footnoteReference w:id="28"/>
      </w:r>
      <w:r w:rsidR="00C41363">
        <w:t xml:space="preserve"> Blain’s paper also </w:t>
      </w:r>
      <w:r w:rsidR="00AB24E5">
        <w:t>did</w:t>
      </w:r>
      <w:r w:rsidR="00C41363">
        <w:t xml:space="preserve"> not provide information on how she recruited her informants, but if she had been introduced by Winifred to the </w:t>
      </w:r>
      <w:proofErr w:type="spellStart"/>
      <w:r w:rsidR="00C41363">
        <w:t>seidr</w:t>
      </w:r>
      <w:proofErr w:type="spellEnd"/>
      <w:r w:rsidR="00C41363">
        <w:t xml:space="preserve"> community, Winifred would have acted as a gatekeeper to the group, allowing Blain to build trust in the community over time.</w:t>
      </w:r>
      <w:r w:rsidR="009C5697">
        <w:t xml:space="preserve"> </w:t>
      </w:r>
    </w:p>
    <w:p w14:paraId="264D8F6A" w14:textId="4C792B9C" w:rsidR="00C41363" w:rsidRDefault="0085677C" w:rsidP="00C41363">
      <w:bookmarkStart w:id="7" w:name="_Hlk192967776"/>
      <w:r>
        <w:t xml:space="preserve">Walter and Waterhouse designed their research using deductive framework. Their </w:t>
      </w:r>
      <w:r w:rsidR="00C41363">
        <w:t>aim was to collect information from a sample population</w:t>
      </w:r>
      <w:r w:rsidR="006113CC">
        <w:t xml:space="preserve"> t</w:t>
      </w:r>
      <w:r w:rsidR="00C41363">
        <w:t>o</w:t>
      </w:r>
      <w:r w:rsidR="00B2523D">
        <w:t xml:space="preserve"> </w:t>
      </w:r>
      <w:r w:rsidR="00964D0C">
        <w:t>determine</w:t>
      </w:r>
      <w:r>
        <w:t xml:space="preserve"> if it would replicate the data in existing studies, an</w:t>
      </w:r>
      <w:r w:rsidR="00B2523D">
        <w:t>d</w:t>
      </w:r>
      <w:r w:rsidR="00C41363">
        <w:t xml:space="preserve"> </w:t>
      </w:r>
      <w:r w:rsidR="001506FD">
        <w:t>identify</w:t>
      </w:r>
      <w:r w:rsidR="006905C4">
        <w:t xml:space="preserve"> the reason for increased belief in reincarnation</w:t>
      </w:r>
      <w:r w:rsidR="001506FD">
        <w:t>.</w:t>
      </w:r>
      <w:r w:rsidR="002925AE">
        <w:rPr>
          <w:rStyle w:val="FootnoteReference"/>
        </w:rPr>
        <w:footnoteReference w:id="29"/>
      </w:r>
      <w:r w:rsidR="001506FD">
        <w:t xml:space="preserve"> </w:t>
      </w:r>
      <w:r w:rsidR="00C41363">
        <w:t xml:space="preserve">Individuals that were </w:t>
      </w:r>
      <w:r w:rsidR="001506FD">
        <w:t xml:space="preserve">members </w:t>
      </w:r>
      <w:r w:rsidR="00C41363">
        <w:t>of religious or spiritual group</w:t>
      </w:r>
      <w:r w:rsidR="001506FD">
        <w:t>s</w:t>
      </w:r>
      <w:r w:rsidR="00C41363">
        <w:t xml:space="preserve"> that included reincarnation as a part of their belief system were deliberately excluded </w:t>
      </w:r>
      <w:r w:rsidR="00B903E0">
        <w:t>in order to</w:t>
      </w:r>
      <w:r w:rsidR="00C41363">
        <w:t xml:space="preserve"> isolate the cause for the sociological anomaly.</w:t>
      </w:r>
      <w:r w:rsidR="002925AE">
        <w:rPr>
          <w:rStyle w:val="FootnoteReference"/>
        </w:rPr>
        <w:footnoteReference w:id="30"/>
      </w:r>
      <w:r w:rsidR="00C41363">
        <w:t xml:space="preserve"> </w:t>
      </w:r>
      <w:r w:rsidR="0064696D">
        <w:t>Informants</w:t>
      </w:r>
      <w:r w:rsidR="00C41363">
        <w:t xml:space="preserve"> were recruited via radio advertisement</w:t>
      </w:r>
      <w:r w:rsidR="00257491">
        <w:t>, personal contacts</w:t>
      </w:r>
      <w:r w:rsidR="00C41363">
        <w:t xml:space="preserve"> and through the </w:t>
      </w:r>
      <w:r w:rsidR="00257491">
        <w:t>snowball</w:t>
      </w:r>
      <w:r w:rsidR="00C41363">
        <w:t xml:space="preserve"> effect.</w:t>
      </w:r>
      <w:r w:rsidR="002925AE">
        <w:rPr>
          <w:rStyle w:val="FootnoteReference"/>
        </w:rPr>
        <w:footnoteReference w:id="31"/>
      </w:r>
      <w:r w:rsidR="00C41363">
        <w:t xml:space="preserve"> </w:t>
      </w:r>
      <w:r w:rsidR="00F57CA0">
        <w:t>The benefit of m</w:t>
      </w:r>
      <w:r w:rsidR="00C41363">
        <w:t xml:space="preserve">edia advertisements </w:t>
      </w:r>
      <w:r w:rsidR="00F57CA0">
        <w:t xml:space="preserve">was that it </w:t>
      </w:r>
      <w:r w:rsidR="00C41363">
        <w:t xml:space="preserve">could cast a wider net for </w:t>
      </w:r>
      <w:r w:rsidR="0064696D">
        <w:t>informants</w:t>
      </w:r>
      <w:r w:rsidR="00C41363">
        <w:t>.</w:t>
      </w:r>
      <w:r w:rsidR="002925AE">
        <w:rPr>
          <w:rStyle w:val="FootnoteReference"/>
        </w:rPr>
        <w:footnoteReference w:id="32"/>
      </w:r>
      <w:r w:rsidR="00C41363">
        <w:t xml:space="preserve"> Other benefits of using advertisement</w:t>
      </w:r>
      <w:r w:rsidR="00016C64">
        <w:t>s</w:t>
      </w:r>
      <w:r w:rsidR="00C41363">
        <w:t xml:space="preserve"> </w:t>
      </w:r>
      <w:r w:rsidR="00174B15">
        <w:t xml:space="preserve">was that informants could </w:t>
      </w:r>
      <w:r w:rsidR="00C41363">
        <w:t>screen</w:t>
      </w:r>
      <w:r w:rsidR="00C27D39">
        <w:t xml:space="preserve"> for</w:t>
      </w:r>
      <w:r w:rsidR="00C41363">
        <w:t xml:space="preserve"> their own eligibility</w:t>
      </w:r>
      <w:r w:rsidR="00C27D39">
        <w:t>,</w:t>
      </w:r>
      <w:r w:rsidR="00C41363">
        <w:t xml:space="preserve"> and </w:t>
      </w:r>
      <w:r w:rsidR="00C27D39">
        <w:t xml:space="preserve">it would </w:t>
      </w:r>
      <w:r w:rsidR="00C41363">
        <w:t xml:space="preserve">attract </w:t>
      </w:r>
      <w:r w:rsidR="0064696D">
        <w:t>informants</w:t>
      </w:r>
      <w:r w:rsidR="00C41363">
        <w:t xml:space="preserve"> that </w:t>
      </w:r>
      <w:r w:rsidR="00C27D39">
        <w:t>were</w:t>
      </w:r>
      <w:r w:rsidR="00C41363">
        <w:t xml:space="preserve"> engaged and eager to be part of the research, since the recruitment process is entirely voluntary in nature.</w:t>
      </w:r>
      <w:r w:rsidR="002925AE">
        <w:rPr>
          <w:rStyle w:val="FootnoteReference"/>
        </w:rPr>
        <w:footnoteReference w:id="33"/>
      </w:r>
      <w:r w:rsidR="00C41363">
        <w:t xml:space="preserve"> Snowballing on the other hand allows </w:t>
      </w:r>
      <w:r w:rsidR="0064696D">
        <w:t>informants</w:t>
      </w:r>
      <w:r w:rsidR="00C41363">
        <w:t xml:space="preserve"> to identify other members of the community that could fit the eligibility requirements. It is a more efficient way of finding </w:t>
      </w:r>
      <w:r w:rsidR="0064696D">
        <w:t>informants</w:t>
      </w:r>
      <w:r w:rsidR="00C41363">
        <w:t xml:space="preserve">, but the </w:t>
      </w:r>
      <w:r w:rsidR="0064696D">
        <w:t>informants</w:t>
      </w:r>
      <w:r w:rsidR="00C41363">
        <w:t xml:space="preserve"> would likely be from the same social group, which could skew the results if the research is looking for trends that reflect a larger population.</w:t>
      </w:r>
      <w:r w:rsidR="002925AE">
        <w:rPr>
          <w:rStyle w:val="FootnoteReference"/>
        </w:rPr>
        <w:footnoteReference w:id="34"/>
      </w:r>
      <w:r w:rsidR="00C41363">
        <w:t xml:space="preserve"> </w:t>
      </w:r>
      <w:r w:rsidR="00A8140E">
        <w:t xml:space="preserve">Walter and Waterfield </w:t>
      </w:r>
      <w:r w:rsidR="003A447A">
        <w:t>had</w:t>
      </w:r>
      <w:r w:rsidR="00A8140E">
        <w:t xml:space="preserve"> not provide</w:t>
      </w:r>
      <w:r w:rsidR="003A447A">
        <w:t>d</w:t>
      </w:r>
      <w:r w:rsidR="00A8140E">
        <w:t xml:space="preserve"> how many among the 30 adults and 21 schoolchildren were recruited by each method.</w:t>
      </w:r>
      <w:r w:rsidR="00A8140E" w:rsidRPr="00A8140E">
        <w:t xml:space="preserve"> </w:t>
      </w:r>
      <w:r w:rsidR="006113CC">
        <w:t xml:space="preserve">Data collection was done via a mixed method of </w:t>
      </w:r>
      <w:r w:rsidR="00BD67F2">
        <w:t xml:space="preserve">one-on-one </w:t>
      </w:r>
      <w:r w:rsidR="006113CC">
        <w:t xml:space="preserve">open-ended interviews </w:t>
      </w:r>
      <w:r w:rsidR="00BD67F2">
        <w:t xml:space="preserve">for the adults, group interviews divided </w:t>
      </w:r>
      <w:r w:rsidR="00A57E15">
        <w:t>by</w:t>
      </w:r>
      <w:r w:rsidR="00BD67F2">
        <w:t xml:space="preserve"> age </w:t>
      </w:r>
      <w:r w:rsidR="00BD67F2">
        <w:lastRenderedPageBreak/>
        <w:t xml:space="preserve">range for the schoolchildren, </w:t>
      </w:r>
      <w:r w:rsidR="006113CC">
        <w:t xml:space="preserve">and </w:t>
      </w:r>
      <w:r w:rsidR="002E48B3">
        <w:t xml:space="preserve">their own </w:t>
      </w:r>
      <w:r w:rsidR="006113CC">
        <w:t>observations.</w:t>
      </w:r>
      <w:r w:rsidR="00BD67F2">
        <w:t xml:space="preserve"> Open-ended interviews allowed informants to speak on their own terms</w:t>
      </w:r>
      <w:r w:rsidR="006113CC">
        <w:t>.</w:t>
      </w:r>
      <w:r w:rsidR="002925AE">
        <w:rPr>
          <w:rStyle w:val="FootnoteReference"/>
        </w:rPr>
        <w:footnoteReference w:id="35"/>
      </w:r>
      <w:r w:rsidR="006113CC">
        <w:t xml:space="preserve"> </w:t>
      </w:r>
      <w:r w:rsidR="009B6A2B">
        <w:t xml:space="preserve">The answers </w:t>
      </w:r>
      <w:r w:rsidR="00BF61E3">
        <w:t>that were</w:t>
      </w:r>
      <w:r w:rsidR="009B6A2B">
        <w:t xml:space="preserve"> collected were then categorized </w:t>
      </w:r>
      <w:r w:rsidR="00A8140E">
        <w:t>into three different types of influences that led to reincarnation beliefs.</w:t>
      </w:r>
      <w:r w:rsidR="00E061F6">
        <w:rPr>
          <w:rStyle w:val="FootnoteReference"/>
        </w:rPr>
        <w:footnoteReference w:id="36"/>
      </w:r>
      <w:r w:rsidR="00A8140E">
        <w:t xml:space="preserve"> </w:t>
      </w:r>
      <w:r w:rsidR="006113CC">
        <w:t xml:space="preserve">Quantifiable data such as the ages of </w:t>
      </w:r>
      <w:r w:rsidR="0064696D">
        <w:t>informants</w:t>
      </w:r>
      <w:r w:rsidR="006113CC">
        <w:t>, their occupation, and whether they belonged to a church</w:t>
      </w:r>
      <w:r w:rsidR="00A8140E">
        <w:t xml:space="preserve"> were also collected</w:t>
      </w:r>
      <w:r w:rsidR="006113CC">
        <w:t>, although it is unknown whether these were part of the interview questions</w:t>
      </w:r>
      <w:r w:rsidR="003577AD">
        <w:t xml:space="preserve"> or via </w:t>
      </w:r>
      <w:r w:rsidR="00192464">
        <w:t>another method of data collection</w:t>
      </w:r>
      <w:r w:rsidR="006113CC">
        <w:t>.</w:t>
      </w:r>
      <w:r w:rsidR="00E061F6">
        <w:rPr>
          <w:rStyle w:val="FootnoteReference"/>
        </w:rPr>
        <w:footnoteReference w:id="37"/>
      </w:r>
      <w:r w:rsidR="00A8140E">
        <w:t xml:space="preserve"> </w:t>
      </w:r>
      <w:r w:rsidR="00A8140E" w:rsidRPr="00A8140E">
        <w:t xml:space="preserve">This quantifiable data allowed them to compare the demographic of their sample data to the </w:t>
      </w:r>
      <w:r w:rsidR="00A8140E" w:rsidRPr="00B21132">
        <w:t>EVS</w:t>
      </w:r>
      <w:r w:rsidR="00A8140E" w:rsidRPr="00A8140E">
        <w:t>.</w:t>
      </w:r>
      <w:r w:rsidR="00A8140E">
        <w:t xml:space="preserve"> </w:t>
      </w:r>
      <w:r w:rsidR="00C41363">
        <w:t xml:space="preserve">Walter and Waterfield </w:t>
      </w:r>
      <w:r w:rsidR="00120320">
        <w:t>did</w:t>
      </w:r>
      <w:r w:rsidR="00C41363">
        <w:t xml:space="preserve"> not provide information on why children were interviewed in groups, however, the Declaration of Helsinki state that there are special rules for research with children and other vulnerable groups.</w:t>
      </w:r>
      <w:r w:rsidR="00E061F6">
        <w:rPr>
          <w:rStyle w:val="FootnoteReference"/>
        </w:rPr>
        <w:footnoteReference w:id="38"/>
      </w:r>
      <w:r w:rsidR="00C41363">
        <w:t xml:space="preserve"> While </w:t>
      </w:r>
      <w:r w:rsidR="001E4365">
        <w:t>grouping children together</w:t>
      </w:r>
      <w:r w:rsidR="00C41363">
        <w:t xml:space="preserve"> could </w:t>
      </w:r>
      <w:r w:rsidR="00016A6A">
        <w:t>have been</w:t>
      </w:r>
      <w:r w:rsidR="00C41363">
        <w:t xml:space="preserve"> done for </w:t>
      </w:r>
      <w:r w:rsidR="00BD67F2">
        <w:t>ethical reasons</w:t>
      </w:r>
      <w:r w:rsidR="00C41363">
        <w:t xml:space="preserve">, there is a risk of treating </w:t>
      </w:r>
      <w:r w:rsidR="001E4365">
        <w:t>them</w:t>
      </w:r>
      <w:r w:rsidR="00C41363">
        <w:t xml:space="preserve"> as though they </w:t>
      </w:r>
      <w:r w:rsidR="00E339CF">
        <w:t>are</w:t>
      </w:r>
      <w:r w:rsidR="00C41363">
        <w:t xml:space="preserve"> a category rather than individuals.</w:t>
      </w:r>
      <w:r w:rsidR="00E061F6">
        <w:rPr>
          <w:rStyle w:val="FootnoteReference"/>
        </w:rPr>
        <w:footnoteReference w:id="39"/>
      </w:r>
      <w:r w:rsidR="00BD67F2">
        <w:t xml:space="preserve"> </w:t>
      </w:r>
      <w:r w:rsidR="000D507E">
        <w:t>The observational method was</w:t>
      </w:r>
      <w:r w:rsidR="00BD67F2">
        <w:t xml:space="preserve"> used to determine whether informants showed inclination towards New Age beliefs</w:t>
      </w:r>
      <w:r w:rsidR="00BF61E3">
        <w:t xml:space="preserve">, such as observing whether their homes contained Indian skirts, crystals and New Age music. </w:t>
      </w:r>
    </w:p>
    <w:bookmarkEnd w:id="7"/>
    <w:p w14:paraId="092AEFC0" w14:textId="44B3330A" w:rsidR="000C625A" w:rsidRDefault="006D13F5" w:rsidP="001506FD">
      <w:r w:rsidRPr="006D13F5">
        <w:rPr>
          <w:u w:val="single"/>
        </w:rPr>
        <w:t xml:space="preserve">Ethical </w:t>
      </w:r>
      <w:r w:rsidR="00346EDD">
        <w:rPr>
          <w:u w:val="single"/>
        </w:rPr>
        <w:t>Concerns</w:t>
      </w:r>
    </w:p>
    <w:p w14:paraId="7458C3CD" w14:textId="5D984211" w:rsidR="001506FD" w:rsidRDefault="00DA05D4" w:rsidP="001506FD">
      <w:r>
        <w:t xml:space="preserve">An </w:t>
      </w:r>
      <w:r w:rsidR="001506FD">
        <w:t xml:space="preserve">ethical concern for Blain’s paper is whether efforts </w:t>
      </w:r>
      <w:r w:rsidR="0064696D">
        <w:t>were</w:t>
      </w:r>
      <w:r w:rsidR="001506FD">
        <w:t xml:space="preserve"> made to anonymize the </w:t>
      </w:r>
      <w:r w:rsidR="0064696D">
        <w:t>informants</w:t>
      </w:r>
      <w:r w:rsidR="001506FD">
        <w:t>. It is unknown if ‘Winnifred’ or ‘</w:t>
      </w:r>
      <w:proofErr w:type="spellStart"/>
      <w:r w:rsidR="001506FD">
        <w:t>Jordsvin</w:t>
      </w:r>
      <w:proofErr w:type="spellEnd"/>
      <w:r w:rsidR="001506FD">
        <w:t xml:space="preserve">’ are the real names of the </w:t>
      </w:r>
      <w:r w:rsidR="0064696D">
        <w:t>informants</w:t>
      </w:r>
      <w:r w:rsidR="001506FD">
        <w:t xml:space="preserve"> or if they are pseudonyms. Even without pseudonyms, Winnifred and </w:t>
      </w:r>
      <w:proofErr w:type="spellStart"/>
      <w:r w:rsidR="001506FD">
        <w:t>Jordsvin</w:t>
      </w:r>
      <w:proofErr w:type="spellEnd"/>
      <w:r w:rsidR="001506FD">
        <w:t xml:space="preserve"> may be identifiable by the community due to the highly personal accounts that they give in their interviews. Lack of anonymity for this research can pose as a risk for the </w:t>
      </w:r>
      <w:r w:rsidR="0064696D">
        <w:t>informants</w:t>
      </w:r>
      <w:r w:rsidR="001506FD">
        <w:t xml:space="preserve"> if they have a life outside of the community that believes </w:t>
      </w:r>
      <w:proofErr w:type="spellStart"/>
      <w:r w:rsidR="001506FD">
        <w:t>seidr</w:t>
      </w:r>
      <w:proofErr w:type="spellEnd"/>
      <w:r w:rsidR="001506FD">
        <w:t xml:space="preserve"> work to be ‘irrational’ and compromise how seriously they are taken in other spaces. </w:t>
      </w:r>
      <w:r w:rsidR="0064696D">
        <w:t>Researchers can maintain the safety and trust of an informant by keeping their identity safe.</w:t>
      </w:r>
      <w:r w:rsidR="00E061F6">
        <w:rPr>
          <w:rStyle w:val="FootnoteReference"/>
        </w:rPr>
        <w:footnoteReference w:id="40"/>
      </w:r>
    </w:p>
    <w:p w14:paraId="043A7FC3" w14:textId="056BA210" w:rsidR="00F933AE" w:rsidRPr="00327AF4" w:rsidRDefault="001506FD" w:rsidP="00F933AE">
      <w:r>
        <w:t>Walter and Waterhouse</w:t>
      </w:r>
      <w:r w:rsidR="00BA5C0D">
        <w:t xml:space="preserve"> </w:t>
      </w:r>
      <w:r w:rsidR="00C6703C">
        <w:t>did</w:t>
      </w:r>
      <w:r w:rsidR="00BA5C0D">
        <w:t xml:space="preserve"> not name their </w:t>
      </w:r>
      <w:proofErr w:type="gramStart"/>
      <w:r w:rsidR="0064696D">
        <w:t>informants</w:t>
      </w:r>
      <w:r>
        <w:t>,</w:t>
      </w:r>
      <w:proofErr w:type="gramEnd"/>
      <w:r>
        <w:t xml:space="preserve"> however, anonymity </w:t>
      </w:r>
      <w:r w:rsidR="00845A20">
        <w:t>could</w:t>
      </w:r>
      <w:r>
        <w:t xml:space="preserve"> still be compromised. </w:t>
      </w:r>
      <w:r w:rsidR="0009185C">
        <w:t>A risk associated with</w:t>
      </w:r>
      <w:r>
        <w:t xml:space="preserve"> snowballing is that the informants are likely to be connected by a social network, making </w:t>
      </w:r>
      <w:r w:rsidR="00A30009">
        <w:t>them</w:t>
      </w:r>
      <w:r w:rsidR="002D1C79">
        <w:t xml:space="preserve"> identifiable to one another </w:t>
      </w:r>
      <w:r w:rsidR="000A30A9">
        <w:t xml:space="preserve">if highly personal information is shared, such as in the case of the informant </w:t>
      </w:r>
      <w:r w:rsidR="00326B66">
        <w:t>whose loss of her infant daughter was published in the paper</w:t>
      </w:r>
      <w:r w:rsidR="000A30A9">
        <w:t>.</w:t>
      </w:r>
      <w:r w:rsidR="00E061F6">
        <w:rPr>
          <w:rStyle w:val="FootnoteReference"/>
        </w:rPr>
        <w:footnoteReference w:id="41"/>
      </w:r>
      <w:r w:rsidR="000A30A9">
        <w:t xml:space="preserve"> </w:t>
      </w:r>
      <w:r>
        <w:t xml:space="preserve">Another ethical issue could be the inclusion of children in the research. </w:t>
      </w:r>
      <w:r w:rsidR="00F933AE">
        <w:t>Children’s agency is thought to be limited by their social positioning in relation to adults</w:t>
      </w:r>
      <w:r w:rsidR="00016A6A">
        <w:t xml:space="preserve">, and </w:t>
      </w:r>
      <w:r w:rsidR="00D17084">
        <w:t xml:space="preserve">their participation are sought for </w:t>
      </w:r>
      <w:r w:rsidR="0095439E">
        <w:t>subjects</w:t>
      </w:r>
      <w:r w:rsidR="00F933AE">
        <w:t xml:space="preserve"> that are critical for children’s issues.</w:t>
      </w:r>
      <w:r w:rsidR="00242823">
        <w:rPr>
          <w:rStyle w:val="FootnoteReference"/>
        </w:rPr>
        <w:footnoteReference w:id="42"/>
      </w:r>
      <w:r w:rsidR="00F933AE">
        <w:t xml:space="preserve"> It is questionable as to whether the use of children </w:t>
      </w:r>
      <w:r w:rsidR="00E57B69">
        <w:t>was</w:t>
      </w:r>
      <w:r w:rsidR="00F933AE">
        <w:t xml:space="preserve"> necessary or beneficial to the research.</w:t>
      </w:r>
    </w:p>
    <w:p w14:paraId="4B94E060" w14:textId="5A870C14" w:rsidR="002A5B14" w:rsidRDefault="009F561E" w:rsidP="003D5C25">
      <w:pPr>
        <w:rPr>
          <w:u w:val="single"/>
        </w:rPr>
      </w:pPr>
      <w:r w:rsidRPr="009F561E">
        <w:rPr>
          <w:u w:val="single"/>
        </w:rPr>
        <w:t>Literature</w:t>
      </w:r>
    </w:p>
    <w:p w14:paraId="1ED24157" w14:textId="71708F48" w:rsidR="0034503B" w:rsidRDefault="0013520D" w:rsidP="003D5C25">
      <w:r>
        <w:lastRenderedPageBreak/>
        <w:t xml:space="preserve">Blain’s research is situated within the greater academic framework on studying </w:t>
      </w:r>
      <w:r w:rsidR="0064696D">
        <w:t>ethnography</w:t>
      </w:r>
      <w:r>
        <w:t>. The</w:t>
      </w:r>
      <w:r w:rsidR="00F77836">
        <w:t xml:space="preserve">refore, </w:t>
      </w:r>
      <w:r w:rsidR="00D5672C">
        <w:t>many of the</w:t>
      </w:r>
      <w:r w:rsidR="00F77836">
        <w:t xml:space="preserve"> academic work she </w:t>
      </w:r>
      <w:r w:rsidR="00326B66">
        <w:t>had used</w:t>
      </w:r>
      <w:r w:rsidR="00F77836">
        <w:t xml:space="preserve"> </w:t>
      </w:r>
      <w:r w:rsidR="00454D68">
        <w:t>were</w:t>
      </w:r>
      <w:r w:rsidR="00F77836">
        <w:t xml:space="preserve"> </w:t>
      </w:r>
      <w:r w:rsidR="005D2BE9">
        <w:t xml:space="preserve">on conducting </w:t>
      </w:r>
      <w:r w:rsidR="00326B66">
        <w:t xml:space="preserve">research </w:t>
      </w:r>
      <w:r w:rsidR="005D2BE9">
        <w:t>for</w:t>
      </w:r>
      <w:r w:rsidR="00D37C46">
        <w:t xml:space="preserve"> ‘non-rational’ or ‘imaginal’ experiences</w:t>
      </w:r>
      <w:r w:rsidR="00326B66">
        <w:t>; ranging from those who used a rationalist approach to those that use</w:t>
      </w:r>
      <w:r w:rsidR="00454D68">
        <w:t>d</w:t>
      </w:r>
      <w:r w:rsidR="00326B66">
        <w:t xml:space="preserve"> an emic approach</w:t>
      </w:r>
      <w:r w:rsidR="005E5896">
        <w:t>. Since the paper appear</w:t>
      </w:r>
      <w:r w:rsidR="00454D68">
        <w:t>ed</w:t>
      </w:r>
      <w:r w:rsidR="005E5896">
        <w:t xml:space="preserve"> to be more about </w:t>
      </w:r>
      <w:r w:rsidR="00326B66">
        <w:t xml:space="preserve">the ethnography of studying the </w:t>
      </w:r>
      <w:proofErr w:type="spellStart"/>
      <w:r w:rsidR="00326B66">
        <w:t>seidr</w:t>
      </w:r>
      <w:proofErr w:type="spellEnd"/>
      <w:r w:rsidR="00326B66">
        <w:t xml:space="preserve"> community rather than the </w:t>
      </w:r>
      <w:proofErr w:type="spellStart"/>
      <w:r w:rsidR="00326B66">
        <w:t>seidr</w:t>
      </w:r>
      <w:proofErr w:type="spellEnd"/>
      <w:r w:rsidR="00326B66">
        <w:t xml:space="preserve"> community itself</w:t>
      </w:r>
      <w:r w:rsidR="00B15948">
        <w:t>,</w:t>
      </w:r>
      <w:r w:rsidR="00326B66">
        <w:t xml:space="preserve"> </w:t>
      </w:r>
      <w:r w:rsidR="005E5896">
        <w:t xml:space="preserve">it may have been an intentional choice to exclude information </w:t>
      </w:r>
      <w:r w:rsidR="0017700C">
        <w:t xml:space="preserve">on her research methodology </w:t>
      </w:r>
      <w:r w:rsidR="00B15948">
        <w:t>relating to</w:t>
      </w:r>
      <w:r w:rsidR="0017700C">
        <w:t xml:space="preserve"> the collection of data from her informants. </w:t>
      </w:r>
      <w:r w:rsidR="00E119B4">
        <w:t>T</w:t>
      </w:r>
      <w:r w:rsidR="0017700C">
        <w:t xml:space="preserve">he </w:t>
      </w:r>
      <w:r w:rsidR="00CA2F85">
        <w:t>methodological issues</w:t>
      </w:r>
      <w:r w:rsidR="0017700C">
        <w:t xml:space="preserve"> discussed in her paper </w:t>
      </w:r>
      <w:r w:rsidR="00B27413">
        <w:t>were</w:t>
      </w:r>
      <w:r w:rsidR="0017700C">
        <w:t xml:space="preserve"> on the terminology used</w:t>
      </w:r>
      <w:r w:rsidR="00553226">
        <w:t xml:space="preserve"> (such as how the term ‘belief’ may be inappropriate for describing what the </w:t>
      </w:r>
      <w:proofErr w:type="spellStart"/>
      <w:r w:rsidR="00553226">
        <w:t>seidr</w:t>
      </w:r>
      <w:proofErr w:type="spellEnd"/>
      <w:r w:rsidR="00553226">
        <w:t xml:space="preserve"> community experiences), or how ‘going native’ may be beneficial</w:t>
      </w:r>
      <w:r w:rsidR="0017700C">
        <w:t>.</w:t>
      </w:r>
      <w:r w:rsidR="0055756C">
        <w:rPr>
          <w:rStyle w:val="FootnoteReference"/>
        </w:rPr>
        <w:footnoteReference w:id="43"/>
      </w:r>
      <w:r w:rsidR="00553226">
        <w:t xml:space="preserve"> </w:t>
      </w:r>
      <w:r w:rsidR="00131B3D">
        <w:t xml:space="preserve">Blain’s </w:t>
      </w:r>
      <w:r w:rsidR="008E5E0C">
        <w:t>paper was written in a way that immersed the reader into the experience of being a researcher</w:t>
      </w:r>
      <w:r w:rsidR="00777A5E">
        <w:t xml:space="preserve">, with </w:t>
      </w:r>
      <w:r w:rsidR="00CB186D">
        <w:t>each subtopic</w:t>
      </w:r>
      <w:r w:rsidR="00777A5E">
        <w:t xml:space="preserve"> emerging </w:t>
      </w:r>
      <w:r w:rsidR="00CB186D">
        <w:t>as though</w:t>
      </w:r>
      <w:r w:rsidR="00777A5E">
        <w:t xml:space="preserve"> </w:t>
      </w:r>
      <w:r w:rsidR="00326B66">
        <w:t>it were an</w:t>
      </w:r>
      <w:r w:rsidR="00777A5E">
        <w:t xml:space="preserve"> organic thought process</w:t>
      </w:r>
      <w:r w:rsidR="008E5E0C">
        <w:t xml:space="preserve">. </w:t>
      </w:r>
      <w:r w:rsidR="0034503B">
        <w:t xml:space="preserve">While this style of writing was enjoyable to read, </w:t>
      </w:r>
      <w:r w:rsidR="00371785">
        <w:t xml:space="preserve">her train of thought was sometimes difficult to follow </w:t>
      </w:r>
      <w:r w:rsidR="0034503B">
        <w:t xml:space="preserve">as one thought flowed to the next. </w:t>
      </w:r>
      <w:r w:rsidR="00777A5E">
        <w:t xml:space="preserve">There were </w:t>
      </w:r>
      <w:r w:rsidR="00340069">
        <w:t xml:space="preserve">other </w:t>
      </w:r>
      <w:r w:rsidR="00777A5E">
        <w:t>issues with clarity.</w:t>
      </w:r>
      <w:r w:rsidR="00777A5E" w:rsidRPr="00777A5E">
        <w:t xml:space="preserve"> </w:t>
      </w:r>
      <w:r w:rsidR="00777A5E">
        <w:t>Blain lists ‘delineation of appropriate behaviour’ as a methodological issue in her abstract,</w:t>
      </w:r>
      <w:r w:rsidR="00E35EF0">
        <w:rPr>
          <w:rStyle w:val="FootnoteReference"/>
        </w:rPr>
        <w:footnoteReference w:id="44"/>
      </w:r>
      <w:r w:rsidR="00777A5E">
        <w:t xml:space="preserve"> but it is unclear if she</w:t>
      </w:r>
      <w:r w:rsidR="001E6469">
        <w:t xml:space="preserve"> was</w:t>
      </w:r>
      <w:r w:rsidR="00777A5E">
        <w:t xml:space="preserve"> referring to the inappropriateness of using rationalism to study a ‘non-rational’ subject or if she was referring to something else. </w:t>
      </w:r>
      <w:r w:rsidR="0034503B">
        <w:t xml:space="preserve">It was difficult to determine whether the wedding that was mentioned at the beginning of the paper </w:t>
      </w:r>
      <w:r w:rsidR="0061170F">
        <w:t xml:space="preserve">were related </w:t>
      </w:r>
      <w:r w:rsidR="0034503B">
        <w:t xml:space="preserve">the rituals she and </w:t>
      </w:r>
      <w:proofErr w:type="spellStart"/>
      <w:r w:rsidR="0034503B">
        <w:t>Jordsvin</w:t>
      </w:r>
      <w:proofErr w:type="spellEnd"/>
      <w:r w:rsidR="0034503B">
        <w:t xml:space="preserve"> were describing. By the end of the paper, it would appear that the wedding was unconnected to the rituals, however, </w:t>
      </w:r>
      <w:r w:rsidR="00CB186D">
        <w:t xml:space="preserve">this is </w:t>
      </w:r>
      <w:r w:rsidR="009E4F76">
        <w:t>a</w:t>
      </w:r>
      <w:r w:rsidR="00CB186D">
        <w:t xml:space="preserve"> conclusion that the reader draws rather than something that Blain explicitly </w:t>
      </w:r>
      <w:r w:rsidR="00F7606D">
        <w:t>tells</w:t>
      </w:r>
      <w:r w:rsidR="00CB186D">
        <w:t xml:space="preserve">. </w:t>
      </w:r>
    </w:p>
    <w:p w14:paraId="261B14E6" w14:textId="01770CDC" w:rsidR="00241561" w:rsidRDefault="00447EFD" w:rsidP="003D5C25">
      <w:r>
        <w:t xml:space="preserve">Walter and Waterhouse’s </w:t>
      </w:r>
      <w:r w:rsidR="00967FCC">
        <w:t xml:space="preserve">research </w:t>
      </w:r>
      <w:r w:rsidR="000D6B39">
        <w:t>was</w:t>
      </w:r>
      <w:r w:rsidR="00967FCC">
        <w:t xml:space="preserve"> situated within the greater academic framework of social trends surrounding belief in reincarnation </w:t>
      </w:r>
      <w:r w:rsidR="003F348C">
        <w:t xml:space="preserve">among the </w:t>
      </w:r>
      <w:r w:rsidR="00A716E7">
        <w:t>English</w:t>
      </w:r>
      <w:r w:rsidR="003F348C">
        <w:t xml:space="preserve"> population</w:t>
      </w:r>
      <w:r w:rsidR="00967FCC">
        <w:t>.</w:t>
      </w:r>
      <w:r w:rsidR="00BA5C0D">
        <w:t xml:space="preserve"> Their paper demonstrated </w:t>
      </w:r>
      <w:r w:rsidR="00B37FB9">
        <w:t>the effort to</w:t>
      </w:r>
      <w:r w:rsidR="0034503B">
        <w:t xml:space="preserve"> be objective </w:t>
      </w:r>
      <w:r w:rsidR="008E5E0C">
        <w:t>by using multiple sets of data from various external sources to confirm</w:t>
      </w:r>
      <w:r w:rsidR="00CE3221">
        <w:t xml:space="preserve"> the trend before embarking on their own research</w:t>
      </w:r>
      <w:r w:rsidR="00BA5C0D">
        <w:t>.</w:t>
      </w:r>
      <w:r w:rsidR="008F3A20">
        <w:rPr>
          <w:rStyle w:val="FootnoteReference"/>
        </w:rPr>
        <w:footnoteReference w:id="45"/>
      </w:r>
      <w:r w:rsidR="00BA5C0D">
        <w:t xml:space="preserve"> However, not all of their </w:t>
      </w:r>
      <w:r w:rsidR="002E7BB1">
        <w:t xml:space="preserve">data </w:t>
      </w:r>
      <w:r w:rsidR="00C37FD9">
        <w:t>had</w:t>
      </w:r>
      <w:r w:rsidR="002E7BB1">
        <w:t xml:space="preserve"> references for where they originated from. For example, their paper claimed that members of the UK </w:t>
      </w:r>
      <w:r w:rsidR="00954F7B">
        <w:t xml:space="preserve">population that </w:t>
      </w:r>
      <w:r w:rsidR="009658E2">
        <w:t>engaged in</w:t>
      </w:r>
      <w:r w:rsidR="00954F7B">
        <w:t xml:space="preserve"> religious or spiritual practices that recognize reincarnation as part of their doctrine </w:t>
      </w:r>
      <w:r w:rsidR="009B12C3">
        <w:t>was</w:t>
      </w:r>
      <w:r w:rsidR="00CA5051">
        <w:t xml:space="preserve"> not more than</w:t>
      </w:r>
      <w:r w:rsidR="00954F7B">
        <w:t xml:space="preserve"> 2 percent, but they </w:t>
      </w:r>
      <w:r w:rsidR="00C6703C">
        <w:t>did</w:t>
      </w:r>
      <w:r w:rsidR="00954F7B">
        <w:t xml:space="preserve"> not cite where this figure </w:t>
      </w:r>
      <w:r w:rsidR="007E7E34">
        <w:t xml:space="preserve">came </w:t>
      </w:r>
      <w:r w:rsidR="00954F7B">
        <w:t>from.</w:t>
      </w:r>
      <w:r w:rsidR="008F3A20">
        <w:rPr>
          <w:rStyle w:val="FootnoteReference"/>
        </w:rPr>
        <w:footnoteReference w:id="46"/>
      </w:r>
      <w:r w:rsidR="00954F7B">
        <w:t xml:space="preserve"> There </w:t>
      </w:r>
      <w:r w:rsidR="004D38E4">
        <w:t>were</w:t>
      </w:r>
      <w:r w:rsidR="00954F7B">
        <w:t xml:space="preserve"> also datapoints </w:t>
      </w:r>
      <w:r w:rsidR="003473AC">
        <w:t xml:space="preserve">within their own research </w:t>
      </w:r>
      <w:r w:rsidR="00954F7B">
        <w:t xml:space="preserve">that </w:t>
      </w:r>
      <w:r w:rsidR="002E7BB1">
        <w:t>were not clearly</w:t>
      </w:r>
      <w:r w:rsidR="00954F7B">
        <w:t xml:space="preserve"> explaine</w:t>
      </w:r>
      <w:r w:rsidR="002E7BB1">
        <w:t>d</w:t>
      </w:r>
      <w:r w:rsidR="00954F7B">
        <w:t xml:space="preserve">. </w:t>
      </w:r>
      <w:r w:rsidR="004D38E4">
        <w:t xml:space="preserve">Their research </w:t>
      </w:r>
      <w:r w:rsidR="000355D3">
        <w:t>stated</w:t>
      </w:r>
      <w:r w:rsidR="00954F7B">
        <w:t xml:space="preserve"> that nurses </w:t>
      </w:r>
      <w:r w:rsidR="00414DD3">
        <w:t>had</w:t>
      </w:r>
      <w:r w:rsidR="00954F7B">
        <w:t xml:space="preserve"> not reported on patients that have spoken about reincarnation, but it is unclear whether these nurses </w:t>
      </w:r>
      <w:r w:rsidR="008D7A4E">
        <w:t>were</w:t>
      </w:r>
      <w:r w:rsidR="00954F7B">
        <w:t xml:space="preserve"> part of their sample population or if they additionally </w:t>
      </w:r>
      <w:r w:rsidR="00D95F0E">
        <w:t>approached</w:t>
      </w:r>
      <w:r w:rsidR="00954F7B">
        <w:t xml:space="preserve"> nurses at the local hospice to ask about their patients</w:t>
      </w:r>
      <w:r w:rsidR="00D95F0E">
        <w:t>.</w:t>
      </w:r>
      <w:r w:rsidR="00437458">
        <w:rPr>
          <w:rStyle w:val="FootnoteReference"/>
        </w:rPr>
        <w:footnoteReference w:id="47"/>
      </w:r>
      <w:r w:rsidR="00D95F0E">
        <w:t xml:space="preserve"> </w:t>
      </w:r>
      <w:r w:rsidR="002E7BB1">
        <w:t>The</w:t>
      </w:r>
      <w:r w:rsidR="006A346E">
        <w:t>y</w:t>
      </w:r>
      <w:r w:rsidR="002E7BB1">
        <w:t xml:space="preserve"> also d</w:t>
      </w:r>
      <w:r w:rsidR="009B324E">
        <w:t>id</w:t>
      </w:r>
      <w:r w:rsidR="002E7BB1">
        <w:t xml:space="preserve"> not provide a clear definition on the term </w:t>
      </w:r>
      <w:r w:rsidR="008A2DA5">
        <w:t>‘</w:t>
      </w:r>
      <w:r w:rsidR="002E7BB1">
        <w:t>New Age’.</w:t>
      </w:r>
      <w:r w:rsidR="00553D37">
        <w:rPr>
          <w:rStyle w:val="FootnoteReference"/>
        </w:rPr>
        <w:footnoteReference w:id="48"/>
      </w:r>
      <w:r w:rsidR="002E7BB1">
        <w:t xml:space="preserve"> While they acknowledge</w:t>
      </w:r>
      <w:r w:rsidR="00914A08">
        <w:t>d</w:t>
      </w:r>
      <w:r w:rsidR="002E7BB1">
        <w:t xml:space="preserve"> that there </w:t>
      </w:r>
      <w:r w:rsidR="00914A08">
        <w:t>was</w:t>
      </w:r>
      <w:r w:rsidR="002E7BB1">
        <w:t xml:space="preserve"> no agreed upon definition, it would have been helpful for them to provide their own definition so that readers </w:t>
      </w:r>
      <w:r w:rsidR="008A2DA5">
        <w:t>know</w:t>
      </w:r>
      <w:r w:rsidR="002E7BB1">
        <w:t xml:space="preserve"> what parameters they </w:t>
      </w:r>
      <w:r w:rsidR="00914A08">
        <w:t>were</w:t>
      </w:r>
      <w:r w:rsidR="002E7BB1">
        <w:t xml:space="preserve"> using to </w:t>
      </w:r>
      <w:r w:rsidR="001068B2">
        <w:t>identify</w:t>
      </w:r>
      <w:r w:rsidR="002E7BB1">
        <w:t xml:space="preserve"> ‘New Agers’</w:t>
      </w:r>
      <w:r w:rsidR="008C0AAF">
        <w:t xml:space="preserve"> besides </w:t>
      </w:r>
      <w:r w:rsidR="00777A5E">
        <w:t>looking for</w:t>
      </w:r>
      <w:r w:rsidR="00C42967">
        <w:t xml:space="preserve"> a</w:t>
      </w:r>
      <w:r w:rsidR="00777A5E">
        <w:t xml:space="preserve"> </w:t>
      </w:r>
      <w:r w:rsidR="001068B2">
        <w:t>presenc</w:t>
      </w:r>
      <w:r w:rsidR="00043216">
        <w:t xml:space="preserve">e of </w:t>
      </w:r>
      <w:r w:rsidR="00E27803">
        <w:t>‘New Age’ related household items</w:t>
      </w:r>
      <w:r w:rsidR="002E7BB1">
        <w:t xml:space="preserve">. It is also unclear why Theosophy and Anthroposophy </w:t>
      </w:r>
      <w:r w:rsidR="008D7A4E">
        <w:t>were</w:t>
      </w:r>
      <w:r w:rsidR="002E7BB1">
        <w:t xml:space="preserve"> acceptable influences for reincarnation while Hinduism or ‘New Age’ </w:t>
      </w:r>
      <w:r w:rsidR="008D7A4E">
        <w:t>were</w:t>
      </w:r>
      <w:r w:rsidR="002E7BB1">
        <w:t xml:space="preserve"> not. Despite some undefined points,</w:t>
      </w:r>
      <w:r w:rsidR="006E16C3">
        <w:t xml:space="preserve"> their paper </w:t>
      </w:r>
      <w:r w:rsidR="004E60B8">
        <w:t>was cle</w:t>
      </w:r>
      <w:r w:rsidR="00EF0A1C">
        <w:t>arly structured</w:t>
      </w:r>
      <w:r w:rsidR="004E60B8">
        <w:t xml:space="preserve">, and </w:t>
      </w:r>
      <w:r w:rsidR="006E16C3">
        <w:t>contained the elements that would be expected in a research paper,</w:t>
      </w:r>
      <w:r w:rsidR="002D29EB">
        <w:t xml:space="preserve"> such as</w:t>
      </w:r>
      <w:r w:rsidR="00090AE1">
        <w:t xml:space="preserve"> background information, </w:t>
      </w:r>
      <w:r w:rsidR="006F687A">
        <w:t xml:space="preserve">study design, </w:t>
      </w:r>
      <w:r w:rsidR="00CE7E3E">
        <w:t xml:space="preserve">study </w:t>
      </w:r>
      <w:r w:rsidR="002D29EB">
        <w:t>site</w:t>
      </w:r>
      <w:r w:rsidR="00CE7E3E">
        <w:t xml:space="preserve"> and population</w:t>
      </w:r>
      <w:r w:rsidR="004107D9">
        <w:t>, and data analysis</w:t>
      </w:r>
      <w:r w:rsidR="00C42967">
        <w:t>.</w:t>
      </w:r>
      <w:r w:rsidR="004107D9">
        <w:rPr>
          <w:rStyle w:val="FootnoteReference"/>
        </w:rPr>
        <w:footnoteReference w:id="49"/>
      </w:r>
    </w:p>
    <w:p w14:paraId="12735C73" w14:textId="7E1ACA07" w:rsidR="00DA05D4" w:rsidRDefault="00DA05D4" w:rsidP="003D5C25">
      <w:pPr>
        <w:rPr>
          <w:u w:val="single"/>
        </w:rPr>
      </w:pPr>
      <w:r w:rsidRPr="00DA05D4">
        <w:rPr>
          <w:u w:val="single"/>
        </w:rPr>
        <w:lastRenderedPageBreak/>
        <w:t>Conclusion</w:t>
      </w:r>
    </w:p>
    <w:p w14:paraId="307F2017" w14:textId="5C5A51AA" w:rsidR="000E20D3" w:rsidRDefault="00B15948" w:rsidP="000E20D3">
      <w:r>
        <w:t>Despite the similarities that were shared by Blain, and Walter and Waterhouse in their academic background</w:t>
      </w:r>
      <w:r w:rsidR="00D01C8E">
        <w:t xml:space="preserve">s, </w:t>
      </w:r>
      <w:r w:rsidR="00CE3789">
        <w:t>interest in</w:t>
      </w:r>
      <w:r w:rsidR="00D01C8E">
        <w:t xml:space="preserve"> experiences and belief</w:t>
      </w:r>
      <w:r w:rsidR="00E1458A">
        <w:t xml:space="preserve"> on the non-corporeal realm</w:t>
      </w:r>
      <w:r w:rsidR="00D01C8E">
        <w:t>,</w:t>
      </w:r>
      <w:r>
        <w:t xml:space="preserve"> and choice of data collection methods, the outcome </w:t>
      </w:r>
      <w:r w:rsidR="00196435">
        <w:t>of</w:t>
      </w:r>
      <w:r>
        <w:t xml:space="preserve"> their respective research were very different</w:t>
      </w:r>
      <w:r w:rsidR="00993DBA">
        <w:t>. Their use of the interview method</w:t>
      </w:r>
      <w:r w:rsidR="00B60510">
        <w:t xml:space="preserve"> presented the</w:t>
      </w:r>
      <w:r w:rsidR="000E20D3">
        <w:t xml:space="preserve"> ethical challenge of preserving the anonymity </w:t>
      </w:r>
      <w:r w:rsidR="00F16057">
        <w:t>within their informant sample</w:t>
      </w:r>
      <w:r w:rsidR="000E20D3">
        <w:t xml:space="preserve">, </w:t>
      </w:r>
      <w:r w:rsidR="00EB5A8C">
        <w:t>however</w:t>
      </w:r>
      <w:r w:rsidR="000E20D3">
        <w:t xml:space="preserve"> </w:t>
      </w:r>
      <w:r w:rsidR="004F1D11">
        <w:t xml:space="preserve">this was the closest similarity </w:t>
      </w:r>
      <w:r w:rsidR="000A0417">
        <w:t xml:space="preserve">between </w:t>
      </w:r>
      <w:r w:rsidR="000F7346">
        <w:t>the two papers</w:t>
      </w:r>
      <w:r w:rsidR="004F1D11">
        <w:t xml:space="preserve">. </w:t>
      </w:r>
      <w:r w:rsidR="00923134">
        <w:t>Blain’s</w:t>
      </w:r>
      <w:r w:rsidR="0062326F">
        <w:t xml:space="preserve"> work on the </w:t>
      </w:r>
      <w:proofErr w:type="spellStart"/>
      <w:r w:rsidR="0062326F">
        <w:t>seidr</w:t>
      </w:r>
      <w:proofErr w:type="spellEnd"/>
      <w:r w:rsidR="0062326F">
        <w:t xml:space="preserve"> community reflected her interest in following the personal stories of individuals within the community she was stu</w:t>
      </w:r>
      <w:r w:rsidR="003132E3">
        <w:t>dying</w:t>
      </w:r>
      <w:r w:rsidR="00035120">
        <w:t xml:space="preserve">. She used the interview method </w:t>
      </w:r>
      <w:r w:rsidR="008251FC">
        <w:t xml:space="preserve">to </w:t>
      </w:r>
      <w:r w:rsidR="00035120">
        <w:t xml:space="preserve">gain detailed </w:t>
      </w:r>
      <w:r w:rsidR="00EF4C8E">
        <w:t xml:space="preserve">descriptions of </w:t>
      </w:r>
      <w:r w:rsidR="00CE6602">
        <w:t>informant</w:t>
      </w:r>
      <w:r w:rsidR="00EF4C8E">
        <w:t xml:space="preserve"> experiences </w:t>
      </w:r>
      <w:r w:rsidR="009E3A18">
        <w:t>with</w:t>
      </w:r>
      <w:r w:rsidR="005226E4">
        <w:t xml:space="preserve">in the </w:t>
      </w:r>
      <w:proofErr w:type="spellStart"/>
      <w:r w:rsidR="005226E4">
        <w:t>seidr</w:t>
      </w:r>
      <w:proofErr w:type="spellEnd"/>
      <w:r w:rsidR="005226E4">
        <w:t xml:space="preserve"> community</w:t>
      </w:r>
      <w:r w:rsidR="00EF4C8E">
        <w:t>.</w:t>
      </w:r>
      <w:r w:rsidR="00717C59">
        <w:t xml:space="preserve"> The observation method provided a means for her to share her own </w:t>
      </w:r>
      <w:r w:rsidR="00D3008F">
        <w:t>insider experience</w:t>
      </w:r>
      <w:r w:rsidR="0079309C">
        <w:t xml:space="preserve">. </w:t>
      </w:r>
      <w:r w:rsidR="00800FE4">
        <w:t>Her paper</w:t>
      </w:r>
      <w:r w:rsidR="001D32B0">
        <w:t xml:space="preserve"> excluded information about her research methodology but contained detail of how she personally fit into the research</w:t>
      </w:r>
      <w:r w:rsidR="002B4F8F">
        <w:t xml:space="preserve">. </w:t>
      </w:r>
      <w:r w:rsidR="005428D1">
        <w:t xml:space="preserve">Her research and paper </w:t>
      </w:r>
      <w:r w:rsidR="00B4522C">
        <w:t xml:space="preserve">were by her own words, experiential. </w:t>
      </w:r>
      <w:r w:rsidR="00C801A9">
        <w:t xml:space="preserve">By contrast, </w:t>
      </w:r>
      <w:r w:rsidR="001E11BC">
        <w:t>Walter and Waterhouse</w:t>
      </w:r>
      <w:r w:rsidR="00E5697D">
        <w:t xml:space="preserve"> were more interested in collective experiences</w:t>
      </w:r>
      <w:r w:rsidR="008251FC">
        <w:t xml:space="preserve">, such as the </w:t>
      </w:r>
      <w:r w:rsidR="00820DDC">
        <w:t xml:space="preserve">social trends </w:t>
      </w:r>
      <w:r w:rsidR="006E4412">
        <w:t>that drive personal belief</w:t>
      </w:r>
      <w:r w:rsidR="008251FC">
        <w:t>s</w:t>
      </w:r>
      <w:r w:rsidR="006E4412">
        <w:t>. While they used the interview method</w:t>
      </w:r>
      <w:r w:rsidR="00663E74">
        <w:t>, it was for the purpose of collecting quantifiable data</w:t>
      </w:r>
      <w:r w:rsidR="007D0403">
        <w:t xml:space="preserve">, </w:t>
      </w:r>
      <w:r w:rsidR="005653F4">
        <w:t xml:space="preserve">or </w:t>
      </w:r>
      <w:r w:rsidR="00A74EA2">
        <w:t xml:space="preserve">qualitative data such as </w:t>
      </w:r>
      <w:r w:rsidR="005653F4">
        <w:t>subjective thoughts and experiences that could</w:t>
      </w:r>
      <w:r w:rsidR="002500E6">
        <w:t xml:space="preserve"> later</w:t>
      </w:r>
      <w:r w:rsidR="005653F4">
        <w:t xml:space="preserve"> be </w:t>
      </w:r>
      <w:r w:rsidR="0012759E">
        <w:t xml:space="preserve">quantified into common themes. </w:t>
      </w:r>
      <w:r w:rsidR="00DA573F">
        <w:t xml:space="preserve">The observation method </w:t>
      </w:r>
      <w:r w:rsidR="00F46D4D">
        <w:t xml:space="preserve">was used to screen </w:t>
      </w:r>
      <w:r w:rsidR="00C7162F">
        <w:t xml:space="preserve">eligible informants but did not contribute to the research findings. </w:t>
      </w:r>
      <w:r w:rsidR="00B8358F">
        <w:t>The writeup for the</w:t>
      </w:r>
      <w:r w:rsidR="00A90D60">
        <w:t>ir</w:t>
      </w:r>
      <w:r w:rsidR="00B8358F">
        <w:t xml:space="preserve"> research was similarly detached from</w:t>
      </w:r>
      <w:r w:rsidR="00EB7D45">
        <w:t xml:space="preserve"> personal </w:t>
      </w:r>
      <w:r w:rsidR="00237E8A">
        <w:t>information</w:t>
      </w:r>
      <w:r w:rsidR="00A90D60">
        <w:t xml:space="preserve">, </w:t>
      </w:r>
      <w:r w:rsidR="00F31BB3">
        <w:t xml:space="preserve">and </w:t>
      </w:r>
      <w:r w:rsidR="001A20E9">
        <w:t>contained little</w:t>
      </w:r>
      <w:r w:rsidR="00F31BB3">
        <w:t xml:space="preserve"> information on who they were and where they fell on the insider-outsider spectrum.</w:t>
      </w:r>
      <w:r w:rsidR="0060631C">
        <w:t xml:space="preserve"> </w:t>
      </w:r>
      <w:r w:rsidR="00A64B57">
        <w:t xml:space="preserve">Their presentation </w:t>
      </w:r>
      <w:r w:rsidR="00794B95">
        <w:t xml:space="preserve">was otherwise </w:t>
      </w:r>
      <w:r w:rsidR="00A64B57">
        <w:t xml:space="preserve">clear, </w:t>
      </w:r>
      <w:r w:rsidR="006603C1">
        <w:t>methodical</w:t>
      </w:r>
      <w:r w:rsidR="005428D1">
        <w:t xml:space="preserve">. </w:t>
      </w:r>
      <w:r w:rsidR="0060631C">
        <w:t xml:space="preserve">Overall, </w:t>
      </w:r>
      <w:r w:rsidR="006603C1">
        <w:t>the two</w:t>
      </w:r>
      <w:r w:rsidR="0060631C">
        <w:t xml:space="preserve"> paper</w:t>
      </w:r>
      <w:r w:rsidR="006603C1">
        <w:t>s</w:t>
      </w:r>
      <w:r w:rsidR="0060631C">
        <w:t xml:space="preserve"> demonstrated the flexibility of </w:t>
      </w:r>
      <w:r w:rsidR="00ED57D9">
        <w:t xml:space="preserve">how the same research methods </w:t>
      </w:r>
      <w:r w:rsidR="00450632">
        <w:t xml:space="preserve">can create </w:t>
      </w:r>
      <w:r w:rsidR="0093062F">
        <w:t>vastly different styles of research.</w:t>
      </w:r>
    </w:p>
    <w:p w14:paraId="0D163165" w14:textId="77777777" w:rsidR="002D6864" w:rsidRDefault="002D6864" w:rsidP="003D5C25"/>
    <w:p w14:paraId="6EBE0310" w14:textId="77777777" w:rsidR="00BA0ECE" w:rsidRDefault="00BA0ECE" w:rsidP="003D5C25"/>
    <w:p w14:paraId="2C8AC9BE" w14:textId="77777777" w:rsidR="00BA0ECE" w:rsidRDefault="00BA0ECE" w:rsidP="003D5C25"/>
    <w:p w14:paraId="7FAB829F" w14:textId="77777777" w:rsidR="00BA0ECE" w:rsidRDefault="00BA0ECE" w:rsidP="003D5C25"/>
    <w:p w14:paraId="477F45F6" w14:textId="77777777" w:rsidR="00BA0ECE" w:rsidRDefault="00BA0ECE" w:rsidP="003D5C25"/>
    <w:p w14:paraId="7001785F" w14:textId="77777777" w:rsidR="00BA0ECE" w:rsidRDefault="00BA0ECE" w:rsidP="003D5C25"/>
    <w:p w14:paraId="0EA5B75E" w14:textId="77777777" w:rsidR="00BA0ECE" w:rsidRDefault="00BA0ECE" w:rsidP="003D5C25"/>
    <w:p w14:paraId="4FC51619" w14:textId="77777777" w:rsidR="00BA0ECE" w:rsidRDefault="00BA0ECE" w:rsidP="003D5C25"/>
    <w:p w14:paraId="31056542" w14:textId="77777777" w:rsidR="000C72BD" w:rsidRDefault="000C72BD" w:rsidP="003D5C25"/>
    <w:p w14:paraId="2284450E" w14:textId="77777777" w:rsidR="000C72BD" w:rsidRDefault="000C72BD" w:rsidP="003D5C25"/>
    <w:p w14:paraId="5E0E698D" w14:textId="77777777" w:rsidR="000C72BD" w:rsidRDefault="000C72BD" w:rsidP="003D5C25"/>
    <w:p w14:paraId="735F11EE" w14:textId="77777777" w:rsidR="00BA0ECE" w:rsidRDefault="00BA0ECE" w:rsidP="003D5C25"/>
    <w:p w14:paraId="27CE9744" w14:textId="77777777" w:rsidR="00BA0ECE" w:rsidRDefault="00BA0ECE" w:rsidP="003D5C25"/>
    <w:p w14:paraId="491FAB8B" w14:textId="77777777" w:rsidR="00BA0ECE" w:rsidRDefault="00BA0ECE" w:rsidP="003D5C25"/>
    <w:p w14:paraId="591D6D32" w14:textId="5243EF0D" w:rsidR="00BA0ECE" w:rsidRPr="00D01634" w:rsidRDefault="008E3E7C" w:rsidP="003D5C25">
      <w:pPr>
        <w:rPr>
          <w:b/>
          <w:bCs/>
          <w:u w:val="single"/>
        </w:rPr>
      </w:pPr>
      <w:r w:rsidRPr="00D01634">
        <w:rPr>
          <w:b/>
          <w:bCs/>
          <w:u w:val="single"/>
        </w:rPr>
        <w:lastRenderedPageBreak/>
        <w:t>Bibliography</w:t>
      </w:r>
    </w:p>
    <w:p w14:paraId="76F36BC4" w14:textId="4CDBD4B3" w:rsidR="007F1ECD" w:rsidRPr="004E590A" w:rsidRDefault="007F1ECD" w:rsidP="003D5C25">
      <w:pPr>
        <w:rPr>
          <w:u w:val="single"/>
        </w:rPr>
      </w:pPr>
      <w:r w:rsidRPr="004E590A">
        <w:rPr>
          <w:u w:val="single"/>
        </w:rPr>
        <w:t>Primary Sources</w:t>
      </w:r>
    </w:p>
    <w:p w14:paraId="06216DDF" w14:textId="5219CD74" w:rsidR="008E3E7C" w:rsidRPr="00745168" w:rsidRDefault="008E3E7C" w:rsidP="000D4FD0">
      <w:r>
        <w:t xml:space="preserve">Blain, Jenny, ‘Speaking </w:t>
      </w:r>
      <w:proofErr w:type="spellStart"/>
      <w:r>
        <w:t>Shamanistically</w:t>
      </w:r>
      <w:proofErr w:type="spellEnd"/>
      <w:r>
        <w:t xml:space="preserve">: </w:t>
      </w:r>
      <w:proofErr w:type="spellStart"/>
      <w:r>
        <w:t>Seidr</w:t>
      </w:r>
      <w:proofErr w:type="spellEnd"/>
      <w:r>
        <w:t xml:space="preserve">, Academia and Rationality’, </w:t>
      </w:r>
      <w:proofErr w:type="spellStart"/>
      <w:r w:rsidRPr="00745168">
        <w:rPr>
          <w:i/>
          <w:iCs/>
        </w:rPr>
        <w:t>Diskus</w:t>
      </w:r>
      <w:proofErr w:type="spellEnd"/>
      <w:r>
        <w:t>, 6 (2000), &lt;</w:t>
      </w:r>
      <w:r w:rsidRPr="002B5AA9">
        <w:t>https://jbasr.com/basr/diskus/diskus1-6/blain.txt</w:t>
      </w:r>
      <w:r>
        <w:t>&gt; [accessed March 14, 2025]</w:t>
      </w:r>
    </w:p>
    <w:p w14:paraId="724D62C2" w14:textId="77777777" w:rsidR="008E3E7C" w:rsidRDefault="008E3E7C" w:rsidP="008E3E7C">
      <w:r>
        <w:t>Waterhouse, Helen; Walter, Tony, ‘</w:t>
      </w:r>
      <w:r w:rsidRPr="003E170C">
        <w:t>A Very Private Belief: Reincarnation in Contemporary England</w:t>
      </w:r>
      <w:r>
        <w:t xml:space="preserve">’, </w:t>
      </w:r>
      <w:r w:rsidRPr="00DB7635">
        <w:rPr>
          <w:i/>
          <w:iCs/>
        </w:rPr>
        <w:t>Sociology of Religion</w:t>
      </w:r>
      <w:r>
        <w:t xml:space="preserve">, 60.2 (1999), </w:t>
      </w:r>
      <w:r w:rsidRPr="003E170C">
        <w:t>pp. 187-197</w:t>
      </w:r>
      <w:r>
        <w:t>, &lt;</w:t>
      </w:r>
      <w:hyperlink r:id="rId8" w:history="1">
        <w:r w:rsidRPr="0035734A">
          <w:rPr>
            <w:rStyle w:val="Hyperlink"/>
          </w:rPr>
          <w:t>https://www.jstor.org/stable/3711748</w:t>
        </w:r>
      </w:hyperlink>
      <w:r>
        <w:t>&gt; [accessed March 14, 2025]</w:t>
      </w:r>
    </w:p>
    <w:p w14:paraId="2EBE097B" w14:textId="5EDCD1ED" w:rsidR="007F1ECD" w:rsidRPr="004E590A" w:rsidRDefault="007F1ECD" w:rsidP="008E3E7C">
      <w:pPr>
        <w:rPr>
          <w:u w:val="single"/>
        </w:rPr>
      </w:pPr>
      <w:r w:rsidRPr="004E590A">
        <w:rPr>
          <w:u w:val="single"/>
        </w:rPr>
        <w:t>Secondary Sources</w:t>
      </w:r>
    </w:p>
    <w:p w14:paraId="0E23155C" w14:textId="77777777" w:rsidR="00292BD6" w:rsidRDefault="00292BD6" w:rsidP="00292BD6">
      <w:r>
        <w:t>Blain, Jenny, (2025), &lt;</w:t>
      </w:r>
      <w:hyperlink r:id="rId9" w:history="1">
        <w:r w:rsidRPr="0000000C">
          <w:rPr>
            <w:rStyle w:val="Hyperlink"/>
          </w:rPr>
          <w:t>Jenny Blain - Writer and independent researcher - Writer and independent researcher | LinkedIn</w:t>
        </w:r>
      </w:hyperlink>
      <w:r>
        <w:t>&gt; [accessed March 12, 2025]</w:t>
      </w:r>
    </w:p>
    <w:p w14:paraId="5E200C1D" w14:textId="79D20C3E" w:rsidR="007F1ECD" w:rsidRDefault="007F1ECD" w:rsidP="00292BD6">
      <w:proofErr w:type="spellStart"/>
      <w:r>
        <w:t>Budrich</w:t>
      </w:r>
      <w:proofErr w:type="spellEnd"/>
      <w:r>
        <w:t>, Verlag Barbara, ‘</w:t>
      </w:r>
      <w:r w:rsidRPr="00F87E58">
        <w:t>Research Ethics Book</w:t>
      </w:r>
      <w:r>
        <w:t xml:space="preserve">’, in </w:t>
      </w:r>
      <w:r w:rsidRPr="006D0034">
        <w:rPr>
          <w:i/>
          <w:iCs/>
        </w:rPr>
        <w:t>Consumer Psychology: A Study Guide to Qualitative Research Methods Book</w:t>
      </w:r>
      <w:r>
        <w:t xml:space="preserve">, ed. </w:t>
      </w:r>
      <w:r w:rsidRPr="00F87E58">
        <w:t>Paul M. W. Hackett, Jessica B. Schwarzenbach and Uta Maria Jürge</w:t>
      </w:r>
      <w:r>
        <w:t>ns (2016), pp. 25-42 &lt;</w:t>
      </w:r>
      <w:hyperlink r:id="rId10" w:history="1">
        <w:r w:rsidRPr="0035734A">
          <w:rPr>
            <w:rStyle w:val="Hyperlink"/>
          </w:rPr>
          <w:t>https://www.jstor.org/stable/j.ctvddzsrf.9</w:t>
        </w:r>
      </w:hyperlink>
      <w:r>
        <w:t>&gt; [accessed March 12, 2025]</w:t>
      </w:r>
    </w:p>
    <w:p w14:paraId="1BE717B9" w14:textId="77777777" w:rsidR="007F1ECD" w:rsidRDefault="007F1ECD" w:rsidP="007F1ECD">
      <w:r>
        <w:t xml:space="preserve">Ferre, Lux, </w:t>
      </w:r>
      <w:r w:rsidRPr="009A38CC">
        <w:rPr>
          <w:i/>
          <w:iCs/>
        </w:rPr>
        <w:t>Jenny Blain</w:t>
      </w:r>
      <w:r>
        <w:t xml:space="preserve"> (2022) &lt;</w:t>
      </w:r>
      <w:hyperlink r:id="rId11" w:history="1">
        <w:r w:rsidRPr="0035734A">
          <w:rPr>
            <w:rStyle w:val="Hyperlink"/>
          </w:rPr>
          <w:t>https://occult-world.com/blain-jenny/</w:t>
        </w:r>
      </w:hyperlink>
      <w:r>
        <w:t>&gt; [accessed March 12, 2025]</w:t>
      </w:r>
    </w:p>
    <w:p w14:paraId="26DB21BE" w14:textId="77777777" w:rsidR="00567935" w:rsidRDefault="00567935" w:rsidP="00567935">
      <w:proofErr w:type="spellStart"/>
      <w:r>
        <w:t>Hennink</w:t>
      </w:r>
      <w:proofErr w:type="spellEnd"/>
      <w:r>
        <w:t xml:space="preserve">, Monique; Hutter, Inge; Bailey, Ajay, </w:t>
      </w:r>
      <w:r w:rsidRPr="004A7BB5">
        <w:rPr>
          <w:i/>
          <w:iCs/>
        </w:rPr>
        <w:t>Qualitative Research Methods</w:t>
      </w:r>
      <w:r>
        <w:t xml:space="preserve"> (Sage Publications, 2020)</w:t>
      </w:r>
    </w:p>
    <w:p w14:paraId="105E388D" w14:textId="77777777" w:rsidR="00567935" w:rsidRDefault="00567935" w:rsidP="00567935">
      <w:r>
        <w:t>James, Allison, ‘</w:t>
      </w:r>
      <w:r w:rsidRPr="00060272">
        <w:t>Giving Voice to Children's Voices: Practices and Problems, Pitfalls and Potentials</w:t>
      </w:r>
      <w:r>
        <w:t xml:space="preserve">’, </w:t>
      </w:r>
      <w:r w:rsidRPr="00BA0B9E">
        <w:rPr>
          <w:i/>
          <w:iCs/>
        </w:rPr>
        <w:t>Children, Childhoods, and Childhood Studies</w:t>
      </w:r>
      <w:r>
        <w:t xml:space="preserve">, 9.2 </w:t>
      </w:r>
      <w:r w:rsidRPr="00060272">
        <w:t>(2007), pp. 261-272</w:t>
      </w:r>
      <w:r>
        <w:t xml:space="preserve"> &lt;</w:t>
      </w:r>
      <w:hyperlink r:id="rId12" w:history="1">
        <w:r w:rsidRPr="0035734A">
          <w:rPr>
            <w:rStyle w:val="Hyperlink"/>
          </w:rPr>
          <w:t>https://www.jstor.org/stable/4496640</w:t>
        </w:r>
      </w:hyperlink>
      <w:r>
        <w:t>&gt; [accessed March 12, 2025]</w:t>
      </w:r>
    </w:p>
    <w:p w14:paraId="75A49DAF" w14:textId="408277C5" w:rsidR="004A7BB5" w:rsidRPr="004A7BB5" w:rsidRDefault="004A7BB5" w:rsidP="003D5C25">
      <w:r>
        <w:t xml:space="preserve">Meetoo, Veena; </w:t>
      </w:r>
      <w:proofErr w:type="spellStart"/>
      <w:r>
        <w:t>Hauari</w:t>
      </w:r>
      <w:proofErr w:type="spellEnd"/>
      <w:r>
        <w:t>, Hanan</w:t>
      </w:r>
      <w:r w:rsidR="009A38CC">
        <w:t>; Phoenix, Ann</w:t>
      </w:r>
      <w:r>
        <w:t>, ‘</w:t>
      </w:r>
      <w:r w:rsidRPr="00E659DE">
        <w:t xml:space="preserve">Participatory </w:t>
      </w:r>
      <w:r>
        <w:t>C</w:t>
      </w:r>
      <w:r w:rsidRPr="00E659DE">
        <w:t xml:space="preserve">hildhood </w:t>
      </w:r>
      <w:r>
        <w:t>R</w:t>
      </w:r>
      <w:r w:rsidRPr="00E659DE">
        <w:t xml:space="preserve">esearch: </w:t>
      </w:r>
      <w:r>
        <w:t>H</w:t>
      </w:r>
      <w:r w:rsidRPr="00E659DE">
        <w:t xml:space="preserve">istories, </w:t>
      </w:r>
      <w:r>
        <w:t>P</w:t>
      </w:r>
      <w:r w:rsidRPr="00E659DE">
        <w:t xml:space="preserve">resents and </w:t>
      </w:r>
      <w:r>
        <w:t>R</w:t>
      </w:r>
      <w:r w:rsidRPr="00E659DE">
        <w:t>eflections</w:t>
      </w:r>
      <w:r>
        <w:t xml:space="preserve">’, in </w:t>
      </w:r>
      <w:r w:rsidRPr="004A7BB5">
        <w:rPr>
          <w:i/>
          <w:iCs/>
        </w:rPr>
        <w:t>Social Research for our Times</w:t>
      </w:r>
      <w:r>
        <w:t xml:space="preserve">, ed. </w:t>
      </w:r>
      <w:r w:rsidRPr="00E659DE">
        <w:t>Claire Cameron, Alison Koslowski, Alison Lamont, Peter Moss</w:t>
      </w:r>
      <w:r>
        <w:t xml:space="preserve"> (2023), PP, 341-356</w:t>
      </w:r>
      <w:r w:rsidR="009A38CC">
        <w:t xml:space="preserve"> &lt;</w:t>
      </w:r>
      <w:r w:rsidR="009A38CC" w:rsidRPr="009A38CC">
        <w:t xml:space="preserve"> </w:t>
      </w:r>
      <w:hyperlink r:id="rId13" w:history="1">
        <w:r w:rsidR="009A38CC" w:rsidRPr="0035734A">
          <w:rPr>
            <w:rStyle w:val="Hyperlink"/>
          </w:rPr>
          <w:t>https://www.jstor.org/stable/jj.16430731.28</w:t>
        </w:r>
      </w:hyperlink>
      <w:r w:rsidR="009A38CC">
        <w:t>&gt; [accessed March 12, 2025]</w:t>
      </w:r>
    </w:p>
    <w:p w14:paraId="3CD83DA6" w14:textId="77777777" w:rsidR="00567935" w:rsidRDefault="00567935" w:rsidP="00567935">
      <w:r>
        <w:t xml:space="preserve">The Open University, </w:t>
      </w:r>
      <w:r w:rsidRPr="009A38CC">
        <w:rPr>
          <w:i/>
          <w:iCs/>
        </w:rPr>
        <w:t>Helen Waterhouse</w:t>
      </w:r>
      <w:r>
        <w:t xml:space="preserve"> (2025) &lt;</w:t>
      </w:r>
      <w:hyperlink r:id="rId14" w:history="1">
        <w:r w:rsidRPr="0035734A">
          <w:rPr>
            <w:rStyle w:val="Hyperlink"/>
          </w:rPr>
          <w:t>https://oro.open.ac.uk/view/person/hjw26.html</w:t>
        </w:r>
      </w:hyperlink>
      <w:r>
        <w:t xml:space="preserve">&gt; [accessed March 12, 2025} </w:t>
      </w:r>
    </w:p>
    <w:p w14:paraId="0080228A" w14:textId="010E38DC" w:rsidR="008E3444" w:rsidRDefault="009A38CC" w:rsidP="003D5C25">
      <w:r>
        <w:t xml:space="preserve">University of Bath, </w:t>
      </w:r>
      <w:r w:rsidRPr="009A38CC">
        <w:rPr>
          <w:i/>
          <w:iCs/>
        </w:rPr>
        <w:t>Tony Walter</w:t>
      </w:r>
      <w:r>
        <w:t xml:space="preserve"> (2025) &lt;</w:t>
      </w:r>
      <w:hyperlink r:id="rId15" w:history="1">
        <w:r w:rsidRPr="0035734A">
          <w:rPr>
            <w:rStyle w:val="Hyperlink"/>
          </w:rPr>
          <w:t>https://researchportal.bath.ac.uk/en/persons/tony-walter</w:t>
        </w:r>
      </w:hyperlink>
      <w:r>
        <w:t>&gt; [accessed March 12, 2025}</w:t>
      </w:r>
    </w:p>
    <w:p w14:paraId="1737FE72" w14:textId="77777777" w:rsidR="00FC3181" w:rsidRDefault="00FC3181" w:rsidP="003D5C25"/>
    <w:sectPr w:rsidR="00FC3181">
      <w:head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A4CFDF" w14:textId="77777777" w:rsidR="00E07F25" w:rsidRDefault="00E07F25" w:rsidP="00A752DD">
      <w:pPr>
        <w:spacing w:after="0" w:line="240" w:lineRule="auto"/>
      </w:pPr>
      <w:r>
        <w:separator/>
      </w:r>
    </w:p>
  </w:endnote>
  <w:endnote w:type="continuationSeparator" w:id="0">
    <w:p w14:paraId="36368D65" w14:textId="77777777" w:rsidR="00E07F25" w:rsidRDefault="00E07F25" w:rsidP="00A75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286DAA" w14:textId="77777777" w:rsidR="00E07F25" w:rsidRDefault="00E07F25" w:rsidP="00A752DD">
      <w:pPr>
        <w:spacing w:after="0" w:line="240" w:lineRule="auto"/>
      </w:pPr>
      <w:r>
        <w:separator/>
      </w:r>
    </w:p>
  </w:footnote>
  <w:footnote w:type="continuationSeparator" w:id="0">
    <w:p w14:paraId="69DF2786" w14:textId="77777777" w:rsidR="00E07F25" w:rsidRDefault="00E07F25" w:rsidP="00A752DD">
      <w:pPr>
        <w:spacing w:after="0" w:line="240" w:lineRule="auto"/>
      </w:pPr>
      <w:r>
        <w:continuationSeparator/>
      </w:r>
    </w:p>
  </w:footnote>
  <w:footnote w:id="1">
    <w:p w14:paraId="375AF3A3" w14:textId="55023273" w:rsidR="00A752DD" w:rsidRPr="008C6AD1" w:rsidRDefault="00A752DD" w:rsidP="00A752DD">
      <w:pPr>
        <w:spacing w:after="0"/>
        <w:contextualSpacing/>
        <w:rPr>
          <w:sz w:val="18"/>
          <w:szCs w:val="18"/>
        </w:rPr>
      </w:pPr>
      <w:r w:rsidRPr="008C6AD1">
        <w:rPr>
          <w:rStyle w:val="FootnoteReference"/>
          <w:sz w:val="18"/>
          <w:szCs w:val="18"/>
        </w:rPr>
        <w:footnoteRef/>
      </w:r>
      <w:r w:rsidRPr="008C6AD1">
        <w:rPr>
          <w:sz w:val="18"/>
          <w:szCs w:val="18"/>
        </w:rPr>
        <w:t xml:space="preserve"> Jenny Blain, (2025), [LinkedIn] &lt;</w:t>
      </w:r>
      <w:hyperlink r:id="rId1" w:history="1">
        <w:r w:rsidRPr="008C6AD1">
          <w:rPr>
            <w:rStyle w:val="Hyperlink"/>
            <w:color w:val="auto"/>
            <w:sz w:val="18"/>
            <w:szCs w:val="18"/>
          </w:rPr>
          <w:t>Jenny Blain - Writer and independent researcher - Writer and independent researcher | LinkedIn</w:t>
        </w:r>
      </w:hyperlink>
      <w:r w:rsidRPr="008C6AD1">
        <w:rPr>
          <w:sz w:val="18"/>
          <w:szCs w:val="18"/>
        </w:rPr>
        <w:t>&gt; [accessed March 12, 2025]</w:t>
      </w:r>
    </w:p>
  </w:footnote>
  <w:footnote w:id="2">
    <w:p w14:paraId="00977498" w14:textId="6B0FB7DB" w:rsidR="00A752DD" w:rsidRPr="008C6AD1" w:rsidRDefault="00A752DD" w:rsidP="00A752DD">
      <w:pPr>
        <w:spacing w:after="0"/>
        <w:contextualSpacing/>
        <w:rPr>
          <w:sz w:val="18"/>
          <w:szCs w:val="18"/>
        </w:rPr>
      </w:pPr>
      <w:r w:rsidRPr="008C6AD1">
        <w:rPr>
          <w:rStyle w:val="FootnoteReference"/>
          <w:sz w:val="18"/>
          <w:szCs w:val="18"/>
        </w:rPr>
        <w:footnoteRef/>
      </w:r>
      <w:r w:rsidRPr="008C6AD1">
        <w:rPr>
          <w:sz w:val="18"/>
          <w:szCs w:val="18"/>
        </w:rPr>
        <w:t xml:space="preserve"> Lux Ferre, </w:t>
      </w:r>
      <w:r w:rsidRPr="008C6AD1">
        <w:rPr>
          <w:i/>
          <w:iCs/>
          <w:sz w:val="18"/>
          <w:szCs w:val="18"/>
        </w:rPr>
        <w:t>Jenny Blain</w:t>
      </w:r>
      <w:r w:rsidRPr="008C6AD1">
        <w:rPr>
          <w:sz w:val="18"/>
          <w:szCs w:val="18"/>
        </w:rPr>
        <w:t xml:space="preserve"> (2022) &lt;</w:t>
      </w:r>
      <w:hyperlink r:id="rId2" w:history="1">
        <w:r w:rsidRPr="008C6AD1">
          <w:rPr>
            <w:rStyle w:val="Hyperlink"/>
            <w:color w:val="auto"/>
            <w:sz w:val="18"/>
            <w:szCs w:val="18"/>
          </w:rPr>
          <w:t>https://occult-world.com/blain-jenny/</w:t>
        </w:r>
      </w:hyperlink>
      <w:r w:rsidRPr="008C6AD1">
        <w:rPr>
          <w:sz w:val="18"/>
          <w:szCs w:val="18"/>
        </w:rPr>
        <w:t xml:space="preserve">&gt; [accessed March 12, 2025] </w:t>
      </w:r>
    </w:p>
  </w:footnote>
  <w:footnote w:id="3">
    <w:p w14:paraId="5B9FB97E" w14:textId="1F4944D1" w:rsidR="00A752DD" w:rsidRPr="008C6AD1" w:rsidRDefault="00A752DD" w:rsidP="00A752DD">
      <w:pPr>
        <w:spacing w:after="0"/>
        <w:contextualSpacing/>
        <w:rPr>
          <w:sz w:val="18"/>
          <w:szCs w:val="18"/>
        </w:rPr>
      </w:pPr>
      <w:r w:rsidRPr="008C6AD1">
        <w:rPr>
          <w:rStyle w:val="FootnoteReference"/>
          <w:sz w:val="18"/>
          <w:szCs w:val="18"/>
        </w:rPr>
        <w:footnoteRef/>
      </w:r>
      <w:r w:rsidRPr="008C6AD1">
        <w:rPr>
          <w:sz w:val="18"/>
          <w:szCs w:val="18"/>
        </w:rPr>
        <w:t xml:space="preserve"> Jenny Blain, ‘Speaking </w:t>
      </w:r>
      <w:r w:rsidRPr="008C6AD1">
        <w:rPr>
          <w:sz w:val="18"/>
          <w:szCs w:val="18"/>
        </w:rPr>
        <w:t xml:space="preserve">Shamanistically: Seidr, Academia and Rationality’, </w:t>
      </w:r>
      <w:r w:rsidRPr="008C6AD1">
        <w:rPr>
          <w:i/>
          <w:iCs/>
          <w:sz w:val="18"/>
          <w:szCs w:val="18"/>
        </w:rPr>
        <w:t>Diskus</w:t>
      </w:r>
      <w:r w:rsidRPr="008C6AD1">
        <w:rPr>
          <w:sz w:val="18"/>
          <w:szCs w:val="18"/>
        </w:rPr>
        <w:t>, 6 (2000), Microsoft Word document (p. 1) &lt;https://jbasr.com/basr/diskus/diskus1-6/blain.txt&gt; [accessed March 14, 2025]</w:t>
      </w:r>
    </w:p>
  </w:footnote>
  <w:footnote w:id="4">
    <w:p w14:paraId="6BD2848C" w14:textId="40846FED" w:rsidR="00A752DD" w:rsidRPr="008C6AD1" w:rsidRDefault="00A752DD" w:rsidP="00A752DD">
      <w:pPr>
        <w:spacing w:after="0"/>
        <w:contextualSpacing/>
        <w:rPr>
          <w:sz w:val="18"/>
          <w:szCs w:val="18"/>
        </w:rPr>
      </w:pPr>
      <w:r w:rsidRPr="008C6AD1">
        <w:rPr>
          <w:rStyle w:val="FootnoteReference"/>
          <w:sz w:val="18"/>
          <w:szCs w:val="18"/>
        </w:rPr>
        <w:footnoteRef/>
      </w:r>
      <w:r w:rsidRPr="008C6AD1">
        <w:rPr>
          <w:sz w:val="18"/>
          <w:szCs w:val="18"/>
        </w:rPr>
        <w:t xml:space="preserve"> Blain, ‘Speaking </w:t>
      </w:r>
      <w:r w:rsidRPr="008C6AD1">
        <w:rPr>
          <w:sz w:val="18"/>
          <w:szCs w:val="18"/>
        </w:rPr>
        <w:t>Shamanistically: Seidr, Academia and Rationality’, Microsoft Word document p. 6.</w:t>
      </w:r>
    </w:p>
  </w:footnote>
  <w:footnote w:id="5">
    <w:p w14:paraId="1AE2244C" w14:textId="79E38589" w:rsidR="00A752DD" w:rsidRPr="008C6AD1" w:rsidRDefault="00A752DD" w:rsidP="00A752DD">
      <w:pPr>
        <w:pStyle w:val="FootnoteText"/>
        <w:contextualSpacing/>
        <w:rPr>
          <w:sz w:val="18"/>
          <w:szCs w:val="18"/>
        </w:rPr>
      </w:pPr>
      <w:r w:rsidRPr="008C6AD1">
        <w:rPr>
          <w:rStyle w:val="FootnoteReference"/>
          <w:sz w:val="18"/>
          <w:szCs w:val="18"/>
        </w:rPr>
        <w:footnoteRef/>
      </w:r>
      <w:r w:rsidRPr="008C6AD1">
        <w:rPr>
          <w:sz w:val="18"/>
          <w:szCs w:val="18"/>
        </w:rPr>
        <w:t xml:space="preserve"> Ibid. p. 1.</w:t>
      </w:r>
    </w:p>
  </w:footnote>
  <w:footnote w:id="6">
    <w:p w14:paraId="2DC5AA30" w14:textId="0C576FF9" w:rsidR="00A752DD" w:rsidRPr="008C6AD1" w:rsidRDefault="00A752DD" w:rsidP="00A752DD">
      <w:pPr>
        <w:pStyle w:val="FootnoteText"/>
        <w:contextualSpacing/>
        <w:rPr>
          <w:sz w:val="18"/>
          <w:szCs w:val="18"/>
        </w:rPr>
      </w:pPr>
      <w:r w:rsidRPr="008C6AD1">
        <w:rPr>
          <w:rStyle w:val="FootnoteReference"/>
          <w:sz w:val="18"/>
          <w:szCs w:val="18"/>
        </w:rPr>
        <w:footnoteRef/>
      </w:r>
      <w:r w:rsidRPr="008C6AD1">
        <w:rPr>
          <w:sz w:val="18"/>
          <w:szCs w:val="18"/>
        </w:rPr>
        <w:t xml:space="preserve"> Ibid. p. 8-9.</w:t>
      </w:r>
    </w:p>
  </w:footnote>
  <w:footnote w:id="7">
    <w:p w14:paraId="51879AC6" w14:textId="07733FA0" w:rsidR="00A752DD" w:rsidRPr="008C6AD1" w:rsidRDefault="00A752DD" w:rsidP="00A752DD">
      <w:pPr>
        <w:pStyle w:val="FootnoteText"/>
        <w:contextualSpacing/>
        <w:rPr>
          <w:sz w:val="18"/>
          <w:szCs w:val="18"/>
        </w:rPr>
      </w:pPr>
      <w:r w:rsidRPr="008C6AD1">
        <w:rPr>
          <w:rStyle w:val="FootnoteReference"/>
          <w:sz w:val="18"/>
          <w:szCs w:val="18"/>
        </w:rPr>
        <w:footnoteRef/>
      </w:r>
      <w:r w:rsidRPr="008C6AD1">
        <w:rPr>
          <w:sz w:val="18"/>
          <w:szCs w:val="18"/>
        </w:rPr>
        <w:t xml:space="preserve"> Ibid. p. 7.</w:t>
      </w:r>
    </w:p>
  </w:footnote>
  <w:footnote w:id="8">
    <w:p w14:paraId="3F69CF02" w14:textId="7BEE5B47" w:rsidR="00A752DD" w:rsidRPr="008C6AD1" w:rsidRDefault="00A752DD" w:rsidP="00A752DD">
      <w:pPr>
        <w:pStyle w:val="FootnoteText"/>
        <w:contextualSpacing/>
        <w:rPr>
          <w:sz w:val="18"/>
          <w:szCs w:val="18"/>
        </w:rPr>
      </w:pPr>
      <w:r w:rsidRPr="008C6AD1">
        <w:rPr>
          <w:rStyle w:val="FootnoteReference"/>
          <w:sz w:val="18"/>
          <w:szCs w:val="18"/>
        </w:rPr>
        <w:footnoteRef/>
      </w:r>
      <w:r w:rsidRPr="008C6AD1">
        <w:rPr>
          <w:sz w:val="18"/>
          <w:szCs w:val="18"/>
        </w:rPr>
        <w:t xml:space="preserve"> Ibid. p. 9.</w:t>
      </w:r>
    </w:p>
  </w:footnote>
  <w:footnote w:id="9">
    <w:p w14:paraId="33344251" w14:textId="7BD0A247" w:rsidR="00A752DD" w:rsidRPr="008C6AD1" w:rsidRDefault="00A752DD" w:rsidP="00A752DD">
      <w:pPr>
        <w:pStyle w:val="FootnoteText"/>
        <w:contextualSpacing/>
        <w:rPr>
          <w:sz w:val="18"/>
          <w:szCs w:val="18"/>
        </w:rPr>
      </w:pPr>
      <w:r w:rsidRPr="008C6AD1">
        <w:rPr>
          <w:rStyle w:val="FootnoteReference"/>
          <w:sz w:val="18"/>
          <w:szCs w:val="18"/>
        </w:rPr>
        <w:footnoteRef/>
      </w:r>
      <w:r w:rsidRPr="008C6AD1">
        <w:rPr>
          <w:sz w:val="18"/>
          <w:szCs w:val="18"/>
        </w:rPr>
        <w:t xml:space="preserve"> Ibid. p. 6.</w:t>
      </w:r>
    </w:p>
  </w:footnote>
  <w:footnote w:id="10">
    <w:p w14:paraId="22274EDC" w14:textId="3A4093FA" w:rsidR="00A752DD" w:rsidRPr="008C6AD1" w:rsidRDefault="00A752DD" w:rsidP="00255228">
      <w:pPr>
        <w:pStyle w:val="FootnoteText"/>
        <w:contextualSpacing/>
      </w:pPr>
      <w:r w:rsidRPr="008C6AD1">
        <w:rPr>
          <w:rStyle w:val="FootnoteReference"/>
          <w:sz w:val="18"/>
          <w:szCs w:val="18"/>
        </w:rPr>
        <w:footnoteRef/>
      </w:r>
      <w:r w:rsidRPr="008C6AD1">
        <w:rPr>
          <w:sz w:val="18"/>
          <w:szCs w:val="18"/>
        </w:rPr>
        <w:t xml:space="preserve"> Ibid. p. 10.</w:t>
      </w:r>
    </w:p>
  </w:footnote>
  <w:footnote w:id="11">
    <w:p w14:paraId="5A9B4ECE" w14:textId="7FF9B8CF" w:rsidR="00A752DD" w:rsidRPr="008C6AD1" w:rsidRDefault="00A752DD" w:rsidP="00255228">
      <w:pPr>
        <w:spacing w:after="0"/>
        <w:contextualSpacing/>
        <w:rPr>
          <w:sz w:val="18"/>
          <w:szCs w:val="18"/>
        </w:rPr>
      </w:pPr>
      <w:r w:rsidRPr="008C6AD1">
        <w:rPr>
          <w:rStyle w:val="FootnoteReference"/>
          <w:sz w:val="18"/>
          <w:szCs w:val="18"/>
        </w:rPr>
        <w:footnoteRef/>
      </w:r>
      <w:r w:rsidRPr="008C6AD1">
        <w:rPr>
          <w:sz w:val="18"/>
          <w:szCs w:val="18"/>
        </w:rPr>
        <w:t xml:space="preserve"> University of Bath, </w:t>
      </w:r>
      <w:r w:rsidRPr="008C6AD1">
        <w:rPr>
          <w:i/>
          <w:iCs/>
          <w:sz w:val="18"/>
          <w:szCs w:val="18"/>
        </w:rPr>
        <w:t>Tony Walter</w:t>
      </w:r>
      <w:r w:rsidRPr="008C6AD1">
        <w:rPr>
          <w:sz w:val="18"/>
          <w:szCs w:val="18"/>
        </w:rPr>
        <w:t xml:space="preserve"> (2025) &lt;</w:t>
      </w:r>
      <w:hyperlink r:id="rId3" w:history="1">
        <w:r w:rsidRPr="008C6AD1">
          <w:rPr>
            <w:rStyle w:val="Hyperlink"/>
            <w:color w:val="auto"/>
            <w:sz w:val="18"/>
            <w:szCs w:val="18"/>
          </w:rPr>
          <w:t>https://researchportal.bath.ac.uk/en/persons/tony-walter</w:t>
        </w:r>
      </w:hyperlink>
      <w:r w:rsidRPr="008C6AD1">
        <w:rPr>
          <w:sz w:val="18"/>
          <w:szCs w:val="18"/>
        </w:rPr>
        <w:t>&gt; [accessed March 12, 2025]</w:t>
      </w:r>
    </w:p>
  </w:footnote>
  <w:footnote w:id="12">
    <w:p w14:paraId="4C53D53F" w14:textId="00E0125B" w:rsidR="00A752DD" w:rsidRPr="008C6AD1" w:rsidRDefault="00A752DD" w:rsidP="00255228">
      <w:pPr>
        <w:spacing w:after="0"/>
        <w:contextualSpacing/>
        <w:rPr>
          <w:sz w:val="18"/>
          <w:szCs w:val="18"/>
        </w:rPr>
      </w:pPr>
      <w:r w:rsidRPr="008C6AD1">
        <w:rPr>
          <w:rStyle w:val="FootnoteReference"/>
          <w:sz w:val="18"/>
          <w:szCs w:val="18"/>
        </w:rPr>
        <w:footnoteRef/>
      </w:r>
      <w:r w:rsidRPr="008C6AD1">
        <w:rPr>
          <w:sz w:val="18"/>
          <w:szCs w:val="18"/>
        </w:rPr>
        <w:t xml:space="preserve"> University of Bath, 2025.</w:t>
      </w:r>
    </w:p>
  </w:footnote>
  <w:footnote w:id="13">
    <w:p w14:paraId="3313C420" w14:textId="77A924D2" w:rsidR="00A752DD" w:rsidRPr="008C6AD1" w:rsidRDefault="00A752DD" w:rsidP="00255228">
      <w:pPr>
        <w:spacing w:after="0"/>
        <w:contextualSpacing/>
        <w:rPr>
          <w:sz w:val="18"/>
          <w:szCs w:val="18"/>
        </w:rPr>
      </w:pPr>
      <w:r w:rsidRPr="008C6AD1">
        <w:rPr>
          <w:rStyle w:val="FootnoteReference"/>
          <w:sz w:val="18"/>
          <w:szCs w:val="18"/>
        </w:rPr>
        <w:footnoteRef/>
      </w:r>
      <w:r w:rsidRPr="008C6AD1">
        <w:rPr>
          <w:sz w:val="18"/>
          <w:szCs w:val="18"/>
        </w:rPr>
        <w:t xml:space="preserve"> The Open University, </w:t>
      </w:r>
      <w:r w:rsidRPr="008C6AD1">
        <w:rPr>
          <w:i/>
          <w:iCs/>
          <w:sz w:val="18"/>
          <w:szCs w:val="18"/>
        </w:rPr>
        <w:t>Helen Waterhouse</w:t>
      </w:r>
      <w:r w:rsidRPr="008C6AD1">
        <w:rPr>
          <w:sz w:val="18"/>
          <w:szCs w:val="18"/>
        </w:rPr>
        <w:t xml:space="preserve"> (2025) &lt;</w:t>
      </w:r>
      <w:hyperlink r:id="rId4" w:history="1">
        <w:r w:rsidRPr="008C6AD1">
          <w:rPr>
            <w:rStyle w:val="Hyperlink"/>
            <w:color w:val="auto"/>
            <w:sz w:val="18"/>
            <w:szCs w:val="18"/>
          </w:rPr>
          <w:t>https://oro.open.ac.uk/view/person/hjw26.html</w:t>
        </w:r>
      </w:hyperlink>
      <w:r w:rsidRPr="008C6AD1">
        <w:rPr>
          <w:sz w:val="18"/>
          <w:szCs w:val="18"/>
        </w:rPr>
        <w:t>&gt; [accessed March 12, 2025]</w:t>
      </w:r>
    </w:p>
  </w:footnote>
  <w:footnote w:id="14">
    <w:p w14:paraId="0660D526" w14:textId="24D5E853" w:rsidR="00A752DD" w:rsidRPr="008C6AD1" w:rsidRDefault="00A752DD" w:rsidP="00255228">
      <w:pPr>
        <w:spacing w:after="0"/>
        <w:contextualSpacing/>
        <w:rPr>
          <w:sz w:val="18"/>
          <w:szCs w:val="18"/>
        </w:rPr>
      </w:pPr>
      <w:r w:rsidRPr="008C6AD1">
        <w:rPr>
          <w:rStyle w:val="FootnoteReference"/>
          <w:sz w:val="18"/>
          <w:szCs w:val="18"/>
        </w:rPr>
        <w:footnoteRef/>
      </w:r>
      <w:r w:rsidRPr="008C6AD1">
        <w:rPr>
          <w:sz w:val="18"/>
          <w:szCs w:val="18"/>
        </w:rPr>
        <w:t xml:space="preserve"> The Open University, 2025.</w:t>
      </w:r>
    </w:p>
  </w:footnote>
  <w:footnote w:id="15">
    <w:p w14:paraId="1F60BC81" w14:textId="3DE1D1A3" w:rsidR="009B6C59" w:rsidRPr="008C6AD1" w:rsidRDefault="009B6C59" w:rsidP="00255228">
      <w:pPr>
        <w:spacing w:after="0"/>
        <w:contextualSpacing/>
        <w:rPr>
          <w:sz w:val="18"/>
          <w:szCs w:val="18"/>
        </w:rPr>
      </w:pPr>
      <w:r w:rsidRPr="008C6AD1">
        <w:rPr>
          <w:rStyle w:val="FootnoteReference"/>
          <w:sz w:val="18"/>
          <w:szCs w:val="18"/>
        </w:rPr>
        <w:footnoteRef/>
      </w:r>
      <w:r w:rsidRPr="008C6AD1">
        <w:rPr>
          <w:sz w:val="18"/>
          <w:szCs w:val="18"/>
        </w:rPr>
        <w:t xml:space="preserve"> Tony Walter and Helen Waterhouse, ‘A Very Private Belief: Reincarnation in Contemporary England’, </w:t>
      </w:r>
      <w:r w:rsidRPr="008C6AD1">
        <w:rPr>
          <w:i/>
          <w:iCs/>
          <w:sz w:val="18"/>
          <w:szCs w:val="18"/>
        </w:rPr>
        <w:t>Sociology of Religion</w:t>
      </w:r>
      <w:r w:rsidRPr="008C6AD1">
        <w:rPr>
          <w:sz w:val="18"/>
          <w:szCs w:val="18"/>
        </w:rPr>
        <w:t>, 60.2 (1999), 187-197 (p. 189), &lt;</w:t>
      </w:r>
      <w:hyperlink r:id="rId5" w:history="1">
        <w:r w:rsidRPr="008C6AD1">
          <w:rPr>
            <w:rStyle w:val="Hyperlink"/>
            <w:color w:val="auto"/>
            <w:sz w:val="18"/>
            <w:szCs w:val="18"/>
          </w:rPr>
          <w:t>https://www.jstor.org/stable/3711748</w:t>
        </w:r>
      </w:hyperlink>
      <w:r w:rsidRPr="008C6AD1">
        <w:rPr>
          <w:sz w:val="18"/>
          <w:szCs w:val="18"/>
        </w:rPr>
        <w:t>&gt; [accessed March 14, 2025]</w:t>
      </w:r>
    </w:p>
  </w:footnote>
  <w:footnote w:id="16">
    <w:p w14:paraId="266E4D7A" w14:textId="1F572427" w:rsidR="009B6C59" w:rsidRPr="008C6AD1" w:rsidRDefault="009B6C59" w:rsidP="00255228">
      <w:pPr>
        <w:spacing w:after="0"/>
        <w:contextualSpacing/>
        <w:rPr>
          <w:sz w:val="18"/>
          <w:szCs w:val="18"/>
        </w:rPr>
      </w:pPr>
      <w:r w:rsidRPr="008C6AD1">
        <w:rPr>
          <w:rStyle w:val="FootnoteReference"/>
          <w:sz w:val="18"/>
          <w:szCs w:val="18"/>
        </w:rPr>
        <w:footnoteRef/>
      </w:r>
      <w:r w:rsidRPr="008C6AD1">
        <w:rPr>
          <w:sz w:val="18"/>
          <w:szCs w:val="18"/>
        </w:rPr>
        <w:t xml:space="preserve"> Walter and Waterhouse, ‘A Very Private Belief: Reincarnation in Contemporary England’, p. 188.</w:t>
      </w:r>
    </w:p>
  </w:footnote>
  <w:footnote w:id="17">
    <w:p w14:paraId="3A9E8733" w14:textId="7C38A2C0" w:rsidR="009B6C59" w:rsidRPr="008C6AD1" w:rsidRDefault="009B6C59" w:rsidP="00255228">
      <w:pPr>
        <w:pStyle w:val="FootnoteText"/>
        <w:contextualSpacing/>
        <w:rPr>
          <w:sz w:val="18"/>
          <w:szCs w:val="18"/>
        </w:rPr>
      </w:pPr>
      <w:r w:rsidRPr="008C6AD1">
        <w:rPr>
          <w:rStyle w:val="FootnoteReference"/>
          <w:sz w:val="18"/>
          <w:szCs w:val="18"/>
        </w:rPr>
        <w:footnoteRef/>
      </w:r>
      <w:r w:rsidRPr="008C6AD1">
        <w:rPr>
          <w:sz w:val="18"/>
          <w:szCs w:val="18"/>
        </w:rPr>
        <w:t xml:space="preserve"> Ibid. p. 187.</w:t>
      </w:r>
    </w:p>
  </w:footnote>
  <w:footnote w:id="18">
    <w:p w14:paraId="764744C2" w14:textId="4E078762" w:rsidR="009B6C59" w:rsidRPr="008C6AD1" w:rsidRDefault="009B6C59" w:rsidP="00255228">
      <w:pPr>
        <w:pStyle w:val="FootnoteText"/>
        <w:contextualSpacing/>
        <w:rPr>
          <w:sz w:val="18"/>
          <w:szCs w:val="18"/>
        </w:rPr>
      </w:pPr>
      <w:r w:rsidRPr="008C6AD1">
        <w:rPr>
          <w:rStyle w:val="FootnoteReference"/>
          <w:sz w:val="18"/>
          <w:szCs w:val="18"/>
        </w:rPr>
        <w:footnoteRef/>
      </w:r>
      <w:r w:rsidRPr="008C6AD1">
        <w:rPr>
          <w:sz w:val="18"/>
          <w:szCs w:val="18"/>
        </w:rPr>
        <w:t xml:space="preserve"> Ibid. p 188.</w:t>
      </w:r>
    </w:p>
  </w:footnote>
  <w:footnote w:id="19">
    <w:p w14:paraId="45905815" w14:textId="44DAAC41" w:rsidR="00255228" w:rsidRPr="008C6AD1" w:rsidRDefault="00255228" w:rsidP="00255228">
      <w:pPr>
        <w:pStyle w:val="FootnoteText"/>
        <w:contextualSpacing/>
        <w:rPr>
          <w:sz w:val="18"/>
          <w:szCs w:val="18"/>
        </w:rPr>
      </w:pPr>
      <w:r w:rsidRPr="008C6AD1">
        <w:rPr>
          <w:rStyle w:val="FootnoteReference"/>
          <w:sz w:val="18"/>
          <w:szCs w:val="18"/>
        </w:rPr>
        <w:footnoteRef/>
      </w:r>
      <w:r w:rsidRPr="008C6AD1">
        <w:rPr>
          <w:sz w:val="18"/>
          <w:szCs w:val="18"/>
        </w:rPr>
        <w:t xml:space="preserve"> Ibid, p. 187.</w:t>
      </w:r>
    </w:p>
  </w:footnote>
  <w:footnote w:id="20">
    <w:p w14:paraId="0DEE7137" w14:textId="5C315A45" w:rsidR="00255228" w:rsidRPr="008C6AD1" w:rsidRDefault="00255228" w:rsidP="003C6658">
      <w:pPr>
        <w:spacing w:after="0"/>
        <w:contextualSpacing/>
        <w:rPr>
          <w:sz w:val="18"/>
          <w:szCs w:val="18"/>
        </w:rPr>
      </w:pPr>
      <w:r w:rsidRPr="008C6AD1">
        <w:rPr>
          <w:rStyle w:val="FootnoteReference"/>
          <w:sz w:val="18"/>
          <w:szCs w:val="18"/>
        </w:rPr>
        <w:footnoteRef/>
      </w:r>
      <w:r w:rsidRPr="008C6AD1">
        <w:rPr>
          <w:sz w:val="18"/>
          <w:szCs w:val="18"/>
        </w:rPr>
        <w:t xml:space="preserve"> Monique </w:t>
      </w:r>
      <w:r w:rsidRPr="008C6AD1">
        <w:rPr>
          <w:sz w:val="18"/>
          <w:szCs w:val="18"/>
        </w:rPr>
        <w:t>Henni</w:t>
      </w:r>
      <w:r w:rsidR="00E3168C">
        <w:rPr>
          <w:sz w:val="18"/>
          <w:szCs w:val="18"/>
        </w:rPr>
        <w:t>n</w:t>
      </w:r>
      <w:r w:rsidRPr="008C6AD1">
        <w:rPr>
          <w:sz w:val="18"/>
          <w:szCs w:val="18"/>
        </w:rPr>
        <w:t xml:space="preserve">k, Inge Hutter and Ajay Bailey, </w:t>
      </w:r>
      <w:r w:rsidRPr="008C6AD1">
        <w:rPr>
          <w:i/>
          <w:iCs/>
          <w:sz w:val="18"/>
          <w:szCs w:val="18"/>
        </w:rPr>
        <w:t>Qualitative Research Methods</w:t>
      </w:r>
      <w:r w:rsidRPr="008C6AD1">
        <w:rPr>
          <w:sz w:val="18"/>
          <w:szCs w:val="18"/>
        </w:rPr>
        <w:t xml:space="preserve"> (Sage Publications, 2020), p. 15.</w:t>
      </w:r>
    </w:p>
  </w:footnote>
  <w:footnote w:id="21">
    <w:p w14:paraId="354B26AD" w14:textId="2DA744FE" w:rsidR="001C3F72" w:rsidRPr="008C6AD1" w:rsidRDefault="001C3F72" w:rsidP="003C6658">
      <w:pPr>
        <w:spacing w:after="0"/>
        <w:contextualSpacing/>
        <w:rPr>
          <w:sz w:val="18"/>
          <w:szCs w:val="18"/>
        </w:rPr>
      </w:pPr>
      <w:r w:rsidRPr="008C6AD1">
        <w:rPr>
          <w:rStyle w:val="FootnoteReference"/>
          <w:sz w:val="18"/>
          <w:szCs w:val="18"/>
        </w:rPr>
        <w:footnoteRef/>
      </w:r>
      <w:r w:rsidRPr="008C6AD1">
        <w:rPr>
          <w:sz w:val="18"/>
          <w:szCs w:val="18"/>
        </w:rPr>
        <w:t xml:space="preserve"> Blain, ‘Speaking </w:t>
      </w:r>
      <w:r w:rsidRPr="008C6AD1">
        <w:rPr>
          <w:sz w:val="18"/>
          <w:szCs w:val="18"/>
        </w:rPr>
        <w:t>Shamanistically: Seidr, Academia and Rationality’, Microsoft Word document p. 4-5.</w:t>
      </w:r>
    </w:p>
  </w:footnote>
  <w:footnote w:id="22">
    <w:p w14:paraId="227AE28A" w14:textId="09558C34" w:rsidR="001C3F72" w:rsidRPr="008C6AD1" w:rsidRDefault="001C3F72" w:rsidP="003C6658">
      <w:pPr>
        <w:spacing w:after="0"/>
        <w:contextualSpacing/>
        <w:rPr>
          <w:sz w:val="18"/>
          <w:szCs w:val="18"/>
        </w:rPr>
      </w:pPr>
      <w:r w:rsidRPr="008C6AD1">
        <w:rPr>
          <w:rStyle w:val="FootnoteReference"/>
          <w:sz w:val="18"/>
          <w:szCs w:val="18"/>
        </w:rPr>
        <w:footnoteRef/>
      </w:r>
      <w:r w:rsidRPr="008C6AD1">
        <w:rPr>
          <w:sz w:val="18"/>
          <w:szCs w:val="18"/>
        </w:rPr>
        <w:t xml:space="preserve"> </w:t>
      </w:r>
      <w:r w:rsidRPr="008C6AD1">
        <w:rPr>
          <w:sz w:val="18"/>
          <w:szCs w:val="18"/>
        </w:rPr>
        <w:t>Henni</w:t>
      </w:r>
      <w:r w:rsidR="00BA79E0">
        <w:rPr>
          <w:sz w:val="18"/>
          <w:szCs w:val="18"/>
        </w:rPr>
        <w:t>n</w:t>
      </w:r>
      <w:r w:rsidRPr="008C6AD1">
        <w:rPr>
          <w:sz w:val="18"/>
          <w:szCs w:val="18"/>
        </w:rPr>
        <w:t xml:space="preserve">k, Hutter and Bailey, </w:t>
      </w:r>
      <w:r w:rsidRPr="008C6AD1">
        <w:rPr>
          <w:i/>
          <w:iCs/>
          <w:sz w:val="18"/>
          <w:szCs w:val="18"/>
        </w:rPr>
        <w:t>Qualitative Research Methods</w:t>
      </w:r>
      <w:r w:rsidRPr="008C6AD1">
        <w:rPr>
          <w:sz w:val="18"/>
          <w:szCs w:val="18"/>
        </w:rPr>
        <w:t>, p. 117.</w:t>
      </w:r>
    </w:p>
  </w:footnote>
  <w:footnote w:id="23">
    <w:p w14:paraId="1AF9FEAE" w14:textId="12B6B5AD" w:rsidR="001C3F72" w:rsidRPr="008C6AD1" w:rsidRDefault="001C3F72" w:rsidP="003C6658">
      <w:pPr>
        <w:spacing w:after="0"/>
        <w:contextualSpacing/>
        <w:rPr>
          <w:sz w:val="18"/>
          <w:szCs w:val="18"/>
        </w:rPr>
      </w:pPr>
      <w:r w:rsidRPr="008C6AD1">
        <w:rPr>
          <w:rStyle w:val="FootnoteReference"/>
          <w:sz w:val="18"/>
          <w:szCs w:val="18"/>
        </w:rPr>
        <w:footnoteRef/>
      </w:r>
      <w:r w:rsidRPr="008C6AD1">
        <w:rPr>
          <w:sz w:val="18"/>
          <w:szCs w:val="18"/>
        </w:rPr>
        <w:t xml:space="preserve"> Blain, ‘Speaking </w:t>
      </w:r>
      <w:r w:rsidRPr="008C6AD1">
        <w:rPr>
          <w:sz w:val="18"/>
          <w:szCs w:val="18"/>
        </w:rPr>
        <w:t>Shamanistically: Seidr, Academia and Rationality’, Microsoft Word document p. 5.</w:t>
      </w:r>
    </w:p>
  </w:footnote>
  <w:footnote w:id="24">
    <w:p w14:paraId="473CF7C8" w14:textId="66A9D2D5" w:rsidR="001C3F72" w:rsidRPr="008C6AD1" w:rsidRDefault="001C3F72" w:rsidP="003C6658">
      <w:pPr>
        <w:spacing w:after="0"/>
        <w:contextualSpacing/>
        <w:rPr>
          <w:sz w:val="18"/>
          <w:szCs w:val="18"/>
        </w:rPr>
      </w:pPr>
      <w:r w:rsidRPr="008C6AD1">
        <w:rPr>
          <w:rStyle w:val="FootnoteReference"/>
          <w:sz w:val="18"/>
          <w:szCs w:val="18"/>
        </w:rPr>
        <w:footnoteRef/>
      </w:r>
      <w:r w:rsidRPr="008C6AD1">
        <w:rPr>
          <w:sz w:val="18"/>
          <w:szCs w:val="18"/>
        </w:rPr>
        <w:t xml:space="preserve"> </w:t>
      </w:r>
      <w:r w:rsidRPr="008C6AD1">
        <w:rPr>
          <w:sz w:val="18"/>
          <w:szCs w:val="18"/>
        </w:rPr>
        <w:t>Henni</w:t>
      </w:r>
      <w:r w:rsidR="00ED5AD6">
        <w:rPr>
          <w:sz w:val="18"/>
          <w:szCs w:val="18"/>
        </w:rPr>
        <w:t>n</w:t>
      </w:r>
      <w:r w:rsidRPr="008C6AD1">
        <w:rPr>
          <w:sz w:val="18"/>
          <w:szCs w:val="18"/>
        </w:rPr>
        <w:t xml:space="preserve">k, Hutter and Bailey, </w:t>
      </w:r>
      <w:r w:rsidRPr="008C6AD1">
        <w:rPr>
          <w:i/>
          <w:iCs/>
          <w:sz w:val="18"/>
          <w:szCs w:val="18"/>
        </w:rPr>
        <w:t>Qualitative Research Methods</w:t>
      </w:r>
      <w:r w:rsidRPr="008C6AD1">
        <w:rPr>
          <w:sz w:val="18"/>
          <w:szCs w:val="18"/>
        </w:rPr>
        <w:t>, p. 180.</w:t>
      </w:r>
    </w:p>
  </w:footnote>
  <w:footnote w:id="25">
    <w:p w14:paraId="0A539410" w14:textId="238FE55D" w:rsidR="001C3F72" w:rsidRPr="008C6AD1" w:rsidRDefault="001C3F72" w:rsidP="003C6658">
      <w:pPr>
        <w:pStyle w:val="FootnoteText"/>
        <w:contextualSpacing/>
        <w:rPr>
          <w:sz w:val="18"/>
          <w:szCs w:val="18"/>
        </w:rPr>
      </w:pPr>
      <w:r w:rsidRPr="008C6AD1">
        <w:rPr>
          <w:rStyle w:val="FootnoteReference"/>
          <w:sz w:val="18"/>
          <w:szCs w:val="18"/>
        </w:rPr>
        <w:footnoteRef/>
      </w:r>
      <w:r w:rsidRPr="008C6AD1">
        <w:rPr>
          <w:sz w:val="18"/>
          <w:szCs w:val="18"/>
        </w:rPr>
        <w:t xml:space="preserve"> Ibid. p. 180.</w:t>
      </w:r>
    </w:p>
  </w:footnote>
  <w:footnote w:id="26">
    <w:p w14:paraId="09C2013D" w14:textId="3A807D5D" w:rsidR="001C3F72" w:rsidRPr="008C6AD1" w:rsidRDefault="001C3F72" w:rsidP="003C6658">
      <w:pPr>
        <w:spacing w:after="0"/>
        <w:contextualSpacing/>
        <w:rPr>
          <w:sz w:val="18"/>
          <w:szCs w:val="18"/>
        </w:rPr>
      </w:pPr>
      <w:r w:rsidRPr="008C6AD1">
        <w:rPr>
          <w:rStyle w:val="FootnoteReference"/>
          <w:sz w:val="18"/>
          <w:szCs w:val="18"/>
        </w:rPr>
        <w:footnoteRef/>
      </w:r>
      <w:r w:rsidRPr="008C6AD1">
        <w:rPr>
          <w:sz w:val="18"/>
          <w:szCs w:val="18"/>
        </w:rPr>
        <w:t xml:space="preserve"> Blain, ‘Speaking </w:t>
      </w:r>
      <w:r w:rsidRPr="008C6AD1">
        <w:rPr>
          <w:sz w:val="18"/>
          <w:szCs w:val="18"/>
        </w:rPr>
        <w:t>Shamanistically: Seidr, Academia and Rationality’, Microsoft Word document p. 10.</w:t>
      </w:r>
    </w:p>
  </w:footnote>
  <w:footnote w:id="27">
    <w:p w14:paraId="2B75040F" w14:textId="4E09EE8F" w:rsidR="001C3F72" w:rsidRPr="008C6AD1" w:rsidRDefault="001C3F72" w:rsidP="003C6658">
      <w:pPr>
        <w:spacing w:after="0"/>
        <w:contextualSpacing/>
        <w:rPr>
          <w:sz w:val="18"/>
          <w:szCs w:val="18"/>
        </w:rPr>
      </w:pPr>
      <w:r w:rsidRPr="008C6AD1">
        <w:rPr>
          <w:rStyle w:val="FootnoteReference"/>
          <w:sz w:val="18"/>
          <w:szCs w:val="18"/>
        </w:rPr>
        <w:footnoteRef/>
      </w:r>
      <w:r w:rsidRPr="008C6AD1">
        <w:rPr>
          <w:sz w:val="18"/>
          <w:szCs w:val="18"/>
        </w:rPr>
        <w:t xml:space="preserve"> </w:t>
      </w:r>
      <w:r w:rsidRPr="008C6AD1">
        <w:rPr>
          <w:sz w:val="18"/>
          <w:szCs w:val="18"/>
        </w:rPr>
        <w:t>Henni</w:t>
      </w:r>
      <w:r w:rsidR="00ED5AD6">
        <w:rPr>
          <w:sz w:val="18"/>
          <w:szCs w:val="18"/>
        </w:rPr>
        <w:t>n</w:t>
      </w:r>
      <w:r w:rsidRPr="008C6AD1">
        <w:rPr>
          <w:sz w:val="18"/>
          <w:szCs w:val="18"/>
        </w:rPr>
        <w:t xml:space="preserve">k, Hutter and Bailey, </w:t>
      </w:r>
      <w:r w:rsidRPr="008C6AD1">
        <w:rPr>
          <w:i/>
          <w:iCs/>
          <w:sz w:val="18"/>
          <w:szCs w:val="18"/>
        </w:rPr>
        <w:t>Qualitative Research Methods</w:t>
      </w:r>
      <w:r w:rsidRPr="008C6AD1">
        <w:rPr>
          <w:sz w:val="18"/>
          <w:szCs w:val="18"/>
        </w:rPr>
        <w:t>, p. 171.</w:t>
      </w:r>
    </w:p>
  </w:footnote>
  <w:footnote w:id="28">
    <w:p w14:paraId="52AA0C25" w14:textId="7FB2CD75" w:rsidR="001C3F72" w:rsidRPr="008C6AD1" w:rsidRDefault="001C3F72" w:rsidP="003C6658">
      <w:pPr>
        <w:pStyle w:val="FootnoteText"/>
        <w:contextualSpacing/>
        <w:rPr>
          <w:sz w:val="18"/>
          <w:szCs w:val="18"/>
        </w:rPr>
      </w:pPr>
      <w:r w:rsidRPr="008C6AD1">
        <w:rPr>
          <w:rStyle w:val="FootnoteReference"/>
          <w:sz w:val="18"/>
          <w:szCs w:val="18"/>
        </w:rPr>
        <w:footnoteRef/>
      </w:r>
      <w:r w:rsidRPr="008C6AD1">
        <w:rPr>
          <w:sz w:val="18"/>
          <w:szCs w:val="18"/>
        </w:rPr>
        <w:t xml:space="preserve"> Ibid. p. 18.</w:t>
      </w:r>
    </w:p>
  </w:footnote>
  <w:footnote w:id="29">
    <w:p w14:paraId="4FF205AB" w14:textId="18795935" w:rsidR="002925AE" w:rsidRPr="008C6AD1" w:rsidRDefault="002925AE" w:rsidP="003C6658">
      <w:pPr>
        <w:spacing w:after="0"/>
        <w:contextualSpacing/>
        <w:rPr>
          <w:sz w:val="18"/>
          <w:szCs w:val="18"/>
        </w:rPr>
      </w:pPr>
      <w:r w:rsidRPr="008C6AD1">
        <w:rPr>
          <w:rStyle w:val="FootnoteReference"/>
          <w:sz w:val="18"/>
          <w:szCs w:val="18"/>
        </w:rPr>
        <w:footnoteRef/>
      </w:r>
      <w:r w:rsidRPr="008C6AD1">
        <w:rPr>
          <w:sz w:val="18"/>
          <w:szCs w:val="18"/>
        </w:rPr>
        <w:t xml:space="preserve"> Walter and Waterhouse, ‘A Very Private Belief: Reincarnation in Contemporary England’, p. 187.</w:t>
      </w:r>
    </w:p>
  </w:footnote>
  <w:footnote w:id="30">
    <w:p w14:paraId="409F16D9" w14:textId="5EB62154" w:rsidR="002925AE" w:rsidRPr="008C6AD1" w:rsidRDefault="002925AE">
      <w:pPr>
        <w:pStyle w:val="FootnoteText"/>
        <w:rPr>
          <w:sz w:val="18"/>
          <w:szCs w:val="18"/>
        </w:rPr>
      </w:pPr>
      <w:r w:rsidRPr="008C6AD1">
        <w:rPr>
          <w:rStyle w:val="FootnoteReference"/>
          <w:sz w:val="18"/>
          <w:szCs w:val="18"/>
        </w:rPr>
        <w:footnoteRef/>
      </w:r>
      <w:r w:rsidRPr="008C6AD1">
        <w:rPr>
          <w:sz w:val="18"/>
          <w:szCs w:val="18"/>
        </w:rPr>
        <w:t xml:space="preserve"> Ibid. p. 189.</w:t>
      </w:r>
    </w:p>
  </w:footnote>
  <w:footnote w:id="31">
    <w:p w14:paraId="2FE164DD" w14:textId="66F0DA25" w:rsidR="002925AE" w:rsidRPr="008C6AD1" w:rsidRDefault="002925AE" w:rsidP="003C6658">
      <w:pPr>
        <w:pStyle w:val="FootnoteText"/>
        <w:contextualSpacing/>
        <w:rPr>
          <w:sz w:val="18"/>
          <w:szCs w:val="18"/>
        </w:rPr>
      </w:pPr>
      <w:r w:rsidRPr="008C6AD1">
        <w:rPr>
          <w:rStyle w:val="FootnoteReference"/>
          <w:sz w:val="18"/>
          <w:szCs w:val="18"/>
        </w:rPr>
        <w:footnoteRef/>
      </w:r>
      <w:r w:rsidRPr="008C6AD1">
        <w:rPr>
          <w:sz w:val="18"/>
          <w:szCs w:val="18"/>
        </w:rPr>
        <w:t xml:space="preserve"> Ibid. p. 189.</w:t>
      </w:r>
    </w:p>
  </w:footnote>
  <w:footnote w:id="32">
    <w:p w14:paraId="68F5FAE4" w14:textId="3C28E358" w:rsidR="002925AE" w:rsidRPr="008C6AD1" w:rsidRDefault="002925AE" w:rsidP="003C6658">
      <w:pPr>
        <w:spacing w:after="0"/>
        <w:contextualSpacing/>
        <w:rPr>
          <w:sz w:val="18"/>
          <w:szCs w:val="18"/>
        </w:rPr>
      </w:pPr>
      <w:r w:rsidRPr="008C6AD1">
        <w:rPr>
          <w:rStyle w:val="FootnoteReference"/>
          <w:sz w:val="18"/>
          <w:szCs w:val="18"/>
        </w:rPr>
        <w:footnoteRef/>
      </w:r>
      <w:r w:rsidRPr="008C6AD1">
        <w:rPr>
          <w:sz w:val="18"/>
          <w:szCs w:val="18"/>
        </w:rPr>
        <w:t xml:space="preserve"> </w:t>
      </w:r>
      <w:r w:rsidRPr="008C6AD1">
        <w:rPr>
          <w:sz w:val="18"/>
          <w:szCs w:val="18"/>
        </w:rPr>
        <w:t>Henni</w:t>
      </w:r>
      <w:r w:rsidR="00ED5AD6">
        <w:rPr>
          <w:sz w:val="18"/>
          <w:szCs w:val="18"/>
        </w:rPr>
        <w:t>n</w:t>
      </w:r>
      <w:r w:rsidRPr="008C6AD1">
        <w:rPr>
          <w:sz w:val="18"/>
          <w:szCs w:val="18"/>
        </w:rPr>
        <w:t xml:space="preserve">k, Hutter and Bailey, </w:t>
      </w:r>
      <w:r w:rsidRPr="008C6AD1">
        <w:rPr>
          <w:i/>
          <w:iCs/>
          <w:sz w:val="18"/>
          <w:szCs w:val="18"/>
        </w:rPr>
        <w:t>Qualitative Research Methods</w:t>
      </w:r>
      <w:r w:rsidRPr="008C6AD1">
        <w:rPr>
          <w:sz w:val="18"/>
          <w:szCs w:val="18"/>
        </w:rPr>
        <w:t>, p. 99.</w:t>
      </w:r>
    </w:p>
  </w:footnote>
  <w:footnote w:id="33">
    <w:p w14:paraId="11F91DE3" w14:textId="5FBD8A56" w:rsidR="002925AE" w:rsidRPr="008C6AD1" w:rsidRDefault="002925AE" w:rsidP="003C6658">
      <w:pPr>
        <w:pStyle w:val="FootnoteText"/>
        <w:contextualSpacing/>
        <w:rPr>
          <w:sz w:val="18"/>
          <w:szCs w:val="18"/>
        </w:rPr>
      </w:pPr>
      <w:r w:rsidRPr="008C6AD1">
        <w:rPr>
          <w:rStyle w:val="FootnoteReference"/>
          <w:sz w:val="18"/>
          <w:szCs w:val="18"/>
        </w:rPr>
        <w:footnoteRef/>
      </w:r>
      <w:r w:rsidRPr="008C6AD1">
        <w:rPr>
          <w:sz w:val="18"/>
          <w:szCs w:val="18"/>
        </w:rPr>
        <w:t xml:space="preserve"> Ibid. p. 105.</w:t>
      </w:r>
    </w:p>
  </w:footnote>
  <w:footnote w:id="34">
    <w:p w14:paraId="4D9BC1A1" w14:textId="786898DF" w:rsidR="002925AE" w:rsidRPr="008C6AD1" w:rsidRDefault="002925AE" w:rsidP="003C6658">
      <w:pPr>
        <w:pStyle w:val="FootnoteText"/>
        <w:contextualSpacing/>
      </w:pPr>
      <w:r w:rsidRPr="008C6AD1">
        <w:rPr>
          <w:rStyle w:val="FootnoteReference"/>
          <w:sz w:val="18"/>
          <w:szCs w:val="18"/>
        </w:rPr>
        <w:footnoteRef/>
      </w:r>
      <w:r w:rsidRPr="008C6AD1">
        <w:rPr>
          <w:sz w:val="18"/>
          <w:szCs w:val="18"/>
        </w:rPr>
        <w:t xml:space="preserve"> Ibid. p. 105.</w:t>
      </w:r>
    </w:p>
  </w:footnote>
  <w:footnote w:id="35">
    <w:p w14:paraId="286C387D" w14:textId="658C282B" w:rsidR="002925AE" w:rsidRPr="008C6AD1" w:rsidRDefault="002925AE" w:rsidP="003C6658">
      <w:pPr>
        <w:spacing w:after="0"/>
        <w:contextualSpacing/>
        <w:rPr>
          <w:sz w:val="18"/>
          <w:szCs w:val="18"/>
        </w:rPr>
      </w:pPr>
      <w:r w:rsidRPr="008C6AD1">
        <w:rPr>
          <w:rStyle w:val="FootnoteReference"/>
          <w:sz w:val="18"/>
          <w:szCs w:val="18"/>
        </w:rPr>
        <w:footnoteRef/>
      </w:r>
      <w:r w:rsidRPr="008C6AD1">
        <w:rPr>
          <w:sz w:val="18"/>
          <w:szCs w:val="18"/>
        </w:rPr>
        <w:t xml:space="preserve"> </w:t>
      </w:r>
      <w:r w:rsidR="00E061F6" w:rsidRPr="008C6AD1">
        <w:rPr>
          <w:sz w:val="18"/>
          <w:szCs w:val="18"/>
        </w:rPr>
        <w:t xml:space="preserve">Walter and Waterhouse, ‘A Very Private Belief: Reincarnation in Contemporary England’, p. </w:t>
      </w:r>
      <w:r w:rsidRPr="008C6AD1">
        <w:rPr>
          <w:sz w:val="18"/>
          <w:szCs w:val="18"/>
        </w:rPr>
        <w:t>189.</w:t>
      </w:r>
    </w:p>
  </w:footnote>
  <w:footnote w:id="36">
    <w:p w14:paraId="5D5A0A92" w14:textId="46CE3AB3" w:rsidR="00E061F6" w:rsidRPr="008C6AD1" w:rsidRDefault="00E061F6" w:rsidP="003C6658">
      <w:pPr>
        <w:pStyle w:val="FootnoteText"/>
        <w:contextualSpacing/>
        <w:rPr>
          <w:sz w:val="18"/>
          <w:szCs w:val="18"/>
        </w:rPr>
      </w:pPr>
      <w:r w:rsidRPr="008C6AD1">
        <w:rPr>
          <w:rStyle w:val="FootnoteReference"/>
          <w:sz w:val="18"/>
          <w:szCs w:val="18"/>
        </w:rPr>
        <w:footnoteRef/>
      </w:r>
      <w:r w:rsidRPr="008C6AD1">
        <w:rPr>
          <w:sz w:val="18"/>
          <w:szCs w:val="18"/>
        </w:rPr>
        <w:t xml:space="preserve"> Ibid. p. 195.</w:t>
      </w:r>
    </w:p>
  </w:footnote>
  <w:footnote w:id="37">
    <w:p w14:paraId="3E98AB4A" w14:textId="165E0103" w:rsidR="00E061F6" w:rsidRPr="008C6AD1" w:rsidRDefault="00E061F6" w:rsidP="003C6658">
      <w:pPr>
        <w:pStyle w:val="FootnoteText"/>
        <w:contextualSpacing/>
        <w:rPr>
          <w:sz w:val="18"/>
          <w:szCs w:val="18"/>
        </w:rPr>
      </w:pPr>
      <w:r w:rsidRPr="008C6AD1">
        <w:rPr>
          <w:rStyle w:val="FootnoteReference"/>
          <w:sz w:val="18"/>
          <w:szCs w:val="18"/>
        </w:rPr>
        <w:footnoteRef/>
      </w:r>
      <w:r w:rsidRPr="008C6AD1">
        <w:rPr>
          <w:sz w:val="18"/>
          <w:szCs w:val="18"/>
        </w:rPr>
        <w:t xml:space="preserve"> Ibid. p. 189 – 190.</w:t>
      </w:r>
    </w:p>
  </w:footnote>
  <w:footnote w:id="38">
    <w:p w14:paraId="6CB9E090" w14:textId="6A556F51" w:rsidR="00E061F6" w:rsidRPr="008C6AD1" w:rsidRDefault="00E061F6" w:rsidP="003C6658">
      <w:pPr>
        <w:spacing w:after="0"/>
        <w:contextualSpacing/>
        <w:rPr>
          <w:sz w:val="18"/>
          <w:szCs w:val="18"/>
        </w:rPr>
      </w:pPr>
      <w:r w:rsidRPr="008C6AD1">
        <w:rPr>
          <w:rStyle w:val="FootnoteReference"/>
          <w:sz w:val="18"/>
          <w:szCs w:val="18"/>
        </w:rPr>
        <w:footnoteRef/>
      </w:r>
      <w:r w:rsidRPr="008C6AD1">
        <w:rPr>
          <w:sz w:val="18"/>
          <w:szCs w:val="18"/>
        </w:rPr>
        <w:t xml:space="preserve"> </w:t>
      </w:r>
      <w:r w:rsidRPr="008C6AD1">
        <w:rPr>
          <w:sz w:val="18"/>
          <w:szCs w:val="18"/>
        </w:rPr>
        <w:t xml:space="preserve">Budrich, Verlag Barbara, ‘Research Ethics Book’, in </w:t>
      </w:r>
      <w:r w:rsidRPr="008C6AD1">
        <w:rPr>
          <w:i/>
          <w:iCs/>
          <w:sz w:val="18"/>
          <w:szCs w:val="18"/>
        </w:rPr>
        <w:t>Consumer Psychology: A Study Guide to Qualitative Research Methods Book</w:t>
      </w:r>
      <w:r w:rsidRPr="008C6AD1">
        <w:rPr>
          <w:sz w:val="18"/>
          <w:szCs w:val="18"/>
        </w:rPr>
        <w:t>, ed. Paul M. W. Hackett, Jessica B. Schwarzenbach and Uta Maria Jürgens (2016), pp. 25-42 (p. 36) &lt;</w:t>
      </w:r>
      <w:hyperlink r:id="rId6" w:history="1">
        <w:r w:rsidRPr="008C6AD1">
          <w:rPr>
            <w:rStyle w:val="Hyperlink"/>
            <w:color w:val="auto"/>
            <w:sz w:val="18"/>
            <w:szCs w:val="18"/>
          </w:rPr>
          <w:t>https://www.jstor.org/stable/j.ctvddzsrf.9</w:t>
        </w:r>
      </w:hyperlink>
      <w:r w:rsidRPr="008C6AD1">
        <w:rPr>
          <w:sz w:val="18"/>
          <w:szCs w:val="18"/>
        </w:rPr>
        <w:t>&gt; [accessed March 12, 2025]</w:t>
      </w:r>
    </w:p>
  </w:footnote>
  <w:footnote w:id="39">
    <w:p w14:paraId="7693B289" w14:textId="1E8CE9BB" w:rsidR="00E061F6" w:rsidRPr="008C6AD1" w:rsidRDefault="00E061F6" w:rsidP="003C6658">
      <w:pPr>
        <w:spacing w:after="0"/>
        <w:contextualSpacing/>
        <w:rPr>
          <w:sz w:val="18"/>
          <w:szCs w:val="18"/>
        </w:rPr>
      </w:pPr>
      <w:r w:rsidRPr="008C6AD1">
        <w:rPr>
          <w:rStyle w:val="FootnoteReference"/>
          <w:sz w:val="18"/>
          <w:szCs w:val="18"/>
        </w:rPr>
        <w:footnoteRef/>
      </w:r>
      <w:r w:rsidRPr="008C6AD1">
        <w:rPr>
          <w:sz w:val="18"/>
          <w:szCs w:val="18"/>
        </w:rPr>
        <w:t xml:space="preserve"> Allison James, ‘Giving Voice to Children's Voices: Practices and Problems, Pitfalls and Potentials’, </w:t>
      </w:r>
      <w:r w:rsidRPr="008C6AD1">
        <w:rPr>
          <w:i/>
          <w:iCs/>
          <w:sz w:val="18"/>
          <w:szCs w:val="18"/>
        </w:rPr>
        <w:t>Children, Childhoods, and Childhood Studies</w:t>
      </w:r>
      <w:r w:rsidRPr="008C6AD1">
        <w:rPr>
          <w:sz w:val="18"/>
          <w:szCs w:val="18"/>
        </w:rPr>
        <w:t>, 9.2 (2007), 261-272 (p. 262) &lt;</w:t>
      </w:r>
      <w:hyperlink r:id="rId7" w:history="1">
        <w:r w:rsidRPr="008C6AD1">
          <w:rPr>
            <w:rStyle w:val="Hyperlink"/>
            <w:color w:val="auto"/>
            <w:sz w:val="18"/>
            <w:szCs w:val="18"/>
          </w:rPr>
          <w:t>https://www.jstor.org/stable/4496640</w:t>
        </w:r>
      </w:hyperlink>
      <w:r w:rsidRPr="008C6AD1">
        <w:rPr>
          <w:sz w:val="18"/>
          <w:szCs w:val="18"/>
        </w:rPr>
        <w:t>&gt; [accessed March 12, 2025]</w:t>
      </w:r>
    </w:p>
  </w:footnote>
  <w:footnote w:id="40">
    <w:p w14:paraId="0960A7D0" w14:textId="5D23063E" w:rsidR="00E061F6" w:rsidRPr="008C6AD1" w:rsidRDefault="00E061F6" w:rsidP="003C6658">
      <w:pPr>
        <w:spacing w:after="0"/>
        <w:contextualSpacing/>
        <w:rPr>
          <w:sz w:val="18"/>
          <w:szCs w:val="18"/>
        </w:rPr>
      </w:pPr>
      <w:r w:rsidRPr="008C6AD1">
        <w:rPr>
          <w:rStyle w:val="FootnoteReference"/>
          <w:sz w:val="18"/>
          <w:szCs w:val="18"/>
        </w:rPr>
        <w:footnoteRef/>
      </w:r>
      <w:r w:rsidRPr="008C6AD1">
        <w:rPr>
          <w:sz w:val="18"/>
          <w:szCs w:val="18"/>
        </w:rPr>
        <w:t xml:space="preserve"> </w:t>
      </w:r>
      <w:r w:rsidRPr="008C6AD1">
        <w:rPr>
          <w:sz w:val="18"/>
          <w:szCs w:val="18"/>
        </w:rPr>
        <w:t>Henni</w:t>
      </w:r>
      <w:r w:rsidR="00ED5AD6">
        <w:rPr>
          <w:sz w:val="18"/>
          <w:szCs w:val="18"/>
        </w:rPr>
        <w:t>n</w:t>
      </w:r>
      <w:r w:rsidRPr="008C6AD1">
        <w:rPr>
          <w:sz w:val="18"/>
          <w:szCs w:val="18"/>
        </w:rPr>
        <w:t xml:space="preserve">k, Hutter and Bailey, </w:t>
      </w:r>
      <w:r w:rsidRPr="008C6AD1">
        <w:rPr>
          <w:i/>
          <w:iCs/>
          <w:sz w:val="18"/>
          <w:szCs w:val="18"/>
        </w:rPr>
        <w:t>Qualitative Research Methods</w:t>
      </w:r>
      <w:r w:rsidRPr="008C6AD1">
        <w:rPr>
          <w:sz w:val="18"/>
          <w:szCs w:val="18"/>
        </w:rPr>
        <w:t>, p. 71-72.</w:t>
      </w:r>
    </w:p>
  </w:footnote>
  <w:footnote w:id="41">
    <w:p w14:paraId="61115172" w14:textId="7600CE0D" w:rsidR="00E061F6" w:rsidRPr="008C6AD1" w:rsidRDefault="00E061F6" w:rsidP="003C6658">
      <w:pPr>
        <w:spacing w:after="0"/>
        <w:contextualSpacing/>
        <w:rPr>
          <w:sz w:val="18"/>
          <w:szCs w:val="18"/>
        </w:rPr>
      </w:pPr>
      <w:r w:rsidRPr="008C6AD1">
        <w:rPr>
          <w:rStyle w:val="FootnoteReference"/>
          <w:sz w:val="18"/>
          <w:szCs w:val="18"/>
        </w:rPr>
        <w:footnoteRef/>
      </w:r>
      <w:r w:rsidRPr="008C6AD1">
        <w:rPr>
          <w:sz w:val="18"/>
          <w:szCs w:val="18"/>
        </w:rPr>
        <w:t xml:space="preserve"> Walter and Waterhouse, ‘A Very Private Belief: Reincarnation in Contemporary England’, p. 192.</w:t>
      </w:r>
    </w:p>
  </w:footnote>
  <w:footnote w:id="42">
    <w:p w14:paraId="4DE9E771" w14:textId="4CF354D5" w:rsidR="00242823" w:rsidRPr="008C6AD1" w:rsidRDefault="00242823" w:rsidP="003C6658">
      <w:pPr>
        <w:spacing w:after="0"/>
        <w:contextualSpacing/>
        <w:rPr>
          <w:sz w:val="18"/>
          <w:szCs w:val="18"/>
        </w:rPr>
      </w:pPr>
      <w:r w:rsidRPr="008C6AD1">
        <w:rPr>
          <w:rStyle w:val="FootnoteReference"/>
          <w:sz w:val="18"/>
          <w:szCs w:val="18"/>
        </w:rPr>
        <w:footnoteRef/>
      </w:r>
      <w:r w:rsidRPr="008C6AD1">
        <w:rPr>
          <w:sz w:val="18"/>
          <w:szCs w:val="18"/>
        </w:rPr>
        <w:t xml:space="preserve"> Veena Meetoo, Hanan </w:t>
      </w:r>
      <w:r w:rsidRPr="008C6AD1">
        <w:rPr>
          <w:sz w:val="18"/>
          <w:szCs w:val="18"/>
        </w:rPr>
        <w:t xml:space="preserve">Hauari and Ann Phoenix, ‘Participatory Childhood Research: Histories, Presents and Reflections’, in </w:t>
      </w:r>
      <w:r w:rsidRPr="008C6AD1">
        <w:rPr>
          <w:i/>
          <w:iCs/>
          <w:sz w:val="18"/>
          <w:szCs w:val="18"/>
        </w:rPr>
        <w:t>Social Research for our Times</w:t>
      </w:r>
      <w:r w:rsidRPr="008C6AD1">
        <w:rPr>
          <w:sz w:val="18"/>
          <w:szCs w:val="18"/>
        </w:rPr>
        <w:t>, ed. Claire Cameron, Alison Koslowski, Alison Lamont, Peter Moss (2023), pp. 341-356 (p. 341) &lt;</w:t>
      </w:r>
      <w:hyperlink r:id="rId8" w:history="1">
        <w:r w:rsidRPr="008C6AD1">
          <w:rPr>
            <w:rStyle w:val="Hyperlink"/>
            <w:color w:val="auto"/>
            <w:sz w:val="18"/>
            <w:szCs w:val="18"/>
          </w:rPr>
          <w:t>https://www.jstor.org/stable/jj.16430731.28</w:t>
        </w:r>
      </w:hyperlink>
      <w:r w:rsidRPr="008C6AD1">
        <w:rPr>
          <w:sz w:val="18"/>
          <w:szCs w:val="18"/>
        </w:rPr>
        <w:t>&gt; [accessed March 12, 2025]</w:t>
      </w:r>
    </w:p>
  </w:footnote>
  <w:footnote w:id="43">
    <w:p w14:paraId="5827AC7E" w14:textId="361C0D37" w:rsidR="0055756C" w:rsidRPr="008C6AD1" w:rsidRDefault="0055756C" w:rsidP="003C6658">
      <w:pPr>
        <w:spacing w:after="0"/>
        <w:contextualSpacing/>
        <w:rPr>
          <w:sz w:val="18"/>
          <w:szCs w:val="18"/>
        </w:rPr>
      </w:pPr>
      <w:r w:rsidRPr="008C6AD1">
        <w:rPr>
          <w:rStyle w:val="FootnoteReference"/>
          <w:sz w:val="18"/>
          <w:szCs w:val="18"/>
        </w:rPr>
        <w:footnoteRef/>
      </w:r>
      <w:r w:rsidRPr="008C6AD1">
        <w:rPr>
          <w:sz w:val="18"/>
          <w:szCs w:val="18"/>
        </w:rPr>
        <w:t xml:space="preserve"> Blain, ‘Speaking </w:t>
      </w:r>
      <w:r w:rsidRPr="008C6AD1">
        <w:rPr>
          <w:sz w:val="18"/>
          <w:szCs w:val="18"/>
        </w:rPr>
        <w:t>Shamanistically: Seidr, Academia and Rationality’, Microsoft Word document p. 1.</w:t>
      </w:r>
    </w:p>
  </w:footnote>
  <w:footnote w:id="44">
    <w:p w14:paraId="0FE04C9F" w14:textId="6294D388" w:rsidR="00E35EF0" w:rsidRPr="008C6AD1" w:rsidRDefault="00E35EF0" w:rsidP="003C6658">
      <w:pPr>
        <w:pStyle w:val="FootnoteText"/>
        <w:contextualSpacing/>
        <w:rPr>
          <w:sz w:val="18"/>
          <w:szCs w:val="18"/>
        </w:rPr>
      </w:pPr>
      <w:r w:rsidRPr="008C6AD1">
        <w:rPr>
          <w:rStyle w:val="FootnoteReference"/>
          <w:sz w:val="18"/>
          <w:szCs w:val="18"/>
        </w:rPr>
        <w:footnoteRef/>
      </w:r>
      <w:r w:rsidRPr="008C6AD1">
        <w:rPr>
          <w:sz w:val="18"/>
          <w:szCs w:val="18"/>
        </w:rPr>
        <w:t xml:space="preserve"> Ibid. p. 1.</w:t>
      </w:r>
    </w:p>
  </w:footnote>
  <w:footnote w:id="45">
    <w:p w14:paraId="5F592E97" w14:textId="4F43058D" w:rsidR="008F3A20" w:rsidRPr="008C6AD1" w:rsidRDefault="008F3A20" w:rsidP="003C6658">
      <w:pPr>
        <w:spacing w:after="0"/>
        <w:contextualSpacing/>
        <w:rPr>
          <w:sz w:val="18"/>
          <w:szCs w:val="18"/>
        </w:rPr>
      </w:pPr>
      <w:r w:rsidRPr="008C6AD1">
        <w:rPr>
          <w:rStyle w:val="FootnoteReference"/>
          <w:sz w:val="18"/>
          <w:szCs w:val="18"/>
        </w:rPr>
        <w:footnoteRef/>
      </w:r>
      <w:r w:rsidRPr="008C6AD1">
        <w:rPr>
          <w:sz w:val="18"/>
          <w:szCs w:val="18"/>
        </w:rPr>
        <w:t xml:space="preserve"> Walter and Waterhouse, ‘A Very Private Belief: Reincarnation in Contemporary England’, p. 188.</w:t>
      </w:r>
    </w:p>
  </w:footnote>
  <w:footnote w:id="46">
    <w:p w14:paraId="7D1CD5AB" w14:textId="386E246D" w:rsidR="008F3A20" w:rsidRPr="008C6AD1" w:rsidRDefault="008F3A20" w:rsidP="003C6658">
      <w:pPr>
        <w:pStyle w:val="FootnoteText"/>
        <w:contextualSpacing/>
        <w:rPr>
          <w:sz w:val="18"/>
          <w:szCs w:val="18"/>
        </w:rPr>
      </w:pPr>
      <w:r w:rsidRPr="008C6AD1">
        <w:rPr>
          <w:rStyle w:val="FootnoteReference"/>
          <w:sz w:val="18"/>
          <w:szCs w:val="18"/>
        </w:rPr>
        <w:footnoteRef/>
      </w:r>
      <w:r w:rsidRPr="008C6AD1">
        <w:rPr>
          <w:sz w:val="18"/>
          <w:szCs w:val="18"/>
        </w:rPr>
        <w:t xml:space="preserve"> </w:t>
      </w:r>
      <w:r w:rsidR="002D0551" w:rsidRPr="008C6AD1">
        <w:rPr>
          <w:sz w:val="18"/>
          <w:szCs w:val="18"/>
        </w:rPr>
        <w:t>Ibid. p. 188</w:t>
      </w:r>
      <w:r w:rsidR="00553D37" w:rsidRPr="008C6AD1">
        <w:rPr>
          <w:sz w:val="18"/>
          <w:szCs w:val="18"/>
        </w:rPr>
        <w:t>.</w:t>
      </w:r>
    </w:p>
  </w:footnote>
  <w:footnote w:id="47">
    <w:p w14:paraId="2642D938" w14:textId="1F76D58F" w:rsidR="00437458" w:rsidRPr="00C44F18" w:rsidRDefault="00437458" w:rsidP="003C6658">
      <w:pPr>
        <w:pStyle w:val="FootnoteText"/>
        <w:contextualSpacing/>
        <w:rPr>
          <w:sz w:val="18"/>
          <w:szCs w:val="18"/>
        </w:rPr>
      </w:pPr>
      <w:r w:rsidRPr="00C44F18">
        <w:rPr>
          <w:rStyle w:val="FootnoteReference"/>
          <w:sz w:val="18"/>
          <w:szCs w:val="18"/>
        </w:rPr>
        <w:footnoteRef/>
      </w:r>
      <w:r w:rsidRPr="00C44F18">
        <w:rPr>
          <w:sz w:val="18"/>
          <w:szCs w:val="18"/>
        </w:rPr>
        <w:t xml:space="preserve"> </w:t>
      </w:r>
      <w:r w:rsidR="00984398" w:rsidRPr="00C44F18">
        <w:rPr>
          <w:sz w:val="18"/>
          <w:szCs w:val="18"/>
        </w:rPr>
        <w:t xml:space="preserve">Ibid. p. </w:t>
      </w:r>
      <w:r w:rsidR="00E61239" w:rsidRPr="00C44F18">
        <w:rPr>
          <w:sz w:val="18"/>
          <w:szCs w:val="18"/>
        </w:rPr>
        <w:t>190.</w:t>
      </w:r>
    </w:p>
  </w:footnote>
  <w:footnote w:id="48">
    <w:p w14:paraId="15D89115" w14:textId="67992125" w:rsidR="00553D37" w:rsidRPr="00C44F18" w:rsidRDefault="00553D37" w:rsidP="003C6658">
      <w:pPr>
        <w:pStyle w:val="FootnoteText"/>
        <w:contextualSpacing/>
        <w:rPr>
          <w:sz w:val="18"/>
          <w:szCs w:val="18"/>
        </w:rPr>
      </w:pPr>
      <w:r w:rsidRPr="00C44F18">
        <w:rPr>
          <w:rStyle w:val="FootnoteReference"/>
          <w:sz w:val="18"/>
          <w:szCs w:val="18"/>
        </w:rPr>
        <w:footnoteRef/>
      </w:r>
      <w:r w:rsidRPr="00C44F18">
        <w:rPr>
          <w:sz w:val="18"/>
          <w:szCs w:val="18"/>
        </w:rPr>
        <w:t xml:space="preserve"> Ibid. p. </w:t>
      </w:r>
      <w:r w:rsidR="00E61239" w:rsidRPr="00C44F18">
        <w:rPr>
          <w:sz w:val="18"/>
          <w:szCs w:val="18"/>
        </w:rPr>
        <w:t>191.</w:t>
      </w:r>
    </w:p>
  </w:footnote>
  <w:footnote w:id="49">
    <w:p w14:paraId="4C6FE387" w14:textId="1A774D90" w:rsidR="00C44F18" w:rsidRPr="00C44F18" w:rsidRDefault="004107D9" w:rsidP="00C44F18">
      <w:pPr>
        <w:rPr>
          <w:sz w:val="18"/>
          <w:szCs w:val="18"/>
        </w:rPr>
      </w:pPr>
      <w:r w:rsidRPr="00C44F18">
        <w:rPr>
          <w:rStyle w:val="FootnoteReference"/>
          <w:sz w:val="18"/>
          <w:szCs w:val="18"/>
        </w:rPr>
        <w:footnoteRef/>
      </w:r>
      <w:r w:rsidRPr="00C44F18">
        <w:rPr>
          <w:sz w:val="18"/>
          <w:szCs w:val="18"/>
        </w:rPr>
        <w:t xml:space="preserve"> </w:t>
      </w:r>
      <w:r w:rsidR="00C44F18" w:rsidRPr="00C44F18">
        <w:rPr>
          <w:sz w:val="18"/>
          <w:szCs w:val="18"/>
        </w:rPr>
        <w:t>Henni</w:t>
      </w:r>
      <w:r w:rsidR="00ED5AD6">
        <w:rPr>
          <w:sz w:val="18"/>
          <w:szCs w:val="18"/>
        </w:rPr>
        <w:t>n</w:t>
      </w:r>
      <w:r w:rsidR="00C44F18" w:rsidRPr="00C44F18">
        <w:rPr>
          <w:sz w:val="18"/>
          <w:szCs w:val="18"/>
        </w:rPr>
        <w:t xml:space="preserve">k, Hutter and Bailey, </w:t>
      </w:r>
      <w:r w:rsidR="00C44F18" w:rsidRPr="00C44F18">
        <w:rPr>
          <w:i/>
          <w:iCs/>
          <w:sz w:val="18"/>
          <w:szCs w:val="18"/>
        </w:rPr>
        <w:t>Qualitative Research Methods</w:t>
      </w:r>
      <w:r w:rsidR="00C44F18" w:rsidRPr="00C44F18">
        <w:rPr>
          <w:sz w:val="18"/>
          <w:szCs w:val="18"/>
        </w:rPr>
        <w:t xml:space="preserve">, p. </w:t>
      </w:r>
      <w:r w:rsidR="00627BA2">
        <w:rPr>
          <w:sz w:val="18"/>
          <w:szCs w:val="18"/>
        </w:rPr>
        <w:t>296-299</w:t>
      </w:r>
      <w:r w:rsidR="00C44F18" w:rsidRPr="00C44F18">
        <w:rPr>
          <w:sz w:val="18"/>
          <w:szCs w:val="18"/>
        </w:rPr>
        <w:t>.</w:t>
      </w:r>
    </w:p>
    <w:p w14:paraId="3797E5B1" w14:textId="7B788164" w:rsidR="004107D9" w:rsidRDefault="004107D9">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3974267"/>
      <w:docPartObj>
        <w:docPartGallery w:val="Page Numbers (Top of Page)"/>
        <w:docPartUnique/>
      </w:docPartObj>
    </w:sdtPr>
    <w:sdtEndPr>
      <w:rPr>
        <w:noProof/>
      </w:rPr>
    </w:sdtEndPr>
    <w:sdtContent>
      <w:p w14:paraId="0814508D" w14:textId="47AF37D1" w:rsidR="00C74917" w:rsidRDefault="00C74917">
        <w:pPr>
          <w:pStyle w:val="Header"/>
          <w:jc w:val="right"/>
        </w:pPr>
        <w:r>
          <w:fldChar w:fldCharType="begin"/>
        </w:r>
        <w:r>
          <w:instrText xml:space="preserve"> PAGE   \* MERGEFORMAT </w:instrText>
        </w:r>
        <w:r>
          <w:fldChar w:fldCharType="separate"/>
        </w:r>
        <w:r>
          <w:rPr>
            <w:noProof/>
          </w:rPr>
          <w:t>2</w:t>
        </w:r>
        <w:r>
          <w:rPr>
            <w:noProof/>
          </w:rPr>
          <w:fldChar w:fldCharType="end"/>
        </w:r>
        <w:r>
          <w:rPr>
            <w:noProof/>
          </w:rPr>
          <w:t>/10</w:t>
        </w:r>
      </w:p>
    </w:sdtContent>
  </w:sdt>
  <w:p w14:paraId="31CD1CE2" w14:textId="7CCAD53F" w:rsidR="00FD6DC4" w:rsidRDefault="00FD6D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C25"/>
    <w:rsid w:val="0000000C"/>
    <w:rsid w:val="000030B2"/>
    <w:rsid w:val="00004451"/>
    <w:rsid w:val="00016A6A"/>
    <w:rsid w:val="00016C64"/>
    <w:rsid w:val="000172C1"/>
    <w:rsid w:val="00020D0C"/>
    <w:rsid w:val="000218D9"/>
    <w:rsid w:val="000222B9"/>
    <w:rsid w:val="00022456"/>
    <w:rsid w:val="00024359"/>
    <w:rsid w:val="00024DC9"/>
    <w:rsid w:val="00027690"/>
    <w:rsid w:val="0003245D"/>
    <w:rsid w:val="00035120"/>
    <w:rsid w:val="000355D3"/>
    <w:rsid w:val="00035A8A"/>
    <w:rsid w:val="000418BF"/>
    <w:rsid w:val="0004200D"/>
    <w:rsid w:val="00043096"/>
    <w:rsid w:val="00043216"/>
    <w:rsid w:val="0005125A"/>
    <w:rsid w:val="00061B92"/>
    <w:rsid w:val="00062F1F"/>
    <w:rsid w:val="000810E8"/>
    <w:rsid w:val="00082E23"/>
    <w:rsid w:val="00090AE1"/>
    <w:rsid w:val="0009185C"/>
    <w:rsid w:val="000933AA"/>
    <w:rsid w:val="00095CDC"/>
    <w:rsid w:val="00095D97"/>
    <w:rsid w:val="000A0417"/>
    <w:rsid w:val="000A30A9"/>
    <w:rsid w:val="000A4B3B"/>
    <w:rsid w:val="000A5586"/>
    <w:rsid w:val="000B05C7"/>
    <w:rsid w:val="000B1C31"/>
    <w:rsid w:val="000B41CD"/>
    <w:rsid w:val="000B5563"/>
    <w:rsid w:val="000C550D"/>
    <w:rsid w:val="000C625A"/>
    <w:rsid w:val="000C72BD"/>
    <w:rsid w:val="000C7DFC"/>
    <w:rsid w:val="000D4374"/>
    <w:rsid w:val="000D4FD0"/>
    <w:rsid w:val="000D507E"/>
    <w:rsid w:val="000D660A"/>
    <w:rsid w:val="000D6B39"/>
    <w:rsid w:val="000E05DA"/>
    <w:rsid w:val="000E13B3"/>
    <w:rsid w:val="000E20D3"/>
    <w:rsid w:val="000E6447"/>
    <w:rsid w:val="000E64B2"/>
    <w:rsid w:val="000E7AF5"/>
    <w:rsid w:val="000F24E0"/>
    <w:rsid w:val="000F3278"/>
    <w:rsid w:val="000F7346"/>
    <w:rsid w:val="00100D25"/>
    <w:rsid w:val="00103662"/>
    <w:rsid w:val="001065D6"/>
    <w:rsid w:val="001068B2"/>
    <w:rsid w:val="00107179"/>
    <w:rsid w:val="0010755F"/>
    <w:rsid w:val="00120320"/>
    <w:rsid w:val="001232A9"/>
    <w:rsid w:val="0012759E"/>
    <w:rsid w:val="00130329"/>
    <w:rsid w:val="00131B3D"/>
    <w:rsid w:val="001329FC"/>
    <w:rsid w:val="0013520D"/>
    <w:rsid w:val="00140E75"/>
    <w:rsid w:val="001506FD"/>
    <w:rsid w:val="00151EDD"/>
    <w:rsid w:val="00157668"/>
    <w:rsid w:val="00160FF3"/>
    <w:rsid w:val="00163FA7"/>
    <w:rsid w:val="001641DF"/>
    <w:rsid w:val="0016488C"/>
    <w:rsid w:val="0017129B"/>
    <w:rsid w:val="00174B15"/>
    <w:rsid w:val="0017700C"/>
    <w:rsid w:val="00177868"/>
    <w:rsid w:val="00177DAC"/>
    <w:rsid w:val="00181F1C"/>
    <w:rsid w:val="00182161"/>
    <w:rsid w:val="001838D0"/>
    <w:rsid w:val="001847DB"/>
    <w:rsid w:val="001923D2"/>
    <w:rsid w:val="00192464"/>
    <w:rsid w:val="001942BC"/>
    <w:rsid w:val="00195FF7"/>
    <w:rsid w:val="00196435"/>
    <w:rsid w:val="00197DED"/>
    <w:rsid w:val="001A0331"/>
    <w:rsid w:val="001A20E9"/>
    <w:rsid w:val="001A61B7"/>
    <w:rsid w:val="001A681A"/>
    <w:rsid w:val="001A7DE8"/>
    <w:rsid w:val="001B23BC"/>
    <w:rsid w:val="001B2AB6"/>
    <w:rsid w:val="001B30C4"/>
    <w:rsid w:val="001C153F"/>
    <w:rsid w:val="001C31C6"/>
    <w:rsid w:val="001C3F72"/>
    <w:rsid w:val="001C71F5"/>
    <w:rsid w:val="001D1149"/>
    <w:rsid w:val="001D32B0"/>
    <w:rsid w:val="001E11BC"/>
    <w:rsid w:val="001E4365"/>
    <w:rsid w:val="001E6469"/>
    <w:rsid w:val="001E663D"/>
    <w:rsid w:val="001F0286"/>
    <w:rsid w:val="001F194A"/>
    <w:rsid w:val="001F1FCA"/>
    <w:rsid w:val="00200228"/>
    <w:rsid w:val="002063A9"/>
    <w:rsid w:val="002074E9"/>
    <w:rsid w:val="0021102A"/>
    <w:rsid w:val="0021723A"/>
    <w:rsid w:val="00223077"/>
    <w:rsid w:val="00224801"/>
    <w:rsid w:val="00225BDE"/>
    <w:rsid w:val="00230C30"/>
    <w:rsid w:val="00237E8A"/>
    <w:rsid w:val="00241561"/>
    <w:rsid w:val="00242823"/>
    <w:rsid w:val="00245126"/>
    <w:rsid w:val="002500E6"/>
    <w:rsid w:val="00250CCB"/>
    <w:rsid w:val="002543F1"/>
    <w:rsid w:val="00255228"/>
    <w:rsid w:val="00257491"/>
    <w:rsid w:val="00260CB5"/>
    <w:rsid w:val="00262B20"/>
    <w:rsid w:val="00276BD3"/>
    <w:rsid w:val="00277935"/>
    <w:rsid w:val="002837DB"/>
    <w:rsid w:val="002925AE"/>
    <w:rsid w:val="00292BD6"/>
    <w:rsid w:val="00294D4D"/>
    <w:rsid w:val="0029744F"/>
    <w:rsid w:val="002A464D"/>
    <w:rsid w:val="002A5B14"/>
    <w:rsid w:val="002A78D5"/>
    <w:rsid w:val="002B0B90"/>
    <w:rsid w:val="002B0B97"/>
    <w:rsid w:val="002B3365"/>
    <w:rsid w:val="002B4F8F"/>
    <w:rsid w:val="002B5AA9"/>
    <w:rsid w:val="002B5BA5"/>
    <w:rsid w:val="002C40A1"/>
    <w:rsid w:val="002D0551"/>
    <w:rsid w:val="002D1C79"/>
    <w:rsid w:val="002D29EB"/>
    <w:rsid w:val="002D34D4"/>
    <w:rsid w:val="002D6864"/>
    <w:rsid w:val="002E0420"/>
    <w:rsid w:val="002E2EAF"/>
    <w:rsid w:val="002E468D"/>
    <w:rsid w:val="002E48B3"/>
    <w:rsid w:val="002E7BB1"/>
    <w:rsid w:val="002F10DF"/>
    <w:rsid w:val="002F1451"/>
    <w:rsid w:val="002F1C74"/>
    <w:rsid w:val="002F417B"/>
    <w:rsid w:val="002F7F5A"/>
    <w:rsid w:val="00301098"/>
    <w:rsid w:val="003010AF"/>
    <w:rsid w:val="00301580"/>
    <w:rsid w:val="003132E3"/>
    <w:rsid w:val="00314980"/>
    <w:rsid w:val="00315911"/>
    <w:rsid w:val="0031767C"/>
    <w:rsid w:val="003217E0"/>
    <w:rsid w:val="00326B66"/>
    <w:rsid w:val="00332B68"/>
    <w:rsid w:val="00340069"/>
    <w:rsid w:val="00340336"/>
    <w:rsid w:val="0034190B"/>
    <w:rsid w:val="0034503B"/>
    <w:rsid w:val="00345A58"/>
    <w:rsid w:val="0034623D"/>
    <w:rsid w:val="00346EDD"/>
    <w:rsid w:val="003473AC"/>
    <w:rsid w:val="00354614"/>
    <w:rsid w:val="00356D0C"/>
    <w:rsid w:val="003577AD"/>
    <w:rsid w:val="00357F6D"/>
    <w:rsid w:val="003654F3"/>
    <w:rsid w:val="00371785"/>
    <w:rsid w:val="0037584C"/>
    <w:rsid w:val="00376FA1"/>
    <w:rsid w:val="003778A3"/>
    <w:rsid w:val="00377DBF"/>
    <w:rsid w:val="00384F05"/>
    <w:rsid w:val="00385F30"/>
    <w:rsid w:val="00397AC1"/>
    <w:rsid w:val="003A116E"/>
    <w:rsid w:val="003A447A"/>
    <w:rsid w:val="003B1254"/>
    <w:rsid w:val="003B1D9B"/>
    <w:rsid w:val="003B3474"/>
    <w:rsid w:val="003C0E28"/>
    <w:rsid w:val="003C334B"/>
    <w:rsid w:val="003C3D36"/>
    <w:rsid w:val="003C48E5"/>
    <w:rsid w:val="003C4AF2"/>
    <w:rsid w:val="003C6658"/>
    <w:rsid w:val="003C74E1"/>
    <w:rsid w:val="003D1F6A"/>
    <w:rsid w:val="003D5C25"/>
    <w:rsid w:val="003E00BC"/>
    <w:rsid w:val="003E170C"/>
    <w:rsid w:val="003E2B77"/>
    <w:rsid w:val="003F01FB"/>
    <w:rsid w:val="003F348C"/>
    <w:rsid w:val="003F7329"/>
    <w:rsid w:val="00400EFB"/>
    <w:rsid w:val="0040118E"/>
    <w:rsid w:val="004101BA"/>
    <w:rsid w:val="00410292"/>
    <w:rsid w:val="004105CD"/>
    <w:rsid w:val="004107D9"/>
    <w:rsid w:val="00411824"/>
    <w:rsid w:val="00411EBE"/>
    <w:rsid w:val="00414DD3"/>
    <w:rsid w:val="004165D1"/>
    <w:rsid w:val="004279DF"/>
    <w:rsid w:val="00431892"/>
    <w:rsid w:val="00437458"/>
    <w:rsid w:val="004425FC"/>
    <w:rsid w:val="004477D8"/>
    <w:rsid w:val="00447EFD"/>
    <w:rsid w:val="00450632"/>
    <w:rsid w:val="00454340"/>
    <w:rsid w:val="004545F3"/>
    <w:rsid w:val="00454D68"/>
    <w:rsid w:val="00462504"/>
    <w:rsid w:val="00463C5B"/>
    <w:rsid w:val="004666DB"/>
    <w:rsid w:val="00467E5D"/>
    <w:rsid w:val="00472822"/>
    <w:rsid w:val="00481577"/>
    <w:rsid w:val="00481F39"/>
    <w:rsid w:val="00487F40"/>
    <w:rsid w:val="00492877"/>
    <w:rsid w:val="00497CE9"/>
    <w:rsid w:val="004A5F84"/>
    <w:rsid w:val="004A79FA"/>
    <w:rsid w:val="004A7BB5"/>
    <w:rsid w:val="004A7D4A"/>
    <w:rsid w:val="004B0F9E"/>
    <w:rsid w:val="004B132D"/>
    <w:rsid w:val="004C0893"/>
    <w:rsid w:val="004C0E45"/>
    <w:rsid w:val="004C334D"/>
    <w:rsid w:val="004C453E"/>
    <w:rsid w:val="004D185A"/>
    <w:rsid w:val="004D38E4"/>
    <w:rsid w:val="004D71F4"/>
    <w:rsid w:val="004E4C4B"/>
    <w:rsid w:val="004E5537"/>
    <w:rsid w:val="004E590A"/>
    <w:rsid w:val="004E60B8"/>
    <w:rsid w:val="004E6681"/>
    <w:rsid w:val="004F1193"/>
    <w:rsid w:val="004F163B"/>
    <w:rsid w:val="004F1D11"/>
    <w:rsid w:val="004F23B9"/>
    <w:rsid w:val="0050214C"/>
    <w:rsid w:val="00503088"/>
    <w:rsid w:val="00503E2A"/>
    <w:rsid w:val="00504B56"/>
    <w:rsid w:val="0050530C"/>
    <w:rsid w:val="00505FE6"/>
    <w:rsid w:val="00512A6F"/>
    <w:rsid w:val="00516C5A"/>
    <w:rsid w:val="005226E4"/>
    <w:rsid w:val="005259C3"/>
    <w:rsid w:val="00531120"/>
    <w:rsid w:val="005428D1"/>
    <w:rsid w:val="00551C02"/>
    <w:rsid w:val="00553226"/>
    <w:rsid w:val="00553D37"/>
    <w:rsid w:val="00556693"/>
    <w:rsid w:val="0055756C"/>
    <w:rsid w:val="005653F4"/>
    <w:rsid w:val="00567935"/>
    <w:rsid w:val="00575A41"/>
    <w:rsid w:val="0058218F"/>
    <w:rsid w:val="00583F61"/>
    <w:rsid w:val="00584026"/>
    <w:rsid w:val="005852E0"/>
    <w:rsid w:val="005864D5"/>
    <w:rsid w:val="005914C5"/>
    <w:rsid w:val="00596AAA"/>
    <w:rsid w:val="005A1A2C"/>
    <w:rsid w:val="005A4AE4"/>
    <w:rsid w:val="005A5B93"/>
    <w:rsid w:val="005A751B"/>
    <w:rsid w:val="005B151D"/>
    <w:rsid w:val="005B2D72"/>
    <w:rsid w:val="005C687C"/>
    <w:rsid w:val="005D2BE9"/>
    <w:rsid w:val="005E0561"/>
    <w:rsid w:val="005E2A40"/>
    <w:rsid w:val="005E5896"/>
    <w:rsid w:val="005F3CF5"/>
    <w:rsid w:val="005F48E8"/>
    <w:rsid w:val="006045F9"/>
    <w:rsid w:val="006058AA"/>
    <w:rsid w:val="0060631C"/>
    <w:rsid w:val="006067FC"/>
    <w:rsid w:val="00607E86"/>
    <w:rsid w:val="006113CC"/>
    <w:rsid w:val="0061170F"/>
    <w:rsid w:val="00611A39"/>
    <w:rsid w:val="00612015"/>
    <w:rsid w:val="00612512"/>
    <w:rsid w:val="00613DD1"/>
    <w:rsid w:val="006175AC"/>
    <w:rsid w:val="00617D41"/>
    <w:rsid w:val="00617EEF"/>
    <w:rsid w:val="00621100"/>
    <w:rsid w:val="0062326F"/>
    <w:rsid w:val="00623DDB"/>
    <w:rsid w:val="006241C3"/>
    <w:rsid w:val="00624BA8"/>
    <w:rsid w:val="0062515C"/>
    <w:rsid w:val="0062540C"/>
    <w:rsid w:val="00625456"/>
    <w:rsid w:val="006255A2"/>
    <w:rsid w:val="006260DA"/>
    <w:rsid w:val="00627BA2"/>
    <w:rsid w:val="006321E9"/>
    <w:rsid w:val="00633C9F"/>
    <w:rsid w:val="0064002D"/>
    <w:rsid w:val="00642E72"/>
    <w:rsid w:val="00643A2A"/>
    <w:rsid w:val="00643F00"/>
    <w:rsid w:val="0064696D"/>
    <w:rsid w:val="00646CA4"/>
    <w:rsid w:val="00646E93"/>
    <w:rsid w:val="00652A97"/>
    <w:rsid w:val="00653EC9"/>
    <w:rsid w:val="006603C1"/>
    <w:rsid w:val="00663E74"/>
    <w:rsid w:val="00670C88"/>
    <w:rsid w:val="00676AD2"/>
    <w:rsid w:val="006815F6"/>
    <w:rsid w:val="00687F91"/>
    <w:rsid w:val="006905C4"/>
    <w:rsid w:val="00691577"/>
    <w:rsid w:val="006A2A05"/>
    <w:rsid w:val="006A346E"/>
    <w:rsid w:val="006A6027"/>
    <w:rsid w:val="006B0C5E"/>
    <w:rsid w:val="006B2F61"/>
    <w:rsid w:val="006B5263"/>
    <w:rsid w:val="006B6404"/>
    <w:rsid w:val="006C4198"/>
    <w:rsid w:val="006C629B"/>
    <w:rsid w:val="006C7A82"/>
    <w:rsid w:val="006D0034"/>
    <w:rsid w:val="006D13F5"/>
    <w:rsid w:val="006D5498"/>
    <w:rsid w:val="006E16C3"/>
    <w:rsid w:val="006E2796"/>
    <w:rsid w:val="006E3D45"/>
    <w:rsid w:val="006E4412"/>
    <w:rsid w:val="006E5604"/>
    <w:rsid w:val="006F5E0D"/>
    <w:rsid w:val="006F687A"/>
    <w:rsid w:val="007025B9"/>
    <w:rsid w:val="00704F64"/>
    <w:rsid w:val="00706403"/>
    <w:rsid w:val="00706E82"/>
    <w:rsid w:val="00707DA8"/>
    <w:rsid w:val="00710E57"/>
    <w:rsid w:val="0071240E"/>
    <w:rsid w:val="00717C59"/>
    <w:rsid w:val="007202DA"/>
    <w:rsid w:val="00720C78"/>
    <w:rsid w:val="00722411"/>
    <w:rsid w:val="00723F1C"/>
    <w:rsid w:val="00733358"/>
    <w:rsid w:val="00733AED"/>
    <w:rsid w:val="0074240A"/>
    <w:rsid w:val="00743070"/>
    <w:rsid w:val="0074480A"/>
    <w:rsid w:val="00745168"/>
    <w:rsid w:val="00745855"/>
    <w:rsid w:val="007458DF"/>
    <w:rsid w:val="0074747B"/>
    <w:rsid w:val="00755235"/>
    <w:rsid w:val="007635BB"/>
    <w:rsid w:val="00765268"/>
    <w:rsid w:val="007654A6"/>
    <w:rsid w:val="007708D0"/>
    <w:rsid w:val="00773112"/>
    <w:rsid w:val="00773442"/>
    <w:rsid w:val="00774653"/>
    <w:rsid w:val="00777A5E"/>
    <w:rsid w:val="007814DB"/>
    <w:rsid w:val="007819CD"/>
    <w:rsid w:val="00791666"/>
    <w:rsid w:val="0079207A"/>
    <w:rsid w:val="00792B28"/>
    <w:rsid w:val="0079309C"/>
    <w:rsid w:val="00794B95"/>
    <w:rsid w:val="007974B1"/>
    <w:rsid w:val="007A3E93"/>
    <w:rsid w:val="007A6305"/>
    <w:rsid w:val="007A6CB1"/>
    <w:rsid w:val="007A7103"/>
    <w:rsid w:val="007B005B"/>
    <w:rsid w:val="007B3AA8"/>
    <w:rsid w:val="007B7C1C"/>
    <w:rsid w:val="007C1C79"/>
    <w:rsid w:val="007C416B"/>
    <w:rsid w:val="007D0403"/>
    <w:rsid w:val="007D1193"/>
    <w:rsid w:val="007D5CE1"/>
    <w:rsid w:val="007D75CC"/>
    <w:rsid w:val="007D7CF4"/>
    <w:rsid w:val="007E22D3"/>
    <w:rsid w:val="007E4992"/>
    <w:rsid w:val="007E5276"/>
    <w:rsid w:val="007E5938"/>
    <w:rsid w:val="007E7557"/>
    <w:rsid w:val="007E7E34"/>
    <w:rsid w:val="007F1668"/>
    <w:rsid w:val="007F1ECD"/>
    <w:rsid w:val="00800FE4"/>
    <w:rsid w:val="00801562"/>
    <w:rsid w:val="00801E11"/>
    <w:rsid w:val="00802369"/>
    <w:rsid w:val="0080354B"/>
    <w:rsid w:val="00803BB3"/>
    <w:rsid w:val="00803D37"/>
    <w:rsid w:val="00807F28"/>
    <w:rsid w:val="00817B66"/>
    <w:rsid w:val="00820DDC"/>
    <w:rsid w:val="0082156E"/>
    <w:rsid w:val="008251FC"/>
    <w:rsid w:val="00826A47"/>
    <w:rsid w:val="00830D9C"/>
    <w:rsid w:val="00831B9A"/>
    <w:rsid w:val="00832303"/>
    <w:rsid w:val="00832ACE"/>
    <w:rsid w:val="00843BCE"/>
    <w:rsid w:val="008445C1"/>
    <w:rsid w:val="00845A20"/>
    <w:rsid w:val="00850C9A"/>
    <w:rsid w:val="008530EE"/>
    <w:rsid w:val="00855694"/>
    <w:rsid w:val="0085677C"/>
    <w:rsid w:val="00862BB5"/>
    <w:rsid w:val="00871312"/>
    <w:rsid w:val="008756B1"/>
    <w:rsid w:val="00880441"/>
    <w:rsid w:val="0088142C"/>
    <w:rsid w:val="00882068"/>
    <w:rsid w:val="008822A8"/>
    <w:rsid w:val="00882C13"/>
    <w:rsid w:val="008842A1"/>
    <w:rsid w:val="00887E02"/>
    <w:rsid w:val="0089421B"/>
    <w:rsid w:val="00896511"/>
    <w:rsid w:val="0089792D"/>
    <w:rsid w:val="00897DD6"/>
    <w:rsid w:val="008A2DA5"/>
    <w:rsid w:val="008A590C"/>
    <w:rsid w:val="008B520B"/>
    <w:rsid w:val="008C0AAF"/>
    <w:rsid w:val="008C1381"/>
    <w:rsid w:val="008C1C25"/>
    <w:rsid w:val="008C2E96"/>
    <w:rsid w:val="008C5A57"/>
    <w:rsid w:val="008C6AD1"/>
    <w:rsid w:val="008D16E8"/>
    <w:rsid w:val="008D7A4E"/>
    <w:rsid w:val="008E3444"/>
    <w:rsid w:val="008E3E7C"/>
    <w:rsid w:val="008E4DDC"/>
    <w:rsid w:val="008E5E0C"/>
    <w:rsid w:val="008F3A20"/>
    <w:rsid w:val="009054A2"/>
    <w:rsid w:val="009060DB"/>
    <w:rsid w:val="0091142E"/>
    <w:rsid w:val="00914A08"/>
    <w:rsid w:val="00914DB4"/>
    <w:rsid w:val="009170F6"/>
    <w:rsid w:val="00921F87"/>
    <w:rsid w:val="00923134"/>
    <w:rsid w:val="00924063"/>
    <w:rsid w:val="00926A72"/>
    <w:rsid w:val="0093062F"/>
    <w:rsid w:val="009421F0"/>
    <w:rsid w:val="0094330C"/>
    <w:rsid w:val="00945C6C"/>
    <w:rsid w:val="0095439E"/>
    <w:rsid w:val="00954F7B"/>
    <w:rsid w:val="00961CA2"/>
    <w:rsid w:val="00964D0C"/>
    <w:rsid w:val="009658E2"/>
    <w:rsid w:val="00967FCC"/>
    <w:rsid w:val="009703DD"/>
    <w:rsid w:val="00973087"/>
    <w:rsid w:val="00980732"/>
    <w:rsid w:val="00984398"/>
    <w:rsid w:val="00993DBA"/>
    <w:rsid w:val="00996162"/>
    <w:rsid w:val="009A1A40"/>
    <w:rsid w:val="009A2817"/>
    <w:rsid w:val="009A38CC"/>
    <w:rsid w:val="009A3D98"/>
    <w:rsid w:val="009A54EE"/>
    <w:rsid w:val="009B12C3"/>
    <w:rsid w:val="009B324E"/>
    <w:rsid w:val="009B65A7"/>
    <w:rsid w:val="009B6A2B"/>
    <w:rsid w:val="009B6C59"/>
    <w:rsid w:val="009B7A87"/>
    <w:rsid w:val="009C0024"/>
    <w:rsid w:val="009C19BB"/>
    <w:rsid w:val="009C20EA"/>
    <w:rsid w:val="009C5697"/>
    <w:rsid w:val="009C65BF"/>
    <w:rsid w:val="009C7EEA"/>
    <w:rsid w:val="009D773F"/>
    <w:rsid w:val="009E28D2"/>
    <w:rsid w:val="009E3A18"/>
    <w:rsid w:val="009E4F76"/>
    <w:rsid w:val="009E518B"/>
    <w:rsid w:val="009E63BB"/>
    <w:rsid w:val="009E7401"/>
    <w:rsid w:val="009F4C16"/>
    <w:rsid w:val="009F561E"/>
    <w:rsid w:val="009F5796"/>
    <w:rsid w:val="009F7C1C"/>
    <w:rsid w:val="009F7FCC"/>
    <w:rsid w:val="00A10702"/>
    <w:rsid w:val="00A14151"/>
    <w:rsid w:val="00A14827"/>
    <w:rsid w:val="00A248DF"/>
    <w:rsid w:val="00A25EF5"/>
    <w:rsid w:val="00A268B1"/>
    <w:rsid w:val="00A30009"/>
    <w:rsid w:val="00A30650"/>
    <w:rsid w:val="00A339D8"/>
    <w:rsid w:val="00A3727A"/>
    <w:rsid w:val="00A43B08"/>
    <w:rsid w:val="00A451A1"/>
    <w:rsid w:val="00A50C37"/>
    <w:rsid w:val="00A52072"/>
    <w:rsid w:val="00A57E15"/>
    <w:rsid w:val="00A57EB6"/>
    <w:rsid w:val="00A61DD0"/>
    <w:rsid w:val="00A61F1A"/>
    <w:rsid w:val="00A64B57"/>
    <w:rsid w:val="00A66BE5"/>
    <w:rsid w:val="00A67FFD"/>
    <w:rsid w:val="00A70E8B"/>
    <w:rsid w:val="00A716E7"/>
    <w:rsid w:val="00A71BA2"/>
    <w:rsid w:val="00A71D3A"/>
    <w:rsid w:val="00A72322"/>
    <w:rsid w:val="00A72CEF"/>
    <w:rsid w:val="00A73D09"/>
    <w:rsid w:val="00A7441A"/>
    <w:rsid w:val="00A74EA2"/>
    <w:rsid w:val="00A752DD"/>
    <w:rsid w:val="00A8140E"/>
    <w:rsid w:val="00A90D60"/>
    <w:rsid w:val="00AA013E"/>
    <w:rsid w:val="00AA1010"/>
    <w:rsid w:val="00AA37A6"/>
    <w:rsid w:val="00AA69F5"/>
    <w:rsid w:val="00AB203C"/>
    <w:rsid w:val="00AB24E5"/>
    <w:rsid w:val="00AB455F"/>
    <w:rsid w:val="00AB6A09"/>
    <w:rsid w:val="00AD1A79"/>
    <w:rsid w:val="00AD320B"/>
    <w:rsid w:val="00AE1F19"/>
    <w:rsid w:val="00AF4779"/>
    <w:rsid w:val="00AF7725"/>
    <w:rsid w:val="00AF7F40"/>
    <w:rsid w:val="00B047F5"/>
    <w:rsid w:val="00B04C10"/>
    <w:rsid w:val="00B10548"/>
    <w:rsid w:val="00B11338"/>
    <w:rsid w:val="00B12402"/>
    <w:rsid w:val="00B15948"/>
    <w:rsid w:val="00B16ADE"/>
    <w:rsid w:val="00B17BA8"/>
    <w:rsid w:val="00B21132"/>
    <w:rsid w:val="00B21256"/>
    <w:rsid w:val="00B2523D"/>
    <w:rsid w:val="00B27413"/>
    <w:rsid w:val="00B27769"/>
    <w:rsid w:val="00B30E76"/>
    <w:rsid w:val="00B3384A"/>
    <w:rsid w:val="00B35F34"/>
    <w:rsid w:val="00B37FB9"/>
    <w:rsid w:val="00B43119"/>
    <w:rsid w:val="00B43D38"/>
    <w:rsid w:val="00B4522C"/>
    <w:rsid w:val="00B463D2"/>
    <w:rsid w:val="00B47CB4"/>
    <w:rsid w:val="00B52871"/>
    <w:rsid w:val="00B55929"/>
    <w:rsid w:val="00B6020F"/>
    <w:rsid w:val="00B60510"/>
    <w:rsid w:val="00B60A7F"/>
    <w:rsid w:val="00B639DD"/>
    <w:rsid w:val="00B63C1E"/>
    <w:rsid w:val="00B73E8A"/>
    <w:rsid w:val="00B76418"/>
    <w:rsid w:val="00B8358F"/>
    <w:rsid w:val="00B903E0"/>
    <w:rsid w:val="00B903FD"/>
    <w:rsid w:val="00B90591"/>
    <w:rsid w:val="00B90C6A"/>
    <w:rsid w:val="00B96592"/>
    <w:rsid w:val="00B978A4"/>
    <w:rsid w:val="00BA0B9E"/>
    <w:rsid w:val="00BA0ECE"/>
    <w:rsid w:val="00BA167B"/>
    <w:rsid w:val="00BA5C0D"/>
    <w:rsid w:val="00BA5EE7"/>
    <w:rsid w:val="00BA79E0"/>
    <w:rsid w:val="00BB60D3"/>
    <w:rsid w:val="00BC395B"/>
    <w:rsid w:val="00BC4053"/>
    <w:rsid w:val="00BD17C6"/>
    <w:rsid w:val="00BD361D"/>
    <w:rsid w:val="00BD67F2"/>
    <w:rsid w:val="00BD69CC"/>
    <w:rsid w:val="00BE24DE"/>
    <w:rsid w:val="00BF2E86"/>
    <w:rsid w:val="00BF61E3"/>
    <w:rsid w:val="00C0508D"/>
    <w:rsid w:val="00C129AA"/>
    <w:rsid w:val="00C142A1"/>
    <w:rsid w:val="00C1508A"/>
    <w:rsid w:val="00C1726E"/>
    <w:rsid w:val="00C222CA"/>
    <w:rsid w:val="00C232F8"/>
    <w:rsid w:val="00C25F1E"/>
    <w:rsid w:val="00C2682F"/>
    <w:rsid w:val="00C27D39"/>
    <w:rsid w:val="00C34203"/>
    <w:rsid w:val="00C34A19"/>
    <w:rsid w:val="00C37FD9"/>
    <w:rsid w:val="00C41363"/>
    <w:rsid w:val="00C42967"/>
    <w:rsid w:val="00C44609"/>
    <w:rsid w:val="00C44F18"/>
    <w:rsid w:val="00C63BB0"/>
    <w:rsid w:val="00C666DF"/>
    <w:rsid w:val="00C6703C"/>
    <w:rsid w:val="00C701D7"/>
    <w:rsid w:val="00C7149B"/>
    <w:rsid w:val="00C7162F"/>
    <w:rsid w:val="00C74917"/>
    <w:rsid w:val="00C801A9"/>
    <w:rsid w:val="00C85EB0"/>
    <w:rsid w:val="00C85FA2"/>
    <w:rsid w:val="00C92B14"/>
    <w:rsid w:val="00CA2F85"/>
    <w:rsid w:val="00CA44F7"/>
    <w:rsid w:val="00CA5051"/>
    <w:rsid w:val="00CB186D"/>
    <w:rsid w:val="00CB5B4B"/>
    <w:rsid w:val="00CB70FE"/>
    <w:rsid w:val="00CB7BE4"/>
    <w:rsid w:val="00CC59BA"/>
    <w:rsid w:val="00CD2ED4"/>
    <w:rsid w:val="00CD321A"/>
    <w:rsid w:val="00CE3221"/>
    <w:rsid w:val="00CE3789"/>
    <w:rsid w:val="00CE44C7"/>
    <w:rsid w:val="00CE5A0B"/>
    <w:rsid w:val="00CE62F3"/>
    <w:rsid w:val="00CE6306"/>
    <w:rsid w:val="00CE6602"/>
    <w:rsid w:val="00CE7A41"/>
    <w:rsid w:val="00CE7E3E"/>
    <w:rsid w:val="00D00C86"/>
    <w:rsid w:val="00D01634"/>
    <w:rsid w:val="00D01C8E"/>
    <w:rsid w:val="00D034EE"/>
    <w:rsid w:val="00D04C11"/>
    <w:rsid w:val="00D067CC"/>
    <w:rsid w:val="00D10028"/>
    <w:rsid w:val="00D1205A"/>
    <w:rsid w:val="00D13C3D"/>
    <w:rsid w:val="00D17084"/>
    <w:rsid w:val="00D20C40"/>
    <w:rsid w:val="00D244BA"/>
    <w:rsid w:val="00D26BAF"/>
    <w:rsid w:val="00D277DF"/>
    <w:rsid w:val="00D3008F"/>
    <w:rsid w:val="00D375A1"/>
    <w:rsid w:val="00D37C46"/>
    <w:rsid w:val="00D47168"/>
    <w:rsid w:val="00D506FE"/>
    <w:rsid w:val="00D51D90"/>
    <w:rsid w:val="00D5672C"/>
    <w:rsid w:val="00D57BAF"/>
    <w:rsid w:val="00D619A5"/>
    <w:rsid w:val="00D61E66"/>
    <w:rsid w:val="00D63B2F"/>
    <w:rsid w:val="00D703AE"/>
    <w:rsid w:val="00D7378C"/>
    <w:rsid w:val="00D7471A"/>
    <w:rsid w:val="00D75B14"/>
    <w:rsid w:val="00D763D3"/>
    <w:rsid w:val="00D83632"/>
    <w:rsid w:val="00D85D16"/>
    <w:rsid w:val="00D86A79"/>
    <w:rsid w:val="00D91942"/>
    <w:rsid w:val="00D91FD8"/>
    <w:rsid w:val="00D95F0E"/>
    <w:rsid w:val="00DA00E5"/>
    <w:rsid w:val="00DA05D4"/>
    <w:rsid w:val="00DA1D50"/>
    <w:rsid w:val="00DA291A"/>
    <w:rsid w:val="00DA573F"/>
    <w:rsid w:val="00DA72DD"/>
    <w:rsid w:val="00DA7D01"/>
    <w:rsid w:val="00DB35E3"/>
    <w:rsid w:val="00DB7635"/>
    <w:rsid w:val="00DB7DC4"/>
    <w:rsid w:val="00DC1F74"/>
    <w:rsid w:val="00DC3AEC"/>
    <w:rsid w:val="00DC3F21"/>
    <w:rsid w:val="00DC55C6"/>
    <w:rsid w:val="00DC6A5B"/>
    <w:rsid w:val="00DD52A1"/>
    <w:rsid w:val="00DD5BC0"/>
    <w:rsid w:val="00DF6F87"/>
    <w:rsid w:val="00E02669"/>
    <w:rsid w:val="00E03867"/>
    <w:rsid w:val="00E04B59"/>
    <w:rsid w:val="00E061F6"/>
    <w:rsid w:val="00E06352"/>
    <w:rsid w:val="00E07F25"/>
    <w:rsid w:val="00E10D1D"/>
    <w:rsid w:val="00E119B4"/>
    <w:rsid w:val="00E11AE5"/>
    <w:rsid w:val="00E1458A"/>
    <w:rsid w:val="00E163BB"/>
    <w:rsid w:val="00E17464"/>
    <w:rsid w:val="00E20252"/>
    <w:rsid w:val="00E22398"/>
    <w:rsid w:val="00E22BDD"/>
    <w:rsid w:val="00E27803"/>
    <w:rsid w:val="00E303EE"/>
    <w:rsid w:val="00E3168C"/>
    <w:rsid w:val="00E339CF"/>
    <w:rsid w:val="00E35EF0"/>
    <w:rsid w:val="00E370C3"/>
    <w:rsid w:val="00E40E8A"/>
    <w:rsid w:val="00E412AB"/>
    <w:rsid w:val="00E432A7"/>
    <w:rsid w:val="00E44981"/>
    <w:rsid w:val="00E469E9"/>
    <w:rsid w:val="00E53C68"/>
    <w:rsid w:val="00E5697D"/>
    <w:rsid w:val="00E57B69"/>
    <w:rsid w:val="00E60708"/>
    <w:rsid w:val="00E60949"/>
    <w:rsid w:val="00E61239"/>
    <w:rsid w:val="00E83F49"/>
    <w:rsid w:val="00E963C9"/>
    <w:rsid w:val="00EA1D77"/>
    <w:rsid w:val="00EA228D"/>
    <w:rsid w:val="00EA58A0"/>
    <w:rsid w:val="00EB314B"/>
    <w:rsid w:val="00EB33C9"/>
    <w:rsid w:val="00EB3A26"/>
    <w:rsid w:val="00EB3F22"/>
    <w:rsid w:val="00EB5A8C"/>
    <w:rsid w:val="00EB71F4"/>
    <w:rsid w:val="00EB7D45"/>
    <w:rsid w:val="00EC10AA"/>
    <w:rsid w:val="00EC773F"/>
    <w:rsid w:val="00ED5118"/>
    <w:rsid w:val="00ED57D9"/>
    <w:rsid w:val="00ED5AD6"/>
    <w:rsid w:val="00ED6445"/>
    <w:rsid w:val="00EE126D"/>
    <w:rsid w:val="00EE343E"/>
    <w:rsid w:val="00EE6C08"/>
    <w:rsid w:val="00EF0A1C"/>
    <w:rsid w:val="00EF3971"/>
    <w:rsid w:val="00EF4C8E"/>
    <w:rsid w:val="00EF5763"/>
    <w:rsid w:val="00EF7FB7"/>
    <w:rsid w:val="00F121DF"/>
    <w:rsid w:val="00F1490F"/>
    <w:rsid w:val="00F149FE"/>
    <w:rsid w:val="00F15C89"/>
    <w:rsid w:val="00F16057"/>
    <w:rsid w:val="00F23E85"/>
    <w:rsid w:val="00F31BB3"/>
    <w:rsid w:val="00F35889"/>
    <w:rsid w:val="00F407A0"/>
    <w:rsid w:val="00F424F2"/>
    <w:rsid w:val="00F46D4D"/>
    <w:rsid w:val="00F510A5"/>
    <w:rsid w:val="00F51A0D"/>
    <w:rsid w:val="00F57CA0"/>
    <w:rsid w:val="00F7606D"/>
    <w:rsid w:val="00F77836"/>
    <w:rsid w:val="00F77C1D"/>
    <w:rsid w:val="00F8174C"/>
    <w:rsid w:val="00F91430"/>
    <w:rsid w:val="00F933AE"/>
    <w:rsid w:val="00F94874"/>
    <w:rsid w:val="00F9746E"/>
    <w:rsid w:val="00F97777"/>
    <w:rsid w:val="00FA162D"/>
    <w:rsid w:val="00FA1EC4"/>
    <w:rsid w:val="00FA4E08"/>
    <w:rsid w:val="00FA57B1"/>
    <w:rsid w:val="00FA6E55"/>
    <w:rsid w:val="00FB041B"/>
    <w:rsid w:val="00FB0D7B"/>
    <w:rsid w:val="00FB1351"/>
    <w:rsid w:val="00FB7D46"/>
    <w:rsid w:val="00FC2825"/>
    <w:rsid w:val="00FC3181"/>
    <w:rsid w:val="00FC3914"/>
    <w:rsid w:val="00FC4173"/>
    <w:rsid w:val="00FC57AE"/>
    <w:rsid w:val="00FD336A"/>
    <w:rsid w:val="00FD5A4E"/>
    <w:rsid w:val="00FD6DC4"/>
    <w:rsid w:val="00FE5A8C"/>
    <w:rsid w:val="00FF320F"/>
    <w:rsid w:val="00FF4FC2"/>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E87E8"/>
  <w15:chartTrackingRefBased/>
  <w15:docId w15:val="{C9A53F46-620E-464B-B0A8-1D2C6B66B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5C25"/>
  </w:style>
  <w:style w:type="paragraph" w:styleId="Heading3">
    <w:name w:val="heading 3"/>
    <w:basedOn w:val="Normal"/>
    <w:link w:val="Heading3Char"/>
    <w:qFormat/>
    <w:rsid w:val="007C1C79"/>
    <w:pPr>
      <w:keepNext/>
      <w:spacing w:after="0" w:line="240" w:lineRule="auto"/>
      <w:ind w:left="720"/>
      <w:jc w:val="both"/>
      <w:outlineLvl w:val="2"/>
    </w:pPr>
    <w:rPr>
      <w:rFonts w:ascii="Tahoma" w:eastAsia="SimSun" w:hAnsi="Tahoma" w:cs="Tahoma"/>
      <w:b/>
      <w:bCs/>
      <w:kern w:val="0"/>
      <w:sz w:val="20"/>
      <w:szCs w:val="20"/>
      <w:lang w:val="en-GB"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D067CC"/>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D067CC"/>
    <w:rPr>
      <w:rFonts w:ascii="Consolas" w:hAnsi="Consolas"/>
      <w:sz w:val="20"/>
      <w:szCs w:val="20"/>
    </w:rPr>
  </w:style>
  <w:style w:type="character" w:styleId="Hyperlink">
    <w:name w:val="Hyperlink"/>
    <w:basedOn w:val="DefaultParagraphFont"/>
    <w:uiPriority w:val="99"/>
    <w:unhideWhenUsed/>
    <w:rsid w:val="00FC3181"/>
    <w:rPr>
      <w:color w:val="0563C1" w:themeColor="hyperlink"/>
      <w:u w:val="single"/>
    </w:rPr>
  </w:style>
  <w:style w:type="character" w:styleId="UnresolvedMention">
    <w:name w:val="Unresolved Mention"/>
    <w:basedOn w:val="DefaultParagraphFont"/>
    <w:uiPriority w:val="99"/>
    <w:semiHidden/>
    <w:unhideWhenUsed/>
    <w:rsid w:val="00FC3181"/>
    <w:rPr>
      <w:color w:val="605E5C"/>
      <w:shd w:val="clear" w:color="auto" w:fill="E1DFDD"/>
    </w:rPr>
  </w:style>
  <w:style w:type="character" w:styleId="FollowedHyperlink">
    <w:name w:val="FollowedHyperlink"/>
    <w:basedOn w:val="DefaultParagraphFont"/>
    <w:uiPriority w:val="99"/>
    <w:semiHidden/>
    <w:unhideWhenUsed/>
    <w:rsid w:val="009A38CC"/>
    <w:rPr>
      <w:color w:val="954F72" w:themeColor="followedHyperlink"/>
      <w:u w:val="single"/>
    </w:rPr>
  </w:style>
  <w:style w:type="paragraph" w:styleId="FootnoteText">
    <w:name w:val="footnote text"/>
    <w:basedOn w:val="Normal"/>
    <w:link w:val="FootnoteTextChar"/>
    <w:uiPriority w:val="99"/>
    <w:semiHidden/>
    <w:unhideWhenUsed/>
    <w:rsid w:val="00A752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752DD"/>
    <w:rPr>
      <w:sz w:val="20"/>
      <w:szCs w:val="20"/>
    </w:rPr>
  </w:style>
  <w:style w:type="character" w:styleId="FootnoteReference">
    <w:name w:val="footnote reference"/>
    <w:basedOn w:val="DefaultParagraphFont"/>
    <w:uiPriority w:val="99"/>
    <w:semiHidden/>
    <w:unhideWhenUsed/>
    <w:rsid w:val="00A752DD"/>
    <w:rPr>
      <w:vertAlign w:val="superscript"/>
    </w:rPr>
  </w:style>
  <w:style w:type="character" w:customStyle="1" w:styleId="Heading3Char">
    <w:name w:val="Heading 3 Char"/>
    <w:basedOn w:val="DefaultParagraphFont"/>
    <w:link w:val="Heading3"/>
    <w:rsid w:val="007C1C79"/>
    <w:rPr>
      <w:rFonts w:ascii="Tahoma" w:eastAsia="SimSun" w:hAnsi="Tahoma" w:cs="Tahoma"/>
      <w:b/>
      <w:bCs/>
      <w:kern w:val="0"/>
      <w:sz w:val="20"/>
      <w:szCs w:val="20"/>
      <w:lang w:val="en-GB" w:eastAsia="zh-CN"/>
      <w14:ligatures w14:val="none"/>
    </w:rPr>
  </w:style>
  <w:style w:type="paragraph" w:styleId="NormalWeb">
    <w:name w:val="Normal (Web)"/>
    <w:basedOn w:val="Normal"/>
    <w:rsid w:val="007C1C79"/>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 w:type="paragraph" w:styleId="Header">
    <w:name w:val="header"/>
    <w:basedOn w:val="Normal"/>
    <w:link w:val="HeaderChar"/>
    <w:uiPriority w:val="99"/>
    <w:unhideWhenUsed/>
    <w:rsid w:val="00FD6D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6DC4"/>
  </w:style>
  <w:style w:type="paragraph" w:styleId="Footer">
    <w:name w:val="footer"/>
    <w:basedOn w:val="Normal"/>
    <w:link w:val="FooterChar"/>
    <w:uiPriority w:val="99"/>
    <w:unhideWhenUsed/>
    <w:rsid w:val="00FD6D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6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4926418">
      <w:bodyDiv w:val="1"/>
      <w:marLeft w:val="0"/>
      <w:marRight w:val="0"/>
      <w:marTop w:val="0"/>
      <w:marBottom w:val="0"/>
      <w:divBdr>
        <w:top w:val="none" w:sz="0" w:space="0" w:color="auto"/>
        <w:left w:val="none" w:sz="0" w:space="0" w:color="auto"/>
        <w:bottom w:val="none" w:sz="0" w:space="0" w:color="auto"/>
        <w:right w:val="none" w:sz="0" w:space="0" w:color="auto"/>
      </w:divBdr>
    </w:div>
    <w:div w:id="1453288531">
      <w:bodyDiv w:val="1"/>
      <w:marLeft w:val="0"/>
      <w:marRight w:val="0"/>
      <w:marTop w:val="0"/>
      <w:marBottom w:val="0"/>
      <w:divBdr>
        <w:top w:val="none" w:sz="0" w:space="0" w:color="auto"/>
        <w:left w:val="none" w:sz="0" w:space="0" w:color="auto"/>
        <w:bottom w:val="none" w:sz="0" w:space="0" w:color="auto"/>
        <w:right w:val="none" w:sz="0" w:space="0" w:color="auto"/>
      </w:divBdr>
    </w:div>
    <w:div w:id="2052879828">
      <w:bodyDiv w:val="1"/>
      <w:marLeft w:val="0"/>
      <w:marRight w:val="0"/>
      <w:marTop w:val="0"/>
      <w:marBottom w:val="0"/>
      <w:divBdr>
        <w:top w:val="none" w:sz="0" w:space="0" w:color="auto"/>
        <w:left w:val="none" w:sz="0" w:space="0" w:color="auto"/>
        <w:bottom w:val="none" w:sz="0" w:space="0" w:color="auto"/>
        <w:right w:val="none" w:sz="0" w:space="0" w:color="auto"/>
      </w:divBdr>
    </w:div>
    <w:div w:id="2111003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3711748" TargetMode="External"/><Relationship Id="rId13" Type="http://schemas.openxmlformats.org/officeDocument/2006/relationships/hyperlink" Target="https://www.jstor.org/stable/jj.16430731.2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stor.org/stable/449664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ccult-world.com/blain-jenny/" TargetMode="External"/><Relationship Id="rId5" Type="http://schemas.openxmlformats.org/officeDocument/2006/relationships/footnotes" Target="footnotes.xml"/><Relationship Id="rId15" Type="http://schemas.openxmlformats.org/officeDocument/2006/relationships/hyperlink" Target="https://researchportal.bath.ac.uk/en/persons/tony-walter" TargetMode="External"/><Relationship Id="rId10" Type="http://schemas.openxmlformats.org/officeDocument/2006/relationships/hyperlink" Target="https://www.jstor.org/stable/j.ctvddzsrf.9" TargetMode="External"/><Relationship Id="rId4" Type="http://schemas.openxmlformats.org/officeDocument/2006/relationships/webSettings" Target="webSettings.xml"/><Relationship Id="rId9" Type="http://schemas.openxmlformats.org/officeDocument/2006/relationships/hyperlink" Target="https://uk.linkedin.com/in/jenny-blain-9b508337" TargetMode="External"/><Relationship Id="rId14" Type="http://schemas.openxmlformats.org/officeDocument/2006/relationships/hyperlink" Target="https://oro.open.ac.uk/view/person/hjw26.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jj.16430731.28" TargetMode="External"/><Relationship Id="rId3" Type="http://schemas.openxmlformats.org/officeDocument/2006/relationships/hyperlink" Target="https://researchportal.bath.ac.uk/en/persons/tony-walter" TargetMode="External"/><Relationship Id="rId7" Type="http://schemas.openxmlformats.org/officeDocument/2006/relationships/hyperlink" Target="https://www.jstor.org/stable/4496640" TargetMode="External"/><Relationship Id="rId2" Type="http://schemas.openxmlformats.org/officeDocument/2006/relationships/hyperlink" Target="https://occult-world.com/blain-jenny/" TargetMode="External"/><Relationship Id="rId1" Type="http://schemas.openxmlformats.org/officeDocument/2006/relationships/hyperlink" Target="https://uk.linkedin.com/in/jenny-blain-9b508337" TargetMode="External"/><Relationship Id="rId6" Type="http://schemas.openxmlformats.org/officeDocument/2006/relationships/hyperlink" Target="https://www.jstor.org/stable/j.ctvddzsrf.9" TargetMode="External"/><Relationship Id="rId5" Type="http://schemas.openxmlformats.org/officeDocument/2006/relationships/hyperlink" Target="https://www.jstor.org/stable/3711748" TargetMode="External"/><Relationship Id="rId4" Type="http://schemas.openxmlformats.org/officeDocument/2006/relationships/hyperlink" Target="https://oro.open.ac.uk/view/person/hjw2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C5E454-3EE6-4FB5-B7F4-61B054FF7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10</Pages>
  <Words>3143</Words>
  <Characters>17917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Madeline Cheng</dc:creator>
  <cp:keywords/>
  <dc:description/>
  <cp:lastModifiedBy>Madeline Cheng</cp:lastModifiedBy>
  <cp:revision>52</cp:revision>
  <dcterms:created xsi:type="dcterms:W3CDTF">2025-03-17T04:11:00Z</dcterms:created>
  <dcterms:modified xsi:type="dcterms:W3CDTF">2025-03-17T05:21:00Z</dcterms:modified>
</cp:coreProperties>
</file>