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A632E" w14:textId="2F5963F6" w:rsidR="004456A6" w:rsidRDefault="004456A6" w:rsidP="004456A6">
      <w:pPr>
        <w:pStyle w:val="NormalWeb"/>
        <w:spacing w:before="0" w:beforeAutospacing="0" w:after="0" w:afterAutospacing="0"/>
        <w:rPr>
          <w:rFonts w:ascii="Segoe UI" w:hAnsi="Segoe UI" w:cs="Segoe UI"/>
          <w:sz w:val="21"/>
          <w:szCs w:val="21"/>
        </w:rPr>
      </w:pPr>
    </w:p>
    <w:p w14:paraId="449017A2" w14:textId="1564A0B3" w:rsidR="004456A6" w:rsidRDefault="004456A6" w:rsidP="001B0EA9">
      <w:pPr>
        <w:pStyle w:val="NormalWeb"/>
        <w:rPr>
          <w:rFonts w:ascii="Segoe UI" w:hAnsi="Segoe UI" w:cs="Segoe UI"/>
          <w:sz w:val="21"/>
          <w:szCs w:val="21"/>
        </w:rPr>
      </w:pPr>
      <w:r>
        <w:rPr>
          <w:rStyle w:val="Strong"/>
          <w:rFonts w:ascii="Segoe UI" w:hAnsi="Segoe UI" w:cs="Segoe UI"/>
          <w:sz w:val="21"/>
          <w:szCs w:val="21"/>
        </w:rPr>
        <w:t>The Coroners and Justice Act of 2009 modified how diminished responsibility in a Defendant’s case was applied. The preceding act S.2 Homicide Act 1957 has a multitude of weaknesses as a result, forcing a shift in action to the way prosecutions are to be handled. When someone kills someone else or participates in the killing, they are not guilty of murder if they were under the influence of an abnormal mental condition that significantly reduced their capacity to take responsibility for their actions and omissions. This condition could have been caused by disease, injury, or an inherent mental disorder.</w:t>
      </w:r>
      <w:r>
        <w:rPr>
          <w:rFonts w:ascii="Segoe UI" w:hAnsi="Segoe UI" w:cs="Segoe UI"/>
          <w:sz w:val="21"/>
          <w:szCs w:val="21"/>
        </w:rPr>
        <w:t xml:space="preserve"> </w:t>
      </w:r>
      <w:r>
        <w:rPr>
          <w:rStyle w:val="Strong"/>
          <w:rFonts w:ascii="Segoe UI" w:hAnsi="Segoe UI" w:cs="Segoe UI"/>
          <w:sz w:val="21"/>
          <w:szCs w:val="21"/>
        </w:rPr>
        <w:t>When someone is accused of murder, the defence must establish that the accused is not guilty of murder due to this provision. Both acts follow the same principle however, the Coroners and Justice act 2009 changed the way justice was served in the courts and offered fairer sentencing and justice for bereaved loved ones. </w:t>
      </w:r>
      <w:r w:rsidR="000D7E87">
        <w:rPr>
          <w:rFonts w:ascii="Segoe UI" w:hAnsi="Segoe UI" w:cs="Segoe UI"/>
          <w:sz w:val="21"/>
          <w:szCs w:val="21"/>
        </w:rPr>
        <w:t xml:space="preserve"> </w:t>
      </w:r>
    </w:p>
    <w:p w14:paraId="66E77CBD" w14:textId="65DF697D" w:rsidR="004456A6" w:rsidRDefault="004456A6" w:rsidP="004456A6">
      <w:pPr>
        <w:pStyle w:val="NormalWeb"/>
        <w:rPr>
          <w:rFonts w:ascii="Segoe UI" w:hAnsi="Segoe UI" w:cs="Segoe UI"/>
          <w:sz w:val="21"/>
          <w:szCs w:val="21"/>
        </w:rPr>
      </w:pPr>
      <w:r>
        <w:rPr>
          <w:rStyle w:val="Strong"/>
          <w:rFonts w:ascii="Segoe UI" w:hAnsi="Segoe UI" w:cs="Segoe UI"/>
          <w:sz w:val="21"/>
          <w:szCs w:val="21"/>
        </w:rPr>
        <w:t xml:space="preserve">The S.2 Homicide Act 1957 introduced the </w:t>
      </w:r>
      <w:r w:rsidRPr="000D7E87">
        <w:rPr>
          <w:rStyle w:val="Strong"/>
          <w:rFonts w:ascii="Segoe UI" w:hAnsi="Segoe UI" w:cs="Segoe UI"/>
          <w:sz w:val="21"/>
          <w:szCs w:val="21"/>
        </w:rPr>
        <w:t>suicide pact </w:t>
      </w:r>
      <w:r w:rsidR="000D7E87">
        <w:rPr>
          <w:rStyle w:val="Strong"/>
          <w:rFonts w:ascii="Segoe UI" w:hAnsi="Segoe UI" w:cs="Segoe UI"/>
          <w:sz w:val="21"/>
          <w:szCs w:val="21"/>
        </w:rPr>
        <w:t xml:space="preserve"> </w:t>
      </w:r>
      <w:r>
        <w:rPr>
          <w:rStyle w:val="Strong"/>
          <w:rFonts w:ascii="Segoe UI" w:hAnsi="Segoe UI" w:cs="Segoe UI"/>
          <w:sz w:val="21"/>
          <w:szCs w:val="21"/>
        </w:rPr>
        <w:t>and decreased accountability as partial defences. Where the standing charge of murder would be lowered and converted to manslaughter if grounds and satisfaction were established. The burden of proof was mandated by law, and the person claiming to have been the victim of diminished responsibility had to provide evidence.  Partially denying responsibility is a defence for murder. It indicates that the accused had a mental disorder that was severe enough to prevent them from being in control of their actions. The murder accusation must be reduced to voluntary manslaughter if the jury accepts the defence.  The jury will decide whether the provocation was sufficient to cause a responsible person to respond as they did in cases where there is evidence that the person charged with murder was provoked to lose self-control. For instance, in the case of Peter Sutcliffe (the Yorkshire ripper), the jury notably disregarded the unified medical conclusion that the defendant was a paranoid schizophrenic while yet refusing to allow him to offer his defence. A reasonable man's definition of abnormality is used to determine whether a person's mental functioning is abnormal. It has a broad definition and includes the inability to use restraint and willpower.  The jury would therefore consider everything done and said according to the effect that, in their opinion, the provocation had. </w:t>
      </w:r>
    </w:p>
    <w:p w14:paraId="3092B960" w14:textId="7E0DE449" w:rsidR="004456A6" w:rsidRPr="000D7E87" w:rsidRDefault="004456A6" w:rsidP="004456A6">
      <w:pPr>
        <w:pStyle w:val="NormalWeb"/>
        <w:rPr>
          <w:rFonts w:ascii="Segoe UI" w:hAnsi="Segoe UI" w:cs="Segoe UI"/>
          <w:sz w:val="21"/>
          <w:szCs w:val="21"/>
          <w:highlight w:val="yellow"/>
        </w:rPr>
      </w:pPr>
      <w:r>
        <w:rPr>
          <w:rStyle w:val="Strong"/>
          <w:rFonts w:ascii="Segoe UI" w:hAnsi="Segoe UI" w:cs="Segoe UI"/>
          <w:sz w:val="21"/>
          <w:szCs w:val="21"/>
        </w:rPr>
        <w:t xml:space="preserve">In 2009 a new act The Coroners and Justice Act of 2009 was introduce for more equitable punishment by enabling the court to investigate the defendant's mental state and consider if it affected the actions the defendant took. This means that even if it is true that the recognised medical condition and disability were presented at random and had no bearing on the behaviour that followed, the partial defence cannot be successful. Where the defendant's mental state had no impact on their behaviour, the defence cannot prevail. It is undeniable that a person's ability to understand the nature of their conduct, make wise decisions, and/or exercise self-control was considerably impeded when they are found guilty of manslaughter owing to diminished responsibility. The purpose of the Act is to increase the effectiveness, transparency, and responsiveness of the legal system and coroner services for victims, witnesses, bereaved families, and the </w:t>
      </w:r>
      <w:proofErr w:type="gramStart"/>
      <w:r>
        <w:rPr>
          <w:rStyle w:val="Strong"/>
          <w:rFonts w:ascii="Segoe UI" w:hAnsi="Segoe UI" w:cs="Segoe UI"/>
          <w:sz w:val="21"/>
          <w:szCs w:val="21"/>
        </w:rPr>
        <w:t>general public</w:t>
      </w:r>
      <w:proofErr w:type="gramEnd"/>
      <w:r>
        <w:rPr>
          <w:rStyle w:val="Strong"/>
          <w:rFonts w:ascii="Segoe UI" w:hAnsi="Segoe UI" w:cs="Segoe UI"/>
          <w:sz w:val="21"/>
          <w:szCs w:val="21"/>
        </w:rPr>
        <w:t xml:space="preserve">. It accomplishes this by attempting to revise criminal law provisions </w:t>
      </w:r>
      <w:proofErr w:type="gramStart"/>
      <w:r>
        <w:rPr>
          <w:rStyle w:val="Strong"/>
          <w:rFonts w:ascii="Segoe UI" w:hAnsi="Segoe UI" w:cs="Segoe UI"/>
          <w:sz w:val="21"/>
          <w:szCs w:val="21"/>
        </w:rPr>
        <w:t>in order to</w:t>
      </w:r>
      <w:proofErr w:type="gramEnd"/>
      <w:r>
        <w:rPr>
          <w:rStyle w:val="Strong"/>
          <w:rFonts w:ascii="Segoe UI" w:hAnsi="Segoe UI" w:cs="Segoe UI"/>
          <w:sz w:val="21"/>
          <w:szCs w:val="21"/>
        </w:rPr>
        <w:t xml:space="preserve"> make them more understandable, equitable, and useful. Enhancing protection for witnesses who are weak or intimidated from the start of the criminal justice process, especially those who are witnesses to gang-related violence providing a more transparent and uniform sentencing framework, improving the assistance that a modernised coroner system offers to bereaved families. This giving individual who has lost a loved one unexpectedly or suddenly chances, </w:t>
      </w:r>
      <w:r>
        <w:rPr>
          <w:rStyle w:val="Strong"/>
          <w:rFonts w:ascii="Segoe UI" w:hAnsi="Segoe UI" w:cs="Segoe UI"/>
          <w:sz w:val="21"/>
          <w:szCs w:val="21"/>
        </w:rPr>
        <w:lastRenderedPageBreak/>
        <w:t xml:space="preserve">such as access to information rights and a straightforward appeals process and creating a single system for death certification. After the new act was enacted, many trials have resulted in more favourable outcomes, and fair justice is now enforced. A Muslim dad murdered his daughter as a result of having an older man inside his home, as an example. To determine if reduced responsibility was a factor in this case, the jury was entitled to compare the defendant to a sane individual of same age, sex, and religion. While evaluating the defendant's actions, it is important to consider whether someone of the defendant's sex, age, and circumstances might have responded similarly if they had displayed a typical level of self-control and tolerance. The jury's verdict in this case shows that </w:t>
      </w:r>
      <w:r w:rsidRPr="000D7E87">
        <w:rPr>
          <w:rStyle w:val="Strong"/>
          <w:rFonts w:ascii="Segoe UI" w:hAnsi="Segoe UI" w:cs="Segoe UI"/>
          <w:sz w:val="21"/>
          <w:szCs w:val="21"/>
        </w:rPr>
        <w:t xml:space="preserve">justice was fairly </w:t>
      </w:r>
      <w:r w:rsidR="000D7E87" w:rsidRPr="000D7E87">
        <w:rPr>
          <w:rStyle w:val="Strong"/>
          <w:rFonts w:ascii="Segoe UI" w:hAnsi="Segoe UI" w:cs="Segoe UI"/>
          <w:sz w:val="21"/>
          <w:szCs w:val="21"/>
        </w:rPr>
        <w:t>administered.</w:t>
      </w:r>
    </w:p>
    <w:p w14:paraId="7AF41434" w14:textId="205B74AE" w:rsidR="004456A6" w:rsidRDefault="004456A6" w:rsidP="004456A6">
      <w:pPr>
        <w:pStyle w:val="NormalWeb"/>
        <w:rPr>
          <w:rFonts w:ascii="Segoe UI" w:hAnsi="Segoe UI" w:cs="Segoe UI"/>
          <w:sz w:val="21"/>
          <w:szCs w:val="21"/>
        </w:rPr>
      </w:pPr>
      <w:r>
        <w:rPr>
          <w:rStyle w:val="Strong"/>
          <w:rFonts w:ascii="Segoe UI" w:hAnsi="Segoe UI" w:cs="Segoe UI"/>
          <w:sz w:val="21"/>
          <w:szCs w:val="21"/>
        </w:rPr>
        <w:t>I believe the change in acts is for the best because The Homicide Act, which came before the Corners and Justice Act, required that the defendant's mental responsibility be significantly impaired, although it did not specify how. According to the new legislation, the defendant's ability to comprehend the nature of their actions, make a reasoned judgement, or exercise self-control must be profoundly impaired.</w:t>
      </w:r>
      <w:r w:rsidR="000D7E87">
        <w:rPr>
          <w:rFonts w:ascii="Segoe UI" w:hAnsi="Segoe UI" w:cs="Segoe UI"/>
          <w:sz w:val="21"/>
          <w:szCs w:val="21"/>
        </w:rPr>
        <w:t xml:space="preserve"> </w:t>
      </w:r>
    </w:p>
    <w:p w14:paraId="00B7FC37" w14:textId="26AEA7B5" w:rsidR="004456A6" w:rsidRDefault="004456A6" w:rsidP="004456A6">
      <w:pPr>
        <w:pStyle w:val="NormalWeb"/>
        <w:rPr>
          <w:rFonts w:ascii="Segoe UI" w:hAnsi="Segoe UI" w:cs="Segoe UI"/>
          <w:sz w:val="21"/>
          <w:szCs w:val="21"/>
        </w:rPr>
      </w:pPr>
      <w:r>
        <w:rPr>
          <w:rStyle w:val="Strong"/>
          <w:rFonts w:ascii="Segoe UI" w:hAnsi="Segoe UI" w:cs="Segoe UI"/>
          <w:sz w:val="21"/>
          <w:szCs w:val="21"/>
        </w:rPr>
        <w:t xml:space="preserve">The new act provides sufficient justification for the defendant's behaviour. A defendant, for instance, who has endured long-term emotional abuse, may develop complicated PTSD. It can make them violent, and they might even kill the offender in a fit of rage. “the provocation must be so extreme that the defendant acted in a murderous rage “  Principles of </w:t>
      </w:r>
      <w:r w:rsidR="001B0EA9">
        <w:rPr>
          <w:rStyle w:val="Strong"/>
          <w:rFonts w:ascii="Segoe UI" w:hAnsi="Segoe UI" w:cs="Segoe UI"/>
          <w:sz w:val="21"/>
          <w:szCs w:val="21"/>
        </w:rPr>
        <w:t>Criminal</w:t>
      </w:r>
      <w:r>
        <w:rPr>
          <w:rStyle w:val="Strong"/>
          <w:rFonts w:ascii="Segoe UI" w:hAnsi="Segoe UI" w:cs="Segoe UI"/>
          <w:sz w:val="21"/>
          <w:szCs w:val="21"/>
        </w:rPr>
        <w:t xml:space="preserve"> Law cliff Roberson, Harvey Wallace page 115 Having said that, The Coroners and Justice Act allows the court to look into the offender's mental state and determine whether it had any impact on the actions the defendant performed, which can lead to a more equitable penalty. This is a more palatable and equitable method of administering justice compared to the preceding act.</w:t>
      </w:r>
    </w:p>
    <w:p w14:paraId="2A4C5576" w14:textId="679FEF69" w:rsidR="004456A6" w:rsidRDefault="004456A6"/>
    <w:p w14:paraId="7DB08993" w14:textId="789AC4F5" w:rsidR="001B0EA9" w:rsidRDefault="001B0EA9"/>
    <w:p w14:paraId="6482F53F" w14:textId="77777777" w:rsidR="001B0EA9" w:rsidRDefault="001B0EA9"/>
    <w:p w14:paraId="768FB3E9" w14:textId="01F5DDEC" w:rsidR="004456A6" w:rsidRDefault="004456A6"/>
    <w:p w14:paraId="504F45FB" w14:textId="0C3C7E36" w:rsidR="004456A6" w:rsidRDefault="004456A6"/>
    <w:p w14:paraId="07C2A7CD" w14:textId="51AC1034" w:rsidR="004456A6" w:rsidRDefault="004456A6"/>
    <w:p w14:paraId="50F68596" w14:textId="1C6FBE82" w:rsidR="004456A6" w:rsidRDefault="004456A6"/>
    <w:p w14:paraId="05EC541A" w14:textId="566318E0" w:rsidR="004456A6" w:rsidRDefault="004456A6"/>
    <w:p w14:paraId="32BE2264" w14:textId="433A2813" w:rsidR="004456A6" w:rsidRDefault="004456A6"/>
    <w:p w14:paraId="29204143" w14:textId="55747171" w:rsidR="004456A6" w:rsidRDefault="004456A6"/>
    <w:p w14:paraId="6F30EE8A" w14:textId="433C12F4" w:rsidR="004456A6" w:rsidRDefault="004456A6"/>
    <w:p w14:paraId="72AFE6FD" w14:textId="613D7BA2" w:rsidR="004456A6" w:rsidRDefault="004456A6"/>
    <w:p w14:paraId="0EBCDC48" w14:textId="7E5B753E" w:rsidR="004456A6" w:rsidRDefault="004456A6"/>
    <w:p w14:paraId="15ADC97B" w14:textId="47173432" w:rsidR="004456A6" w:rsidRDefault="004456A6"/>
    <w:p w14:paraId="603A4B10" w14:textId="375E8A0B" w:rsidR="004456A6" w:rsidRDefault="004456A6"/>
    <w:p w14:paraId="40E28AAF" w14:textId="4DEF2860" w:rsidR="004456A6" w:rsidRDefault="004456A6"/>
    <w:p w14:paraId="1FE1DFD4" w14:textId="375486CC" w:rsidR="004456A6" w:rsidRDefault="004456A6"/>
    <w:p w14:paraId="40C412F1" w14:textId="5075B39D" w:rsidR="004456A6" w:rsidRDefault="004456A6"/>
    <w:p w14:paraId="4E787DE7" w14:textId="7F82E805" w:rsidR="001B0EA9" w:rsidRDefault="001B0EA9"/>
    <w:p w14:paraId="5C0C179A" w14:textId="56F25EAA" w:rsidR="001B0EA9" w:rsidRDefault="001B0EA9"/>
    <w:p w14:paraId="2B2672EE" w14:textId="7D13DFC3" w:rsidR="001B0EA9" w:rsidRDefault="001B0EA9"/>
    <w:p w14:paraId="7E7C2ABB" w14:textId="77777777" w:rsidR="001B0EA9" w:rsidRDefault="001B0EA9"/>
    <w:p w14:paraId="4B8936F4" w14:textId="6A0E1571" w:rsidR="004456A6" w:rsidRDefault="004456A6"/>
    <w:p w14:paraId="395971FC" w14:textId="37769389" w:rsidR="004456A6" w:rsidRDefault="004456A6"/>
    <w:p w14:paraId="1C4F3BAF" w14:textId="77777777" w:rsidR="000D7E87" w:rsidRDefault="000D7E87" w:rsidP="000D7E87">
      <w:pPr>
        <w:pStyle w:val="NormalWeb"/>
        <w:ind w:left="567" w:hanging="567"/>
      </w:pPr>
      <w:r>
        <w:lastRenderedPageBreak/>
        <w:t xml:space="preserve">5002021, L. </w:t>
      </w:r>
      <w:r>
        <w:rPr>
          <w:i/>
          <w:iCs/>
        </w:rPr>
        <w:t>et al.</w:t>
      </w:r>
      <w:r>
        <w:t xml:space="preserve"> (2021) </w:t>
      </w:r>
      <w:r>
        <w:rPr>
          <w:i/>
          <w:iCs/>
        </w:rPr>
        <w:t xml:space="preserve">Criminal law defence solicitors - </w:t>
      </w:r>
      <w:proofErr w:type="spellStart"/>
      <w:r>
        <w:rPr>
          <w:i/>
          <w:iCs/>
        </w:rPr>
        <w:t>birmingham</w:t>
      </w:r>
      <w:proofErr w:type="spellEnd"/>
      <w:r>
        <w:rPr>
          <w:i/>
          <w:iCs/>
        </w:rPr>
        <w:t xml:space="preserve"> &amp; </w:t>
      </w:r>
      <w:proofErr w:type="spellStart"/>
      <w:r>
        <w:rPr>
          <w:i/>
          <w:iCs/>
        </w:rPr>
        <w:t>london</w:t>
      </w:r>
      <w:proofErr w:type="spellEnd"/>
      <w:r>
        <w:rPr>
          <w:i/>
          <w:iCs/>
        </w:rPr>
        <w:t xml:space="preserve"> - GQS solicitors</w:t>
      </w:r>
      <w:r>
        <w:t xml:space="preserve">, </w:t>
      </w:r>
      <w:r>
        <w:rPr>
          <w:i/>
          <w:iCs/>
        </w:rPr>
        <w:t>GQS Criminal Law Solicitors</w:t>
      </w:r>
      <w:r>
        <w:t xml:space="preserve">. Available at: https://gqs-solicitors.co.uk/ (Accessed: March 2, 2023). </w:t>
      </w:r>
    </w:p>
    <w:p w14:paraId="26B15828" w14:textId="77777777" w:rsidR="000D7E87" w:rsidRDefault="000D7E87" w:rsidP="000D7E87">
      <w:pPr>
        <w:pStyle w:val="NormalWeb"/>
        <w:ind w:left="567" w:hanging="567"/>
      </w:pPr>
      <w:proofErr w:type="spellStart"/>
      <w:r>
        <w:t>Ashmans</w:t>
      </w:r>
      <w:proofErr w:type="spellEnd"/>
      <w:r>
        <w:t xml:space="preserve"> Solicitors (2023) </w:t>
      </w:r>
      <w:r>
        <w:rPr>
          <w:i/>
          <w:iCs/>
        </w:rPr>
        <w:t xml:space="preserve">Murder trials: What is diminished </w:t>
      </w:r>
      <w:proofErr w:type="gramStart"/>
      <w:r>
        <w:rPr>
          <w:i/>
          <w:iCs/>
        </w:rPr>
        <w:t>responsibility?</w:t>
      </w:r>
      <w:r>
        <w:t>,</w:t>
      </w:r>
      <w:proofErr w:type="gramEnd"/>
      <w:r>
        <w:t xml:space="preserve"> </w:t>
      </w:r>
      <w:proofErr w:type="spellStart"/>
      <w:r>
        <w:rPr>
          <w:i/>
          <w:iCs/>
        </w:rPr>
        <w:t>Ashmans</w:t>
      </w:r>
      <w:proofErr w:type="spellEnd"/>
      <w:r>
        <w:rPr>
          <w:i/>
          <w:iCs/>
        </w:rPr>
        <w:t xml:space="preserve"> Solicitors</w:t>
      </w:r>
      <w:r>
        <w:t xml:space="preserve">. Available at: https://www.ashmanssolicitors.com/articles/murder-trials-what-is-diminished-responsibility/#:~:text=Diminished%20responsibility%20is%20a%20partial,to%20that%20of%20voluntary%20manslaughter. (Accessed: March 2, 2023). </w:t>
      </w:r>
    </w:p>
    <w:p w14:paraId="7C8FB71E" w14:textId="77777777" w:rsidR="000D7E87" w:rsidRDefault="000D7E87" w:rsidP="000D7E87">
      <w:pPr>
        <w:pStyle w:val="NormalWeb"/>
        <w:ind w:left="567" w:hanging="567"/>
      </w:pPr>
      <w:r>
        <w:t xml:space="preserve">Evans, G. (no date) </w:t>
      </w:r>
      <w:r>
        <w:rPr>
          <w:i/>
          <w:iCs/>
        </w:rPr>
        <w:t>Diminished responsibility notes: Digestible notes</w:t>
      </w:r>
      <w:r>
        <w:t xml:space="preserve">, </w:t>
      </w:r>
      <w:r>
        <w:rPr>
          <w:i/>
          <w:iCs/>
        </w:rPr>
        <w:t>Diminished Responsibility Notes | Digestible Notes</w:t>
      </w:r>
      <w:r>
        <w:t xml:space="preserve">. Available at: https://digestiblenotes.com/law/criminal/diminished_responsibility.php (Accessed: March 2, 2023). </w:t>
      </w:r>
    </w:p>
    <w:p w14:paraId="3070E9C5" w14:textId="77777777" w:rsidR="000D7E87" w:rsidRDefault="000D7E87" w:rsidP="000D7E87">
      <w:pPr>
        <w:pStyle w:val="NormalWeb"/>
        <w:ind w:left="567" w:hanging="567"/>
      </w:pPr>
      <w:r>
        <w:t xml:space="preserve">Evans, G. (no date) </w:t>
      </w:r>
      <w:r>
        <w:rPr>
          <w:i/>
          <w:iCs/>
        </w:rPr>
        <w:t>Diminished responsibility notes: Digestible notes</w:t>
      </w:r>
      <w:r>
        <w:t xml:space="preserve">, </w:t>
      </w:r>
      <w:r>
        <w:rPr>
          <w:i/>
          <w:iCs/>
        </w:rPr>
        <w:t>Diminished Responsibility Notes | Digestible Notes</w:t>
      </w:r>
      <w:r>
        <w:t xml:space="preserve">. Available at: https://digestiblenotes.com/law/criminal/diminished_responsibility.php (Accessed: March 2, 2023). </w:t>
      </w:r>
    </w:p>
    <w:p w14:paraId="76C4E562" w14:textId="77777777" w:rsidR="000D7E87" w:rsidRDefault="000D7E87" w:rsidP="000D7E87">
      <w:pPr>
        <w:pStyle w:val="NormalWeb"/>
        <w:ind w:left="567" w:hanging="567"/>
      </w:pPr>
      <w:r>
        <w:rPr>
          <w:i/>
          <w:iCs/>
        </w:rPr>
        <w:t>Fatal offences – voluntary manslaughter – diminished responsibility. - ppt download</w:t>
      </w:r>
      <w:r>
        <w:t xml:space="preserve"> (no date) </w:t>
      </w:r>
      <w:proofErr w:type="spellStart"/>
      <w:r>
        <w:rPr>
          <w:i/>
          <w:iCs/>
        </w:rPr>
        <w:t>SlidePlayer</w:t>
      </w:r>
      <w:proofErr w:type="spellEnd"/>
      <w:r>
        <w:t xml:space="preserve">. Available at: https://slideplayer.com/slide/7413189/ (Accessed: March 2, 2023). </w:t>
      </w:r>
    </w:p>
    <w:p w14:paraId="7AA0D0FE" w14:textId="77777777" w:rsidR="000D7E87" w:rsidRDefault="000D7E87" w:rsidP="000D7E87">
      <w:pPr>
        <w:pStyle w:val="NormalWeb"/>
        <w:ind w:left="567" w:hanging="567"/>
      </w:pPr>
      <w:proofErr w:type="spellStart"/>
      <w:r>
        <w:rPr>
          <w:i/>
          <w:iCs/>
        </w:rPr>
        <w:t>Ljmu</w:t>
      </w:r>
      <w:proofErr w:type="spellEnd"/>
      <w:r>
        <w:rPr>
          <w:i/>
          <w:iCs/>
        </w:rPr>
        <w:t xml:space="preserve"> Research Online - Liverpool john </w:t>
      </w:r>
      <w:proofErr w:type="spellStart"/>
      <w:r>
        <w:rPr>
          <w:i/>
          <w:iCs/>
        </w:rPr>
        <w:t>moores</w:t>
      </w:r>
      <w:proofErr w:type="spellEnd"/>
      <w:r>
        <w:rPr>
          <w:i/>
          <w:iCs/>
        </w:rPr>
        <w:t xml:space="preserve"> university</w:t>
      </w:r>
      <w:r>
        <w:t xml:space="preserve"> (no date) </w:t>
      </w:r>
      <w:r>
        <w:rPr>
          <w:i/>
          <w:iCs/>
        </w:rPr>
        <w:t>http://researchonline.ljmu.ac.uk/</w:t>
      </w:r>
      <w:r>
        <w:t xml:space="preserve">. Liverpool Johns </w:t>
      </w:r>
      <w:proofErr w:type="spellStart"/>
      <w:r>
        <w:t>Moores</w:t>
      </w:r>
      <w:proofErr w:type="spellEnd"/>
      <w:r>
        <w:t xml:space="preserve"> </w:t>
      </w:r>
      <w:proofErr w:type="gramStart"/>
      <w:r>
        <w:t>University .</w:t>
      </w:r>
      <w:proofErr w:type="gramEnd"/>
      <w:r>
        <w:t xml:space="preserve"> Available at: https://researchonline.ljmu.ac.uk/id/eprint/4193/3/Honour%20Killings%2C%20Partial%20Defences%20and%20the%20Exclusionary%20Conduct%20Model.pdf (Accessed: March 2, 2023). </w:t>
      </w:r>
    </w:p>
    <w:p w14:paraId="067E8BCD" w14:textId="77777777" w:rsidR="000D7E87" w:rsidRDefault="000D7E87" w:rsidP="000D7E87">
      <w:pPr>
        <w:pStyle w:val="NormalWeb"/>
        <w:ind w:left="567" w:hanging="567"/>
      </w:pPr>
      <w:r>
        <w:rPr>
          <w:i/>
          <w:iCs/>
        </w:rPr>
        <w:t>Ministry of Justice</w:t>
      </w:r>
      <w:r>
        <w:t xml:space="preserve"> (no date) </w:t>
      </w:r>
      <w:r>
        <w:rPr>
          <w:i/>
          <w:iCs/>
        </w:rPr>
        <w:t>GOV.UK</w:t>
      </w:r>
      <w:r>
        <w:t xml:space="preserve">. Ministry of </w:t>
      </w:r>
      <w:proofErr w:type="gramStart"/>
      <w:r>
        <w:t>Justice .</w:t>
      </w:r>
      <w:proofErr w:type="gramEnd"/>
      <w:r>
        <w:t xml:space="preserve"> Available at: https://www.gov.uk/government/organisations/ministry-of-justice (Accessed: March 2, 2023). </w:t>
      </w:r>
    </w:p>
    <w:p w14:paraId="3FC5DDC3" w14:textId="77777777" w:rsidR="000D7E87" w:rsidRDefault="000D7E87" w:rsidP="000D7E87">
      <w:pPr>
        <w:pStyle w:val="NormalWeb"/>
        <w:ind w:left="567" w:hanging="567"/>
      </w:pPr>
      <w:r>
        <w:t xml:space="preserve">Person, Alan, M. and Reed, B. (2016) </w:t>
      </w:r>
      <w:r>
        <w:rPr>
          <w:i/>
          <w:iCs/>
        </w:rPr>
        <w:t>Loss of control and diminished responsibility: Domestic, comparative</w:t>
      </w:r>
      <w:r>
        <w:t xml:space="preserve">, </w:t>
      </w:r>
      <w:r>
        <w:rPr>
          <w:i/>
          <w:iCs/>
        </w:rPr>
        <w:t>Taylor &amp; Francis</w:t>
      </w:r>
      <w:r>
        <w:t xml:space="preserve">. Taylor &amp; Francis. Available at: https://www.taylorfrancis.com/books/edit/10.4324/9781315593012/loss-control-diminished-responsibility-alan-reed-michael-bohlander (Accessed: March 2, 2023). </w:t>
      </w:r>
    </w:p>
    <w:p w14:paraId="24D954B6" w14:textId="77777777" w:rsidR="000D7E87" w:rsidRDefault="000D7E87" w:rsidP="000D7E87">
      <w:pPr>
        <w:pStyle w:val="NormalWeb"/>
        <w:ind w:left="567" w:hanging="567"/>
      </w:pPr>
      <w:r>
        <w:rPr>
          <w:i/>
          <w:iCs/>
        </w:rPr>
        <w:t>Peter Sutcliffe Biography</w:t>
      </w:r>
      <w:r>
        <w:t xml:space="preserve"> (2020) </w:t>
      </w:r>
      <w:r>
        <w:rPr>
          <w:i/>
          <w:iCs/>
        </w:rPr>
        <w:t>Biography.com</w:t>
      </w:r>
      <w:r>
        <w:t xml:space="preserve">. A&amp;E Networks Television. Available at: https://www.biography.com/crime/peter-sutcliffe (Accessed: March 2, 2023). </w:t>
      </w:r>
    </w:p>
    <w:p w14:paraId="296F7A4D" w14:textId="6F4771EE" w:rsidR="000D7E87" w:rsidRDefault="000D7E87" w:rsidP="000D7E87">
      <w:pPr>
        <w:pStyle w:val="NormalWeb"/>
        <w:ind w:left="567" w:hanging="567"/>
      </w:pPr>
      <w:r>
        <w:t xml:space="preserve">ROBERSON, C.L.I.F.F. and WALLACE, H.A.R.V.E.Y. (2016) </w:t>
      </w:r>
      <w:r>
        <w:rPr>
          <w:i/>
          <w:iCs/>
        </w:rPr>
        <w:t>PRINCIPLES OF CRIMINAL LAW</w:t>
      </w:r>
      <w:r>
        <w:t xml:space="preserve">. SIXTH. NEW YJERSEY, UNITED STATE. </w:t>
      </w:r>
    </w:p>
    <w:p w14:paraId="08613A85" w14:textId="3EE0E0C1" w:rsidR="002C502D" w:rsidRDefault="000D7E87" w:rsidP="00E50E0C">
      <w:pPr>
        <w:pStyle w:val="NormalWeb"/>
        <w:ind w:left="567" w:hanging="567"/>
      </w:pPr>
      <w:r w:rsidRPr="000D7E87">
        <w:t>Wallace, H. and Roberson, C. (2016) Principles of Criminal Law. Pearson Education.</w:t>
      </w:r>
    </w:p>
    <w:p w14:paraId="541B21C1" w14:textId="77777777" w:rsidR="000D7E87" w:rsidRDefault="000D7E87" w:rsidP="00E50E0C">
      <w:pPr>
        <w:pStyle w:val="NormalWeb"/>
        <w:ind w:left="567" w:hanging="567"/>
      </w:pPr>
    </w:p>
    <w:p w14:paraId="464959B1" w14:textId="77777777" w:rsidR="004456A6" w:rsidRDefault="004456A6"/>
    <w:sectPr w:rsidR="00445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719159991">
    <w:abstractNumId w:val="0"/>
  </w:num>
  <w:num w:numId="2" w16cid:durableId="1307852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801"/>
    <w:rsid w:val="000D7E87"/>
    <w:rsid w:val="001B0EA9"/>
    <w:rsid w:val="002C502D"/>
    <w:rsid w:val="004456A6"/>
    <w:rsid w:val="006806E8"/>
    <w:rsid w:val="00BE69B8"/>
    <w:rsid w:val="00C30720"/>
    <w:rsid w:val="00E40801"/>
    <w:rsid w:val="00E50E0C"/>
    <w:rsid w:val="00F9451F"/>
    <w:rsid w:val="00FC3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48BE"/>
  <w15:chartTrackingRefBased/>
  <w15:docId w15:val="{24A4B70D-9D9C-4E3D-AC66-B173E5463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9B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69B8"/>
    <w:pPr>
      <w:ind w:left="720"/>
      <w:contextualSpacing/>
    </w:pPr>
  </w:style>
  <w:style w:type="paragraph" w:styleId="NormalWeb">
    <w:name w:val="Normal (Web)"/>
    <w:basedOn w:val="Normal"/>
    <w:uiPriority w:val="99"/>
    <w:semiHidden/>
    <w:unhideWhenUsed/>
    <w:rsid w:val="004456A6"/>
    <w:pPr>
      <w:spacing w:before="100" w:beforeAutospacing="1" w:after="100" w:afterAutospacing="1"/>
    </w:pPr>
    <w:rPr>
      <w:sz w:val="24"/>
      <w:szCs w:val="24"/>
    </w:rPr>
  </w:style>
  <w:style w:type="character" w:styleId="Strong">
    <w:name w:val="Strong"/>
    <w:basedOn w:val="DefaultParagraphFont"/>
    <w:uiPriority w:val="22"/>
    <w:qFormat/>
    <w:rsid w:val="004456A6"/>
    <w:rPr>
      <w:b/>
      <w:bCs/>
    </w:rPr>
  </w:style>
  <w:style w:type="character" w:styleId="Hyperlink">
    <w:name w:val="Hyperlink"/>
    <w:basedOn w:val="DefaultParagraphFont"/>
    <w:uiPriority w:val="99"/>
    <w:semiHidden/>
    <w:unhideWhenUsed/>
    <w:rsid w:val="004456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463316">
      <w:bodyDiv w:val="1"/>
      <w:marLeft w:val="0"/>
      <w:marRight w:val="0"/>
      <w:marTop w:val="0"/>
      <w:marBottom w:val="0"/>
      <w:divBdr>
        <w:top w:val="none" w:sz="0" w:space="0" w:color="auto"/>
        <w:left w:val="none" w:sz="0" w:space="0" w:color="auto"/>
        <w:bottom w:val="none" w:sz="0" w:space="0" w:color="auto"/>
        <w:right w:val="none" w:sz="0" w:space="0" w:color="auto"/>
      </w:divBdr>
    </w:div>
    <w:div w:id="807279508">
      <w:bodyDiv w:val="1"/>
      <w:marLeft w:val="0"/>
      <w:marRight w:val="0"/>
      <w:marTop w:val="0"/>
      <w:marBottom w:val="0"/>
      <w:divBdr>
        <w:top w:val="none" w:sz="0" w:space="0" w:color="auto"/>
        <w:left w:val="none" w:sz="0" w:space="0" w:color="auto"/>
        <w:bottom w:val="none" w:sz="0" w:space="0" w:color="auto"/>
        <w:right w:val="none" w:sz="0" w:space="0" w:color="auto"/>
      </w:divBdr>
    </w:div>
    <w:div w:id="1028339574">
      <w:bodyDiv w:val="1"/>
      <w:marLeft w:val="0"/>
      <w:marRight w:val="0"/>
      <w:marTop w:val="0"/>
      <w:marBottom w:val="0"/>
      <w:divBdr>
        <w:top w:val="none" w:sz="0" w:space="0" w:color="auto"/>
        <w:left w:val="none" w:sz="0" w:space="0" w:color="auto"/>
        <w:bottom w:val="none" w:sz="0" w:space="0" w:color="auto"/>
        <w:right w:val="none" w:sz="0" w:space="0" w:color="auto"/>
      </w:divBdr>
    </w:div>
    <w:div w:id="1371417146">
      <w:bodyDiv w:val="1"/>
      <w:marLeft w:val="0"/>
      <w:marRight w:val="0"/>
      <w:marTop w:val="0"/>
      <w:marBottom w:val="0"/>
      <w:divBdr>
        <w:top w:val="none" w:sz="0" w:space="0" w:color="auto"/>
        <w:left w:val="none" w:sz="0" w:space="0" w:color="auto"/>
        <w:bottom w:val="none" w:sz="0" w:space="0" w:color="auto"/>
        <w:right w:val="none" w:sz="0" w:space="0" w:color="auto"/>
      </w:divBdr>
    </w:div>
    <w:div w:id="202181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Pages>
  <Words>1229</Words>
  <Characters>7011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5</cp:revision>
  <dcterms:created xsi:type="dcterms:W3CDTF">2023-03-02T18:42:00Z</dcterms:created>
  <dcterms:modified xsi:type="dcterms:W3CDTF">2023-03-03T13:47:00Z</dcterms:modified>
</cp:coreProperties>
</file>