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C6FB7BF" w:rsidP="663C9380" w:rsidRDefault="0C6FB7BF" w14:paraId="42E1EFF7" w14:textId="318DE7DF">
      <w:pPr>
        <w:pStyle w:val="Normal"/>
        <w:spacing w:before="0" w:beforeAutospacing="off" w:after="0" w:afterAutospacing="off" w:line="257" w:lineRule="auto"/>
        <w:ind w:left="4" w:right="0"/>
        <w:jc w:val="center"/>
      </w:pPr>
      <w:r w:rsidRPr="663C9380" w:rsidR="0C6FB7BF">
        <w:rPr>
          <w:rFonts w:ascii="Arial" w:hAnsi="Arial" w:eastAsia="Arial" w:cs="Arial"/>
          <w:b w:val="1"/>
          <w:bCs w:val="1"/>
          <w:noProof w:val="0"/>
          <w:color w:val="000000" w:themeColor="text1" w:themeTint="FF" w:themeShade="FF"/>
          <w:sz w:val="52"/>
          <w:szCs w:val="52"/>
          <w:lang w:val="en-GB"/>
        </w:rPr>
        <w:t>Developing Emotional Intelligence Skills</w:t>
      </w:r>
      <w:r w:rsidRPr="663C9380" w:rsidR="0C6FB7BF">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663C9380" w:rsidP="663C9380" w:rsidRDefault="663C9380" w14:paraId="6A2485A9" w14:textId="024C623C">
      <w:pPr>
        <w:pStyle w:val="Normal"/>
        <w:spacing w:before="0" w:beforeAutospacing="off" w:after="0" w:afterAutospacing="off" w:line="257" w:lineRule="auto"/>
        <w:ind w:left="0" w:right="0"/>
        <w:jc w:val="center"/>
        <w:rPr>
          <w:rFonts w:ascii="Times New Roman" w:hAnsi="Times New Roman" w:eastAsia="Times New Roman" w:cs="Times New Roman"/>
          <w:b w:val="1"/>
          <w:bCs w:val="1"/>
          <w:noProof w:val="0"/>
          <w:color w:val="000000" w:themeColor="text1" w:themeTint="FF" w:themeShade="FF"/>
          <w:sz w:val="24"/>
          <w:szCs w:val="24"/>
          <w:lang w:val="en-GB"/>
        </w:rPr>
      </w:pPr>
    </w:p>
    <w:p w:rsidR="657DEC81" w:rsidP="663C9380" w:rsidRDefault="657DEC81" w14:paraId="6E4E3299" w14:textId="055BC1FC">
      <w:pPr>
        <w:spacing w:before="0" w:beforeAutospacing="off" w:after="0" w:afterAutospacing="off" w:line="257" w:lineRule="auto"/>
        <w:ind w:left="4" w:right="0"/>
        <w:jc w:val="left"/>
        <w:rPr>
          <w:rFonts w:ascii="Arial" w:hAnsi="Arial" w:eastAsia="Arial" w:cs="Arial"/>
          <w:b w:val="0"/>
          <w:bCs w:val="0"/>
          <w:noProof w:val="0"/>
          <w:color w:val="000000" w:themeColor="text1" w:themeTint="FF" w:themeShade="FF"/>
          <w:sz w:val="24"/>
          <w:szCs w:val="24"/>
          <w:lang w:val="en-GB"/>
        </w:rPr>
      </w:pPr>
      <w:r w:rsidRPr="663C9380" w:rsidR="657DEC81">
        <w:rPr>
          <w:rFonts w:ascii="Arial" w:hAnsi="Arial" w:eastAsia="Arial" w:cs="Arial"/>
          <w:b w:val="0"/>
          <w:bCs w:val="0"/>
          <w:noProof w:val="0"/>
          <w:color w:val="000000" w:themeColor="text1" w:themeTint="FF" w:themeShade="FF"/>
          <w:sz w:val="24"/>
          <w:szCs w:val="24"/>
          <w:lang w:val="en-GB"/>
        </w:rPr>
        <w:t>Component 2 - Individual written report</w:t>
      </w:r>
    </w:p>
    <w:p w:rsidR="042EC36F" w:rsidP="663C9380" w:rsidRDefault="042EC36F" w14:paraId="214A5924" w14:textId="7E3483DA">
      <w:pPr>
        <w:pStyle w:val="Normal"/>
        <w:spacing w:before="0" w:beforeAutospacing="off" w:after="0" w:afterAutospacing="off" w:line="257" w:lineRule="auto"/>
        <w:ind w:left="0" w:right="0"/>
        <w:jc w:val="left"/>
        <w:rPr>
          <w:rFonts w:ascii="Arial" w:hAnsi="Arial" w:eastAsia="Arial" w:cs="Arial"/>
          <w:noProof w:val="0"/>
          <w:sz w:val="24"/>
          <w:szCs w:val="24"/>
          <w:lang w:val="en-US"/>
        </w:rPr>
      </w:pPr>
      <w:r w:rsidR="042EC36F">
        <w:drawing>
          <wp:inline wp14:editId="27C1BFCB" wp14:anchorId="0822103E">
            <wp:extent cx="5724525" cy="3819525"/>
            <wp:effectExtent l="0" t="0" r="0" b="0"/>
            <wp:docPr id="1476899157" name="drawing" descr="Emotional Resilience: The Role of Social Media. – Geostrategic Media"/>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6899157" name="Picture 1476899157"/>
                    <pic:cNvPicPr/>
                  </pic:nvPicPr>
                  <pic:blipFill>
                    <a:blip xmlns:r="http://schemas.openxmlformats.org/officeDocument/2006/relationships" r:embed="rId626042157">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042EC36F" w:rsidP="663C9380" w:rsidRDefault="042EC36F" w14:paraId="16E796F1" w14:textId="254E401B">
      <w:pPr>
        <w:pStyle w:val="Normal"/>
        <w:spacing w:before="0" w:beforeAutospacing="off" w:after="0" w:afterAutospacing="off" w:line="257" w:lineRule="auto"/>
        <w:ind w:left="0" w:right="0"/>
        <w:jc w:val="left"/>
        <w:rPr>
          <w:rFonts w:ascii="Arial" w:hAnsi="Arial" w:eastAsia="Arial" w:cs="Arial"/>
          <w:noProof w:val="0"/>
          <w:sz w:val="24"/>
          <w:szCs w:val="24"/>
          <w:lang w:val="en-US"/>
        </w:rPr>
      </w:pPr>
      <w:r w:rsidRPr="663C9380" w:rsidR="042EC36F">
        <w:rPr>
          <w:rFonts w:ascii="Arial" w:hAnsi="Arial" w:eastAsia="Arial" w:cs="Arial"/>
          <w:noProof w:val="0"/>
          <w:sz w:val="24"/>
          <w:szCs w:val="24"/>
          <w:lang w:val="en-US"/>
        </w:rPr>
        <w:t>Name: Lemba Barroso Ngunza</w:t>
      </w:r>
    </w:p>
    <w:p w:rsidR="3CACBAEA" w:rsidP="663C9380" w:rsidRDefault="3CACBAEA" w14:paraId="3A05379A" w14:textId="000E5547">
      <w:pPr>
        <w:pStyle w:val="Normal"/>
        <w:spacing w:before="0" w:beforeAutospacing="off" w:after="0" w:afterAutospacing="off" w:line="257" w:lineRule="auto"/>
        <w:ind w:left="0" w:right="0"/>
        <w:jc w:val="left"/>
        <w:rPr>
          <w:rFonts w:ascii="Arial" w:hAnsi="Arial" w:eastAsia="Arial" w:cs="Arial"/>
          <w:noProof w:val="0"/>
          <w:sz w:val="24"/>
          <w:szCs w:val="24"/>
          <w:lang w:val="en-US"/>
        </w:rPr>
      </w:pPr>
      <w:r w:rsidRPr="663C9380" w:rsidR="3CACBAEA">
        <w:rPr>
          <w:rFonts w:ascii="Arial" w:hAnsi="Arial" w:eastAsia="Arial" w:cs="Arial"/>
          <w:noProof w:val="0"/>
          <w:sz w:val="24"/>
          <w:szCs w:val="24"/>
          <w:lang w:val="en-US"/>
        </w:rPr>
        <w:t>ID Number: 2223006</w:t>
      </w:r>
    </w:p>
    <w:p w:rsidR="3CACBAEA" w:rsidP="663C9380" w:rsidRDefault="3CACBAEA" w14:paraId="119FB2D3" w14:textId="7D950456">
      <w:pPr>
        <w:pStyle w:val="Normal"/>
        <w:spacing w:before="0" w:beforeAutospacing="off" w:after="0" w:afterAutospacing="off" w:line="257" w:lineRule="auto"/>
        <w:ind w:left="0" w:right="0"/>
        <w:jc w:val="left"/>
        <w:rPr>
          <w:rFonts w:ascii="Arial" w:hAnsi="Arial" w:eastAsia="Arial" w:cs="Arial"/>
          <w:noProof w:val="0"/>
          <w:sz w:val="24"/>
          <w:szCs w:val="24"/>
          <w:lang w:val="en-US"/>
        </w:rPr>
      </w:pPr>
      <w:r w:rsidRPr="663C9380" w:rsidR="3CACBAEA">
        <w:rPr>
          <w:rFonts w:ascii="Arial" w:hAnsi="Arial" w:eastAsia="Arial" w:cs="Arial"/>
          <w:noProof w:val="0"/>
          <w:sz w:val="24"/>
          <w:szCs w:val="24"/>
          <w:lang w:val="en-US"/>
        </w:rPr>
        <w:t>Submission Deadline: 21st November 2025</w:t>
      </w:r>
    </w:p>
    <w:p w:rsidR="663C9380" w:rsidP="663C9380" w:rsidRDefault="663C9380" w14:paraId="31942767" w14:textId="4731E77F">
      <w:pPr>
        <w:pStyle w:val="Normal"/>
        <w:spacing w:before="0" w:beforeAutospacing="off" w:after="0" w:afterAutospacing="off" w:line="257" w:lineRule="auto"/>
        <w:ind w:left="0" w:right="0"/>
        <w:jc w:val="left"/>
        <w:rPr>
          <w:rFonts w:ascii="Arial" w:hAnsi="Arial" w:eastAsia="Arial" w:cs="Arial"/>
          <w:noProof w:val="0"/>
          <w:sz w:val="24"/>
          <w:szCs w:val="24"/>
          <w:lang w:val="en-US"/>
        </w:rPr>
      </w:pPr>
    </w:p>
    <w:p w:rsidR="663C9380" w:rsidP="663C9380" w:rsidRDefault="663C9380" w14:paraId="47231F7E" w14:textId="01107D1D">
      <w:pPr>
        <w:pStyle w:val="Normal"/>
        <w:spacing w:before="0" w:beforeAutospacing="off" w:after="0" w:afterAutospacing="off" w:line="257" w:lineRule="auto"/>
        <w:ind w:left="0" w:right="0"/>
        <w:jc w:val="left"/>
        <w:rPr>
          <w:rFonts w:ascii="Arial" w:hAnsi="Arial" w:eastAsia="Arial" w:cs="Arial"/>
          <w:noProof w:val="0"/>
          <w:sz w:val="24"/>
          <w:szCs w:val="24"/>
          <w:lang w:val="en-US"/>
        </w:rPr>
      </w:pPr>
    </w:p>
    <w:p w:rsidR="663C9380" w:rsidRDefault="663C9380" w14:paraId="2ABBBE41" w14:textId="49556AEB">
      <w:r>
        <w:br w:type="page"/>
      </w:r>
    </w:p>
    <w:sdt>
      <w:sdtPr>
        <w:id w:val="811155633"/>
        <w:docPartObj>
          <w:docPartGallery w:val="Table of Contents"/>
          <w:docPartUnique/>
        </w:docPartObj>
      </w:sdtPr>
      <w:sdtContent>
        <w:p w:rsidR="663C9380" w:rsidP="663C9380" w:rsidRDefault="663C9380" w14:paraId="15C0F1D5" w14:textId="08F0CE09">
          <w:pPr>
            <w:pStyle w:val="TOC3"/>
            <w:tabs>
              <w:tab w:val="right" w:leader="dot" w:pos="9015"/>
            </w:tabs>
            <w:bidi w:val="0"/>
            <w:rPr>
              <w:rStyle w:val="Hyperlink"/>
            </w:rPr>
          </w:pPr>
          <w:r>
            <w:fldChar w:fldCharType="begin"/>
          </w:r>
          <w:r>
            <w:instrText xml:space="preserve">TOC \o \z \u \h</w:instrText>
          </w:r>
          <w:r>
            <w:fldChar w:fldCharType="separate"/>
          </w:r>
          <w:hyperlink w:anchor="_Toc1096169646">
            <w:r w:rsidRPr="663C9380" w:rsidR="663C9380">
              <w:rPr>
                <w:rStyle w:val="Hyperlink"/>
              </w:rPr>
              <w:t>Introduction</w:t>
            </w:r>
            <w:r>
              <w:tab/>
            </w:r>
            <w:r>
              <w:fldChar w:fldCharType="begin"/>
            </w:r>
            <w:r>
              <w:instrText xml:space="preserve">PAGEREF _Toc1096169646 \h</w:instrText>
            </w:r>
            <w:r>
              <w:fldChar w:fldCharType="separate"/>
            </w:r>
            <w:r w:rsidRPr="663C9380" w:rsidR="663C9380">
              <w:rPr>
                <w:rStyle w:val="Hyperlink"/>
              </w:rPr>
              <w:t>1</w:t>
            </w:r>
            <w:r>
              <w:fldChar w:fldCharType="end"/>
            </w:r>
          </w:hyperlink>
        </w:p>
        <w:p w:rsidR="663C9380" w:rsidP="663C9380" w:rsidRDefault="663C9380" w14:paraId="0770DF69" w14:textId="46518E32">
          <w:pPr>
            <w:pStyle w:val="TOC2"/>
            <w:tabs>
              <w:tab w:val="right" w:leader="dot" w:pos="9015"/>
            </w:tabs>
            <w:bidi w:val="0"/>
            <w:rPr>
              <w:rStyle w:val="Hyperlink"/>
            </w:rPr>
          </w:pPr>
          <w:hyperlink w:anchor="_Toc1125712770">
            <w:r w:rsidRPr="663C9380" w:rsidR="663C9380">
              <w:rPr>
                <w:rStyle w:val="Hyperlink"/>
              </w:rPr>
              <w:t>Part 1: Emotional Intelligence in the Workplace</w:t>
            </w:r>
            <w:r>
              <w:tab/>
            </w:r>
            <w:r>
              <w:fldChar w:fldCharType="begin"/>
            </w:r>
            <w:r>
              <w:instrText xml:space="preserve">PAGEREF _Toc1125712770 \h</w:instrText>
            </w:r>
            <w:r>
              <w:fldChar w:fldCharType="separate"/>
            </w:r>
            <w:r w:rsidRPr="663C9380" w:rsidR="663C9380">
              <w:rPr>
                <w:rStyle w:val="Hyperlink"/>
              </w:rPr>
              <w:t>2</w:t>
            </w:r>
            <w:r>
              <w:fldChar w:fldCharType="end"/>
            </w:r>
          </w:hyperlink>
        </w:p>
        <w:p w:rsidR="663C9380" w:rsidP="663C9380" w:rsidRDefault="663C9380" w14:paraId="31D03858" w14:textId="28D4DD29">
          <w:pPr>
            <w:pStyle w:val="TOC3"/>
            <w:tabs>
              <w:tab w:val="right" w:leader="dot" w:pos="9015"/>
            </w:tabs>
            <w:bidi w:val="0"/>
            <w:rPr>
              <w:rStyle w:val="Hyperlink"/>
            </w:rPr>
          </w:pPr>
          <w:hyperlink w:anchor="_Toc743945902">
            <w:r w:rsidRPr="663C9380" w:rsidR="663C9380">
              <w:rPr>
                <w:rStyle w:val="Hyperlink"/>
              </w:rPr>
              <w:t>2.1 Goleman’s Five Components of Emotional Intelligence</w:t>
            </w:r>
            <w:r>
              <w:tab/>
            </w:r>
            <w:r>
              <w:fldChar w:fldCharType="begin"/>
            </w:r>
            <w:r>
              <w:instrText xml:space="preserve">PAGEREF _Toc743945902 \h</w:instrText>
            </w:r>
            <w:r>
              <w:fldChar w:fldCharType="separate"/>
            </w:r>
            <w:r w:rsidRPr="663C9380" w:rsidR="663C9380">
              <w:rPr>
                <w:rStyle w:val="Hyperlink"/>
              </w:rPr>
              <w:t>2</w:t>
            </w:r>
            <w:r>
              <w:fldChar w:fldCharType="end"/>
            </w:r>
          </w:hyperlink>
        </w:p>
        <w:p w:rsidR="663C9380" w:rsidP="663C9380" w:rsidRDefault="663C9380" w14:paraId="6436833E" w14:textId="24BAE36C">
          <w:pPr>
            <w:pStyle w:val="TOC3"/>
            <w:tabs>
              <w:tab w:val="right" w:leader="dot" w:pos="9015"/>
            </w:tabs>
            <w:bidi w:val="0"/>
            <w:rPr>
              <w:rStyle w:val="Hyperlink"/>
            </w:rPr>
          </w:pPr>
          <w:hyperlink w:anchor="_Toc963153084">
            <w:r w:rsidRPr="663C9380" w:rsidR="663C9380">
              <w:rPr>
                <w:rStyle w:val="Hyperlink"/>
              </w:rPr>
              <w:t>2.2 Comparison of Emotional Intelligence Models</w:t>
            </w:r>
            <w:r>
              <w:tab/>
            </w:r>
            <w:r>
              <w:fldChar w:fldCharType="begin"/>
            </w:r>
            <w:r>
              <w:instrText xml:space="preserve">PAGEREF _Toc963153084 \h</w:instrText>
            </w:r>
            <w:r>
              <w:fldChar w:fldCharType="separate"/>
            </w:r>
            <w:r w:rsidRPr="663C9380" w:rsidR="663C9380">
              <w:rPr>
                <w:rStyle w:val="Hyperlink"/>
              </w:rPr>
              <w:t>4</w:t>
            </w:r>
            <w:r>
              <w:fldChar w:fldCharType="end"/>
            </w:r>
          </w:hyperlink>
        </w:p>
        <w:p w:rsidR="663C9380" w:rsidP="663C9380" w:rsidRDefault="663C9380" w14:paraId="0A11F58C" w14:textId="6E251454">
          <w:pPr>
            <w:pStyle w:val="TOC3"/>
            <w:tabs>
              <w:tab w:val="right" w:leader="dot" w:pos="9015"/>
            </w:tabs>
            <w:bidi w:val="0"/>
            <w:rPr>
              <w:rStyle w:val="Hyperlink"/>
            </w:rPr>
          </w:pPr>
          <w:hyperlink w:anchor="_Toc1343984906">
            <w:r w:rsidRPr="663C9380" w:rsidR="663C9380">
              <w:rPr>
                <w:rStyle w:val="Hyperlink"/>
              </w:rPr>
              <w:t>2.3 Workplace Applications of Emotional Intelligence</w:t>
            </w:r>
            <w:r>
              <w:tab/>
            </w:r>
            <w:r>
              <w:fldChar w:fldCharType="begin"/>
            </w:r>
            <w:r>
              <w:instrText xml:space="preserve">PAGEREF _Toc1343984906 \h</w:instrText>
            </w:r>
            <w:r>
              <w:fldChar w:fldCharType="separate"/>
            </w:r>
            <w:r w:rsidRPr="663C9380" w:rsidR="663C9380">
              <w:rPr>
                <w:rStyle w:val="Hyperlink"/>
              </w:rPr>
              <w:t>5</w:t>
            </w:r>
            <w:r>
              <w:fldChar w:fldCharType="end"/>
            </w:r>
          </w:hyperlink>
        </w:p>
        <w:p w:rsidR="663C9380" w:rsidP="663C9380" w:rsidRDefault="663C9380" w14:paraId="4B7DAD80" w14:textId="5E353D9D">
          <w:pPr>
            <w:pStyle w:val="TOC2"/>
            <w:tabs>
              <w:tab w:val="right" w:leader="dot" w:pos="9015"/>
            </w:tabs>
            <w:bidi w:val="0"/>
            <w:rPr>
              <w:rStyle w:val="Hyperlink"/>
            </w:rPr>
          </w:pPr>
          <w:hyperlink w:anchor="_Toc57694460">
            <w:r w:rsidRPr="663C9380" w:rsidR="663C9380">
              <w:rPr>
                <w:rStyle w:val="Hyperlink"/>
              </w:rPr>
              <w:t>Generational Differences in Recruitment</w:t>
            </w:r>
            <w:r>
              <w:tab/>
            </w:r>
            <w:r>
              <w:fldChar w:fldCharType="begin"/>
            </w:r>
            <w:r>
              <w:instrText xml:space="preserve">PAGEREF _Toc57694460 \h</w:instrText>
            </w:r>
            <w:r>
              <w:fldChar w:fldCharType="separate"/>
            </w:r>
            <w:r w:rsidRPr="663C9380" w:rsidR="663C9380">
              <w:rPr>
                <w:rStyle w:val="Hyperlink"/>
              </w:rPr>
              <w:t>7</w:t>
            </w:r>
            <w:r>
              <w:fldChar w:fldCharType="end"/>
            </w:r>
          </w:hyperlink>
        </w:p>
        <w:p w:rsidR="663C9380" w:rsidP="663C9380" w:rsidRDefault="663C9380" w14:paraId="357B50DF" w14:textId="08EDA1D4">
          <w:pPr>
            <w:pStyle w:val="TOC3"/>
            <w:tabs>
              <w:tab w:val="right" w:leader="dot" w:pos="9015"/>
            </w:tabs>
            <w:bidi w:val="0"/>
            <w:rPr>
              <w:rStyle w:val="Hyperlink"/>
            </w:rPr>
          </w:pPr>
          <w:hyperlink w:anchor="_Toc645202917">
            <w:r w:rsidRPr="663C9380" w:rsidR="663C9380">
              <w:rPr>
                <w:rStyle w:val="Hyperlink"/>
              </w:rPr>
              <w:t>3.1 Defining Generations X, Y, and Z</w:t>
            </w:r>
            <w:r>
              <w:tab/>
            </w:r>
            <w:r>
              <w:fldChar w:fldCharType="begin"/>
            </w:r>
            <w:r>
              <w:instrText xml:space="preserve">PAGEREF _Toc645202917 \h</w:instrText>
            </w:r>
            <w:r>
              <w:fldChar w:fldCharType="separate"/>
            </w:r>
            <w:r w:rsidRPr="663C9380" w:rsidR="663C9380">
              <w:rPr>
                <w:rStyle w:val="Hyperlink"/>
              </w:rPr>
              <w:t>8</w:t>
            </w:r>
            <w:r>
              <w:fldChar w:fldCharType="end"/>
            </w:r>
          </w:hyperlink>
        </w:p>
        <w:p w:rsidR="663C9380" w:rsidP="663C9380" w:rsidRDefault="663C9380" w14:paraId="650366FB" w14:textId="1B75C6A6">
          <w:pPr>
            <w:pStyle w:val="TOC3"/>
            <w:tabs>
              <w:tab w:val="right" w:leader="dot" w:pos="9015"/>
            </w:tabs>
            <w:bidi w:val="0"/>
            <w:rPr>
              <w:rStyle w:val="Hyperlink"/>
            </w:rPr>
          </w:pPr>
          <w:hyperlink w:anchor="_Toc284985041">
            <w:r w:rsidRPr="663C9380" w:rsidR="663C9380">
              <w:rPr>
                <w:rStyle w:val="Hyperlink"/>
              </w:rPr>
              <w:t>3.2 Generational Cohorts in the Workplace</w:t>
            </w:r>
            <w:r>
              <w:tab/>
            </w:r>
            <w:r>
              <w:fldChar w:fldCharType="begin"/>
            </w:r>
            <w:r>
              <w:instrText xml:space="preserve">PAGEREF _Toc284985041 \h</w:instrText>
            </w:r>
            <w:r>
              <w:fldChar w:fldCharType="separate"/>
            </w:r>
            <w:r w:rsidRPr="663C9380" w:rsidR="663C9380">
              <w:rPr>
                <w:rStyle w:val="Hyperlink"/>
              </w:rPr>
              <w:t>8</w:t>
            </w:r>
            <w:r>
              <w:fldChar w:fldCharType="end"/>
            </w:r>
          </w:hyperlink>
        </w:p>
        <w:p w:rsidR="663C9380" w:rsidP="663C9380" w:rsidRDefault="663C9380" w14:paraId="5B07C413" w14:textId="74297E37">
          <w:pPr>
            <w:pStyle w:val="TOC3"/>
            <w:tabs>
              <w:tab w:val="right" w:leader="dot" w:pos="9015"/>
            </w:tabs>
            <w:bidi w:val="0"/>
            <w:rPr>
              <w:rStyle w:val="Hyperlink"/>
            </w:rPr>
          </w:pPr>
          <w:hyperlink w:anchor="_Toc68934183">
            <w:r w:rsidRPr="663C9380" w:rsidR="663C9380">
              <w:rPr>
                <w:rStyle w:val="Hyperlink"/>
              </w:rPr>
              <w:t>3.3 Emotional Expression and Regulation Across Generations</w:t>
            </w:r>
            <w:r>
              <w:tab/>
            </w:r>
            <w:r>
              <w:fldChar w:fldCharType="begin"/>
            </w:r>
            <w:r>
              <w:instrText xml:space="preserve">PAGEREF _Toc68934183 \h</w:instrText>
            </w:r>
            <w:r>
              <w:fldChar w:fldCharType="separate"/>
            </w:r>
            <w:r w:rsidRPr="663C9380" w:rsidR="663C9380">
              <w:rPr>
                <w:rStyle w:val="Hyperlink"/>
              </w:rPr>
              <w:t>9</w:t>
            </w:r>
            <w:r>
              <w:fldChar w:fldCharType="end"/>
            </w:r>
          </w:hyperlink>
        </w:p>
        <w:p w:rsidR="663C9380" w:rsidP="663C9380" w:rsidRDefault="663C9380" w14:paraId="3F11488A" w14:textId="4A19D831">
          <w:pPr>
            <w:pStyle w:val="TOC3"/>
            <w:tabs>
              <w:tab w:val="right" w:leader="dot" w:pos="9015"/>
            </w:tabs>
            <w:bidi w:val="0"/>
            <w:rPr>
              <w:rStyle w:val="Hyperlink"/>
            </w:rPr>
          </w:pPr>
          <w:hyperlink w:anchor="_Toc1637112167">
            <w:r w:rsidRPr="663C9380" w:rsidR="663C9380">
              <w:rPr>
                <w:rStyle w:val="Hyperlink"/>
              </w:rPr>
              <w:t>3.4 Impact on Team Communication and Cohesion</w:t>
            </w:r>
            <w:r>
              <w:tab/>
            </w:r>
            <w:r>
              <w:fldChar w:fldCharType="begin"/>
            </w:r>
            <w:r>
              <w:instrText xml:space="preserve">PAGEREF _Toc1637112167 \h</w:instrText>
            </w:r>
            <w:r>
              <w:fldChar w:fldCharType="separate"/>
            </w:r>
            <w:r w:rsidRPr="663C9380" w:rsidR="663C9380">
              <w:rPr>
                <w:rStyle w:val="Hyperlink"/>
              </w:rPr>
              <w:t>10</w:t>
            </w:r>
            <w:r>
              <w:fldChar w:fldCharType="end"/>
            </w:r>
          </w:hyperlink>
        </w:p>
        <w:p w:rsidR="663C9380" w:rsidP="663C9380" w:rsidRDefault="663C9380" w14:paraId="4B430B11" w14:textId="65F7613D">
          <w:pPr>
            <w:pStyle w:val="TOC3"/>
            <w:tabs>
              <w:tab w:val="right" w:leader="dot" w:pos="9015"/>
            </w:tabs>
            <w:bidi w:val="0"/>
            <w:rPr>
              <w:rStyle w:val="Hyperlink"/>
            </w:rPr>
          </w:pPr>
          <w:hyperlink w:anchor="_Toc2014870526">
            <w:r w:rsidRPr="663C9380" w:rsidR="663C9380">
              <w:rPr>
                <w:rStyle w:val="Hyperlink"/>
              </w:rPr>
              <w:t>3.5 Implications for Recruitment and Management Practices</w:t>
            </w:r>
            <w:r>
              <w:tab/>
            </w:r>
            <w:r>
              <w:fldChar w:fldCharType="begin"/>
            </w:r>
            <w:r>
              <w:instrText xml:space="preserve">PAGEREF _Toc2014870526 \h</w:instrText>
            </w:r>
            <w:r>
              <w:fldChar w:fldCharType="separate"/>
            </w:r>
            <w:r w:rsidRPr="663C9380" w:rsidR="663C9380">
              <w:rPr>
                <w:rStyle w:val="Hyperlink"/>
              </w:rPr>
              <w:t>11</w:t>
            </w:r>
            <w:r>
              <w:fldChar w:fldCharType="end"/>
            </w:r>
          </w:hyperlink>
        </w:p>
        <w:p w:rsidR="663C9380" w:rsidP="663C9380" w:rsidRDefault="663C9380" w14:paraId="7A77EA8C" w14:textId="540B441A">
          <w:pPr>
            <w:pStyle w:val="TOC3"/>
            <w:tabs>
              <w:tab w:val="right" w:leader="dot" w:pos="9015"/>
            </w:tabs>
            <w:bidi w:val="0"/>
            <w:rPr>
              <w:rStyle w:val="Hyperlink"/>
            </w:rPr>
          </w:pPr>
          <w:hyperlink w:anchor="_Toc1926393138">
            <w:r w:rsidRPr="663C9380" w:rsidR="663C9380">
              <w:rPr>
                <w:rStyle w:val="Hyperlink"/>
              </w:rPr>
              <w:t>Conclusion</w:t>
            </w:r>
            <w:r>
              <w:tab/>
            </w:r>
            <w:r>
              <w:fldChar w:fldCharType="begin"/>
            </w:r>
            <w:r>
              <w:instrText xml:space="preserve">PAGEREF _Toc1926393138 \h</w:instrText>
            </w:r>
            <w:r>
              <w:fldChar w:fldCharType="separate"/>
            </w:r>
            <w:r w:rsidRPr="663C9380" w:rsidR="663C9380">
              <w:rPr>
                <w:rStyle w:val="Hyperlink"/>
              </w:rPr>
              <w:t>13</w:t>
            </w:r>
            <w:r>
              <w:fldChar w:fldCharType="end"/>
            </w:r>
          </w:hyperlink>
        </w:p>
        <w:p w:rsidR="663C9380" w:rsidP="663C9380" w:rsidRDefault="663C9380" w14:paraId="3D11A30C" w14:textId="78CB8B6A">
          <w:pPr>
            <w:pStyle w:val="TOC3"/>
            <w:tabs>
              <w:tab w:val="right" w:leader="dot" w:pos="9015"/>
            </w:tabs>
            <w:bidi w:val="0"/>
            <w:rPr>
              <w:rStyle w:val="Hyperlink"/>
            </w:rPr>
          </w:pPr>
          <w:hyperlink w:anchor="_Toc1039580123">
            <w:r w:rsidRPr="663C9380" w:rsidR="663C9380">
              <w:rPr>
                <w:rStyle w:val="Hyperlink"/>
              </w:rPr>
              <w:t>Recommendations</w:t>
            </w:r>
            <w:r>
              <w:tab/>
            </w:r>
            <w:r>
              <w:fldChar w:fldCharType="begin"/>
            </w:r>
            <w:r>
              <w:instrText xml:space="preserve">PAGEREF _Toc1039580123 \h</w:instrText>
            </w:r>
            <w:r>
              <w:fldChar w:fldCharType="separate"/>
            </w:r>
            <w:r w:rsidRPr="663C9380" w:rsidR="663C9380">
              <w:rPr>
                <w:rStyle w:val="Hyperlink"/>
              </w:rPr>
              <w:t>13</w:t>
            </w:r>
            <w:r>
              <w:fldChar w:fldCharType="end"/>
            </w:r>
          </w:hyperlink>
        </w:p>
        <w:p w:rsidR="663C9380" w:rsidP="663C9380" w:rsidRDefault="663C9380" w14:paraId="18D0169D" w14:textId="512DE814">
          <w:pPr>
            <w:pStyle w:val="TOC3"/>
            <w:tabs>
              <w:tab w:val="right" w:leader="dot" w:pos="9015"/>
            </w:tabs>
            <w:bidi w:val="0"/>
            <w:rPr>
              <w:rStyle w:val="Hyperlink"/>
            </w:rPr>
          </w:pPr>
          <w:hyperlink w:anchor="_Toc979611870">
            <w:r w:rsidRPr="663C9380" w:rsidR="663C9380">
              <w:rPr>
                <w:rStyle w:val="Hyperlink"/>
              </w:rPr>
              <w:t>Final Reflection</w:t>
            </w:r>
            <w:r>
              <w:tab/>
            </w:r>
            <w:r>
              <w:fldChar w:fldCharType="begin"/>
            </w:r>
            <w:r>
              <w:instrText xml:space="preserve">PAGEREF _Toc979611870 \h</w:instrText>
            </w:r>
            <w:r>
              <w:fldChar w:fldCharType="separate"/>
            </w:r>
            <w:r w:rsidRPr="663C9380" w:rsidR="663C9380">
              <w:rPr>
                <w:rStyle w:val="Hyperlink"/>
              </w:rPr>
              <w:t>14</w:t>
            </w:r>
            <w:r>
              <w:fldChar w:fldCharType="end"/>
            </w:r>
          </w:hyperlink>
        </w:p>
        <w:p w:rsidR="663C9380" w:rsidP="663C9380" w:rsidRDefault="663C9380" w14:paraId="58CDB7CF" w14:textId="27BBF493">
          <w:pPr>
            <w:pStyle w:val="TOC2"/>
            <w:tabs>
              <w:tab w:val="right" w:leader="dot" w:pos="9015"/>
            </w:tabs>
            <w:bidi w:val="0"/>
            <w:rPr>
              <w:rStyle w:val="Hyperlink"/>
            </w:rPr>
          </w:pPr>
          <w:hyperlink w:anchor="_Toc347653078">
            <w:r w:rsidRPr="663C9380" w:rsidR="663C9380">
              <w:rPr>
                <w:rStyle w:val="Hyperlink"/>
              </w:rPr>
              <w:t>Reference List</w:t>
            </w:r>
            <w:r>
              <w:tab/>
            </w:r>
            <w:r>
              <w:fldChar w:fldCharType="begin"/>
            </w:r>
            <w:r>
              <w:instrText xml:space="preserve">PAGEREF _Toc347653078 \h</w:instrText>
            </w:r>
            <w:r>
              <w:fldChar w:fldCharType="separate"/>
            </w:r>
            <w:r w:rsidRPr="663C9380" w:rsidR="663C9380">
              <w:rPr>
                <w:rStyle w:val="Hyperlink"/>
              </w:rPr>
              <w:t>15</w:t>
            </w:r>
            <w:r>
              <w:fldChar w:fldCharType="end"/>
            </w:r>
          </w:hyperlink>
          <w:r>
            <w:fldChar w:fldCharType="end"/>
          </w:r>
        </w:p>
      </w:sdtContent>
    </w:sdt>
    <w:p w:rsidR="663C9380" w:rsidP="663C9380" w:rsidRDefault="663C9380" w14:paraId="3AAA6270" w14:textId="304AD869">
      <w:pPr>
        <w:pStyle w:val="Normal"/>
        <w:spacing w:before="0" w:beforeAutospacing="off" w:after="0" w:afterAutospacing="off" w:line="257" w:lineRule="auto"/>
        <w:ind w:left="0" w:right="0"/>
        <w:jc w:val="left"/>
        <w:rPr>
          <w:rFonts w:ascii="Arial" w:hAnsi="Arial" w:eastAsia="Arial" w:cs="Arial"/>
          <w:noProof w:val="0"/>
          <w:sz w:val="24"/>
          <w:szCs w:val="24"/>
          <w:lang w:val="en-US"/>
        </w:rPr>
      </w:pPr>
    </w:p>
    <w:p w:rsidR="663C9380" w:rsidP="663C9380" w:rsidRDefault="663C9380" w14:paraId="0C1B10EE" w14:textId="754B6C70">
      <w:pPr>
        <w:pStyle w:val="Normal"/>
        <w:spacing w:before="0" w:beforeAutospacing="off" w:after="0" w:afterAutospacing="off" w:line="257" w:lineRule="auto"/>
        <w:ind w:left="0" w:right="0"/>
        <w:jc w:val="left"/>
        <w:rPr>
          <w:rFonts w:ascii="Arial" w:hAnsi="Arial" w:eastAsia="Arial" w:cs="Arial"/>
          <w:noProof w:val="0"/>
          <w:sz w:val="24"/>
          <w:szCs w:val="24"/>
          <w:lang w:val="en-US"/>
        </w:rPr>
      </w:pPr>
    </w:p>
    <w:p w:rsidR="663C9380" w:rsidRDefault="663C9380" w14:paraId="65BA5618" w14:textId="0869305C">
      <w:r>
        <w:br w:type="page"/>
      </w:r>
    </w:p>
    <w:p w:rsidR="2A6F5D0A" w:rsidP="663C9380" w:rsidRDefault="2A6F5D0A" w14:paraId="2FE0A571" w14:textId="17A1ABF7">
      <w:pPr>
        <w:pStyle w:val="Heading3"/>
        <w:spacing w:before="281" w:beforeAutospacing="off" w:after="281" w:afterAutospacing="off"/>
        <w:rPr>
          <w:rFonts w:ascii="Aptos" w:hAnsi="Aptos" w:eastAsia="Aptos" w:cs="Aptos"/>
          <w:b w:val="1"/>
          <w:bCs w:val="1"/>
          <w:noProof w:val="0"/>
          <w:sz w:val="28"/>
          <w:szCs w:val="28"/>
          <w:lang w:val="en-GB"/>
        </w:rPr>
      </w:pPr>
      <w:bookmarkStart w:name="_Toc1096169646" w:id="1118654915"/>
      <w:r w:rsidRPr="663C9380" w:rsidR="2A6F5D0A">
        <w:rPr>
          <w:rFonts w:ascii="Aptos" w:hAnsi="Aptos" w:eastAsia="Aptos" w:cs="Aptos"/>
          <w:b w:val="1"/>
          <w:bCs w:val="1"/>
          <w:noProof w:val="0"/>
          <w:sz w:val="28"/>
          <w:szCs w:val="28"/>
          <w:lang w:val="en-GB"/>
        </w:rPr>
        <w:t>Introduction</w:t>
      </w:r>
      <w:bookmarkEnd w:id="1118654915"/>
    </w:p>
    <w:p w:rsidR="2A6F5D0A" w:rsidP="663C9380" w:rsidRDefault="2A6F5D0A" w14:paraId="7034FD2E" w14:textId="6E81EE93">
      <w:pPr>
        <w:spacing w:before="240" w:beforeAutospacing="off" w:after="240" w:afterAutospacing="off"/>
      </w:pPr>
      <w:r w:rsidRPr="663C9380" w:rsidR="2A6F5D0A">
        <w:rPr>
          <w:rFonts w:ascii="Aptos" w:hAnsi="Aptos" w:eastAsia="Aptos" w:cs="Aptos"/>
          <w:noProof w:val="0"/>
          <w:sz w:val="24"/>
          <w:szCs w:val="24"/>
          <w:lang w:val="en-GB"/>
        </w:rPr>
        <w:t>Emotional intelligence (EI) refers to the ability to perceive, understand, and manage one’s own emotions and those of others (Goleman, 1995; Mayer and Salovey, 1997). It plays a crucial role in developing interpersonal relationships, effective communication, and leadership within the workplace. Mindfulness, defined by Kabat-Zinn (1994) as purposeful and non-judgemental awareness of the present moment, complements EI by fostering emotional regulation and focus. Together, these competencies enable employees and leaders to respond thoughtfully rather than react impulsively. This report critically evaluates the use of emotional intelligence components in the workplace and explores how generational differences influence EI-based recruitment practices.</w:t>
      </w:r>
    </w:p>
    <w:p w:rsidR="663C9380" w:rsidRDefault="663C9380" w14:paraId="3A9BD390" w14:textId="77B31EBD"/>
    <w:p w:rsidR="2A6F5D0A" w:rsidP="663C9380" w:rsidRDefault="2A6F5D0A" w14:paraId="556F0365" w14:textId="7167713D">
      <w:pPr>
        <w:pStyle w:val="Heading2"/>
        <w:spacing w:before="299" w:beforeAutospacing="off" w:after="299" w:afterAutospacing="off"/>
        <w:rPr>
          <w:rFonts w:ascii="Aptos" w:hAnsi="Aptos" w:eastAsia="Aptos" w:cs="Aptos"/>
          <w:b w:val="1"/>
          <w:bCs w:val="1"/>
          <w:noProof w:val="0"/>
          <w:sz w:val="36"/>
          <w:szCs w:val="36"/>
          <w:lang w:val="en-GB"/>
        </w:rPr>
      </w:pPr>
      <w:bookmarkStart w:name="_Toc1125712770" w:id="965209712"/>
      <w:r w:rsidRPr="663C9380" w:rsidR="2A6F5D0A">
        <w:rPr>
          <w:rFonts w:ascii="Aptos" w:hAnsi="Aptos" w:eastAsia="Aptos" w:cs="Aptos"/>
          <w:b w:val="1"/>
          <w:bCs w:val="1"/>
          <w:noProof w:val="0"/>
          <w:sz w:val="36"/>
          <w:szCs w:val="36"/>
          <w:lang w:val="en-GB"/>
        </w:rPr>
        <w:t>Part 1: Emotional Intelligence in the Workplace</w:t>
      </w:r>
      <w:bookmarkEnd w:id="965209712"/>
    </w:p>
    <w:p w:rsidR="2A6F5D0A" w:rsidP="663C9380" w:rsidRDefault="2A6F5D0A" w14:paraId="655A15D6" w14:textId="243547E3">
      <w:pPr>
        <w:pStyle w:val="Heading3"/>
        <w:spacing w:before="281" w:beforeAutospacing="off" w:after="281" w:afterAutospacing="off"/>
        <w:rPr>
          <w:rFonts w:ascii="Aptos" w:hAnsi="Aptos" w:eastAsia="Aptos" w:cs="Aptos"/>
          <w:b w:val="1"/>
          <w:bCs w:val="1"/>
          <w:noProof w:val="0"/>
          <w:sz w:val="28"/>
          <w:szCs w:val="28"/>
          <w:lang w:val="en-GB"/>
        </w:rPr>
      </w:pPr>
      <w:bookmarkStart w:name="_Toc743945902" w:id="1261408702"/>
      <w:r w:rsidRPr="663C9380" w:rsidR="2A6F5D0A">
        <w:rPr>
          <w:rFonts w:ascii="Aptos" w:hAnsi="Aptos" w:eastAsia="Aptos" w:cs="Aptos"/>
          <w:b w:val="1"/>
          <w:bCs w:val="1"/>
          <w:noProof w:val="0"/>
          <w:sz w:val="28"/>
          <w:szCs w:val="28"/>
          <w:lang w:val="en-GB"/>
        </w:rPr>
        <w:t>2.1 Goleman’s Five Components of Emotional Intelligence</w:t>
      </w:r>
      <w:bookmarkEnd w:id="1261408702"/>
    </w:p>
    <w:p w:rsidR="2A6F5D0A" w:rsidP="663C9380" w:rsidRDefault="2A6F5D0A" w14:paraId="6C7C48DF" w14:textId="2DA16DA1">
      <w:pPr>
        <w:spacing w:before="240" w:beforeAutospacing="off" w:after="240" w:afterAutospacing="off"/>
      </w:pPr>
      <w:r w:rsidRPr="663C9380" w:rsidR="2A6F5D0A">
        <w:rPr>
          <w:rFonts w:ascii="Aptos" w:hAnsi="Aptos" w:eastAsia="Aptos" w:cs="Aptos"/>
          <w:noProof w:val="0"/>
          <w:sz w:val="24"/>
          <w:szCs w:val="24"/>
          <w:lang w:val="en-GB"/>
        </w:rPr>
        <w:t xml:space="preserve">Daniel Goleman’s (1995) model of emotional intelligence (EI) remains one of the most influential frameworks for understanding the emotional and social competencies that underpin effective workplace behaviour and leadership. Goleman identifies five interrelated components of EI: </w:t>
      </w:r>
      <w:r w:rsidRPr="663C9380" w:rsidR="2A6F5D0A">
        <w:rPr>
          <w:rFonts w:ascii="Aptos" w:hAnsi="Aptos" w:eastAsia="Aptos" w:cs="Aptos"/>
          <w:b w:val="1"/>
          <w:bCs w:val="1"/>
          <w:noProof w:val="0"/>
          <w:sz w:val="24"/>
          <w:szCs w:val="24"/>
          <w:lang w:val="en-GB"/>
        </w:rPr>
        <w:t>self-awareness, self-regulation, motivation, empathy (social awareness),</w:t>
      </w:r>
      <w:r w:rsidRPr="663C9380" w:rsidR="2A6F5D0A">
        <w:rPr>
          <w:rFonts w:ascii="Aptos" w:hAnsi="Aptos" w:eastAsia="Aptos" w:cs="Aptos"/>
          <w:noProof w:val="0"/>
          <w:sz w:val="24"/>
          <w:szCs w:val="24"/>
          <w:lang w:val="en-GB"/>
        </w:rPr>
        <w:t xml:space="preserve"> and </w:t>
      </w:r>
      <w:r w:rsidRPr="663C9380" w:rsidR="2A6F5D0A">
        <w:rPr>
          <w:rFonts w:ascii="Aptos" w:hAnsi="Aptos" w:eastAsia="Aptos" w:cs="Aptos"/>
          <w:b w:val="1"/>
          <w:bCs w:val="1"/>
          <w:noProof w:val="0"/>
          <w:sz w:val="24"/>
          <w:szCs w:val="24"/>
          <w:lang w:val="en-GB"/>
        </w:rPr>
        <w:t>relationship management</w:t>
      </w:r>
      <w:r w:rsidRPr="663C9380" w:rsidR="2A6F5D0A">
        <w:rPr>
          <w:rFonts w:ascii="Aptos" w:hAnsi="Aptos" w:eastAsia="Aptos" w:cs="Aptos"/>
          <w:noProof w:val="0"/>
          <w:sz w:val="24"/>
          <w:szCs w:val="24"/>
          <w:lang w:val="en-GB"/>
        </w:rPr>
        <w:t>. Each component is essential for fostering collaboration, enhancing performance, and sustaining organisational wellbeing.</w:t>
      </w:r>
    </w:p>
    <w:p w:rsidR="2A6F5D0A" w:rsidP="663C9380" w:rsidRDefault="2A6F5D0A" w14:paraId="39A526BF" w14:textId="15F3E90A">
      <w:pPr>
        <w:spacing w:before="240" w:beforeAutospacing="off" w:after="240" w:afterAutospacing="off"/>
      </w:pPr>
      <w:r w:rsidRPr="663C9380" w:rsidR="2A6F5D0A">
        <w:rPr>
          <w:rFonts w:ascii="Aptos" w:hAnsi="Aptos" w:eastAsia="Aptos" w:cs="Aptos"/>
          <w:b w:val="1"/>
          <w:bCs w:val="1"/>
          <w:noProof w:val="0"/>
          <w:sz w:val="24"/>
          <w:szCs w:val="24"/>
          <w:lang w:val="en-GB"/>
        </w:rPr>
        <w:t>Self-awareness</w:t>
      </w:r>
      <w:r w:rsidRPr="663C9380" w:rsidR="2A6F5D0A">
        <w:rPr>
          <w:rFonts w:ascii="Aptos" w:hAnsi="Aptos" w:eastAsia="Aptos" w:cs="Aptos"/>
          <w:noProof w:val="0"/>
          <w:sz w:val="24"/>
          <w:szCs w:val="24"/>
          <w:lang w:val="en-GB"/>
        </w:rPr>
        <w:t xml:space="preserve"> is the cornerstone of EI. It refers to an individual’s capacity to recognise and understand their emotions, drives, and values, and to appreciate how these affect others (Goleman, 1998). In workplace contexts, self-awareness enables employees to monitor their reactions and identify strengths and weaknesses in their interpersonal interactions. The Johari Window (Luft and Ingham, 1955) provides a useful framework for illustrating self-awareness, as it highlights the distinction between what is known and unknown to oneself and others. Through feedback and reflection, employees can expand their “open area,” thereby improving transparency and trust within teams. Tools such as SWOT analysis also promote self-awareness by encouraging individuals to examine internal emotional drivers that affect work performance. For instance, an employee who recognises that stress leads to defensiveness can proactively employ stress-management techniques or mindfulness practices to maintain composure and productivity.</w:t>
      </w:r>
    </w:p>
    <w:p w:rsidR="2A6F5D0A" w:rsidP="663C9380" w:rsidRDefault="2A6F5D0A" w14:paraId="31B9CE95" w14:textId="08F3A0B5">
      <w:pPr>
        <w:spacing w:before="240" w:beforeAutospacing="off" w:after="240" w:afterAutospacing="off"/>
      </w:pPr>
      <w:r w:rsidRPr="663C9380" w:rsidR="2A6F5D0A">
        <w:rPr>
          <w:rFonts w:ascii="Aptos" w:hAnsi="Aptos" w:eastAsia="Aptos" w:cs="Aptos"/>
          <w:b w:val="1"/>
          <w:bCs w:val="1"/>
          <w:noProof w:val="0"/>
          <w:sz w:val="24"/>
          <w:szCs w:val="24"/>
          <w:lang w:val="en-GB"/>
        </w:rPr>
        <w:t>Self-regulation</w:t>
      </w:r>
      <w:r w:rsidRPr="663C9380" w:rsidR="2A6F5D0A">
        <w:rPr>
          <w:rFonts w:ascii="Aptos" w:hAnsi="Aptos" w:eastAsia="Aptos" w:cs="Aptos"/>
          <w:noProof w:val="0"/>
          <w:sz w:val="24"/>
          <w:szCs w:val="24"/>
          <w:lang w:val="en-GB"/>
        </w:rPr>
        <w:t xml:space="preserve"> involves managing one’s emotional responses and impulses to maintain professionalism and adaptability under pressure. Employees who demonstrate self-regulation are better equipped to handle workplace conflicts and unexpected challenges. Goleman (2004) suggests that self-regulated individuals exhibit trustworthiness, conscientiousness, and the capacity for innovation. For example, in performance management discussions, emotionally intelligent employees can receive constructive criticism without becoming defensive, focusing instead on solutions and improvement. This competence is particularly vital in fast-paced industries where emotional control supports resilience and effective problem-solving. Mindfulness practices, such as controlled breathing or reflective pauses, further enhance self-regulation by grounding individuals in the present moment (Kabat-Zinn, 1994).</w:t>
      </w:r>
    </w:p>
    <w:p w:rsidR="2A6F5D0A" w:rsidP="663C9380" w:rsidRDefault="2A6F5D0A" w14:paraId="452A8A0B" w14:textId="631E334F">
      <w:pPr>
        <w:spacing w:before="240" w:beforeAutospacing="off" w:after="240" w:afterAutospacing="off"/>
      </w:pPr>
      <w:r w:rsidRPr="663C9380" w:rsidR="2A6F5D0A">
        <w:rPr>
          <w:rFonts w:ascii="Aptos" w:hAnsi="Aptos" w:eastAsia="Aptos" w:cs="Aptos"/>
          <w:b w:val="1"/>
          <w:bCs w:val="1"/>
          <w:noProof w:val="0"/>
          <w:sz w:val="24"/>
          <w:szCs w:val="24"/>
          <w:lang w:val="en-GB"/>
        </w:rPr>
        <w:t>Motivation</w:t>
      </w:r>
      <w:r w:rsidRPr="663C9380" w:rsidR="2A6F5D0A">
        <w:rPr>
          <w:rFonts w:ascii="Aptos" w:hAnsi="Aptos" w:eastAsia="Aptos" w:cs="Aptos"/>
          <w:noProof w:val="0"/>
          <w:sz w:val="24"/>
          <w:szCs w:val="24"/>
          <w:lang w:val="en-GB"/>
        </w:rPr>
        <w:t xml:space="preserve"> as a component of EI refers to the intrinsic drive to achieve goals beyond external rewards. Employees who are internally motivated show commitment, optimism, and initiative (Goleman, 1998). They persist in the face of setbacks and contribute positively to organisational performance. In practical terms, emotionally intelligent motivation aligns personal goals with organisational objectives. For example, an employee committed to professional growth may view feedback not as criticism but as an opportunity for self-improvement. Managers who model and encourage this form of motivation cultivate a workplace culture of continuous learning and development.</w:t>
      </w:r>
    </w:p>
    <w:p w:rsidR="2A6F5D0A" w:rsidP="663C9380" w:rsidRDefault="2A6F5D0A" w14:paraId="05E65605" w14:textId="19AEF3EB">
      <w:pPr>
        <w:spacing w:before="240" w:beforeAutospacing="off" w:after="240" w:afterAutospacing="off"/>
      </w:pPr>
      <w:r w:rsidRPr="663C9380" w:rsidR="2A6F5D0A">
        <w:rPr>
          <w:rFonts w:ascii="Aptos" w:hAnsi="Aptos" w:eastAsia="Aptos" w:cs="Aptos"/>
          <w:b w:val="1"/>
          <w:bCs w:val="1"/>
          <w:noProof w:val="0"/>
          <w:sz w:val="24"/>
          <w:szCs w:val="24"/>
          <w:lang w:val="en-GB"/>
        </w:rPr>
        <w:t>Empathy,</w:t>
      </w:r>
      <w:r w:rsidRPr="663C9380" w:rsidR="2A6F5D0A">
        <w:rPr>
          <w:rFonts w:ascii="Aptos" w:hAnsi="Aptos" w:eastAsia="Aptos" w:cs="Aptos"/>
          <w:noProof w:val="0"/>
          <w:sz w:val="24"/>
          <w:szCs w:val="24"/>
          <w:lang w:val="en-GB"/>
        </w:rPr>
        <w:t xml:space="preserve"> or social awareness, concerns the ability to perceive and understand the emotions of others. It extends beyond sympathy by involving cognitive and emotional attunement to another’s perspective (Salovey and Mayer, 1990). In workplaces characterised by diversity, empathy enables inclusion and psychological safety. Empathetic employees and leaders interpret non-verbal cues, listen actively, and respond appropriately to emotional needs. For instance, a team leader who notices a colleague’s disengagement during meetings might initiate a private conversation to offer support. Goleman (2002) emphasises that empathy is essential for customer service, team cohesion, and conflict resolution, as it facilitates compassionate communication and trust.</w:t>
      </w:r>
    </w:p>
    <w:p w:rsidR="2A6F5D0A" w:rsidP="663C9380" w:rsidRDefault="2A6F5D0A" w14:paraId="04D2ACF3" w14:textId="76A1DA30">
      <w:pPr>
        <w:spacing w:before="240" w:beforeAutospacing="off" w:after="240" w:afterAutospacing="off"/>
      </w:pPr>
      <w:r w:rsidRPr="663C9380" w:rsidR="2A6F5D0A">
        <w:rPr>
          <w:rFonts w:ascii="Aptos" w:hAnsi="Aptos" w:eastAsia="Aptos" w:cs="Aptos"/>
          <w:b w:val="1"/>
          <w:bCs w:val="1"/>
          <w:noProof w:val="0"/>
          <w:sz w:val="24"/>
          <w:szCs w:val="24"/>
          <w:lang w:val="en-GB"/>
        </w:rPr>
        <w:t>Relationship management</w:t>
      </w:r>
      <w:r w:rsidRPr="663C9380" w:rsidR="2A6F5D0A">
        <w:rPr>
          <w:rFonts w:ascii="Aptos" w:hAnsi="Aptos" w:eastAsia="Aptos" w:cs="Aptos"/>
          <w:noProof w:val="0"/>
          <w:sz w:val="24"/>
          <w:szCs w:val="24"/>
          <w:lang w:val="en-GB"/>
        </w:rPr>
        <w:t xml:space="preserve"> involves the ability to inspire, influence, and develop others while managing conflict effectively. This component integrates the previous four, as successful relationship management relies on awareness of both self and others. Employees demonstrating this competence can navigate complex social networks, motivate colleagues, and maintain morale. In leadership, relationship management manifests through transformational behaviours—such as vision-setting, recognition, and feedback—that inspire commitment and collaboration (Boyatzis and McKee, 2005). Effective leaders balance assertiveness with empathy, fostering environments where open communication and shared goals thrive.</w:t>
      </w:r>
    </w:p>
    <w:p w:rsidR="2A6F5D0A" w:rsidP="663C9380" w:rsidRDefault="2A6F5D0A" w14:paraId="66DA00E4" w14:textId="0BBEC183">
      <w:pPr>
        <w:spacing w:before="240" w:beforeAutospacing="off" w:after="240" w:afterAutospacing="off"/>
      </w:pPr>
      <w:r w:rsidRPr="663C9380" w:rsidR="2A6F5D0A">
        <w:rPr>
          <w:rFonts w:ascii="Aptos" w:hAnsi="Aptos" w:eastAsia="Aptos" w:cs="Aptos"/>
          <w:noProof w:val="0"/>
          <w:sz w:val="24"/>
          <w:szCs w:val="24"/>
          <w:lang w:val="en-GB"/>
        </w:rPr>
        <w:t>In summary, Goleman’s five components provide a comprehensive framework for understanding how emotional intelligence supports professional effectiveness. Self-awareness and self-regulation underpin personal mastery, while motivation, empathy, and relationship management enhance social interactions and leadership capability. Together, these competencies contribute to emotional balance, effective communication, and organisational harmony.</w:t>
      </w:r>
    </w:p>
    <w:p w:rsidR="663C9380" w:rsidRDefault="663C9380" w14:paraId="4FD28C31" w14:textId="7B02957E"/>
    <w:p w:rsidR="2A6F5D0A" w:rsidP="663C9380" w:rsidRDefault="2A6F5D0A" w14:paraId="740FFF0E" w14:textId="7954E365">
      <w:pPr>
        <w:pStyle w:val="Heading3"/>
        <w:spacing w:before="281" w:beforeAutospacing="off" w:after="281" w:afterAutospacing="off"/>
        <w:rPr>
          <w:rFonts w:ascii="Aptos" w:hAnsi="Aptos" w:eastAsia="Aptos" w:cs="Aptos"/>
          <w:b w:val="1"/>
          <w:bCs w:val="1"/>
          <w:noProof w:val="0"/>
          <w:sz w:val="28"/>
          <w:szCs w:val="28"/>
          <w:lang w:val="en-GB"/>
        </w:rPr>
      </w:pPr>
      <w:bookmarkStart w:name="_Toc963153084" w:id="1837344063"/>
      <w:r w:rsidRPr="663C9380" w:rsidR="2A6F5D0A">
        <w:rPr>
          <w:rFonts w:ascii="Aptos" w:hAnsi="Aptos" w:eastAsia="Aptos" w:cs="Aptos"/>
          <w:b w:val="1"/>
          <w:bCs w:val="1"/>
          <w:noProof w:val="0"/>
          <w:sz w:val="28"/>
          <w:szCs w:val="28"/>
          <w:lang w:val="en-GB"/>
        </w:rPr>
        <w:t>2.2 Comparison of Emotional Intelligence Models</w:t>
      </w:r>
      <w:bookmarkEnd w:id="1837344063"/>
    </w:p>
    <w:p w:rsidR="2A6F5D0A" w:rsidP="663C9380" w:rsidRDefault="2A6F5D0A" w14:paraId="7A68B17A" w14:textId="12139A3D">
      <w:pPr>
        <w:spacing w:before="240" w:beforeAutospacing="off" w:after="240" w:afterAutospacing="off"/>
      </w:pPr>
      <w:r w:rsidRPr="663C9380" w:rsidR="2A6F5D0A">
        <w:rPr>
          <w:rFonts w:ascii="Aptos" w:hAnsi="Aptos" w:eastAsia="Aptos" w:cs="Aptos"/>
          <w:noProof w:val="0"/>
          <w:sz w:val="24"/>
          <w:szCs w:val="24"/>
          <w:lang w:val="en-GB"/>
        </w:rPr>
        <w:t xml:space="preserve">While Goleman’s model has been widely adopted for its practical relevance, alternative theoretical perspectives—such as the </w:t>
      </w:r>
      <w:r w:rsidRPr="663C9380" w:rsidR="2A6F5D0A">
        <w:rPr>
          <w:rFonts w:ascii="Aptos" w:hAnsi="Aptos" w:eastAsia="Aptos" w:cs="Aptos"/>
          <w:b w:val="1"/>
          <w:bCs w:val="1"/>
          <w:noProof w:val="0"/>
          <w:sz w:val="24"/>
          <w:szCs w:val="24"/>
          <w:lang w:val="en-GB"/>
        </w:rPr>
        <w:t>Mayer–Salovey model</w:t>
      </w:r>
      <w:r w:rsidRPr="663C9380" w:rsidR="2A6F5D0A">
        <w:rPr>
          <w:rFonts w:ascii="Aptos" w:hAnsi="Aptos" w:eastAsia="Aptos" w:cs="Aptos"/>
          <w:noProof w:val="0"/>
          <w:sz w:val="24"/>
          <w:szCs w:val="24"/>
          <w:lang w:val="en-GB"/>
        </w:rPr>
        <w:t xml:space="preserve"> and the </w:t>
      </w:r>
      <w:r w:rsidRPr="663C9380" w:rsidR="2A6F5D0A">
        <w:rPr>
          <w:rFonts w:ascii="Aptos" w:hAnsi="Aptos" w:eastAsia="Aptos" w:cs="Aptos"/>
          <w:b w:val="1"/>
          <w:bCs w:val="1"/>
          <w:noProof w:val="0"/>
          <w:sz w:val="24"/>
          <w:szCs w:val="24"/>
          <w:lang w:val="en-GB"/>
        </w:rPr>
        <w:t>Bar-On model</w:t>
      </w:r>
      <w:r w:rsidRPr="663C9380" w:rsidR="2A6F5D0A">
        <w:rPr>
          <w:rFonts w:ascii="Aptos" w:hAnsi="Aptos" w:eastAsia="Aptos" w:cs="Aptos"/>
          <w:noProof w:val="0"/>
          <w:sz w:val="24"/>
          <w:szCs w:val="24"/>
          <w:lang w:val="en-GB"/>
        </w:rPr>
        <w:t>—offer valuable insights into the conceptualisation of EI. Critically comparing these frameworks highlights both the diversity and complementarity of approaches to understanding emotional competence.</w:t>
      </w:r>
    </w:p>
    <w:p w:rsidR="2A6F5D0A" w:rsidP="663C9380" w:rsidRDefault="2A6F5D0A" w14:paraId="4FA3FAD1" w14:textId="5F35836F">
      <w:pPr>
        <w:spacing w:before="240" w:beforeAutospacing="off" w:after="240" w:afterAutospacing="off"/>
      </w:pPr>
      <w:r w:rsidRPr="663C9380" w:rsidR="2A6F5D0A">
        <w:rPr>
          <w:rFonts w:ascii="Aptos" w:hAnsi="Aptos" w:eastAsia="Aptos" w:cs="Aptos"/>
          <w:noProof w:val="0"/>
          <w:sz w:val="24"/>
          <w:szCs w:val="24"/>
          <w:lang w:val="en-GB"/>
        </w:rPr>
        <w:t xml:space="preserve">The </w:t>
      </w:r>
      <w:r w:rsidRPr="663C9380" w:rsidR="2A6F5D0A">
        <w:rPr>
          <w:rFonts w:ascii="Aptos" w:hAnsi="Aptos" w:eastAsia="Aptos" w:cs="Aptos"/>
          <w:b w:val="1"/>
          <w:bCs w:val="1"/>
          <w:noProof w:val="0"/>
          <w:sz w:val="24"/>
          <w:szCs w:val="24"/>
          <w:lang w:val="en-GB"/>
        </w:rPr>
        <w:t>Mayer–Salovey model</w:t>
      </w:r>
      <w:r w:rsidRPr="663C9380" w:rsidR="2A6F5D0A">
        <w:rPr>
          <w:rFonts w:ascii="Aptos" w:hAnsi="Aptos" w:eastAsia="Aptos" w:cs="Aptos"/>
          <w:noProof w:val="0"/>
          <w:sz w:val="24"/>
          <w:szCs w:val="24"/>
          <w:lang w:val="en-GB"/>
        </w:rPr>
        <w:t xml:space="preserve"> (Mayer and Salovey, 1997) conceptualises EI as a form of cognitive ability that involves the accurate perception, understanding, and management of emotions. It comprises four hierarchical branches: (1) perceiving emotions, (2) using emotions to facilitate thinking, (3) understanding emotional meanings, and (4) managing emotions in oneself and others. This model treats EI as a measurable intelligence akin to traditional cognitive abilities, assessed through performance-based tests such as the Mayer–Salovey–Caruso Emotional Intelligence Test (MSCEIT). Its strength lies in its empirical precision and differentiation from personality traits. However, critics argue that ability-based measures may overlook dispositional and contextual factors that influence emotional behaviour in real workplaces (Petrides and Furnham, 2000). For instance, an individual might score highly on emotional perception but still lack interpersonal sensitivity due to personality or environmental influences.</w:t>
      </w:r>
    </w:p>
    <w:p w:rsidR="2A6F5D0A" w:rsidP="663C9380" w:rsidRDefault="2A6F5D0A" w14:paraId="086FE2C2" w14:textId="39EE07CC">
      <w:pPr>
        <w:spacing w:before="240" w:beforeAutospacing="off" w:after="240" w:afterAutospacing="off"/>
      </w:pPr>
      <w:r w:rsidRPr="663C9380" w:rsidR="2A6F5D0A">
        <w:rPr>
          <w:rFonts w:ascii="Aptos" w:hAnsi="Aptos" w:eastAsia="Aptos" w:cs="Aptos"/>
          <w:noProof w:val="0"/>
          <w:sz w:val="24"/>
          <w:szCs w:val="24"/>
          <w:lang w:val="en-GB"/>
        </w:rPr>
        <w:t xml:space="preserve">The </w:t>
      </w:r>
      <w:r w:rsidRPr="663C9380" w:rsidR="2A6F5D0A">
        <w:rPr>
          <w:rFonts w:ascii="Aptos" w:hAnsi="Aptos" w:eastAsia="Aptos" w:cs="Aptos"/>
          <w:b w:val="1"/>
          <w:bCs w:val="1"/>
          <w:noProof w:val="0"/>
          <w:sz w:val="24"/>
          <w:szCs w:val="24"/>
          <w:lang w:val="en-GB"/>
        </w:rPr>
        <w:t>Bar-On model</w:t>
      </w:r>
      <w:r w:rsidRPr="663C9380" w:rsidR="2A6F5D0A">
        <w:rPr>
          <w:rFonts w:ascii="Aptos" w:hAnsi="Aptos" w:eastAsia="Aptos" w:cs="Aptos"/>
          <w:noProof w:val="0"/>
          <w:sz w:val="24"/>
          <w:szCs w:val="24"/>
          <w:lang w:val="en-GB"/>
        </w:rPr>
        <w:t xml:space="preserve"> (Bar-On, 1997), in contrast, adopts a </w:t>
      </w:r>
      <w:r w:rsidRPr="663C9380" w:rsidR="2A6F5D0A">
        <w:rPr>
          <w:rFonts w:ascii="Aptos" w:hAnsi="Aptos" w:eastAsia="Aptos" w:cs="Aptos"/>
          <w:b w:val="1"/>
          <w:bCs w:val="1"/>
          <w:noProof w:val="0"/>
          <w:sz w:val="24"/>
          <w:szCs w:val="24"/>
          <w:lang w:val="en-GB"/>
        </w:rPr>
        <w:t>trait-based</w:t>
      </w:r>
      <w:r w:rsidRPr="663C9380" w:rsidR="2A6F5D0A">
        <w:rPr>
          <w:rFonts w:ascii="Aptos" w:hAnsi="Aptos" w:eastAsia="Aptos" w:cs="Aptos"/>
          <w:noProof w:val="0"/>
          <w:sz w:val="24"/>
          <w:szCs w:val="24"/>
          <w:lang w:val="en-GB"/>
        </w:rPr>
        <w:t xml:space="preserve"> approach, defining EI as an array of emotional and social competencies that determine how individuals understand and express themselves, relate to others, and cope with daily demands. Bar-On identifies five broad domains—</w:t>
      </w:r>
      <w:r w:rsidRPr="663C9380" w:rsidR="2A6F5D0A">
        <w:rPr>
          <w:rFonts w:ascii="Aptos" w:hAnsi="Aptos" w:eastAsia="Aptos" w:cs="Aptos"/>
          <w:b w:val="1"/>
          <w:bCs w:val="1"/>
          <w:noProof w:val="0"/>
          <w:sz w:val="24"/>
          <w:szCs w:val="24"/>
          <w:lang w:val="en-GB"/>
        </w:rPr>
        <w:t>intrapersonal skills, interpersonal skills, adaptability, stress management,</w:t>
      </w:r>
      <w:r w:rsidRPr="663C9380" w:rsidR="2A6F5D0A">
        <w:rPr>
          <w:rFonts w:ascii="Aptos" w:hAnsi="Aptos" w:eastAsia="Aptos" w:cs="Aptos"/>
          <w:noProof w:val="0"/>
          <w:sz w:val="24"/>
          <w:szCs w:val="24"/>
          <w:lang w:val="en-GB"/>
        </w:rPr>
        <w:t xml:space="preserve"> and </w:t>
      </w:r>
      <w:r w:rsidRPr="663C9380" w:rsidR="2A6F5D0A">
        <w:rPr>
          <w:rFonts w:ascii="Aptos" w:hAnsi="Aptos" w:eastAsia="Aptos" w:cs="Aptos"/>
          <w:b w:val="1"/>
          <w:bCs w:val="1"/>
          <w:noProof w:val="0"/>
          <w:sz w:val="24"/>
          <w:szCs w:val="24"/>
          <w:lang w:val="en-GB"/>
        </w:rPr>
        <w:t>general mood</w:t>
      </w:r>
      <w:r w:rsidRPr="663C9380" w:rsidR="2A6F5D0A">
        <w:rPr>
          <w:rFonts w:ascii="Aptos" w:hAnsi="Aptos" w:eastAsia="Aptos" w:cs="Aptos"/>
          <w:noProof w:val="0"/>
          <w:sz w:val="24"/>
          <w:szCs w:val="24"/>
          <w:lang w:val="en-GB"/>
        </w:rPr>
        <w:t>—each encompassing specific traits such as emotional self-awareness, empathy, and problem-solving. The Emotional Quotient Inventory (EQ-i) measures these attributes, making the model particularly applicable for personal development and workplace assessments. Critics, however, contend that Bar-On’s model overlaps with personality psychology, raising questions about whether EI is truly distinct from established constructs such as extraversion or neuroticism (Matthews et al., 2002).</w:t>
      </w:r>
    </w:p>
    <w:p w:rsidR="2A6F5D0A" w:rsidP="663C9380" w:rsidRDefault="2A6F5D0A" w14:paraId="0DC22BD7" w14:textId="3C922DC2">
      <w:pPr>
        <w:spacing w:before="240" w:beforeAutospacing="off" w:after="240" w:afterAutospacing="off"/>
      </w:pPr>
      <w:r w:rsidRPr="663C9380" w:rsidR="2A6F5D0A">
        <w:rPr>
          <w:rFonts w:ascii="Aptos" w:hAnsi="Aptos" w:eastAsia="Aptos" w:cs="Aptos"/>
          <w:noProof w:val="0"/>
          <w:sz w:val="24"/>
          <w:szCs w:val="24"/>
          <w:lang w:val="en-GB"/>
        </w:rPr>
        <w:t xml:space="preserve">Goleman’s </w:t>
      </w:r>
      <w:r w:rsidRPr="663C9380" w:rsidR="2A6F5D0A">
        <w:rPr>
          <w:rFonts w:ascii="Aptos" w:hAnsi="Aptos" w:eastAsia="Aptos" w:cs="Aptos"/>
          <w:b w:val="1"/>
          <w:bCs w:val="1"/>
          <w:noProof w:val="0"/>
          <w:sz w:val="24"/>
          <w:szCs w:val="24"/>
          <w:lang w:val="en-GB"/>
        </w:rPr>
        <w:t>mixed model</w:t>
      </w:r>
      <w:r w:rsidRPr="663C9380" w:rsidR="2A6F5D0A">
        <w:rPr>
          <w:rFonts w:ascii="Aptos" w:hAnsi="Aptos" w:eastAsia="Aptos" w:cs="Aptos"/>
          <w:noProof w:val="0"/>
          <w:sz w:val="24"/>
          <w:szCs w:val="24"/>
          <w:lang w:val="en-GB"/>
        </w:rPr>
        <w:t xml:space="preserve"> (1995, 1998) integrates aspects of both the ability-based and trait-based perspectives. It combines cognitive capacities with behavioural competencies, positioning EI as a skill set that can be developed through training and experience. This developmental orientation has made Goleman’s framework especially popular in leadership and organisational studies. While it has been criticised for conceptual breadth and limited psychometric precision, its emphasis on practical application—particularly in management and performance contexts—aligns closely with workplace realities (Cherniss, 2010).</w:t>
      </w:r>
    </w:p>
    <w:p w:rsidR="2A6F5D0A" w:rsidP="663C9380" w:rsidRDefault="2A6F5D0A" w14:paraId="335AC2EE" w14:textId="30F76561">
      <w:pPr>
        <w:spacing w:before="240" w:beforeAutospacing="off" w:after="240" w:afterAutospacing="off"/>
      </w:pPr>
      <w:r w:rsidRPr="663C9380" w:rsidR="2A6F5D0A">
        <w:rPr>
          <w:rFonts w:ascii="Aptos" w:hAnsi="Aptos" w:eastAsia="Aptos" w:cs="Aptos"/>
          <w:noProof w:val="0"/>
          <w:sz w:val="24"/>
          <w:szCs w:val="24"/>
          <w:lang w:val="en-GB"/>
        </w:rPr>
        <w:t>Comparatively, the Mayer–Salovey model offers theoretical rigour, the Bar-On model provides diagnostic depth, and Goleman’s framework delivers actionable insight for leadership and teamwork. In practice, organisations may integrate elements from all three: using ability tests for assessment, trait inventories for self-awareness, and competency frameworks for development. This holistic approach ensures that EI is both measurable and applicable, bridging the gap between theory and professional practice.</w:t>
      </w:r>
    </w:p>
    <w:p w:rsidR="663C9380" w:rsidRDefault="663C9380" w14:paraId="258EF622" w14:textId="7BD339DD"/>
    <w:p w:rsidR="2A6F5D0A" w:rsidP="663C9380" w:rsidRDefault="2A6F5D0A" w14:paraId="44144FA6" w14:textId="7B0200C3">
      <w:pPr>
        <w:pStyle w:val="Heading3"/>
        <w:spacing w:before="281" w:beforeAutospacing="off" w:after="281" w:afterAutospacing="off"/>
        <w:rPr>
          <w:rFonts w:ascii="Aptos" w:hAnsi="Aptos" w:eastAsia="Aptos" w:cs="Aptos"/>
          <w:b w:val="1"/>
          <w:bCs w:val="1"/>
          <w:noProof w:val="0"/>
          <w:sz w:val="28"/>
          <w:szCs w:val="28"/>
          <w:lang w:val="en-GB"/>
        </w:rPr>
      </w:pPr>
      <w:bookmarkStart w:name="_Toc1343984906" w:id="781619238"/>
      <w:r w:rsidRPr="663C9380" w:rsidR="2A6F5D0A">
        <w:rPr>
          <w:rFonts w:ascii="Aptos" w:hAnsi="Aptos" w:eastAsia="Aptos" w:cs="Aptos"/>
          <w:b w:val="1"/>
          <w:bCs w:val="1"/>
          <w:noProof w:val="0"/>
          <w:sz w:val="28"/>
          <w:szCs w:val="28"/>
          <w:lang w:val="en-GB"/>
        </w:rPr>
        <w:t>2.3 Workplace Applications of Emotional Intelligence</w:t>
      </w:r>
      <w:bookmarkEnd w:id="781619238"/>
    </w:p>
    <w:p w:rsidR="2A6F5D0A" w:rsidP="663C9380" w:rsidRDefault="2A6F5D0A" w14:paraId="3F227ED4" w14:textId="2DC484D5">
      <w:pPr>
        <w:spacing w:before="240" w:beforeAutospacing="off" w:after="240" w:afterAutospacing="off"/>
      </w:pPr>
      <w:r w:rsidRPr="663C9380" w:rsidR="2A6F5D0A">
        <w:rPr>
          <w:rFonts w:ascii="Aptos" w:hAnsi="Aptos" w:eastAsia="Aptos" w:cs="Aptos"/>
          <w:noProof w:val="0"/>
          <w:sz w:val="24"/>
          <w:szCs w:val="24"/>
          <w:lang w:val="en-GB"/>
        </w:rPr>
        <w:t>Emotional intelligence directly influences multiple dimensions of organisational effectiveness, including performance management, communication, leadership, and employee wellbeing. By recognising and managing emotions—both their own and others’—employees can navigate complex interpersonal situations, adapt to change, and foster a positive workplace climate.</w:t>
      </w:r>
    </w:p>
    <w:p w:rsidR="2A6F5D0A" w:rsidP="663C9380" w:rsidRDefault="2A6F5D0A" w14:paraId="20DDF1DA" w14:textId="10EE8C7D">
      <w:pPr>
        <w:spacing w:before="240" w:beforeAutospacing="off" w:after="240" w:afterAutospacing="off"/>
      </w:pPr>
      <w:r w:rsidRPr="663C9380" w:rsidR="2A6F5D0A">
        <w:rPr>
          <w:rFonts w:ascii="Aptos" w:hAnsi="Aptos" w:eastAsia="Aptos" w:cs="Aptos"/>
          <w:b w:val="1"/>
          <w:bCs w:val="1"/>
          <w:noProof w:val="0"/>
          <w:sz w:val="24"/>
          <w:szCs w:val="24"/>
          <w:lang w:val="en-GB"/>
        </w:rPr>
        <w:t>Performance Management and Professional Development</w:t>
      </w:r>
      <w:r>
        <w:br/>
      </w:r>
      <w:r w:rsidRPr="663C9380" w:rsidR="2A6F5D0A">
        <w:rPr>
          <w:rFonts w:ascii="Aptos" w:hAnsi="Aptos" w:eastAsia="Aptos" w:cs="Aptos"/>
          <w:noProof w:val="0"/>
          <w:sz w:val="24"/>
          <w:szCs w:val="24"/>
          <w:lang w:val="en-GB"/>
        </w:rPr>
        <w:t xml:space="preserve"> EI is central to effective performance management, as emotionally intelligent employees respond constructively to feedback and view challenges as opportunities for growth. Individuals with strong self-awareness and self-regulation engage in reflective practice, identifying performance gaps and developing targeted improvement plans. Incorporating EI into Personal Development Plans (PDPs) enhances accountability and self-directed learning (Boyatzis, 2009). For instance, a sales representative who recognises that frustration affects client interactions may develop mindfulness techniques to maintain composure and empathy during negotiations. Managers who employ EI in feedback sessions create psychologically safe environments where employees feel supported rather than criticised.</w:t>
      </w:r>
    </w:p>
    <w:p w:rsidR="2A6F5D0A" w:rsidP="663C9380" w:rsidRDefault="2A6F5D0A" w14:paraId="1907197E" w14:textId="314E16C2">
      <w:pPr>
        <w:spacing w:before="240" w:beforeAutospacing="off" w:after="240" w:afterAutospacing="off"/>
      </w:pPr>
      <w:r w:rsidRPr="663C9380" w:rsidR="2A6F5D0A">
        <w:rPr>
          <w:rFonts w:ascii="Aptos" w:hAnsi="Aptos" w:eastAsia="Aptos" w:cs="Aptos"/>
          <w:b w:val="1"/>
          <w:bCs w:val="1"/>
          <w:noProof w:val="0"/>
          <w:sz w:val="24"/>
          <w:szCs w:val="24"/>
          <w:lang w:val="en-GB"/>
        </w:rPr>
        <w:t>Leadership and Team Dynamics</w:t>
      </w:r>
      <w:r>
        <w:br/>
      </w:r>
      <w:r w:rsidRPr="663C9380" w:rsidR="2A6F5D0A">
        <w:rPr>
          <w:rFonts w:ascii="Aptos" w:hAnsi="Aptos" w:eastAsia="Aptos" w:cs="Aptos"/>
          <w:noProof w:val="0"/>
          <w:sz w:val="24"/>
          <w:szCs w:val="24"/>
          <w:lang w:val="en-GB"/>
        </w:rPr>
        <w:t xml:space="preserve"> Leaders high in EI inspire trust and commitment by balancing empathy with assertiveness. Transformational leadership theory suggests that emotionally intelligent leaders motivate teams by articulating a shared vision and demonstrating genuine concern for employee needs (Bass and Riggio, 2006). Such leaders manage emotions effectively during organisational change, reducing anxiety and resistance. In contrast, leaders lacking EI may provoke conflict or disengagement by ignoring emotional cues. Empirical studies have shown positive correlations between leader EI and team performance, job satisfaction, and organisational citizenship behaviour (Côté and Miners, 2006). EI training therefore represents a strategic investment in leadership development.</w:t>
      </w:r>
    </w:p>
    <w:p w:rsidR="2A6F5D0A" w:rsidP="663C9380" w:rsidRDefault="2A6F5D0A" w14:paraId="60C6ECAC" w14:textId="541FF948">
      <w:pPr>
        <w:spacing w:before="240" w:beforeAutospacing="off" w:after="240" w:afterAutospacing="off"/>
      </w:pPr>
      <w:r w:rsidRPr="663C9380" w:rsidR="2A6F5D0A">
        <w:rPr>
          <w:rFonts w:ascii="Aptos" w:hAnsi="Aptos" w:eastAsia="Aptos" w:cs="Aptos"/>
          <w:b w:val="1"/>
          <w:bCs w:val="1"/>
          <w:noProof w:val="0"/>
          <w:sz w:val="24"/>
          <w:szCs w:val="24"/>
          <w:lang w:val="en-GB"/>
        </w:rPr>
        <w:t>Communication and Collaboration</w:t>
      </w:r>
      <w:r>
        <w:br/>
      </w:r>
      <w:r w:rsidRPr="663C9380" w:rsidR="2A6F5D0A">
        <w:rPr>
          <w:rFonts w:ascii="Aptos" w:hAnsi="Aptos" w:eastAsia="Aptos" w:cs="Aptos"/>
          <w:noProof w:val="0"/>
          <w:sz w:val="24"/>
          <w:szCs w:val="24"/>
          <w:lang w:val="en-GB"/>
        </w:rPr>
        <w:t xml:space="preserve"> EI fosters effective communication by promoting empathy, active listening, and adaptability in interpersonal interactions. Employees with high emotional intelligence interpret non-verbal cues accurately and adjust their tone or approach according to context. This skill is critical in multicultural workplaces, where sensitivity to diverse emotional expressions enhances inclusion and cohesion. Relationship management skills enable conflict resolution through collaborative dialogue rather than confrontation. For example, an emotionally intelligent mediator focuses on underlying needs and shared goals rather than positional arguments, facilitating consensus and long-term cooperation.</w:t>
      </w:r>
    </w:p>
    <w:p w:rsidR="2A6F5D0A" w:rsidP="663C9380" w:rsidRDefault="2A6F5D0A" w14:paraId="4464D902" w14:textId="701A13F1">
      <w:pPr>
        <w:spacing w:before="240" w:beforeAutospacing="off" w:after="240" w:afterAutospacing="off"/>
      </w:pPr>
      <w:r w:rsidRPr="663C9380" w:rsidR="2A6F5D0A">
        <w:rPr>
          <w:rFonts w:ascii="Aptos" w:hAnsi="Aptos" w:eastAsia="Aptos" w:cs="Aptos"/>
          <w:b w:val="1"/>
          <w:bCs w:val="1"/>
          <w:noProof w:val="0"/>
          <w:sz w:val="24"/>
          <w:szCs w:val="24"/>
          <w:lang w:val="en-GB"/>
        </w:rPr>
        <w:t>Mindfulness and Emotional Regulation</w:t>
      </w:r>
      <w:r>
        <w:br/>
      </w:r>
      <w:r w:rsidRPr="663C9380" w:rsidR="2A6F5D0A">
        <w:rPr>
          <w:rFonts w:ascii="Aptos" w:hAnsi="Aptos" w:eastAsia="Aptos" w:cs="Aptos"/>
          <w:noProof w:val="0"/>
          <w:sz w:val="24"/>
          <w:szCs w:val="24"/>
          <w:lang w:val="en-GB"/>
        </w:rPr>
        <w:t xml:space="preserve"> Mindfulness complements EI by cultivating awareness and control over emotional responses. Kabat-Zinn (1994) defines mindfulness as the intentional focus on present-moment experience without judgement. Regular mindfulness practice has been linked to improved concentration, reduced stress, and greater emotional stability (Good et al., 2016). In the workplace, mindfulness supports emotional balance, allowing employees to pause before reacting to stressful stimuli. Organisations increasingly incorporate mindfulness training to reduce burnout and enhance empathy among staff. For example, Google’s “Search Inside Yourself” programme combines mindfulness with EI training to improve emotional regulation and collaboration.</w:t>
      </w:r>
    </w:p>
    <w:p w:rsidR="2A6F5D0A" w:rsidP="663C9380" w:rsidRDefault="2A6F5D0A" w14:paraId="658C831C" w14:textId="7C3C89B8">
      <w:pPr>
        <w:spacing w:before="240" w:beforeAutospacing="off" w:after="240" w:afterAutospacing="off"/>
      </w:pPr>
      <w:r w:rsidRPr="663C9380" w:rsidR="2A6F5D0A">
        <w:rPr>
          <w:rFonts w:ascii="Aptos" w:hAnsi="Aptos" w:eastAsia="Aptos" w:cs="Aptos"/>
          <w:b w:val="1"/>
          <w:bCs w:val="1"/>
          <w:noProof w:val="0"/>
          <w:sz w:val="24"/>
          <w:szCs w:val="24"/>
          <w:lang w:val="en-GB"/>
        </w:rPr>
        <w:t>Organisational Culture and Wellbeing</w:t>
      </w:r>
      <w:r>
        <w:br/>
      </w:r>
      <w:r w:rsidRPr="663C9380" w:rsidR="2A6F5D0A">
        <w:rPr>
          <w:rFonts w:ascii="Aptos" w:hAnsi="Aptos" w:eastAsia="Aptos" w:cs="Aptos"/>
          <w:noProof w:val="0"/>
          <w:sz w:val="24"/>
          <w:szCs w:val="24"/>
          <w:lang w:val="en-GB"/>
        </w:rPr>
        <w:t xml:space="preserve"> Emotionally intelligent workplaces promote openness, respect, and psychological safety, enabling employees to express ideas and emotions constructively. Cherniss and Goleman (2001) argue that organisational culture acts as an amplifier for individual EI—when leaders model emotional competence, it cascades through teams and departments. HR practices that integrate EI competencies into recruitment, appraisal, and leadership frameworks contribute to long-term engagement and retention. Moreover, emotionally intelligent cultures are better equipped to manage diversity, as empathy and adaptability encourage inclusivity and mutual understanding.</w:t>
      </w:r>
    </w:p>
    <w:p w:rsidR="2A6F5D0A" w:rsidP="663C9380" w:rsidRDefault="2A6F5D0A" w14:paraId="6B49C9A8" w14:textId="765DDE3B">
      <w:pPr>
        <w:spacing w:before="240" w:beforeAutospacing="off" w:after="240" w:afterAutospacing="off"/>
      </w:pPr>
      <w:r w:rsidRPr="663C9380" w:rsidR="2A6F5D0A">
        <w:rPr>
          <w:rFonts w:ascii="Aptos" w:hAnsi="Aptos" w:eastAsia="Aptos" w:cs="Aptos"/>
          <w:b w:val="1"/>
          <w:bCs w:val="1"/>
          <w:noProof w:val="0"/>
          <w:sz w:val="24"/>
          <w:szCs w:val="24"/>
          <w:lang w:val="en-GB"/>
        </w:rPr>
        <w:t>Critical Perspective</w:t>
      </w:r>
      <w:r>
        <w:br/>
      </w:r>
      <w:r w:rsidRPr="663C9380" w:rsidR="2A6F5D0A">
        <w:rPr>
          <w:rFonts w:ascii="Aptos" w:hAnsi="Aptos" w:eastAsia="Aptos" w:cs="Aptos"/>
          <w:noProof w:val="0"/>
          <w:sz w:val="24"/>
          <w:szCs w:val="24"/>
          <w:lang w:val="en-GB"/>
        </w:rPr>
        <w:t xml:space="preserve"> Despite its many advantages, the concept of EI is not without critique. Some scholars question the construct’s distinctiveness and measurement validity, suggesting overlap with existing psychological traits (Matthews et al., 2002). Others caution against overemphasising emotional harmony at the expense of rational decision-making (Antonakis, 2009). Nevertheless, empirical evidence increasingly supports the value of EI as a predictor of workplace success and leadership effectiveness. The key lies in applying EI judiciously—balancing emotional awareness with analytical reasoning to achieve organisational objectives.</w:t>
      </w:r>
    </w:p>
    <w:p w:rsidR="663C9380" w:rsidP="663C9380" w:rsidRDefault="663C9380" w14:paraId="15764296" w14:textId="466A9511">
      <w:pPr>
        <w:spacing w:before="240" w:beforeAutospacing="off" w:after="240" w:afterAutospacing="off"/>
        <w:rPr>
          <w:rFonts w:ascii="Aptos" w:hAnsi="Aptos" w:eastAsia="Aptos" w:cs="Aptos"/>
          <w:noProof w:val="0"/>
          <w:sz w:val="24"/>
          <w:szCs w:val="24"/>
          <w:lang w:val="en-GB"/>
        </w:rPr>
      </w:pPr>
    </w:p>
    <w:p w:rsidR="663C9380" w:rsidRDefault="663C9380" w14:paraId="139D9899" w14:textId="0E1DDEA7">
      <w:r>
        <w:br w:type="page"/>
      </w:r>
    </w:p>
    <w:p w:rsidR="06B709CB" w:rsidP="663C9380" w:rsidRDefault="06B709CB" w14:paraId="15065758" w14:textId="6777309A">
      <w:pPr>
        <w:pStyle w:val="Heading2"/>
        <w:spacing w:before="299" w:beforeAutospacing="off" w:after="299" w:afterAutospacing="off"/>
        <w:rPr>
          <w:rFonts w:ascii="Aptos" w:hAnsi="Aptos" w:eastAsia="Aptos" w:cs="Aptos"/>
          <w:b w:val="1"/>
          <w:bCs w:val="1"/>
          <w:noProof w:val="0"/>
          <w:sz w:val="36"/>
          <w:szCs w:val="36"/>
          <w:lang w:val="en-GB"/>
        </w:rPr>
      </w:pPr>
      <w:bookmarkStart w:name="_Toc57694460" w:id="1464427253"/>
      <w:r w:rsidRPr="663C9380" w:rsidR="06B709CB">
        <w:rPr>
          <w:rFonts w:ascii="Aptos" w:hAnsi="Aptos" w:eastAsia="Aptos" w:cs="Aptos"/>
          <w:b w:val="1"/>
          <w:bCs w:val="1"/>
          <w:noProof w:val="0"/>
          <w:sz w:val="36"/>
          <w:szCs w:val="36"/>
          <w:lang w:val="en-GB"/>
        </w:rPr>
        <w:t>Generational Differences in Recruitment</w:t>
      </w:r>
      <w:bookmarkEnd w:id="1464427253"/>
    </w:p>
    <w:p w:rsidR="06B709CB" w:rsidP="3CC5C114" w:rsidRDefault="06B709CB" w14:paraId="34069213" w14:textId="7BA22A42">
      <w:pPr>
        <w:pStyle w:val="Heading3"/>
        <w:spacing w:before="281" w:beforeAutospacing="off" w:after="281" w:afterAutospacing="off"/>
        <w:rPr>
          <w:rFonts w:ascii="Aptos" w:hAnsi="Aptos" w:eastAsia="Aptos" w:cs="Aptos"/>
          <w:b w:val="1"/>
          <w:bCs w:val="1"/>
          <w:noProof w:val="0"/>
          <w:sz w:val="28"/>
          <w:szCs w:val="28"/>
          <w:lang w:val="en-GB"/>
        </w:rPr>
      </w:pPr>
      <w:bookmarkStart w:name="_Toc645202917" w:id="1587746655"/>
      <w:r w:rsidRPr="3CC5C114" w:rsidR="06B709CB">
        <w:rPr>
          <w:rFonts w:ascii="Aptos" w:hAnsi="Aptos" w:eastAsia="Aptos" w:cs="Aptos"/>
          <w:b w:val="1"/>
          <w:bCs w:val="1"/>
          <w:noProof w:val="0"/>
          <w:sz w:val="28"/>
          <w:szCs w:val="28"/>
          <w:lang w:val="en-GB"/>
        </w:rPr>
        <w:t xml:space="preserve">3.1 </w:t>
      </w:r>
      <w:bookmarkEnd w:id="1587746655"/>
      <w:r w:rsidRPr="3CC5C114" w:rsidR="5238DEF0">
        <w:rPr>
          <w:b w:val="1"/>
          <w:bCs w:val="1"/>
          <w:noProof w:val="0"/>
          <w:sz w:val="28"/>
          <w:szCs w:val="28"/>
          <w:lang w:val="en-GB"/>
        </w:rPr>
        <w:t>Defining Generations X, Y, and Z</w:t>
      </w:r>
    </w:p>
    <w:p w:rsidR="06B709CB" w:rsidP="3CC5C114" w:rsidRDefault="06B709CB" w14:paraId="3F823EE6" w14:textId="48C44F63">
      <w:pPr>
        <w:spacing w:before="240" w:beforeAutospacing="off" w:after="240" w:afterAutospacing="off"/>
      </w:pPr>
      <w:r w:rsidRPr="3CC5C114" w:rsidR="5238DEF0">
        <w:rPr>
          <w:noProof w:val="0"/>
          <w:lang w:val="en-GB"/>
        </w:rPr>
        <w:t>Generational theory suggests that individuals born within the same historical period share similar values and behaviours shaped by their social context (Mannheim, 1952). In the workplace, these differences influence communication, motivation, and emotional expression.</w:t>
      </w:r>
    </w:p>
    <w:p w:rsidR="06B709CB" w:rsidP="3CC5C114" w:rsidRDefault="06B709CB" w14:paraId="33EE0A59" w14:textId="20678E08">
      <w:pPr>
        <w:spacing w:before="240" w:beforeAutospacing="off" w:after="240" w:afterAutospacing="off"/>
      </w:pPr>
      <w:r w:rsidRPr="3CC5C114" w:rsidR="5238DEF0">
        <w:rPr>
          <w:noProof w:val="0"/>
          <w:lang w:val="en-GB"/>
        </w:rPr>
        <w:t>Generation X (1965–1980) entered the workforce during economic restructuring and early technological change. They are often independent, pragmatic, and value autonomy and work–life balance (Lyons &amp; Kuron, 2014). With limited early digital exposure, they prefer direct communication and typically display emotional restraint.</w:t>
      </w:r>
    </w:p>
    <w:p w:rsidR="06B709CB" w:rsidP="3CC5C114" w:rsidRDefault="06B709CB" w14:paraId="34B01624" w14:textId="4AA72866">
      <w:pPr>
        <w:spacing w:before="240" w:beforeAutospacing="off" w:after="240" w:afterAutospacing="off"/>
      </w:pPr>
      <w:r w:rsidRPr="3CC5C114" w:rsidR="5238DEF0">
        <w:rPr>
          <w:noProof w:val="0"/>
          <w:lang w:val="en-GB"/>
        </w:rPr>
        <w:t>Generation Y or Millennials (1981–1996) grew up with globalisation and rapid technological development. They are collaborative, tech-savvy, and value purposeful work, feedback, and professional growth (Ng et al., 2010). They are generally more open in discussing wellbeing and relationships.</w:t>
      </w:r>
    </w:p>
    <w:p w:rsidR="06B709CB" w:rsidP="3CC5C114" w:rsidRDefault="06B709CB" w14:paraId="6D68E850" w14:textId="78469816">
      <w:pPr>
        <w:spacing w:before="240" w:beforeAutospacing="off" w:after="240" w:afterAutospacing="off"/>
      </w:pPr>
      <w:r w:rsidRPr="3CC5C114" w:rsidR="5238DEF0">
        <w:rPr>
          <w:noProof w:val="0"/>
          <w:lang w:val="en-GB"/>
        </w:rPr>
        <w:t>Generation Z (1997–2012) are digital natives shaped by social media and instant communication (Francis &amp; Hoefel, 2018). They prioritise diversity, flexibility, and mental health. They expect transparent, emotionally intelligent leadership but may experience stress due to information overload.</w:t>
      </w:r>
    </w:p>
    <w:p w:rsidR="06B709CB" w:rsidP="3CC5C114" w:rsidRDefault="06B709CB" w14:paraId="6461ED1E" w14:textId="540BD590">
      <w:pPr>
        <w:spacing w:before="281" w:beforeAutospacing="off" w:after="281" w:afterAutospacing="off"/>
      </w:pPr>
    </w:p>
    <w:p w:rsidR="06B709CB" w:rsidP="663C9380" w:rsidRDefault="06B709CB" w14:paraId="3B647638" w14:textId="59A0D57F">
      <w:pPr>
        <w:pStyle w:val="Heading3"/>
        <w:spacing w:before="281" w:beforeAutospacing="off" w:after="281" w:afterAutospacing="off"/>
      </w:pPr>
      <w:r w:rsidRPr="3CC5C114" w:rsidR="5238DEF0">
        <w:rPr>
          <w:b w:val="1"/>
          <w:bCs w:val="1"/>
          <w:noProof w:val="0"/>
          <w:sz w:val="28"/>
          <w:szCs w:val="28"/>
          <w:lang w:val="en-GB"/>
        </w:rPr>
        <w:t>3.2 Generational Cohorts in the Workplace</w:t>
      </w:r>
    </w:p>
    <w:p w:rsidR="06B709CB" w:rsidP="3CC5C114" w:rsidRDefault="06B709CB" w14:paraId="46396F58" w14:textId="7CF57C20">
      <w:pPr>
        <w:spacing w:before="240" w:beforeAutospacing="off" w:after="240" w:afterAutospacing="off"/>
      </w:pPr>
      <w:r w:rsidRPr="3CC5C114" w:rsidR="5238DEF0">
        <w:rPr>
          <w:noProof w:val="0"/>
          <w:lang w:val="en-GB"/>
        </w:rPr>
        <w:t>Shared generational experiences shape attitudes toward authority, communication, and emotional expression (Smola &amp; Sutton, 2002). Gen X often prefers emotional control and professional distance, reflecting self-efficacy and independence (Bandura, 1986). Millennials favour participative communication and value empathetic leadership aligned with Goleman’s (1995) EI competencies. Gen Z demonstrates high emotional awareness and seeks authenticity, though digital immersion can challenge face-to-face emotional skills.</w:t>
      </w:r>
    </w:p>
    <w:p w:rsidR="06B709CB" w:rsidP="3CC5C114" w:rsidRDefault="06B709CB" w14:paraId="5D01285C" w14:textId="62D94986">
      <w:pPr>
        <w:spacing w:before="281" w:beforeAutospacing="off" w:after="281" w:afterAutospacing="off"/>
      </w:pPr>
    </w:p>
    <w:p w:rsidR="06B709CB" w:rsidP="663C9380" w:rsidRDefault="06B709CB" w14:paraId="5849E706" w14:textId="54D0D572">
      <w:pPr>
        <w:pStyle w:val="Heading3"/>
        <w:spacing w:before="281" w:beforeAutospacing="off" w:after="281" w:afterAutospacing="off"/>
      </w:pPr>
      <w:r w:rsidRPr="3CC5C114" w:rsidR="5238DEF0">
        <w:rPr>
          <w:b w:val="1"/>
          <w:bCs w:val="1"/>
          <w:noProof w:val="0"/>
          <w:sz w:val="28"/>
          <w:szCs w:val="28"/>
          <w:lang w:val="en-GB"/>
        </w:rPr>
        <w:t>3.3 Emotional Expression and Regulation</w:t>
      </w:r>
    </w:p>
    <w:p w:rsidR="06B709CB" w:rsidP="3CC5C114" w:rsidRDefault="06B709CB" w14:paraId="0E695316" w14:textId="46D13E01">
      <w:pPr>
        <w:spacing w:before="240" w:beforeAutospacing="off" w:after="240" w:afterAutospacing="off"/>
      </w:pPr>
      <w:r w:rsidRPr="3CC5C114" w:rsidR="5238DEF0">
        <w:rPr>
          <w:noProof w:val="0"/>
          <w:lang w:val="en-GB"/>
        </w:rPr>
        <w:t>Gen X typically emphasises emotional restraint and composure (Jorgensen, 2003). Millennials balance openness with constructive communication, supported by digital tools. Gen Z shows heightened emotional expressiveness and mental health awareness but may face anxiety from constant information flow. Supporting this group requires psychological safety and resilience-building.</w:t>
      </w:r>
    </w:p>
    <w:p w:rsidR="06B709CB" w:rsidP="3CC5C114" w:rsidRDefault="06B709CB" w14:paraId="1496A8E5" w14:textId="311B44C7">
      <w:pPr>
        <w:spacing w:before="281" w:beforeAutospacing="off" w:after="281" w:afterAutospacing="off"/>
      </w:pPr>
    </w:p>
    <w:p w:rsidR="06B709CB" w:rsidP="663C9380" w:rsidRDefault="06B709CB" w14:paraId="499384E1" w14:textId="5832AF44">
      <w:pPr>
        <w:pStyle w:val="Heading3"/>
        <w:spacing w:before="281" w:beforeAutospacing="off" w:after="281" w:afterAutospacing="off"/>
      </w:pPr>
      <w:r w:rsidRPr="3CC5C114" w:rsidR="5238DEF0">
        <w:rPr>
          <w:b w:val="1"/>
          <w:bCs w:val="1"/>
          <w:noProof w:val="0"/>
          <w:sz w:val="28"/>
          <w:szCs w:val="28"/>
          <w:lang w:val="en-GB"/>
        </w:rPr>
        <w:t>3.4 Impact on Team Communication and Cohesion</w:t>
      </w:r>
    </w:p>
    <w:p w:rsidR="06B709CB" w:rsidP="3CC5C114" w:rsidRDefault="06B709CB" w14:paraId="22C29B55" w14:textId="50315868">
      <w:pPr>
        <w:spacing w:before="240" w:beforeAutospacing="off" w:after="240" w:afterAutospacing="off"/>
      </w:pPr>
      <w:r w:rsidRPr="3CC5C114" w:rsidR="5238DEF0">
        <w:rPr>
          <w:noProof w:val="0"/>
          <w:lang w:val="en-GB"/>
        </w:rPr>
        <w:t>Generational diversity offers complementary strengths but can also create misunderstandings. Gen X may view Gen Z as overly expressive, while younger employees may perceive X’s restraint as aloof. Emotional intelligence—particularly empathy, social awareness, and relationship management—helps bridge these gaps. Mindfulness practices further improve cohesion by promoting non-judgemental listening and psychological safety.</w:t>
      </w:r>
    </w:p>
    <w:p w:rsidR="06B709CB" w:rsidP="3CC5C114" w:rsidRDefault="06B709CB" w14:paraId="5B6E22FB" w14:textId="5B2C1CA1">
      <w:pPr>
        <w:spacing w:before="281" w:beforeAutospacing="off" w:after="281" w:afterAutospacing="off"/>
      </w:pPr>
    </w:p>
    <w:p w:rsidR="06B709CB" w:rsidP="663C9380" w:rsidRDefault="06B709CB" w14:paraId="5BCB730C" w14:textId="41E7FF54">
      <w:pPr>
        <w:pStyle w:val="Heading3"/>
        <w:spacing w:before="281" w:beforeAutospacing="off" w:after="281" w:afterAutospacing="off"/>
      </w:pPr>
      <w:r w:rsidRPr="3CC5C114" w:rsidR="5238DEF0">
        <w:rPr>
          <w:b w:val="1"/>
          <w:bCs w:val="1"/>
          <w:noProof w:val="0"/>
          <w:sz w:val="28"/>
          <w:szCs w:val="28"/>
          <w:lang w:val="en-GB"/>
        </w:rPr>
        <w:t>3.5 Implications for Recruitment and Management</w:t>
      </w:r>
    </w:p>
    <w:p w:rsidR="06B709CB" w:rsidP="3CC5C114" w:rsidRDefault="06B709CB" w14:paraId="73A8350F" w14:textId="37B41D23">
      <w:pPr>
        <w:spacing w:before="240" w:beforeAutospacing="off" w:after="240" w:afterAutospacing="off"/>
      </w:pPr>
      <w:r w:rsidRPr="3CC5C114" w:rsidR="5238DEF0">
        <w:rPr>
          <w:noProof w:val="0"/>
          <w:lang w:val="en-GB"/>
        </w:rPr>
        <w:t>Emotionally intelligent recruitment evaluates both technical and interpersonal skills (Goleman, 1998). Recruitment messages can align with generational values: autonomy for Gen X, purposeful development for Millennials, and inclusivity and wellbeing for Gen Z. EI assessments can enhance hiring accuracy.</w:t>
      </w:r>
    </w:p>
    <w:p w:rsidR="06B709CB" w:rsidP="3CC5C114" w:rsidRDefault="06B709CB" w14:paraId="42A115C2" w14:textId="184460BB">
      <w:pPr>
        <w:spacing w:before="240" w:beforeAutospacing="off" w:after="240" w:afterAutospacing="off"/>
      </w:pPr>
      <w:r w:rsidRPr="3CC5C114" w:rsidR="5238DEF0">
        <w:rPr>
          <w:noProof w:val="0"/>
          <w:lang w:val="en-GB"/>
        </w:rPr>
        <w:t>Management practices should adapt communication styles: autonomy for Gen X, coaching for Millennials, and transparent, tech-enabled communication for Gen Z. Cross-generational mentoring and EI or mindfulness training can strengthen collaboration. Strategically integrating EI with generational awareness supports organisational resilience and improves cultural fit.</w:t>
      </w:r>
    </w:p>
    <w:p w:rsidR="06B709CB" w:rsidP="3CC5C114" w:rsidRDefault="06B709CB" w14:paraId="6C3A9264" w14:textId="641FD49A">
      <w:pPr>
        <w:pStyle w:val="Normal"/>
        <w:rPr>
          <w:noProof w:val="0"/>
          <w:lang w:val="en-GB"/>
        </w:rPr>
      </w:pPr>
    </w:p>
    <w:p w:rsidR="663C9380" w:rsidRDefault="663C9380" w14:paraId="2605BE50" w14:textId="14514C60"/>
    <w:p w:rsidR="663C9380" w:rsidP="663C9380" w:rsidRDefault="663C9380" w14:paraId="5EDF88F4" w14:textId="1C88809D">
      <w:pPr>
        <w:spacing w:before="240" w:beforeAutospacing="off" w:after="240" w:afterAutospacing="off"/>
        <w:rPr>
          <w:rFonts w:ascii="Aptos" w:hAnsi="Aptos" w:eastAsia="Aptos" w:cs="Aptos"/>
          <w:noProof w:val="0"/>
          <w:sz w:val="24"/>
          <w:szCs w:val="24"/>
          <w:lang w:val="en-GB"/>
        </w:rPr>
      </w:pPr>
    </w:p>
    <w:p w:rsidR="663C9380" w:rsidRDefault="663C9380" w14:paraId="1113A8DD" w14:textId="001EA07A">
      <w:r>
        <w:br w:type="page"/>
      </w:r>
    </w:p>
    <w:p w:rsidR="663C9380" w:rsidP="663C9380" w:rsidRDefault="663C9380" w14:paraId="24A040F3" w14:textId="5B31391E">
      <w:pPr>
        <w:pStyle w:val="Normal"/>
        <w:spacing w:before="240" w:beforeAutospacing="off" w:after="240" w:afterAutospacing="off"/>
        <w:rPr>
          <w:rFonts w:ascii="Aptos" w:hAnsi="Aptos" w:eastAsia="Aptos" w:cs="Aptos"/>
          <w:noProof w:val="0"/>
          <w:sz w:val="24"/>
          <w:szCs w:val="24"/>
          <w:lang w:val="en-GB"/>
        </w:rPr>
      </w:pPr>
    </w:p>
    <w:p w:rsidR="06B709CB" w:rsidP="663C9380" w:rsidRDefault="06B709CB" w14:paraId="6C002D87" w14:textId="3CEE5BB9">
      <w:pPr>
        <w:pStyle w:val="Heading3"/>
        <w:spacing w:before="281" w:beforeAutospacing="off" w:after="281" w:afterAutospacing="off"/>
        <w:rPr>
          <w:rFonts w:ascii="Aptos" w:hAnsi="Aptos" w:eastAsia="Aptos" w:cs="Aptos"/>
          <w:b w:val="1"/>
          <w:bCs w:val="1"/>
          <w:noProof w:val="0"/>
          <w:sz w:val="28"/>
          <w:szCs w:val="28"/>
          <w:lang w:val="en-GB"/>
        </w:rPr>
      </w:pPr>
      <w:bookmarkStart w:name="_Toc1926393138" w:id="577291142"/>
      <w:r w:rsidRPr="663C9380" w:rsidR="06B709CB">
        <w:rPr>
          <w:rFonts w:ascii="Aptos" w:hAnsi="Aptos" w:eastAsia="Aptos" w:cs="Aptos"/>
          <w:b w:val="1"/>
          <w:bCs w:val="1"/>
          <w:noProof w:val="0"/>
          <w:sz w:val="28"/>
          <w:szCs w:val="28"/>
          <w:lang w:val="en-GB"/>
        </w:rPr>
        <w:t>Conclusion</w:t>
      </w:r>
      <w:bookmarkEnd w:id="577291142"/>
    </w:p>
    <w:p w:rsidR="06B709CB" w:rsidP="663C9380" w:rsidRDefault="06B709CB" w14:paraId="6069CDAC" w14:textId="735982E8">
      <w:pPr>
        <w:spacing w:before="240" w:beforeAutospacing="off" w:after="240" w:afterAutospacing="off"/>
      </w:pPr>
      <w:r w:rsidRPr="663C9380" w:rsidR="06B709CB">
        <w:rPr>
          <w:rFonts w:ascii="Aptos" w:hAnsi="Aptos" w:eastAsia="Aptos" w:cs="Aptos"/>
          <w:noProof w:val="0"/>
          <w:sz w:val="24"/>
          <w:szCs w:val="24"/>
          <w:lang w:val="en-GB"/>
        </w:rPr>
        <w:t>This report has critically examined the significance of emotional intelligence (EI) and mindfulness in enhancing individual and organisational performance. Emotional intelligence, as conceptualised by Goleman (1995), encompasses five interconnected components—self-awareness, self-regulation, motivation, empathy, and relationship management—which collectively underpin effective interpersonal functioning in the workplace. Comparisons with the Mayer–Salovey (1997) and Bar-On (1997) models highlight that, despite differing conceptual emphases, all frameworks converge on the central role of emotional perception, regulation, and understanding in achieving personal and professional success.</w:t>
      </w:r>
    </w:p>
    <w:p w:rsidR="06B709CB" w:rsidP="663C9380" w:rsidRDefault="06B709CB" w14:paraId="442F44A3" w14:textId="2C77BF18">
      <w:pPr>
        <w:spacing w:before="240" w:beforeAutospacing="off" w:after="240" w:afterAutospacing="off"/>
      </w:pPr>
      <w:r w:rsidRPr="663C9380" w:rsidR="06B709CB">
        <w:rPr>
          <w:rFonts w:ascii="Aptos" w:hAnsi="Aptos" w:eastAsia="Aptos" w:cs="Aptos"/>
          <w:noProof w:val="0"/>
          <w:sz w:val="24"/>
          <w:szCs w:val="24"/>
          <w:lang w:val="en-GB"/>
        </w:rPr>
        <w:t>The report also explored the practical applications of EI in leadership, communication, performance management, and employee wellbeing. Empirical research demonstrates that emotionally intelligent employees adapt more effectively to change, manage stress constructively, and contribute positively to team dynamics (Côté and Miners, 2006). Mindfulness, as defined by Kabat-Zinn (1994), reinforces EI by fostering present-moment awareness and self-regulation, reducing impulsivity, and promoting emotional balance. Together, these competencies form the foundation for resilient and high-performing teams.</w:t>
      </w:r>
    </w:p>
    <w:p w:rsidR="06B709CB" w:rsidP="663C9380" w:rsidRDefault="06B709CB" w14:paraId="1B643DEC" w14:textId="5667A22D">
      <w:pPr>
        <w:spacing w:before="240" w:beforeAutospacing="off" w:after="240" w:afterAutospacing="off"/>
      </w:pPr>
      <w:r w:rsidRPr="663C9380" w:rsidR="06B709CB">
        <w:rPr>
          <w:rFonts w:ascii="Aptos" w:hAnsi="Aptos" w:eastAsia="Aptos" w:cs="Aptos"/>
          <w:noProof w:val="0"/>
          <w:sz w:val="24"/>
          <w:szCs w:val="24"/>
          <w:lang w:val="en-GB"/>
        </w:rPr>
        <w:t>In addition, the report examined generational differences—specifically between Generations X, Y, and Z—and how these influence emotional expression, workplace expectations, and recruitment practices. While Generation X demonstrates composure and independence, Millennials value feedback and collaboration, and Generation Z emphasises authenticity and psychological safety. These generational variations necessitate emotionally intelligent leadership and human resource management to ensure inclusivity, cohesion, and mutual understanding across age groups.</w:t>
      </w:r>
    </w:p>
    <w:p w:rsidR="663C9380" w:rsidP="663C9380" w:rsidRDefault="663C9380" w14:paraId="2937A603" w14:textId="447FF38B">
      <w:pPr>
        <w:spacing w:before="240" w:beforeAutospacing="off" w:after="240" w:afterAutospacing="off"/>
        <w:rPr>
          <w:rFonts w:ascii="Aptos" w:hAnsi="Aptos" w:eastAsia="Aptos" w:cs="Aptos"/>
          <w:noProof w:val="0"/>
          <w:sz w:val="24"/>
          <w:szCs w:val="24"/>
          <w:lang w:val="en-GB"/>
        </w:rPr>
      </w:pPr>
    </w:p>
    <w:p w:rsidR="663C9380" w:rsidRDefault="663C9380" w14:paraId="4A889187" w14:textId="42C6693A">
      <w:r>
        <w:br w:type="page"/>
      </w:r>
    </w:p>
    <w:p w:rsidR="0FE5FEAF" w:rsidP="663C9380" w:rsidRDefault="0FE5FEAF" w14:paraId="6A395044" w14:textId="0E67E548">
      <w:pPr>
        <w:pStyle w:val="Heading3"/>
        <w:spacing w:before="281" w:beforeAutospacing="off" w:after="281" w:afterAutospacing="off"/>
        <w:rPr>
          <w:rFonts w:ascii="Aptos" w:hAnsi="Aptos" w:eastAsia="Aptos" w:cs="Aptos"/>
          <w:b w:val="1"/>
          <w:bCs w:val="1"/>
          <w:noProof w:val="0"/>
          <w:sz w:val="28"/>
          <w:szCs w:val="28"/>
          <w:lang w:val="en-GB"/>
        </w:rPr>
      </w:pPr>
      <w:bookmarkStart w:name="_Toc1039580123" w:id="1769244654"/>
      <w:r w:rsidRPr="3CC5C114" w:rsidR="0FE5FEAF">
        <w:rPr>
          <w:rFonts w:ascii="Aptos" w:hAnsi="Aptos" w:eastAsia="Aptos" w:cs="Aptos"/>
          <w:b w:val="1"/>
          <w:bCs w:val="1"/>
          <w:noProof w:val="0"/>
          <w:sz w:val="28"/>
          <w:szCs w:val="28"/>
          <w:lang w:val="en-GB"/>
        </w:rPr>
        <w:t>Recommendations</w:t>
      </w:r>
      <w:bookmarkEnd w:id="1769244654"/>
    </w:p>
    <w:p w:rsidR="663C9380" w:rsidP="663C9380" w:rsidRDefault="663C9380" w14:paraId="3F827792" w14:textId="6D03FA34">
      <w:pPr>
        <w:pStyle w:val="Normal"/>
        <w:spacing w:before="240" w:beforeAutospacing="off" w:after="240" w:afterAutospacing="off"/>
      </w:pPr>
      <w:r w:rsidRPr="3CC5C114" w:rsidR="2B3D4D47">
        <w:rPr>
          <w:rFonts w:ascii="Aptos" w:hAnsi="Aptos" w:eastAsia="Aptos" w:cs="Aptos"/>
          <w:noProof w:val="0"/>
          <w:sz w:val="24"/>
          <w:szCs w:val="24"/>
          <w:lang w:val="en-GB"/>
        </w:rPr>
        <w:t>Organisations can strengthen emotional intelligence and mindfulness by implementing structured EI training based on Goleman’s framework, integrating daily mindfulness practices such as adapted MBSR techniques, and incorporating EI competencies into recruitment and appraisal through behavioural assessments and validated tools. Cross-generational mentoring should facilitate knowledge exchange between older employees’ resilience and younger workers’ digital and emotional skills. Leaders require specialised EI and mindfulness development to model empathy, transparency, and active listening, while organisations should foster a culture of psychological safety and inclusion that encourages open, non-judgemental communication and supports wellbeing across all generations.</w:t>
      </w:r>
    </w:p>
    <w:p w:rsidR="663C9380" w:rsidP="663C9380" w:rsidRDefault="663C9380" w14:paraId="3347CD0F" w14:textId="0146C83F">
      <w:pPr>
        <w:pStyle w:val="Normal"/>
        <w:spacing w:before="240" w:beforeAutospacing="off" w:after="240" w:afterAutospacing="off"/>
        <w:rPr>
          <w:rFonts w:ascii="Aptos" w:hAnsi="Aptos" w:eastAsia="Aptos" w:cs="Aptos"/>
          <w:noProof w:val="0"/>
          <w:sz w:val="24"/>
          <w:szCs w:val="24"/>
          <w:lang w:val="en-GB"/>
        </w:rPr>
      </w:pPr>
    </w:p>
    <w:p w:rsidR="663C9380" w:rsidP="663C9380" w:rsidRDefault="663C9380" w14:paraId="6AC76C66" w14:textId="6D9B3EAD">
      <w:pPr>
        <w:pStyle w:val="Normal"/>
      </w:pPr>
    </w:p>
    <w:p w:rsidR="3CC5C114" w:rsidP="3CC5C114" w:rsidRDefault="3CC5C114" w14:paraId="3BD22E8C" w14:textId="0C30CFD3">
      <w:pPr>
        <w:pStyle w:val="Normal"/>
      </w:pPr>
    </w:p>
    <w:p w:rsidR="3CC5C114" w:rsidP="3CC5C114" w:rsidRDefault="3CC5C114" w14:paraId="6BE6A1C9" w14:textId="3340FD57">
      <w:pPr>
        <w:pStyle w:val="Normal"/>
      </w:pPr>
    </w:p>
    <w:p w:rsidR="3CC5C114" w:rsidP="3CC5C114" w:rsidRDefault="3CC5C114" w14:paraId="40092618" w14:textId="7BB9D6C8">
      <w:pPr>
        <w:pStyle w:val="Normal"/>
      </w:pPr>
    </w:p>
    <w:p w:rsidR="3CC5C114" w:rsidP="3CC5C114" w:rsidRDefault="3CC5C114" w14:paraId="7796E312" w14:textId="1494E4DB">
      <w:pPr>
        <w:pStyle w:val="Normal"/>
      </w:pPr>
    </w:p>
    <w:p w:rsidR="3CC5C114" w:rsidP="3CC5C114" w:rsidRDefault="3CC5C114" w14:paraId="16BC12F7" w14:textId="16240890">
      <w:pPr>
        <w:pStyle w:val="Normal"/>
      </w:pPr>
    </w:p>
    <w:p w:rsidR="3CC5C114" w:rsidP="3CC5C114" w:rsidRDefault="3CC5C114" w14:paraId="232B1970" w14:textId="7A49B88B">
      <w:pPr>
        <w:pStyle w:val="Normal"/>
      </w:pPr>
    </w:p>
    <w:p w:rsidR="3CC5C114" w:rsidP="3CC5C114" w:rsidRDefault="3CC5C114" w14:paraId="3ECBDE37" w14:textId="52E964E3">
      <w:pPr>
        <w:pStyle w:val="Normal"/>
      </w:pPr>
    </w:p>
    <w:p w:rsidR="3CC5C114" w:rsidP="3CC5C114" w:rsidRDefault="3CC5C114" w14:paraId="2E72194D" w14:textId="0A6F3AC8">
      <w:pPr>
        <w:pStyle w:val="Normal"/>
      </w:pPr>
    </w:p>
    <w:p w:rsidR="3CC5C114" w:rsidP="3CC5C114" w:rsidRDefault="3CC5C114" w14:paraId="6F8EE0DD" w14:textId="122A0ED5">
      <w:pPr>
        <w:pStyle w:val="Normal"/>
      </w:pPr>
    </w:p>
    <w:p w:rsidR="3CC5C114" w:rsidP="3CC5C114" w:rsidRDefault="3CC5C114" w14:paraId="29E1B663" w14:textId="2824039C">
      <w:pPr>
        <w:pStyle w:val="Normal"/>
      </w:pPr>
    </w:p>
    <w:p w:rsidR="3CC5C114" w:rsidP="3CC5C114" w:rsidRDefault="3CC5C114" w14:paraId="38BF014F" w14:textId="55D723C7">
      <w:pPr>
        <w:pStyle w:val="Normal"/>
      </w:pPr>
    </w:p>
    <w:p w:rsidR="3CC5C114" w:rsidP="3CC5C114" w:rsidRDefault="3CC5C114" w14:paraId="4C2FE47A" w14:textId="73E07E43">
      <w:pPr>
        <w:pStyle w:val="Normal"/>
      </w:pPr>
    </w:p>
    <w:p w:rsidR="3CC5C114" w:rsidP="3CC5C114" w:rsidRDefault="3CC5C114" w14:paraId="49504740" w14:textId="533A06A9">
      <w:pPr>
        <w:pStyle w:val="Normal"/>
      </w:pPr>
    </w:p>
    <w:p w:rsidR="3CC5C114" w:rsidP="3CC5C114" w:rsidRDefault="3CC5C114" w14:paraId="1326CEA6" w14:textId="062F6483">
      <w:pPr>
        <w:pStyle w:val="Normal"/>
      </w:pPr>
    </w:p>
    <w:p w:rsidR="3CC5C114" w:rsidP="3CC5C114" w:rsidRDefault="3CC5C114" w14:paraId="4D865CB1" w14:textId="52464FEF">
      <w:pPr>
        <w:pStyle w:val="Normal"/>
      </w:pPr>
    </w:p>
    <w:p w:rsidR="6D6B001F" w:rsidP="663C9380" w:rsidRDefault="6D6B001F" w14:paraId="66B14FDF" w14:textId="60C7737B">
      <w:pPr>
        <w:pStyle w:val="Heading2"/>
        <w:rPr>
          <w:rFonts w:ascii="Aptos" w:hAnsi="Aptos" w:eastAsia="Aptos" w:cs="Aptos"/>
          <w:b w:val="1"/>
          <w:bCs w:val="1"/>
          <w:noProof w:val="0"/>
          <w:sz w:val="36"/>
          <w:szCs w:val="36"/>
          <w:lang w:val="en-GB"/>
        </w:rPr>
      </w:pPr>
      <w:bookmarkStart w:name="_Toc347653078" w:id="1795397751"/>
      <w:r w:rsidRPr="663C9380" w:rsidR="6D6B001F">
        <w:rPr>
          <w:rFonts w:ascii="Aptos" w:hAnsi="Aptos" w:eastAsia="Aptos" w:cs="Aptos"/>
          <w:b w:val="1"/>
          <w:bCs w:val="1"/>
          <w:noProof w:val="0"/>
          <w:sz w:val="36"/>
          <w:szCs w:val="36"/>
          <w:lang w:val="en-GB"/>
        </w:rPr>
        <w:t>Reference Lis</w:t>
      </w:r>
      <w:r w:rsidRPr="663C9380" w:rsidR="7613660F">
        <w:rPr>
          <w:rFonts w:ascii="Aptos" w:hAnsi="Aptos" w:eastAsia="Aptos" w:cs="Aptos"/>
          <w:b w:val="1"/>
          <w:bCs w:val="1"/>
          <w:noProof w:val="0"/>
          <w:sz w:val="36"/>
          <w:szCs w:val="36"/>
          <w:lang w:val="en-GB"/>
        </w:rPr>
        <w:t>t</w:t>
      </w:r>
      <w:bookmarkEnd w:id="1795397751"/>
    </w:p>
    <w:p w:rsidR="6D6B001F" w:rsidP="663C9380" w:rsidRDefault="6D6B001F" w14:paraId="5C5A295C" w14:textId="3B9C7699">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63C9380" w:rsidR="6D6B001F">
        <w:rPr>
          <w:rFonts w:ascii="Aptos" w:hAnsi="Aptos" w:eastAsia="Aptos" w:cs="Aptos"/>
          <w:noProof w:val="0"/>
          <w:sz w:val="24"/>
          <w:szCs w:val="24"/>
          <w:lang w:val="en-GB"/>
        </w:rPr>
        <w:t xml:space="preserve">Antonakis, J. (2009) ‘Emotional intelligence: What does it measure and does it matter for leadership?’, </w:t>
      </w:r>
      <w:r w:rsidRPr="663C9380" w:rsidR="6D6B001F">
        <w:rPr>
          <w:rFonts w:ascii="Aptos" w:hAnsi="Aptos" w:eastAsia="Aptos" w:cs="Aptos"/>
          <w:i w:val="1"/>
          <w:iCs w:val="1"/>
          <w:noProof w:val="0"/>
          <w:sz w:val="24"/>
          <w:szCs w:val="24"/>
          <w:lang w:val="en-GB"/>
        </w:rPr>
        <w:t>International Journal of Industrial and Organizational Psychology</w:t>
      </w:r>
      <w:r w:rsidRPr="663C9380" w:rsidR="6D6B001F">
        <w:rPr>
          <w:rFonts w:ascii="Aptos" w:hAnsi="Aptos" w:eastAsia="Aptos" w:cs="Aptos"/>
          <w:noProof w:val="0"/>
          <w:sz w:val="24"/>
          <w:szCs w:val="24"/>
          <w:lang w:val="en-GB"/>
        </w:rPr>
        <w:t>, 3(2), pp. 191–211.</w:t>
      </w:r>
    </w:p>
    <w:p w:rsidR="6D6B001F" w:rsidP="663C9380" w:rsidRDefault="6D6B001F" w14:paraId="3D9EEF54" w14:textId="78660C3D">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63C9380" w:rsidR="6D6B001F">
        <w:rPr>
          <w:rFonts w:ascii="Aptos" w:hAnsi="Aptos" w:eastAsia="Aptos" w:cs="Aptos"/>
          <w:noProof w:val="0"/>
          <w:sz w:val="24"/>
          <w:szCs w:val="24"/>
          <w:lang w:val="en-GB"/>
        </w:rPr>
        <w:t xml:space="preserve">Bar-On, R. (1997) </w:t>
      </w:r>
      <w:r w:rsidRPr="663C9380" w:rsidR="6D6B001F">
        <w:rPr>
          <w:rFonts w:ascii="Aptos" w:hAnsi="Aptos" w:eastAsia="Aptos" w:cs="Aptos"/>
          <w:i w:val="1"/>
          <w:iCs w:val="1"/>
          <w:noProof w:val="0"/>
          <w:sz w:val="24"/>
          <w:szCs w:val="24"/>
          <w:lang w:val="en-GB"/>
        </w:rPr>
        <w:t>The Emotional Quotient Inventory (EQ-i): Technical manual</w:t>
      </w:r>
      <w:r w:rsidRPr="663C9380" w:rsidR="6D6B001F">
        <w:rPr>
          <w:rFonts w:ascii="Aptos" w:hAnsi="Aptos" w:eastAsia="Aptos" w:cs="Aptos"/>
          <w:noProof w:val="0"/>
          <w:sz w:val="24"/>
          <w:szCs w:val="24"/>
          <w:lang w:val="en-GB"/>
        </w:rPr>
        <w:t>. Toronto: Multi-Health Systems.</w:t>
      </w:r>
    </w:p>
    <w:p w:rsidR="6D6B001F" w:rsidP="663C9380" w:rsidRDefault="6D6B001F" w14:paraId="0B2D3935" w14:textId="591D3E6D">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63C9380" w:rsidR="6D6B001F">
        <w:rPr>
          <w:rFonts w:ascii="Aptos" w:hAnsi="Aptos" w:eastAsia="Aptos" w:cs="Aptos"/>
          <w:noProof w:val="0"/>
          <w:sz w:val="24"/>
          <w:szCs w:val="24"/>
          <w:lang w:val="en-GB"/>
        </w:rPr>
        <w:t xml:space="preserve">Bass, B.M. and Riggio, R.E. (2006) </w:t>
      </w:r>
      <w:r w:rsidRPr="663C9380" w:rsidR="6D6B001F">
        <w:rPr>
          <w:rFonts w:ascii="Aptos" w:hAnsi="Aptos" w:eastAsia="Aptos" w:cs="Aptos"/>
          <w:i w:val="1"/>
          <w:iCs w:val="1"/>
          <w:noProof w:val="0"/>
          <w:sz w:val="24"/>
          <w:szCs w:val="24"/>
          <w:lang w:val="en-GB"/>
        </w:rPr>
        <w:t>Transformational Leadership</w:t>
      </w:r>
      <w:r w:rsidRPr="663C9380" w:rsidR="6D6B001F">
        <w:rPr>
          <w:rFonts w:ascii="Aptos" w:hAnsi="Aptos" w:eastAsia="Aptos" w:cs="Aptos"/>
          <w:noProof w:val="0"/>
          <w:sz w:val="24"/>
          <w:szCs w:val="24"/>
          <w:lang w:val="en-GB"/>
        </w:rPr>
        <w:t>. 2nd edn. Mahwah, NJ: Lawrence Erlbaum Associates.</w:t>
      </w:r>
    </w:p>
    <w:p w:rsidR="6D6B001F" w:rsidP="663C9380" w:rsidRDefault="6D6B001F" w14:paraId="7008322F" w14:textId="20CD01C8">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63C9380" w:rsidR="6D6B001F">
        <w:rPr>
          <w:rFonts w:ascii="Aptos" w:hAnsi="Aptos" w:eastAsia="Aptos" w:cs="Aptos"/>
          <w:noProof w:val="0"/>
          <w:sz w:val="24"/>
          <w:szCs w:val="24"/>
          <w:lang w:val="en-GB"/>
        </w:rPr>
        <w:t xml:space="preserve">Boyatzis, R.E. (2009) ‘Competencies as a behavioral approach to emotional intelligence’, </w:t>
      </w:r>
      <w:r w:rsidRPr="663C9380" w:rsidR="6D6B001F">
        <w:rPr>
          <w:rFonts w:ascii="Aptos" w:hAnsi="Aptos" w:eastAsia="Aptos" w:cs="Aptos"/>
          <w:i w:val="1"/>
          <w:iCs w:val="1"/>
          <w:noProof w:val="0"/>
          <w:sz w:val="24"/>
          <w:szCs w:val="24"/>
          <w:lang w:val="en-GB"/>
        </w:rPr>
        <w:t>Journal of Management Development</w:t>
      </w:r>
      <w:r w:rsidRPr="663C9380" w:rsidR="6D6B001F">
        <w:rPr>
          <w:rFonts w:ascii="Aptos" w:hAnsi="Aptos" w:eastAsia="Aptos" w:cs="Aptos"/>
          <w:noProof w:val="0"/>
          <w:sz w:val="24"/>
          <w:szCs w:val="24"/>
          <w:lang w:val="en-GB"/>
        </w:rPr>
        <w:t>, 28(9), pp. 749–770.</w:t>
      </w:r>
    </w:p>
    <w:p w:rsidR="6D6B001F" w:rsidP="663C9380" w:rsidRDefault="6D6B001F" w14:paraId="4FD980B7" w14:textId="2C763080">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63C9380" w:rsidR="6D6B001F">
        <w:rPr>
          <w:rFonts w:ascii="Aptos" w:hAnsi="Aptos" w:eastAsia="Aptos" w:cs="Aptos"/>
          <w:noProof w:val="0"/>
          <w:sz w:val="24"/>
          <w:szCs w:val="24"/>
          <w:lang w:val="en-GB"/>
        </w:rPr>
        <w:t xml:space="preserve">Boyatzis, R.E. and McKee, A. (2005) </w:t>
      </w:r>
      <w:r w:rsidRPr="663C9380" w:rsidR="6D6B001F">
        <w:rPr>
          <w:rFonts w:ascii="Aptos" w:hAnsi="Aptos" w:eastAsia="Aptos" w:cs="Aptos"/>
          <w:i w:val="1"/>
          <w:iCs w:val="1"/>
          <w:noProof w:val="0"/>
          <w:sz w:val="24"/>
          <w:szCs w:val="24"/>
          <w:lang w:val="en-GB"/>
        </w:rPr>
        <w:t>Resonant Leadership: Renewing yourself and connecting with others through mindfulness, hope and compassion</w:t>
      </w:r>
      <w:r w:rsidRPr="663C9380" w:rsidR="6D6B001F">
        <w:rPr>
          <w:rFonts w:ascii="Aptos" w:hAnsi="Aptos" w:eastAsia="Aptos" w:cs="Aptos"/>
          <w:noProof w:val="0"/>
          <w:sz w:val="24"/>
          <w:szCs w:val="24"/>
          <w:lang w:val="en-GB"/>
        </w:rPr>
        <w:t>. Boston, MA: Harvard Business School Press.</w:t>
      </w:r>
    </w:p>
    <w:p w:rsidR="6D6B001F" w:rsidP="663C9380" w:rsidRDefault="6D6B001F" w14:paraId="273F3E2E" w14:textId="78814601">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63C9380" w:rsidR="6D6B001F">
        <w:rPr>
          <w:rFonts w:ascii="Aptos" w:hAnsi="Aptos" w:eastAsia="Aptos" w:cs="Aptos"/>
          <w:noProof w:val="0"/>
          <w:sz w:val="24"/>
          <w:szCs w:val="24"/>
          <w:lang w:val="en-GB"/>
        </w:rPr>
        <w:t xml:space="preserve">Cherniss, C. (2010) ‘Emotional intelligence: Toward clarification of a concept’, </w:t>
      </w:r>
      <w:r w:rsidRPr="663C9380" w:rsidR="6D6B001F">
        <w:rPr>
          <w:rFonts w:ascii="Aptos" w:hAnsi="Aptos" w:eastAsia="Aptos" w:cs="Aptos"/>
          <w:i w:val="1"/>
          <w:iCs w:val="1"/>
          <w:noProof w:val="0"/>
          <w:sz w:val="24"/>
          <w:szCs w:val="24"/>
          <w:lang w:val="en-GB"/>
        </w:rPr>
        <w:t>Industrial and Organizational Psychology</w:t>
      </w:r>
      <w:r w:rsidRPr="663C9380" w:rsidR="6D6B001F">
        <w:rPr>
          <w:rFonts w:ascii="Aptos" w:hAnsi="Aptos" w:eastAsia="Aptos" w:cs="Aptos"/>
          <w:noProof w:val="0"/>
          <w:sz w:val="24"/>
          <w:szCs w:val="24"/>
          <w:lang w:val="en-GB"/>
        </w:rPr>
        <w:t>, 3(2), pp. 110–126.</w:t>
      </w:r>
    </w:p>
    <w:p w:rsidR="6D6B001F" w:rsidP="663C9380" w:rsidRDefault="6D6B001F" w14:paraId="7010579E" w14:textId="4C890684">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63C9380" w:rsidR="6D6B001F">
        <w:rPr>
          <w:rFonts w:ascii="Aptos" w:hAnsi="Aptos" w:eastAsia="Aptos" w:cs="Aptos"/>
          <w:noProof w:val="0"/>
          <w:sz w:val="24"/>
          <w:szCs w:val="24"/>
          <w:lang w:val="en-GB"/>
        </w:rPr>
        <w:t xml:space="preserve">Cherniss, C. and Goleman, D. (2001) </w:t>
      </w:r>
      <w:r w:rsidRPr="663C9380" w:rsidR="6D6B001F">
        <w:rPr>
          <w:rFonts w:ascii="Aptos" w:hAnsi="Aptos" w:eastAsia="Aptos" w:cs="Aptos"/>
          <w:i w:val="1"/>
          <w:iCs w:val="1"/>
          <w:noProof w:val="0"/>
          <w:sz w:val="24"/>
          <w:szCs w:val="24"/>
          <w:lang w:val="en-GB"/>
        </w:rPr>
        <w:t>The emotionally intelligent workplace: How to select for, measure, and improve emotional intelligence in individuals, groups, and organizations</w:t>
      </w:r>
      <w:r w:rsidRPr="663C9380" w:rsidR="6D6B001F">
        <w:rPr>
          <w:rFonts w:ascii="Aptos" w:hAnsi="Aptos" w:eastAsia="Aptos" w:cs="Aptos"/>
          <w:noProof w:val="0"/>
          <w:sz w:val="24"/>
          <w:szCs w:val="24"/>
          <w:lang w:val="en-GB"/>
        </w:rPr>
        <w:t>. San Francisco: Jossey-Bass.</w:t>
      </w:r>
    </w:p>
    <w:p w:rsidR="6D6B001F" w:rsidP="663C9380" w:rsidRDefault="6D6B001F" w14:paraId="10A5DAD7" w14:textId="07B0A922">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63C9380" w:rsidR="6D6B001F">
        <w:rPr>
          <w:rFonts w:ascii="Aptos" w:hAnsi="Aptos" w:eastAsia="Aptos" w:cs="Aptos"/>
          <w:noProof w:val="0"/>
          <w:sz w:val="24"/>
          <w:szCs w:val="24"/>
          <w:lang w:val="en-GB"/>
        </w:rPr>
        <w:t xml:space="preserve">Côté, S. and Miners, C.T.H. (2006) ‘Emotional intelligence, cognitive intelligence, and job performance’, </w:t>
      </w:r>
      <w:r w:rsidRPr="663C9380" w:rsidR="6D6B001F">
        <w:rPr>
          <w:rFonts w:ascii="Aptos" w:hAnsi="Aptos" w:eastAsia="Aptos" w:cs="Aptos"/>
          <w:i w:val="1"/>
          <w:iCs w:val="1"/>
          <w:noProof w:val="0"/>
          <w:sz w:val="24"/>
          <w:szCs w:val="24"/>
          <w:lang w:val="en-GB"/>
        </w:rPr>
        <w:t>Administrative Science Quarterly</w:t>
      </w:r>
      <w:r w:rsidRPr="663C9380" w:rsidR="6D6B001F">
        <w:rPr>
          <w:rFonts w:ascii="Aptos" w:hAnsi="Aptos" w:eastAsia="Aptos" w:cs="Aptos"/>
          <w:noProof w:val="0"/>
          <w:sz w:val="24"/>
          <w:szCs w:val="24"/>
          <w:lang w:val="en-GB"/>
        </w:rPr>
        <w:t>, 51(1), pp. 1–28.</w:t>
      </w:r>
    </w:p>
    <w:p w:rsidR="6D6B001F" w:rsidP="663C9380" w:rsidRDefault="6D6B001F" w14:paraId="497546C8" w14:textId="7ABEBC4F">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63C9380" w:rsidR="6D6B001F">
        <w:rPr>
          <w:rFonts w:ascii="Aptos" w:hAnsi="Aptos" w:eastAsia="Aptos" w:cs="Aptos"/>
          <w:noProof w:val="0"/>
          <w:sz w:val="24"/>
          <w:szCs w:val="24"/>
          <w:lang w:val="en-GB"/>
        </w:rPr>
        <w:t xml:space="preserve">Francis, T. and Hoefel, F. (2018) ‘True Gen: Generation Z and its implications for companies’, </w:t>
      </w:r>
      <w:r w:rsidRPr="663C9380" w:rsidR="6D6B001F">
        <w:rPr>
          <w:rFonts w:ascii="Aptos" w:hAnsi="Aptos" w:eastAsia="Aptos" w:cs="Aptos"/>
          <w:i w:val="1"/>
          <w:iCs w:val="1"/>
          <w:noProof w:val="0"/>
          <w:sz w:val="24"/>
          <w:szCs w:val="24"/>
          <w:lang w:val="en-GB"/>
        </w:rPr>
        <w:t>McKinsey &amp; Company Insights</w:t>
      </w:r>
      <w:r w:rsidRPr="663C9380" w:rsidR="6D6B001F">
        <w:rPr>
          <w:rFonts w:ascii="Aptos" w:hAnsi="Aptos" w:eastAsia="Aptos" w:cs="Aptos"/>
          <w:noProof w:val="0"/>
          <w:sz w:val="24"/>
          <w:szCs w:val="24"/>
          <w:lang w:val="en-GB"/>
        </w:rPr>
        <w:t xml:space="preserve">, 12 November. Available at: </w:t>
      </w:r>
      <w:hyperlink r:id="R79915d7a56044a5d">
        <w:r w:rsidRPr="663C9380" w:rsidR="6D6B001F">
          <w:rPr>
            <w:rStyle w:val="Hyperlink"/>
            <w:rFonts w:ascii="Aptos" w:hAnsi="Aptos" w:eastAsia="Aptos" w:cs="Aptos"/>
            <w:noProof w:val="0"/>
            <w:sz w:val="24"/>
            <w:szCs w:val="24"/>
            <w:lang w:val="en-GB"/>
          </w:rPr>
          <w:t>https://www.mckinsey.com</w:t>
        </w:r>
      </w:hyperlink>
      <w:r w:rsidRPr="663C9380" w:rsidR="6D6B001F">
        <w:rPr>
          <w:rFonts w:ascii="Aptos" w:hAnsi="Aptos" w:eastAsia="Aptos" w:cs="Aptos"/>
          <w:noProof w:val="0"/>
          <w:sz w:val="24"/>
          <w:szCs w:val="24"/>
          <w:lang w:val="en-GB"/>
        </w:rPr>
        <w:t xml:space="preserve"> (Accessed: 10 November 2025).</w:t>
      </w:r>
    </w:p>
    <w:p w:rsidR="6D6B001F" w:rsidP="663C9380" w:rsidRDefault="6D6B001F" w14:paraId="0BA60FB8" w14:textId="665B0D4B">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63C9380" w:rsidR="6D6B001F">
        <w:rPr>
          <w:rFonts w:ascii="Aptos" w:hAnsi="Aptos" w:eastAsia="Aptos" w:cs="Aptos"/>
          <w:noProof w:val="0"/>
          <w:sz w:val="24"/>
          <w:szCs w:val="24"/>
          <w:lang w:val="en-GB"/>
        </w:rPr>
        <w:t xml:space="preserve">Goleman, D. (1995) </w:t>
      </w:r>
      <w:r w:rsidRPr="663C9380" w:rsidR="6D6B001F">
        <w:rPr>
          <w:rFonts w:ascii="Aptos" w:hAnsi="Aptos" w:eastAsia="Aptos" w:cs="Aptos"/>
          <w:i w:val="1"/>
          <w:iCs w:val="1"/>
          <w:noProof w:val="0"/>
          <w:sz w:val="24"/>
          <w:szCs w:val="24"/>
          <w:lang w:val="en-GB"/>
        </w:rPr>
        <w:t>Emotional Intelligence: Why it can matter more than IQ</w:t>
      </w:r>
      <w:r w:rsidRPr="663C9380" w:rsidR="6D6B001F">
        <w:rPr>
          <w:rFonts w:ascii="Aptos" w:hAnsi="Aptos" w:eastAsia="Aptos" w:cs="Aptos"/>
          <w:noProof w:val="0"/>
          <w:sz w:val="24"/>
          <w:szCs w:val="24"/>
          <w:lang w:val="en-GB"/>
        </w:rPr>
        <w:t>. New York: Bantam Books.</w:t>
      </w:r>
    </w:p>
    <w:p w:rsidR="6D6B001F" w:rsidP="663C9380" w:rsidRDefault="6D6B001F" w14:paraId="23F69F81" w14:textId="1184669B">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63C9380" w:rsidR="6D6B001F">
        <w:rPr>
          <w:rFonts w:ascii="Aptos" w:hAnsi="Aptos" w:eastAsia="Aptos" w:cs="Aptos"/>
          <w:noProof w:val="0"/>
          <w:sz w:val="24"/>
          <w:szCs w:val="24"/>
          <w:lang w:val="en-GB"/>
        </w:rPr>
        <w:t xml:space="preserve">Goleman, D. (2002) </w:t>
      </w:r>
      <w:r w:rsidRPr="663C9380" w:rsidR="6D6B001F">
        <w:rPr>
          <w:rFonts w:ascii="Aptos" w:hAnsi="Aptos" w:eastAsia="Aptos" w:cs="Aptos"/>
          <w:i w:val="1"/>
          <w:iCs w:val="1"/>
          <w:noProof w:val="0"/>
          <w:sz w:val="24"/>
          <w:szCs w:val="24"/>
          <w:lang w:val="en-GB"/>
        </w:rPr>
        <w:t>The New Leaders: Transforming the art of leadership into the science of results</w:t>
      </w:r>
      <w:r w:rsidRPr="663C9380" w:rsidR="6D6B001F">
        <w:rPr>
          <w:rFonts w:ascii="Aptos" w:hAnsi="Aptos" w:eastAsia="Aptos" w:cs="Aptos"/>
          <w:noProof w:val="0"/>
          <w:sz w:val="24"/>
          <w:szCs w:val="24"/>
          <w:lang w:val="en-GB"/>
        </w:rPr>
        <w:t>. London: Time Warner.</w:t>
      </w:r>
    </w:p>
    <w:p w:rsidR="6D6B001F" w:rsidP="663C9380" w:rsidRDefault="6D6B001F" w14:paraId="201E3DBD" w14:textId="15946FFD">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663C9380" w:rsidR="6D6B001F">
        <w:rPr>
          <w:rFonts w:ascii="Aptos" w:hAnsi="Aptos" w:eastAsia="Aptos" w:cs="Aptos"/>
          <w:noProof w:val="0"/>
          <w:sz w:val="24"/>
          <w:szCs w:val="24"/>
          <w:lang w:val="en-GB"/>
        </w:rPr>
        <w:t xml:space="preserve">Goleman, D. (2004) ‘What makes a leader?’, </w:t>
      </w:r>
      <w:r w:rsidRPr="663C9380" w:rsidR="6D6B001F">
        <w:rPr>
          <w:rFonts w:ascii="Aptos" w:hAnsi="Aptos" w:eastAsia="Aptos" w:cs="Aptos"/>
          <w:i w:val="1"/>
          <w:iCs w:val="1"/>
          <w:noProof w:val="0"/>
          <w:sz w:val="24"/>
          <w:szCs w:val="24"/>
          <w:lang w:val="en-GB"/>
        </w:rPr>
        <w:t>Harvard Business Review</w:t>
      </w:r>
      <w:r w:rsidRPr="663C9380" w:rsidR="6D6B001F">
        <w:rPr>
          <w:rFonts w:ascii="Aptos" w:hAnsi="Aptos" w:eastAsia="Aptos" w:cs="Aptos"/>
          <w:noProof w:val="0"/>
          <w:sz w:val="24"/>
          <w:szCs w:val="24"/>
          <w:lang w:val="en-GB"/>
        </w:rPr>
        <w:t>, 82(1), pp. 82–91.</w:t>
      </w:r>
    </w:p>
    <w:p w:rsidR="663C9380" w:rsidP="663C9380" w:rsidRDefault="663C9380" w14:paraId="7C3D147C" w14:textId="52481FF9">
      <w:pPr>
        <w:pStyle w:val="Normal"/>
      </w:pPr>
    </w:p>
    <w:sectPr>
      <w:pgSz w:w="11906" w:h="16838" w:orient="portrait"/>
      <w:pgMar w:top="1440" w:right="1440" w:bottom="1440" w:left="1440" w:header="720" w:footer="720" w:gutter="0"/>
      <w:cols w:space="720"/>
      <w:docGrid w:linePitch="360"/>
      <w:headerReference w:type="default" r:id="R1d8108dcf07c4c7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p w:rsidR="663C9380" w:rsidP="663C9380" w:rsidRDefault="663C9380" w14:paraId="64EDBF71" w14:textId="0DC3736C">
    <w:pPr>
      <w:pStyle w:val="Header"/>
      <w:bidi w:val="0"/>
    </w:pPr>
    <w:r w:rsidR="663C9380">
      <w:drawing>
        <wp:inline wp14:editId="1A822301" wp14:anchorId="5DA1F788">
          <wp:extent cx="1771650" cy="428625"/>
          <wp:effectExtent l="0" t="0" r="0" b="0"/>
          <wp:docPr id="11175694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6726069" name="Picture 336726069"/>
                  <pic:cNvPicPr/>
                </pic:nvPicPr>
                <pic:blipFill>
                  <a:blip xmlns:r="http://schemas.openxmlformats.org/officeDocument/2006/relationships" r:embed="rId2023919547">
                    <a:extLst>
                      <a:ext uri="{28A0092B-C50C-407E-A947-70E740481C1C}">
                        <a14:useLocalDpi xmlns:a14="http://schemas.microsoft.com/office/drawing/2010/main"/>
                      </a:ext>
                    </a:extLst>
                  </a:blip>
                  <a:stretch>
                    <a:fillRect/>
                  </a:stretch>
                </pic:blipFill>
                <pic:spPr>
                  <a:xfrm>
                    <a:off x="0" y="0"/>
                    <a:ext cx="1771650" cy="428625"/>
                  </a:xfrm>
                  <a:prstGeom prst="rect">
                    <a:avLst/>
                  </a:prstGeom>
                </pic:spPr>
              </pic:pic>
            </a:graphicData>
          </a:graphic>
        </wp:inline>
      </w:drawing>
    </w:r>
  </w:p>
</w:hdr>
</file>

<file path=word/numbering.xml><?xml version="1.0" encoding="utf-8"?>
<w:numbering xmlns:w="http://schemas.openxmlformats.org/wordprocessingml/2006/main">
  <w:abstractNum xmlns:w="http://schemas.openxmlformats.org/wordprocessingml/2006/main" w:abstractNumId="4">
    <w:nsid w:val="171b9b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9516d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6fae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998e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38B69D"/>
    <w:rsid w:val="03454445"/>
    <w:rsid w:val="0367E8D5"/>
    <w:rsid w:val="042EC36F"/>
    <w:rsid w:val="04525D56"/>
    <w:rsid w:val="05881957"/>
    <w:rsid w:val="05881957"/>
    <w:rsid w:val="06B709CB"/>
    <w:rsid w:val="095C8CE4"/>
    <w:rsid w:val="0C6FB7BF"/>
    <w:rsid w:val="0F87609E"/>
    <w:rsid w:val="0FE5FEAF"/>
    <w:rsid w:val="1102B4AE"/>
    <w:rsid w:val="129A395F"/>
    <w:rsid w:val="133EDD11"/>
    <w:rsid w:val="140BDACC"/>
    <w:rsid w:val="1830A3D3"/>
    <w:rsid w:val="1830A3D3"/>
    <w:rsid w:val="19FA9E6F"/>
    <w:rsid w:val="20749172"/>
    <w:rsid w:val="235DB61D"/>
    <w:rsid w:val="235DB61D"/>
    <w:rsid w:val="26164BA3"/>
    <w:rsid w:val="2A6F5D0A"/>
    <w:rsid w:val="2ADEE8E4"/>
    <w:rsid w:val="2B3D4D47"/>
    <w:rsid w:val="33E0C5C2"/>
    <w:rsid w:val="33E0C5C2"/>
    <w:rsid w:val="35571FA0"/>
    <w:rsid w:val="3569BB0A"/>
    <w:rsid w:val="359A115E"/>
    <w:rsid w:val="3C04C5AE"/>
    <w:rsid w:val="3CACBAEA"/>
    <w:rsid w:val="3CC5C114"/>
    <w:rsid w:val="3DD27DF6"/>
    <w:rsid w:val="3FC36934"/>
    <w:rsid w:val="43A7EB58"/>
    <w:rsid w:val="44B8FA4E"/>
    <w:rsid w:val="46B324E2"/>
    <w:rsid w:val="4C421B21"/>
    <w:rsid w:val="4D1028A3"/>
    <w:rsid w:val="4EEAF010"/>
    <w:rsid w:val="4EEAF010"/>
    <w:rsid w:val="51280CA7"/>
    <w:rsid w:val="5238DEF0"/>
    <w:rsid w:val="54107C8E"/>
    <w:rsid w:val="55235C5A"/>
    <w:rsid w:val="657DEC81"/>
    <w:rsid w:val="663C9380"/>
    <w:rsid w:val="6D38B69D"/>
    <w:rsid w:val="6D6B001F"/>
    <w:rsid w:val="71770F74"/>
    <w:rsid w:val="71770F74"/>
    <w:rsid w:val="74B8EF7A"/>
    <w:rsid w:val="74B8EF7A"/>
    <w:rsid w:val="756923E8"/>
    <w:rsid w:val="756923E8"/>
    <w:rsid w:val="7613660F"/>
    <w:rsid w:val="7982105B"/>
    <w:rsid w:val="7F3A1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8B69D"/>
  <w15:chartTrackingRefBased/>
  <w15:docId w15:val="{019823E5-8381-40EF-A10B-09F28507AE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63C9380"/>
    <w:rPr>
      <w:color w:val="467886"/>
      <w:u w:val="single"/>
    </w:rPr>
  </w:style>
  <w:style w:type="paragraph" w:styleId="ListParagraph">
    <w:uiPriority w:val="34"/>
    <w:name w:val="List Paragraph"/>
    <w:basedOn w:val="Normal"/>
    <w:qFormat/>
    <w:rsid w:val="663C9380"/>
    <w:pPr>
      <w:spacing/>
      <w:ind w:left="720"/>
      <w:contextualSpacing/>
    </w:pPr>
  </w:style>
  <w:style w:type="paragraph" w:styleId="Header">
    <w:uiPriority w:val="99"/>
    <w:name w:val="header"/>
    <w:basedOn w:val="Normal"/>
    <w:unhideWhenUsed/>
    <w:rsid w:val="663C9380"/>
    <w:pPr>
      <w:tabs>
        <w:tab w:val="center" w:leader="none" w:pos="4680"/>
        <w:tab w:val="right" w:leader="none" w:pos="9360"/>
      </w:tabs>
      <w:spacing w:after="0" w:line="240" w:lineRule="auto"/>
    </w:pPr>
  </w:style>
  <w:style w:type="paragraph" w:styleId="Footer">
    <w:uiPriority w:val="99"/>
    <w:name w:val="footer"/>
    <w:basedOn w:val="Normal"/>
    <w:unhideWhenUsed/>
    <w:rsid w:val="663C9380"/>
    <w:pPr>
      <w:tabs>
        <w:tab w:val="center" w:leader="none" w:pos="4680"/>
        <w:tab w:val="right" w:leader="none" w:pos="9360"/>
      </w:tabs>
      <w:spacing w:after="0" w:line="240" w:lineRule="auto"/>
    </w:pPr>
  </w:style>
  <w:style w:type="paragraph" w:styleId="TOC3">
    <w:uiPriority w:val="39"/>
    <w:name w:val="toc 3"/>
    <w:basedOn w:val="Normal"/>
    <w:next w:val="Normal"/>
    <w:unhideWhenUsed/>
    <w:rsid w:val="663C9380"/>
    <w:pPr>
      <w:spacing w:after="100"/>
      <w:ind w:left="440"/>
    </w:pPr>
  </w:style>
  <w:style w:type="paragraph" w:styleId="TOC2">
    <w:uiPriority w:val="39"/>
    <w:name w:val="toc 2"/>
    <w:basedOn w:val="Normal"/>
    <w:next w:val="Normal"/>
    <w:unhideWhenUsed/>
    <w:rsid w:val="663C938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626042157" /><Relationship Type="http://schemas.openxmlformats.org/officeDocument/2006/relationships/hyperlink" Target="https://www.mckinsey.com/" TargetMode="External" Id="R79915d7a56044a5d" /><Relationship Type="http://schemas.openxmlformats.org/officeDocument/2006/relationships/header" Target="/word/header.xml" Id="R1d8108dcf07c4c7a" /><Relationship Type="http://schemas.openxmlformats.org/officeDocument/2006/relationships/numbering" Target="/word/numbering.xml" Id="R30418714edd54936" /></Relationships>
</file>

<file path=word/_rels/header.xml.rels>&#65279;<?xml version="1.0" encoding="utf-8"?><Relationships xmlns="http://schemas.openxmlformats.org/package/2006/relationships"><Relationship Type="http://schemas.openxmlformats.org/officeDocument/2006/relationships/image" Target="/media/image.png" Id="rId20239195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Lemba Barroso Ngunza (2325006)</dc:creator>
  <keywords/>
  <dc:description/>
  <lastModifiedBy>Lemba Barroso Ngunza (2325006)</lastModifiedBy>
  <revision>3</revision>
  <dcterms:created xsi:type="dcterms:W3CDTF">2025-11-11T19:32:13.1713676Z</dcterms:created>
  <dcterms:modified xsi:type="dcterms:W3CDTF">2025-11-19T12:33:51.0772148Z</dcterms:modified>
</coreProperties>
</file>