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E47DA" w14:textId="21A145FF" w:rsidR="00C15161" w:rsidRDefault="00C15161" w:rsidP="00C15161">
      <w:pPr>
        <w:jc w:val="center"/>
        <w:rPr>
          <w:rStyle w:val="markedcontent"/>
          <w:rFonts w:ascii="Arial" w:hAnsi="Arial" w:cs="Arial"/>
          <w:i/>
          <w:iCs/>
          <w:sz w:val="28"/>
        </w:rPr>
      </w:pPr>
      <w:r w:rsidRPr="00266C12">
        <w:rPr>
          <w:rFonts w:ascii="Arial" w:hAnsi="Arial" w:cs="Arial"/>
          <w:noProof/>
          <w:sz w:val="24"/>
          <w:szCs w:val="24"/>
        </w:rPr>
        <w:drawing>
          <wp:anchor distT="0" distB="0" distL="114300" distR="114300" simplePos="0" relativeHeight="251661312" behindDoc="0" locked="0" layoutInCell="1" allowOverlap="1" wp14:anchorId="1BBDCE4E" wp14:editId="5BA04A38">
            <wp:simplePos x="0" y="0"/>
            <wp:positionH relativeFrom="margin">
              <wp:posOffset>-83820</wp:posOffset>
            </wp:positionH>
            <wp:positionV relativeFrom="paragraph">
              <wp:posOffset>-251460</wp:posOffset>
            </wp:positionV>
            <wp:extent cx="5608320" cy="21259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2125980"/>
                    </a:xfrm>
                    <a:prstGeom prst="rect">
                      <a:avLst/>
                    </a:prstGeom>
                    <a:noFill/>
                  </pic:spPr>
                </pic:pic>
              </a:graphicData>
            </a:graphic>
            <wp14:sizeRelH relativeFrom="margin">
              <wp14:pctWidth>0</wp14:pctWidth>
            </wp14:sizeRelH>
            <wp14:sizeRelV relativeFrom="margin">
              <wp14:pctHeight>0</wp14:pctHeight>
            </wp14:sizeRelV>
          </wp:anchor>
        </w:drawing>
      </w:r>
      <w:r w:rsidRPr="00476A08">
        <w:rPr>
          <w:rFonts w:ascii="Arial" w:hAnsi="Arial" w:cs="Arial"/>
          <w:b/>
          <w:sz w:val="28"/>
        </w:rPr>
        <w:t>Titl</w:t>
      </w:r>
      <w:r w:rsidRPr="00C15161">
        <w:rPr>
          <w:rFonts w:ascii="Arial" w:hAnsi="Arial" w:cs="Arial"/>
          <w:b/>
          <w:i/>
          <w:iCs/>
          <w:sz w:val="28"/>
        </w:rPr>
        <w:t xml:space="preserve">e: </w:t>
      </w:r>
      <w:r w:rsidRPr="00C15161">
        <w:rPr>
          <w:rStyle w:val="markedcontent"/>
          <w:rFonts w:ascii="Arial" w:hAnsi="Arial" w:cs="Arial"/>
          <w:i/>
          <w:iCs/>
          <w:sz w:val="28"/>
        </w:rPr>
        <w:t>Financial Management</w:t>
      </w:r>
    </w:p>
    <w:p w14:paraId="2447C40B" w14:textId="77777777" w:rsidR="00E05071" w:rsidRPr="00C15161" w:rsidRDefault="00E05071" w:rsidP="00C15161">
      <w:pPr>
        <w:jc w:val="center"/>
        <w:rPr>
          <w:rStyle w:val="markedcontent"/>
          <w:rFonts w:ascii="Arial" w:hAnsi="Arial" w:cs="Arial"/>
          <w:b/>
          <w:bCs/>
          <w:i/>
          <w:iCs/>
          <w:sz w:val="28"/>
        </w:rPr>
      </w:pPr>
    </w:p>
    <w:p w14:paraId="7EC71596" w14:textId="3D7D8CBA" w:rsidR="00C15161" w:rsidRDefault="00E05071" w:rsidP="00C15161">
      <w:pPr>
        <w:jc w:val="center"/>
        <w:rPr>
          <w:rFonts w:ascii="Arial" w:hAnsi="Arial" w:cs="Arial"/>
          <w:b/>
          <w:sz w:val="28"/>
        </w:rPr>
      </w:pPr>
      <w:r>
        <w:rPr>
          <w:rFonts w:ascii="Arial" w:hAnsi="Arial" w:cs="Arial"/>
          <w:b/>
          <w:noProof/>
          <w:sz w:val="28"/>
        </w:rPr>
        <w:drawing>
          <wp:inline distT="0" distB="0" distL="0" distR="0" wp14:anchorId="148C9F61" wp14:editId="22676C80">
            <wp:extent cx="6048375" cy="2374265"/>
            <wp:effectExtent l="0" t="0" r="0" b="635"/>
            <wp:docPr id="1299200087" name="Picture 6" descr="Všechny obch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00087" name="Picture 1299200087" descr="Všechny obchody"/>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048375" cy="2374265"/>
                    </a:xfrm>
                    <a:prstGeom prst="rect">
                      <a:avLst/>
                    </a:prstGeom>
                  </pic:spPr>
                </pic:pic>
              </a:graphicData>
            </a:graphic>
          </wp:inline>
        </w:drawing>
      </w:r>
    </w:p>
    <w:p w14:paraId="54D82591" w14:textId="77777777" w:rsidR="00E05071" w:rsidRDefault="00E05071" w:rsidP="00C15161">
      <w:pPr>
        <w:jc w:val="center"/>
        <w:rPr>
          <w:rFonts w:ascii="Arial" w:hAnsi="Arial" w:cs="Arial"/>
          <w:b/>
          <w:sz w:val="28"/>
        </w:rPr>
      </w:pPr>
    </w:p>
    <w:p w14:paraId="6612DA96" w14:textId="77777777" w:rsidR="00E05071" w:rsidRDefault="00E05071" w:rsidP="00C15161">
      <w:pPr>
        <w:jc w:val="center"/>
        <w:rPr>
          <w:rFonts w:ascii="Arial" w:hAnsi="Arial" w:cs="Arial"/>
          <w:b/>
          <w:sz w:val="28"/>
        </w:rPr>
      </w:pPr>
    </w:p>
    <w:p w14:paraId="36941FD1" w14:textId="77777777" w:rsidR="00C15161" w:rsidRPr="00266C12" w:rsidRDefault="00C15161" w:rsidP="00C15161">
      <w:pPr>
        <w:rPr>
          <w:rFonts w:ascii="Arial" w:hAnsi="Arial" w:cs="Arial"/>
          <w:b/>
          <w:bCs/>
          <w:i/>
          <w:iCs/>
          <w:sz w:val="32"/>
          <w:szCs w:val="32"/>
        </w:rPr>
      </w:pPr>
      <w:r w:rsidRPr="00266C12">
        <w:rPr>
          <w:rFonts w:ascii="Arial" w:hAnsi="Arial" w:cs="Arial"/>
          <w:b/>
          <w:sz w:val="28"/>
        </w:rPr>
        <w:t>Student name:​ Dewan Ashrafi</w:t>
      </w:r>
    </w:p>
    <w:p w14:paraId="6B9571C2" w14:textId="77777777" w:rsidR="00C15161" w:rsidRPr="00266C12" w:rsidRDefault="00C15161" w:rsidP="00C15161">
      <w:pPr>
        <w:rPr>
          <w:rFonts w:ascii="Arial" w:hAnsi="Arial" w:cs="Arial"/>
          <w:b/>
          <w:sz w:val="28"/>
        </w:rPr>
      </w:pPr>
      <w:r w:rsidRPr="00266C12">
        <w:rPr>
          <w:rFonts w:ascii="Arial" w:hAnsi="Arial" w:cs="Arial"/>
          <w:b/>
          <w:sz w:val="28"/>
        </w:rPr>
        <w:t>Student ID: ​1916230</w:t>
      </w:r>
    </w:p>
    <w:p w14:paraId="5F3A21B3" w14:textId="77777777" w:rsidR="00C15161" w:rsidRPr="00C15161" w:rsidRDefault="00C15161" w:rsidP="00C15161">
      <w:pPr>
        <w:rPr>
          <w:rFonts w:ascii="Arial" w:hAnsi="Arial" w:cs="Arial"/>
          <w:bCs/>
          <w:sz w:val="28"/>
        </w:rPr>
      </w:pPr>
      <w:r w:rsidRPr="00C15161">
        <w:rPr>
          <w:rFonts w:ascii="Arial" w:hAnsi="Arial" w:cs="Arial"/>
          <w:bCs/>
          <w:sz w:val="28"/>
        </w:rPr>
        <w:t xml:space="preserve">Programme: </w:t>
      </w:r>
      <w:r w:rsidRPr="00C15161">
        <w:rPr>
          <w:rStyle w:val="markedcontent"/>
          <w:rFonts w:ascii="Arial" w:hAnsi="Arial" w:cs="Arial"/>
          <w:bCs/>
          <w:sz w:val="28"/>
        </w:rPr>
        <w:t xml:space="preserve">MBA- </w:t>
      </w:r>
      <w:proofErr w:type="gramStart"/>
      <w:r w:rsidRPr="00C15161">
        <w:rPr>
          <w:rStyle w:val="markedcontent"/>
          <w:rFonts w:ascii="Arial" w:hAnsi="Arial" w:cs="Arial"/>
          <w:bCs/>
          <w:sz w:val="28"/>
        </w:rPr>
        <w:t>Masters of Business Administration</w:t>
      </w:r>
      <w:proofErr w:type="gramEnd"/>
    </w:p>
    <w:p w14:paraId="542BC48A" w14:textId="4BA7EA17" w:rsidR="00C15161" w:rsidRPr="00C15161" w:rsidRDefault="00C15161" w:rsidP="00C15161">
      <w:pPr>
        <w:spacing w:line="360" w:lineRule="auto"/>
        <w:rPr>
          <w:rStyle w:val="markedcontent"/>
          <w:rFonts w:ascii="Arial" w:hAnsi="Arial" w:cs="Arial"/>
          <w:bCs/>
          <w:sz w:val="28"/>
        </w:rPr>
      </w:pPr>
      <w:r w:rsidRPr="00C15161">
        <w:rPr>
          <w:rFonts w:ascii="Arial" w:hAnsi="Arial" w:cs="Arial"/>
          <w:bCs/>
          <w:sz w:val="28"/>
        </w:rPr>
        <w:t xml:space="preserve">Module: </w:t>
      </w:r>
      <w:r w:rsidRPr="00C15161">
        <w:rPr>
          <w:rStyle w:val="markedcontent"/>
          <w:rFonts w:ascii="Arial" w:hAnsi="Arial" w:cs="Arial"/>
          <w:sz w:val="28"/>
        </w:rPr>
        <w:t>Financial Management</w:t>
      </w:r>
    </w:p>
    <w:p w14:paraId="2E1FCD48" w14:textId="4B4769F5" w:rsidR="00C15161" w:rsidRPr="00C15161" w:rsidRDefault="00C15161" w:rsidP="00C15161">
      <w:pPr>
        <w:spacing w:line="360" w:lineRule="auto"/>
        <w:rPr>
          <w:rFonts w:ascii="Arial" w:hAnsi="Arial" w:cs="Arial"/>
          <w:bCs/>
          <w:sz w:val="28"/>
        </w:rPr>
      </w:pPr>
      <w:r w:rsidRPr="00C15161">
        <w:rPr>
          <w:rFonts w:ascii="Arial" w:hAnsi="Arial" w:cs="Arial"/>
          <w:bCs/>
          <w:sz w:val="28"/>
        </w:rPr>
        <w:t xml:space="preserve">Module code: </w:t>
      </w:r>
      <w:r w:rsidRPr="00C15161">
        <w:rPr>
          <w:rStyle w:val="markedcontent"/>
          <w:rFonts w:ascii="Arial" w:hAnsi="Arial" w:cs="Arial"/>
          <w:sz w:val="28"/>
        </w:rPr>
        <w:t>LCMB7002</w:t>
      </w:r>
    </w:p>
    <w:p w14:paraId="15131342" w14:textId="62A5FB5A" w:rsidR="00C15161" w:rsidRPr="00C15161" w:rsidRDefault="00C15161" w:rsidP="00C15161">
      <w:pPr>
        <w:rPr>
          <w:rStyle w:val="markedcontent"/>
          <w:rFonts w:ascii="Arial" w:hAnsi="Arial" w:cs="Arial"/>
          <w:bCs/>
          <w:sz w:val="28"/>
        </w:rPr>
      </w:pPr>
      <w:r w:rsidRPr="00C15161">
        <w:rPr>
          <w:rFonts w:ascii="Arial" w:hAnsi="Arial" w:cs="Arial"/>
          <w:bCs/>
          <w:sz w:val="28"/>
        </w:rPr>
        <w:t xml:space="preserve">Lecturer name: </w:t>
      </w:r>
      <w:r w:rsidRPr="00C15161">
        <w:rPr>
          <w:rStyle w:val="markedcontent"/>
          <w:rFonts w:ascii="Arial" w:hAnsi="Arial" w:cs="Arial"/>
          <w:sz w:val="28"/>
        </w:rPr>
        <w:t>Jia Miao</w:t>
      </w:r>
    </w:p>
    <w:p w14:paraId="17D68520" w14:textId="368E8487" w:rsidR="00C15161" w:rsidRPr="00C15161" w:rsidRDefault="00C15161" w:rsidP="00C15161">
      <w:pPr>
        <w:rPr>
          <w:rFonts w:ascii="Arial" w:hAnsi="Arial" w:cs="Arial"/>
          <w:bCs/>
          <w:sz w:val="28"/>
        </w:rPr>
      </w:pPr>
      <w:r w:rsidRPr="00C15161">
        <w:rPr>
          <w:rFonts w:ascii="Arial" w:hAnsi="Arial" w:cs="Arial"/>
          <w:bCs/>
          <w:sz w:val="28"/>
        </w:rPr>
        <w:t>Date:  09/05/2023</w:t>
      </w:r>
      <w:r w:rsidR="00DC705D">
        <w:rPr>
          <w:rFonts w:ascii="Arial" w:hAnsi="Arial" w:cs="Arial"/>
          <w:bCs/>
          <w:sz w:val="28"/>
        </w:rPr>
        <w:tab/>
      </w:r>
      <w:r w:rsidR="00DC705D">
        <w:rPr>
          <w:rFonts w:ascii="Arial" w:hAnsi="Arial" w:cs="Arial"/>
          <w:bCs/>
          <w:sz w:val="28"/>
        </w:rPr>
        <w:tab/>
      </w:r>
    </w:p>
    <w:p w14:paraId="39245D58" w14:textId="037BEA63" w:rsidR="00DD24B5" w:rsidRDefault="00DD24B5" w:rsidP="00C15161">
      <w:pPr>
        <w:spacing w:line="360" w:lineRule="auto"/>
        <w:rPr>
          <w:rFonts w:ascii="Arial" w:hAnsi="Arial" w:cs="Arial"/>
          <w:noProof/>
          <w:sz w:val="24"/>
          <w:szCs w:val="24"/>
        </w:rPr>
      </w:pPr>
    </w:p>
    <w:p w14:paraId="68ABF233" w14:textId="77777777" w:rsidR="00DD24B5" w:rsidRDefault="00DD24B5" w:rsidP="00C15161">
      <w:pPr>
        <w:spacing w:line="360" w:lineRule="auto"/>
        <w:rPr>
          <w:rFonts w:ascii="Arial" w:hAnsi="Arial" w:cs="Arial"/>
          <w:noProof/>
          <w:sz w:val="24"/>
          <w:szCs w:val="24"/>
        </w:rPr>
      </w:pPr>
    </w:p>
    <w:sdt>
      <w:sdtPr>
        <w:id w:val="487532295"/>
        <w:docPartObj>
          <w:docPartGallery w:val="Table of Contents"/>
          <w:docPartUnique/>
        </w:docPartObj>
      </w:sdtPr>
      <w:sdtEndPr>
        <w:rPr>
          <w:rFonts w:asciiTheme="minorHAnsi" w:eastAsiaTheme="minorHAnsi" w:hAnsiTheme="minorHAnsi" w:cstheme="minorBidi"/>
          <w:noProof/>
          <w:color w:val="auto"/>
          <w:sz w:val="22"/>
          <w:lang w:val="en-GB" w:bidi="bn-BD"/>
        </w:rPr>
      </w:sdtEndPr>
      <w:sdtContent>
        <w:p w14:paraId="5F31BABF" w14:textId="54D87186" w:rsidR="00DD24B5" w:rsidRDefault="00DD24B5">
          <w:pPr>
            <w:pStyle w:val="TOCHeading"/>
          </w:pPr>
          <w:r>
            <w:t>Table of Contents</w:t>
          </w:r>
        </w:p>
        <w:p w14:paraId="5D4965CA" w14:textId="40CADBE5" w:rsidR="00DD24B5" w:rsidRDefault="00DD24B5">
          <w:pPr>
            <w:pStyle w:val="TOC1"/>
            <w:tabs>
              <w:tab w:val="left" w:pos="720"/>
              <w:tab w:val="right" w:leader="dot" w:pos="9515"/>
            </w:tabs>
            <w:rPr>
              <w:noProof/>
            </w:rPr>
          </w:pPr>
          <w:r>
            <w:rPr>
              <w:b w:val="0"/>
              <w:bCs w:val="0"/>
            </w:rPr>
            <w:fldChar w:fldCharType="begin"/>
          </w:r>
          <w:r>
            <w:instrText xml:space="preserve"> TOC \o "1-3" \h \z \u </w:instrText>
          </w:r>
          <w:r>
            <w:rPr>
              <w:b w:val="0"/>
              <w:bCs w:val="0"/>
            </w:rPr>
            <w:fldChar w:fldCharType="separate"/>
          </w:r>
          <w:hyperlink w:anchor="_Toc144635653" w:history="1">
            <w:r w:rsidRPr="003859E2">
              <w:rPr>
                <w:rStyle w:val="Hyperlink"/>
                <w:rFonts w:ascii="Bodoni MT Black" w:hAnsi="Bodoni MT Black"/>
                <w:noProof/>
              </w:rPr>
              <w:t>1.1</w:t>
            </w:r>
            <w:r>
              <w:rPr>
                <w:noProof/>
              </w:rPr>
              <w:tab/>
            </w:r>
            <w:r w:rsidRPr="003859E2">
              <w:rPr>
                <w:rStyle w:val="Hyperlink"/>
                <w:rFonts w:ascii="Bodoni MT Black" w:hAnsi="Bodoni MT Black"/>
                <w:noProof/>
              </w:rPr>
              <w:t>Introduction</w:t>
            </w:r>
            <w:r>
              <w:rPr>
                <w:noProof/>
                <w:webHidden/>
              </w:rPr>
              <w:tab/>
            </w:r>
            <w:r>
              <w:rPr>
                <w:noProof/>
                <w:webHidden/>
              </w:rPr>
              <w:fldChar w:fldCharType="begin"/>
            </w:r>
            <w:r>
              <w:rPr>
                <w:noProof/>
                <w:webHidden/>
              </w:rPr>
              <w:instrText xml:space="preserve"> PAGEREF _Toc144635653 \h </w:instrText>
            </w:r>
            <w:r>
              <w:rPr>
                <w:noProof/>
                <w:webHidden/>
              </w:rPr>
            </w:r>
            <w:r>
              <w:rPr>
                <w:noProof/>
                <w:webHidden/>
              </w:rPr>
              <w:fldChar w:fldCharType="separate"/>
            </w:r>
            <w:r>
              <w:rPr>
                <w:noProof/>
                <w:webHidden/>
              </w:rPr>
              <w:t>2</w:t>
            </w:r>
            <w:r>
              <w:rPr>
                <w:noProof/>
                <w:webHidden/>
              </w:rPr>
              <w:fldChar w:fldCharType="end"/>
            </w:r>
          </w:hyperlink>
        </w:p>
        <w:p w14:paraId="63D2DBD5" w14:textId="2759EB97" w:rsidR="00DD24B5" w:rsidRDefault="00DD24B5">
          <w:pPr>
            <w:pStyle w:val="TOC2"/>
            <w:tabs>
              <w:tab w:val="right" w:leader="dot" w:pos="9515"/>
            </w:tabs>
            <w:rPr>
              <w:noProof/>
            </w:rPr>
          </w:pPr>
          <w:hyperlink w:anchor="_Toc144635654" w:history="1">
            <w:r w:rsidRPr="003859E2">
              <w:rPr>
                <w:rStyle w:val="Hyperlink"/>
                <w:rFonts w:ascii="Arial" w:hAnsi="Arial" w:cs="Arial"/>
                <w:noProof/>
              </w:rPr>
              <w:t xml:space="preserve">Marks &amp; Spencer Group PLC </w:t>
            </w:r>
            <w:r w:rsidRPr="003859E2">
              <w:rPr>
                <w:rStyle w:val="Hyperlink"/>
                <w:rFonts w:ascii="Arial" w:eastAsia="Times New Roman" w:hAnsi="Arial" w:cs="Arial"/>
                <w:noProof/>
                <w:lang w:eastAsia="en-GB"/>
              </w:rPr>
              <w:t>Profidibilities for 2022 (M&amp;S Plc, 2022):</w:t>
            </w:r>
            <w:r>
              <w:rPr>
                <w:noProof/>
                <w:webHidden/>
              </w:rPr>
              <w:tab/>
            </w:r>
            <w:r>
              <w:rPr>
                <w:noProof/>
                <w:webHidden/>
              </w:rPr>
              <w:fldChar w:fldCharType="begin"/>
            </w:r>
            <w:r>
              <w:rPr>
                <w:noProof/>
                <w:webHidden/>
              </w:rPr>
              <w:instrText xml:space="preserve"> PAGEREF _Toc144635654 \h </w:instrText>
            </w:r>
            <w:r>
              <w:rPr>
                <w:noProof/>
                <w:webHidden/>
              </w:rPr>
            </w:r>
            <w:r>
              <w:rPr>
                <w:noProof/>
                <w:webHidden/>
              </w:rPr>
              <w:fldChar w:fldCharType="separate"/>
            </w:r>
            <w:r>
              <w:rPr>
                <w:noProof/>
                <w:webHidden/>
              </w:rPr>
              <w:t>13</w:t>
            </w:r>
            <w:r>
              <w:rPr>
                <w:noProof/>
                <w:webHidden/>
              </w:rPr>
              <w:fldChar w:fldCharType="end"/>
            </w:r>
          </w:hyperlink>
        </w:p>
        <w:p w14:paraId="11D607DB" w14:textId="3FAFC2FE" w:rsidR="00DD24B5" w:rsidRDefault="00DD24B5">
          <w:r>
            <w:rPr>
              <w:b/>
              <w:bCs/>
              <w:noProof/>
            </w:rPr>
            <w:fldChar w:fldCharType="end"/>
          </w:r>
        </w:p>
      </w:sdtContent>
    </w:sdt>
    <w:p w14:paraId="2D1F1679" w14:textId="77777777" w:rsidR="00DD24B5" w:rsidRDefault="00DD24B5" w:rsidP="00C15161">
      <w:pPr>
        <w:spacing w:line="360" w:lineRule="auto"/>
        <w:rPr>
          <w:rFonts w:ascii="Arial" w:hAnsi="Arial" w:cs="Arial"/>
          <w:noProof/>
          <w:sz w:val="24"/>
          <w:szCs w:val="24"/>
        </w:rPr>
      </w:pPr>
    </w:p>
    <w:p w14:paraId="61DC4C6C" w14:textId="77777777" w:rsidR="00DD24B5" w:rsidRDefault="00DD24B5" w:rsidP="00C15161">
      <w:pPr>
        <w:spacing w:line="360" w:lineRule="auto"/>
        <w:rPr>
          <w:rFonts w:ascii="Arial" w:hAnsi="Arial" w:cs="Arial"/>
          <w:noProof/>
          <w:sz w:val="24"/>
          <w:szCs w:val="24"/>
        </w:rPr>
      </w:pPr>
    </w:p>
    <w:p w14:paraId="74DFBAB9" w14:textId="77777777" w:rsidR="00DD24B5" w:rsidRDefault="00DD24B5" w:rsidP="00C15161">
      <w:pPr>
        <w:spacing w:line="360" w:lineRule="auto"/>
        <w:rPr>
          <w:rFonts w:ascii="Arial" w:hAnsi="Arial" w:cs="Arial"/>
          <w:noProof/>
          <w:sz w:val="24"/>
          <w:szCs w:val="24"/>
        </w:rPr>
      </w:pPr>
    </w:p>
    <w:p w14:paraId="38A3E08D" w14:textId="77777777" w:rsidR="00DD24B5" w:rsidRDefault="00DD24B5" w:rsidP="00C15161">
      <w:pPr>
        <w:spacing w:line="360" w:lineRule="auto"/>
        <w:rPr>
          <w:rFonts w:ascii="Arial" w:hAnsi="Arial" w:cs="Arial"/>
          <w:noProof/>
          <w:sz w:val="24"/>
          <w:szCs w:val="24"/>
        </w:rPr>
      </w:pPr>
    </w:p>
    <w:p w14:paraId="13D187B9" w14:textId="77777777" w:rsidR="00DD24B5" w:rsidRDefault="00DD24B5" w:rsidP="00C15161">
      <w:pPr>
        <w:spacing w:line="360" w:lineRule="auto"/>
        <w:rPr>
          <w:rFonts w:ascii="Arial" w:hAnsi="Arial" w:cs="Arial"/>
          <w:noProof/>
          <w:sz w:val="24"/>
          <w:szCs w:val="24"/>
        </w:rPr>
      </w:pPr>
    </w:p>
    <w:p w14:paraId="757915CD" w14:textId="77777777" w:rsidR="00DD24B5" w:rsidRDefault="00DD24B5" w:rsidP="00C15161">
      <w:pPr>
        <w:spacing w:line="360" w:lineRule="auto"/>
        <w:rPr>
          <w:rFonts w:ascii="Arial" w:hAnsi="Arial" w:cs="Arial"/>
          <w:noProof/>
          <w:sz w:val="24"/>
          <w:szCs w:val="24"/>
        </w:rPr>
      </w:pPr>
    </w:p>
    <w:p w14:paraId="42D9D45F" w14:textId="77777777" w:rsidR="00DD24B5" w:rsidRDefault="00DD24B5" w:rsidP="00C15161">
      <w:pPr>
        <w:spacing w:line="360" w:lineRule="auto"/>
        <w:rPr>
          <w:rFonts w:ascii="Arial" w:hAnsi="Arial" w:cs="Arial"/>
          <w:noProof/>
          <w:sz w:val="24"/>
          <w:szCs w:val="24"/>
        </w:rPr>
      </w:pPr>
    </w:p>
    <w:p w14:paraId="72AFACA6" w14:textId="77777777" w:rsidR="00DD24B5" w:rsidRDefault="00DD24B5" w:rsidP="00C15161">
      <w:pPr>
        <w:spacing w:line="360" w:lineRule="auto"/>
        <w:rPr>
          <w:rFonts w:ascii="Arial" w:hAnsi="Arial" w:cs="Arial"/>
          <w:noProof/>
          <w:sz w:val="24"/>
          <w:szCs w:val="24"/>
        </w:rPr>
      </w:pPr>
    </w:p>
    <w:p w14:paraId="2A294C19" w14:textId="77777777" w:rsidR="00DD24B5" w:rsidRDefault="00DD24B5" w:rsidP="00C15161">
      <w:pPr>
        <w:spacing w:line="360" w:lineRule="auto"/>
        <w:rPr>
          <w:rFonts w:ascii="Arial" w:hAnsi="Arial" w:cs="Arial"/>
          <w:noProof/>
          <w:sz w:val="24"/>
          <w:szCs w:val="24"/>
        </w:rPr>
      </w:pPr>
    </w:p>
    <w:p w14:paraId="2E989E37" w14:textId="77777777" w:rsidR="00DD24B5" w:rsidRDefault="00DD24B5" w:rsidP="00C15161">
      <w:pPr>
        <w:spacing w:line="360" w:lineRule="auto"/>
        <w:rPr>
          <w:rFonts w:ascii="Arial" w:hAnsi="Arial" w:cs="Arial"/>
          <w:noProof/>
          <w:sz w:val="24"/>
          <w:szCs w:val="24"/>
        </w:rPr>
      </w:pPr>
    </w:p>
    <w:p w14:paraId="351BF118" w14:textId="77777777" w:rsidR="00DD24B5" w:rsidRDefault="00DD24B5" w:rsidP="00C15161">
      <w:pPr>
        <w:spacing w:line="360" w:lineRule="auto"/>
        <w:rPr>
          <w:rFonts w:ascii="Arial" w:hAnsi="Arial" w:cs="Arial"/>
          <w:noProof/>
          <w:sz w:val="24"/>
          <w:szCs w:val="24"/>
        </w:rPr>
      </w:pPr>
    </w:p>
    <w:p w14:paraId="03FEC176" w14:textId="77777777" w:rsidR="00DD24B5" w:rsidRDefault="00DD24B5" w:rsidP="00C15161">
      <w:pPr>
        <w:spacing w:line="360" w:lineRule="auto"/>
        <w:rPr>
          <w:rFonts w:ascii="Arial" w:hAnsi="Arial" w:cs="Arial"/>
          <w:noProof/>
          <w:sz w:val="24"/>
          <w:szCs w:val="24"/>
        </w:rPr>
      </w:pPr>
    </w:p>
    <w:p w14:paraId="2E51C338" w14:textId="77777777" w:rsidR="00DD24B5" w:rsidRDefault="00DD24B5" w:rsidP="00C15161">
      <w:pPr>
        <w:spacing w:line="360" w:lineRule="auto"/>
        <w:rPr>
          <w:rFonts w:ascii="Arial" w:hAnsi="Arial" w:cs="Arial"/>
          <w:noProof/>
          <w:sz w:val="24"/>
          <w:szCs w:val="24"/>
        </w:rPr>
      </w:pPr>
    </w:p>
    <w:p w14:paraId="500BEA8C" w14:textId="77777777" w:rsidR="00DD24B5" w:rsidRDefault="00DD24B5" w:rsidP="00C15161">
      <w:pPr>
        <w:spacing w:line="360" w:lineRule="auto"/>
        <w:rPr>
          <w:rFonts w:ascii="Arial" w:hAnsi="Arial" w:cs="Arial"/>
          <w:noProof/>
          <w:sz w:val="24"/>
          <w:szCs w:val="24"/>
        </w:rPr>
      </w:pPr>
    </w:p>
    <w:p w14:paraId="3A9B5972" w14:textId="77777777" w:rsidR="00DD24B5" w:rsidRDefault="00DD24B5" w:rsidP="00C15161">
      <w:pPr>
        <w:spacing w:line="360" w:lineRule="auto"/>
        <w:rPr>
          <w:rFonts w:ascii="Arial" w:hAnsi="Arial" w:cs="Arial"/>
          <w:noProof/>
          <w:sz w:val="24"/>
          <w:szCs w:val="24"/>
        </w:rPr>
      </w:pPr>
    </w:p>
    <w:p w14:paraId="008615A7" w14:textId="77777777" w:rsidR="00DD24B5" w:rsidRDefault="00DD24B5" w:rsidP="00C15161">
      <w:pPr>
        <w:spacing w:line="360" w:lineRule="auto"/>
        <w:rPr>
          <w:rFonts w:ascii="Arial" w:hAnsi="Arial" w:cs="Arial"/>
          <w:noProof/>
          <w:sz w:val="24"/>
          <w:szCs w:val="24"/>
        </w:rPr>
      </w:pPr>
    </w:p>
    <w:p w14:paraId="248EDC14" w14:textId="77777777" w:rsidR="00DD24B5" w:rsidRDefault="00DD24B5" w:rsidP="00C15161">
      <w:pPr>
        <w:spacing w:line="360" w:lineRule="auto"/>
        <w:rPr>
          <w:rFonts w:ascii="Arial" w:hAnsi="Arial" w:cs="Arial"/>
          <w:noProof/>
          <w:sz w:val="24"/>
          <w:szCs w:val="24"/>
        </w:rPr>
      </w:pPr>
    </w:p>
    <w:p w14:paraId="1A70009E" w14:textId="77777777" w:rsidR="00DD24B5" w:rsidRDefault="00DD24B5" w:rsidP="00C15161">
      <w:pPr>
        <w:spacing w:line="360" w:lineRule="auto"/>
        <w:rPr>
          <w:rFonts w:ascii="Arial" w:hAnsi="Arial" w:cs="Arial"/>
          <w:noProof/>
          <w:sz w:val="24"/>
          <w:szCs w:val="24"/>
        </w:rPr>
      </w:pPr>
    </w:p>
    <w:p w14:paraId="2CE86920" w14:textId="6B15CCDC" w:rsidR="00C15161" w:rsidRDefault="00C15161" w:rsidP="00C15161">
      <w:pPr>
        <w:spacing w:line="360" w:lineRule="auto"/>
        <w:rPr>
          <w:rFonts w:ascii="Arial" w:hAnsi="Arial" w:cs="Arial"/>
          <w:noProof/>
          <w:sz w:val="24"/>
          <w:szCs w:val="24"/>
        </w:rPr>
      </w:pPr>
    </w:p>
    <w:p w14:paraId="108EA04D" w14:textId="4AA85D39" w:rsidR="00C15161" w:rsidRDefault="00C15161" w:rsidP="00C15161">
      <w:pPr>
        <w:spacing w:line="360" w:lineRule="auto"/>
        <w:rPr>
          <w:rFonts w:ascii="Arial" w:hAnsi="Arial" w:cs="Arial"/>
          <w:noProof/>
          <w:sz w:val="24"/>
          <w:szCs w:val="24"/>
        </w:rPr>
      </w:pPr>
    </w:p>
    <w:p w14:paraId="56DDB355" w14:textId="5DD4B726" w:rsidR="00C15161" w:rsidRPr="00D54AFD" w:rsidRDefault="00C15161" w:rsidP="00D54AFD">
      <w:pPr>
        <w:pStyle w:val="Heading1"/>
        <w:numPr>
          <w:ilvl w:val="0"/>
          <w:numId w:val="19"/>
        </w:numPr>
        <w:rPr>
          <w:rFonts w:ascii="PT Sans Caption" w:hAnsi="PT Sans Caption"/>
          <w:b/>
          <w:bCs/>
          <w:noProof/>
          <w:color w:val="auto"/>
          <w:sz w:val="28"/>
          <w:szCs w:val="28"/>
        </w:rPr>
      </w:pPr>
      <w:bookmarkStart w:id="0" w:name="_Toc144635653"/>
      <w:r w:rsidRPr="00D54AFD">
        <w:rPr>
          <w:rFonts w:ascii="PT Sans Caption" w:hAnsi="PT Sans Caption"/>
          <w:b/>
          <w:bCs/>
          <w:noProof/>
          <w:color w:val="auto"/>
          <w:szCs w:val="32"/>
        </w:rPr>
        <w:t>Introduction</w:t>
      </w:r>
      <w:bookmarkEnd w:id="0"/>
    </w:p>
    <w:p w14:paraId="0F71C2FB" w14:textId="1A51DAFF" w:rsidR="00C15161" w:rsidRDefault="00C15161" w:rsidP="00C15161"/>
    <w:p w14:paraId="4A36DE68" w14:textId="21E2D919" w:rsidR="00BF1655" w:rsidRDefault="00BF1655" w:rsidP="00BF1655">
      <w:pPr>
        <w:shd w:val="clear" w:color="auto" w:fill="FFFFFF"/>
        <w:spacing w:line="360" w:lineRule="auto"/>
        <w:rPr>
          <w:rFonts w:ascii="Arial" w:hAnsi="Arial" w:cs="Arial"/>
          <w:sz w:val="24"/>
          <w:szCs w:val="24"/>
        </w:rPr>
      </w:pPr>
      <w:r w:rsidRPr="00B86D89">
        <w:rPr>
          <w:rFonts w:ascii="Arial" w:hAnsi="Arial" w:cs="Arial"/>
          <w:sz w:val="24"/>
          <w:szCs w:val="24"/>
        </w:rPr>
        <w:t xml:space="preserve">The </w:t>
      </w:r>
      <w:r w:rsidR="0076027E">
        <w:rPr>
          <w:rFonts w:ascii="Arial" w:hAnsi="Arial" w:cs="Arial"/>
          <w:sz w:val="24"/>
          <w:szCs w:val="24"/>
        </w:rPr>
        <w:t xml:space="preserve">primary </w:t>
      </w:r>
      <w:r w:rsidRPr="00B86D89">
        <w:rPr>
          <w:rFonts w:ascii="Arial" w:hAnsi="Arial" w:cs="Arial"/>
          <w:sz w:val="24"/>
          <w:szCs w:val="24"/>
        </w:rPr>
        <w:t xml:space="preserve">goal of the </w:t>
      </w:r>
      <w:r>
        <w:rPr>
          <w:rFonts w:ascii="Arial" w:hAnsi="Arial" w:cs="Arial"/>
          <w:sz w:val="24"/>
          <w:szCs w:val="24"/>
        </w:rPr>
        <w:t>company</w:t>
      </w:r>
      <w:r w:rsidRPr="00B86D89">
        <w:rPr>
          <w:rFonts w:ascii="Arial" w:hAnsi="Arial" w:cs="Arial"/>
          <w:sz w:val="24"/>
          <w:szCs w:val="24"/>
        </w:rPr>
        <w:t xml:space="preserve">, also known as the </w:t>
      </w:r>
      <w:r>
        <w:rPr>
          <w:rFonts w:ascii="Arial" w:hAnsi="Arial" w:cs="Arial"/>
          <w:sz w:val="24"/>
          <w:szCs w:val="24"/>
        </w:rPr>
        <w:t>company'</w:t>
      </w:r>
      <w:r w:rsidRPr="00B86D89">
        <w:rPr>
          <w:rFonts w:ascii="Arial" w:hAnsi="Arial" w:cs="Arial"/>
          <w:sz w:val="24"/>
          <w:szCs w:val="24"/>
        </w:rPr>
        <w:t>s objective, is to maximise shareholder wealth. A firm make</w:t>
      </w:r>
      <w:r>
        <w:rPr>
          <w:rFonts w:ascii="Arial" w:hAnsi="Arial" w:cs="Arial"/>
          <w:sz w:val="24"/>
          <w:szCs w:val="24"/>
        </w:rPr>
        <w:t>s</w:t>
      </w:r>
      <w:r w:rsidRPr="00B86D89">
        <w:rPr>
          <w:rFonts w:ascii="Arial" w:hAnsi="Arial" w:cs="Arial"/>
          <w:sz w:val="24"/>
          <w:szCs w:val="24"/>
        </w:rPr>
        <w:t xml:space="preserve"> decisions that increase its shares</w:t>
      </w:r>
      <w:r>
        <w:rPr>
          <w:rFonts w:ascii="Arial" w:hAnsi="Arial" w:cs="Arial"/>
          <w:sz w:val="24"/>
          <w:szCs w:val="24"/>
        </w:rPr>
        <w:t>'</w:t>
      </w:r>
      <w:r w:rsidRPr="00B86D89">
        <w:rPr>
          <w:rFonts w:ascii="Arial" w:hAnsi="Arial" w:cs="Arial"/>
          <w:sz w:val="24"/>
          <w:szCs w:val="24"/>
        </w:rPr>
        <w:t xml:space="preserve"> value, representing the owners</w:t>
      </w:r>
      <w:r>
        <w:rPr>
          <w:rFonts w:ascii="Arial" w:hAnsi="Arial" w:cs="Arial"/>
          <w:sz w:val="24"/>
          <w:szCs w:val="24"/>
        </w:rPr>
        <w:t>'</w:t>
      </w:r>
      <w:r w:rsidRPr="00B86D89">
        <w:rPr>
          <w:rFonts w:ascii="Arial" w:hAnsi="Arial" w:cs="Arial"/>
          <w:sz w:val="24"/>
          <w:szCs w:val="24"/>
        </w:rPr>
        <w:t xml:space="preserve"> wealth. Shareholder wealth is maximised when the firm generates profits and increases the value of its assets over time. </w:t>
      </w:r>
      <w:r w:rsidR="0076027E" w:rsidRPr="0076027E">
        <w:rPr>
          <w:rFonts w:ascii="Arial" w:hAnsi="Arial" w:cs="Arial"/>
          <w:sz w:val="24"/>
          <w:szCs w:val="24"/>
        </w:rPr>
        <w:t xml:space="preserve">During the investment process, shareholders seek to project that their investment will yield value and that the business </w:t>
      </w:r>
      <w:r w:rsidR="0076027E">
        <w:rPr>
          <w:rFonts w:ascii="Arial" w:hAnsi="Arial" w:cs="Arial"/>
          <w:sz w:val="24"/>
          <w:szCs w:val="24"/>
        </w:rPr>
        <w:t>can</w:t>
      </w:r>
      <w:r w:rsidR="0076027E" w:rsidRPr="0076027E">
        <w:rPr>
          <w:rFonts w:ascii="Arial" w:hAnsi="Arial" w:cs="Arial"/>
          <w:sz w:val="24"/>
          <w:szCs w:val="24"/>
        </w:rPr>
        <w:t xml:space="preserve"> sustain itself and generate profits on </w:t>
      </w:r>
      <w:r w:rsidR="0076027E">
        <w:rPr>
          <w:rFonts w:ascii="Arial" w:hAnsi="Arial" w:cs="Arial"/>
          <w:sz w:val="24"/>
          <w:szCs w:val="24"/>
        </w:rPr>
        <w:t>its</w:t>
      </w:r>
      <w:r w:rsidR="0076027E" w:rsidRPr="0076027E">
        <w:rPr>
          <w:rFonts w:ascii="Arial" w:hAnsi="Arial" w:cs="Arial"/>
          <w:sz w:val="24"/>
          <w:szCs w:val="24"/>
        </w:rPr>
        <w:t xml:space="preserve"> behalf.</w:t>
      </w:r>
      <w:r w:rsidR="0076027E" w:rsidRPr="0076027E">
        <w:rPr>
          <w:rFonts w:ascii="Arial" w:hAnsi="Arial" w:cs="Arial"/>
          <w:sz w:val="24"/>
          <w:szCs w:val="24"/>
        </w:rPr>
        <w:t xml:space="preserve"> </w:t>
      </w:r>
      <w:r w:rsidRPr="00B86D89">
        <w:rPr>
          <w:rFonts w:ascii="Arial" w:eastAsia="Times New Roman" w:hAnsi="Arial" w:cs="Arial"/>
          <w:color w:val="000000"/>
          <w:sz w:val="24"/>
          <w:szCs w:val="24"/>
          <w:lang w:eastAsia="en-GB" w:bidi="ar-SA"/>
        </w:rPr>
        <w:t>(Bolton, 2015</w:t>
      </w:r>
      <w:r>
        <w:rPr>
          <w:rFonts w:ascii="Arial" w:eastAsia="Times New Roman" w:hAnsi="Arial" w:cs="Arial"/>
          <w:color w:val="000000"/>
          <w:sz w:val="24"/>
          <w:szCs w:val="24"/>
          <w:lang w:eastAsia="en-GB" w:bidi="ar-SA"/>
        </w:rPr>
        <w:t xml:space="preserve">). </w:t>
      </w:r>
    </w:p>
    <w:p w14:paraId="636777F9" w14:textId="321C5064" w:rsidR="00DD24B5" w:rsidRDefault="0033653B" w:rsidP="004C2ED2">
      <w:pPr>
        <w:pStyle w:val="NormalWeb"/>
        <w:spacing w:line="360" w:lineRule="auto"/>
        <w:rPr>
          <w:rFonts w:ascii="Arial" w:hAnsi="Arial" w:cs="Arial"/>
        </w:rPr>
      </w:pPr>
      <w:r w:rsidRPr="004C0FAC">
        <w:rPr>
          <w:rFonts w:ascii="Arial" w:hAnsi="Arial" w:cs="Arial"/>
        </w:rPr>
        <w:t>Marks and Spencer Group plc is a British multinational</w:t>
      </w:r>
      <w:r w:rsidR="00422025" w:rsidRPr="004C0FAC">
        <w:rPr>
          <w:rFonts w:ascii="Arial" w:hAnsi="Arial" w:cs="Arial"/>
        </w:rPr>
        <w:t xml:space="preserve"> retailer based in the UK</w:t>
      </w:r>
      <w:r w:rsidRPr="004C0FAC">
        <w:rPr>
          <w:rFonts w:ascii="Arial" w:hAnsi="Arial" w:cs="Arial"/>
        </w:rPr>
        <w:t>.</w:t>
      </w:r>
      <w:r w:rsidR="00422025" w:rsidRPr="004C0FAC">
        <w:rPr>
          <w:rFonts w:ascii="Arial" w:hAnsi="Arial" w:cs="Arial"/>
        </w:rPr>
        <w:t xml:space="preserve"> </w:t>
      </w:r>
      <w:r w:rsidR="00BF1655" w:rsidRPr="0084155D">
        <w:rPr>
          <w:rFonts w:ascii="Arial" w:hAnsi="Arial" w:cs="Arial"/>
        </w:rPr>
        <w:t>This report reviews Marks and Spencer Group plc</w:t>
      </w:r>
      <w:r w:rsidR="00BF1655">
        <w:rPr>
          <w:rFonts w:ascii="Arial" w:hAnsi="Arial" w:cs="Arial"/>
        </w:rPr>
        <w:t>'</w:t>
      </w:r>
      <w:r w:rsidR="00BF1655" w:rsidRPr="0084155D">
        <w:rPr>
          <w:rFonts w:ascii="Arial" w:hAnsi="Arial" w:cs="Arial"/>
        </w:rPr>
        <w:t>s financial performance over the past five years</w:t>
      </w:r>
      <w:r w:rsidR="00BF1655">
        <w:rPr>
          <w:rFonts w:ascii="Arial" w:hAnsi="Arial" w:cs="Arial"/>
        </w:rPr>
        <w:t>. It evaluates vital financial ratios to assess profitability, liquidity, gearing, and efficiency and compares</w:t>
      </w:r>
      <w:r w:rsidR="00BF1655" w:rsidRPr="0084155D">
        <w:rPr>
          <w:rFonts w:ascii="Arial" w:hAnsi="Arial" w:cs="Arial"/>
        </w:rPr>
        <w:t xml:space="preserve"> them to </w:t>
      </w:r>
      <w:r w:rsidR="00BF1655">
        <w:rPr>
          <w:rFonts w:ascii="Arial" w:hAnsi="Arial" w:cs="Arial"/>
        </w:rPr>
        <w:t>Sainsbury's</w:t>
      </w:r>
      <w:r w:rsidR="00BF1655" w:rsidRPr="0084155D">
        <w:rPr>
          <w:rFonts w:ascii="Arial" w:hAnsi="Arial" w:cs="Arial"/>
        </w:rPr>
        <w:t xml:space="preserve"> or sector averages. It will also explore investment appraisal techniques such as the Payback Period (PBP), Accounting Rate of Return (ARR), and Net Present Value (NPV)</w:t>
      </w:r>
      <w:r w:rsidR="00BF1655">
        <w:rPr>
          <w:rFonts w:ascii="Arial" w:hAnsi="Arial" w:cs="Arial"/>
        </w:rPr>
        <w:t xml:space="preserve"> </w:t>
      </w:r>
      <w:r w:rsidR="00BF1655" w:rsidRPr="0084155D">
        <w:rPr>
          <w:rFonts w:ascii="Arial" w:hAnsi="Arial" w:cs="Arial"/>
        </w:rPr>
        <w:t>for evaluating two new investment projects</w:t>
      </w:r>
      <w:r w:rsidR="00BF1655">
        <w:rPr>
          <w:rFonts w:ascii="Arial" w:hAnsi="Arial" w:cs="Arial"/>
        </w:rPr>
        <w:t xml:space="preserve"> for M&amp;S. </w:t>
      </w:r>
      <w:r w:rsidR="00BF1655" w:rsidRPr="0084155D">
        <w:rPr>
          <w:rFonts w:ascii="Arial" w:hAnsi="Arial" w:cs="Arial"/>
        </w:rPr>
        <w:t>The results of these calculations will be analysed</w:t>
      </w:r>
      <w:r w:rsidR="00BF1655">
        <w:rPr>
          <w:rFonts w:ascii="Arial" w:hAnsi="Arial" w:cs="Arial"/>
        </w:rPr>
        <w:t>,</w:t>
      </w:r>
      <w:r w:rsidR="00BF1655" w:rsidRPr="0084155D">
        <w:rPr>
          <w:rFonts w:ascii="Arial" w:hAnsi="Arial" w:cs="Arial"/>
        </w:rPr>
        <w:t xml:space="preserve"> and a recommendation will be made regarding adopting the projects.</w:t>
      </w:r>
    </w:p>
    <w:p w14:paraId="285412E2" w14:textId="5128CBDD" w:rsidR="00DD24B5" w:rsidRDefault="00D54AFD" w:rsidP="00D54AFD">
      <w:pPr>
        <w:pStyle w:val="ListParagraph"/>
        <w:numPr>
          <w:ilvl w:val="0"/>
          <w:numId w:val="19"/>
        </w:numPr>
        <w:shd w:val="clear" w:color="auto" w:fill="FFFFFF"/>
        <w:spacing w:line="360" w:lineRule="auto"/>
        <w:rPr>
          <w:rFonts w:ascii="PT Sans Caption" w:hAnsi="PT Sans Caption" w:cs="Arial"/>
          <w:b/>
          <w:bCs/>
          <w:sz w:val="32"/>
          <w:szCs w:val="32"/>
        </w:rPr>
      </w:pPr>
      <w:r w:rsidRPr="00D54AFD">
        <w:rPr>
          <w:rFonts w:ascii="PT Sans Caption" w:hAnsi="PT Sans Caption" w:cs="Arial"/>
          <w:b/>
          <w:bCs/>
          <w:sz w:val="32"/>
          <w:szCs w:val="32"/>
        </w:rPr>
        <w:t>Background</w:t>
      </w:r>
    </w:p>
    <w:p w14:paraId="1903DEAC" w14:textId="58880837" w:rsidR="003E378C" w:rsidRDefault="00D54AFD" w:rsidP="00AC39B9">
      <w:pPr>
        <w:shd w:val="clear" w:color="auto" w:fill="FFFFFF"/>
        <w:spacing w:line="360" w:lineRule="auto"/>
        <w:rPr>
          <w:rFonts w:ascii="Arial" w:eastAsia="Times New Roman" w:hAnsi="Arial" w:cs="Arial"/>
          <w:color w:val="000000"/>
          <w:sz w:val="24"/>
          <w:szCs w:val="24"/>
          <w:lang w:eastAsia="en-GB" w:bidi="ar-SA"/>
        </w:rPr>
      </w:pPr>
      <w:r w:rsidRPr="00D54AFD">
        <w:rPr>
          <w:rFonts w:ascii="Arial" w:hAnsi="Arial" w:cs="Arial"/>
          <w:sz w:val="24"/>
          <w:szCs w:val="24"/>
        </w:rPr>
        <w:t xml:space="preserve">The company has a long history, dating back to 1884, when Michael Marks, a Polish immigrant, opened a market stall in Leeds, England. It used to be known as 'Penny Bazaar' and sold perishable household items, toys, </w:t>
      </w:r>
      <w:proofErr w:type="gramStart"/>
      <w:r w:rsidRPr="00D54AFD">
        <w:rPr>
          <w:rFonts w:ascii="Arial" w:hAnsi="Arial" w:cs="Arial"/>
          <w:sz w:val="24"/>
          <w:szCs w:val="24"/>
        </w:rPr>
        <w:t>haberdashery</w:t>
      </w:r>
      <w:proofErr w:type="gramEnd"/>
      <w:r w:rsidRPr="00D54AFD">
        <w:rPr>
          <w:rFonts w:ascii="Arial" w:hAnsi="Arial" w:cs="Arial"/>
          <w:sz w:val="24"/>
          <w:szCs w:val="24"/>
        </w:rPr>
        <w:t xml:space="preserve"> and sheet music</w:t>
      </w:r>
      <w:r w:rsidR="00F81F02">
        <w:rPr>
          <w:rFonts w:ascii="Arial" w:hAnsi="Arial" w:cs="Arial"/>
          <w:sz w:val="24"/>
          <w:szCs w:val="24"/>
        </w:rPr>
        <w:t xml:space="preserve"> </w:t>
      </w:r>
      <w:r w:rsidRPr="00D54AFD">
        <w:rPr>
          <w:rFonts w:ascii="Arial" w:eastAsia="Times New Roman" w:hAnsi="Arial" w:cs="Arial"/>
          <w:color w:val="000000"/>
          <w:sz w:val="24"/>
          <w:szCs w:val="24"/>
          <w:lang w:eastAsia="en-GB" w:bidi="ar-SA"/>
        </w:rPr>
        <w:t>(Britannica, 2023)</w:t>
      </w:r>
      <w:r w:rsidRPr="00D54AFD">
        <w:rPr>
          <w:rFonts w:ascii="Arial" w:hAnsi="Arial" w:cs="Arial"/>
          <w:sz w:val="24"/>
          <w:szCs w:val="24"/>
        </w:rPr>
        <w:t>. In 1894</w:t>
      </w:r>
      <w:r w:rsidR="003E378C">
        <w:rPr>
          <w:rFonts w:ascii="Arial" w:hAnsi="Arial" w:cs="Arial"/>
          <w:sz w:val="24"/>
          <w:szCs w:val="24"/>
        </w:rPr>
        <w:t xml:space="preserve">, Marks partnered with Thomas Spencer opened its first store in Manchester in 1898, and </w:t>
      </w:r>
      <w:r w:rsidRPr="00D54AFD">
        <w:rPr>
          <w:rFonts w:ascii="Arial" w:hAnsi="Arial" w:cs="Arial"/>
          <w:sz w:val="24"/>
          <w:szCs w:val="24"/>
        </w:rPr>
        <w:t>expanded rapidly</w:t>
      </w:r>
      <w:r w:rsidR="003E378C">
        <w:rPr>
          <w:rFonts w:ascii="Arial" w:hAnsi="Arial" w:cs="Arial"/>
          <w:sz w:val="24"/>
          <w:szCs w:val="24"/>
        </w:rPr>
        <w:t xml:space="preserve"> </w:t>
      </w:r>
      <w:r w:rsidRPr="00D54AFD">
        <w:rPr>
          <w:rFonts w:ascii="Arial" w:eastAsia="Times New Roman" w:hAnsi="Arial" w:cs="Arial"/>
          <w:color w:val="000000"/>
          <w:sz w:val="24"/>
          <w:szCs w:val="24"/>
          <w:lang w:eastAsia="en-GB" w:bidi="ar-SA"/>
        </w:rPr>
        <w:t>(M&amp;S, 2023)</w:t>
      </w:r>
      <w:r w:rsidRPr="00D54AFD">
        <w:rPr>
          <w:rFonts w:ascii="Arial" w:hAnsi="Arial" w:cs="Arial"/>
          <w:sz w:val="24"/>
          <w:szCs w:val="24"/>
        </w:rPr>
        <w:t xml:space="preserve">. </w:t>
      </w:r>
      <w:r w:rsidR="002955F8" w:rsidRPr="002955F8">
        <w:rPr>
          <w:rFonts w:ascii="Arial" w:hAnsi="Arial" w:cs="Arial"/>
          <w:sz w:val="24"/>
          <w:szCs w:val="24"/>
        </w:rPr>
        <w:t>The company experienced consistent expansion for more than a century and achieved its highest-ever pre-tax profit of £1.007 billion in 2008, marking it as the first British retailer to achieve this milestone</w:t>
      </w:r>
      <w:r w:rsidR="002955F8">
        <w:rPr>
          <w:rFonts w:ascii="Arial" w:hAnsi="Arial" w:cs="Arial"/>
          <w:sz w:val="24"/>
          <w:szCs w:val="24"/>
        </w:rPr>
        <w:t xml:space="preserve"> </w:t>
      </w:r>
      <w:r w:rsidR="0079215E" w:rsidRPr="00E64E7A">
        <w:rPr>
          <w:rFonts w:ascii="Arial" w:eastAsia="Times New Roman" w:hAnsi="Arial" w:cs="Arial"/>
          <w:color w:val="000000"/>
          <w:sz w:val="24"/>
          <w:szCs w:val="24"/>
          <w:lang w:eastAsia="en-GB" w:bidi="ar-SA"/>
        </w:rPr>
        <w:t>(Reuters, 2008</w:t>
      </w:r>
      <w:r w:rsidR="008F6105">
        <w:rPr>
          <w:rFonts w:ascii="Arial" w:eastAsia="Times New Roman" w:hAnsi="Arial" w:cs="Arial"/>
          <w:color w:val="000000"/>
          <w:sz w:val="24"/>
          <w:szCs w:val="24"/>
          <w:lang w:eastAsia="en-GB" w:bidi="ar-SA"/>
        </w:rPr>
        <w:t>).</w:t>
      </w:r>
      <w:r w:rsidR="00103BA8">
        <w:rPr>
          <w:rFonts w:ascii="Arial" w:eastAsia="Times New Roman" w:hAnsi="Arial" w:cs="Arial"/>
          <w:color w:val="000000"/>
          <w:sz w:val="24"/>
          <w:szCs w:val="24"/>
          <w:lang w:eastAsia="en-GB" w:bidi="ar-SA"/>
        </w:rPr>
        <w:t xml:space="preserve"> </w:t>
      </w:r>
      <w:r w:rsidR="002B7436">
        <w:rPr>
          <w:rFonts w:ascii="Arial" w:eastAsia="Times New Roman" w:hAnsi="Arial" w:cs="Arial"/>
          <w:color w:val="000000"/>
          <w:sz w:val="24"/>
          <w:szCs w:val="24"/>
          <w:lang w:eastAsia="en-GB" w:bidi="ar-SA"/>
        </w:rPr>
        <w:t>However, t</w:t>
      </w:r>
      <w:r w:rsidR="00CE3A24" w:rsidRPr="00CE3A24">
        <w:rPr>
          <w:rFonts w:ascii="Arial" w:eastAsia="Times New Roman" w:hAnsi="Arial" w:cs="Arial"/>
          <w:color w:val="000000"/>
          <w:sz w:val="24"/>
          <w:szCs w:val="24"/>
          <w:lang w:eastAsia="en-GB" w:bidi="ar-SA"/>
        </w:rPr>
        <w:t xml:space="preserve">he worldwide financial crisis </w:t>
      </w:r>
      <w:r w:rsidR="00CE3A24">
        <w:rPr>
          <w:rFonts w:ascii="Arial" w:eastAsia="Times New Roman" w:hAnsi="Arial" w:cs="Arial"/>
          <w:color w:val="000000"/>
          <w:sz w:val="24"/>
          <w:szCs w:val="24"/>
          <w:lang w:eastAsia="en-GB" w:bidi="ar-SA"/>
        </w:rPr>
        <w:t>substantially affected</w:t>
      </w:r>
      <w:r w:rsidR="00CE3A24" w:rsidRPr="00CE3A24">
        <w:rPr>
          <w:rFonts w:ascii="Arial" w:eastAsia="Times New Roman" w:hAnsi="Arial" w:cs="Arial"/>
          <w:color w:val="000000"/>
          <w:sz w:val="24"/>
          <w:szCs w:val="24"/>
          <w:lang w:eastAsia="en-GB" w:bidi="ar-SA"/>
        </w:rPr>
        <w:t xml:space="preserve"> consumer expenditure, resulting in a decrease in M&amp;S sales </w:t>
      </w:r>
      <w:r w:rsidR="002B7436">
        <w:rPr>
          <w:rFonts w:ascii="Arial" w:eastAsia="Times New Roman" w:hAnsi="Arial" w:cs="Arial"/>
          <w:color w:val="000000"/>
          <w:sz w:val="24"/>
          <w:szCs w:val="24"/>
          <w:lang w:eastAsia="en-GB" w:bidi="ar-SA"/>
        </w:rPr>
        <w:t>since</w:t>
      </w:r>
      <w:r w:rsidR="00CE3A24" w:rsidRPr="00CE3A24">
        <w:rPr>
          <w:rFonts w:ascii="Arial" w:eastAsia="Times New Roman" w:hAnsi="Arial" w:cs="Arial"/>
          <w:color w:val="000000"/>
          <w:sz w:val="24"/>
          <w:szCs w:val="24"/>
          <w:lang w:eastAsia="en-GB" w:bidi="ar-SA"/>
        </w:rPr>
        <w:t xml:space="preserve"> 2008, and the company's challenges persisted for </w:t>
      </w:r>
      <w:r w:rsidR="00F621C2">
        <w:rPr>
          <w:rFonts w:ascii="Arial" w:eastAsia="Times New Roman" w:hAnsi="Arial" w:cs="Arial"/>
          <w:color w:val="000000"/>
          <w:sz w:val="24"/>
          <w:szCs w:val="24"/>
          <w:lang w:eastAsia="en-GB" w:bidi="ar-SA"/>
        </w:rPr>
        <w:t>many</w:t>
      </w:r>
      <w:r w:rsidR="00CE3A24" w:rsidRPr="00CE3A24">
        <w:rPr>
          <w:rFonts w:ascii="Arial" w:eastAsia="Times New Roman" w:hAnsi="Arial" w:cs="Arial"/>
          <w:color w:val="000000"/>
          <w:sz w:val="24"/>
          <w:szCs w:val="24"/>
          <w:lang w:eastAsia="en-GB" w:bidi="ar-SA"/>
        </w:rPr>
        <w:t xml:space="preserve"> subsequent years</w:t>
      </w:r>
      <w:r w:rsidR="00CE3A24">
        <w:rPr>
          <w:rFonts w:ascii="Arial" w:eastAsia="Times New Roman" w:hAnsi="Arial" w:cs="Arial"/>
          <w:color w:val="000000"/>
          <w:sz w:val="24"/>
          <w:szCs w:val="24"/>
          <w:lang w:eastAsia="en-GB" w:bidi="ar-SA"/>
        </w:rPr>
        <w:t xml:space="preserve"> </w:t>
      </w:r>
      <w:r w:rsidR="00DB38FA" w:rsidRPr="00CE3A24">
        <w:rPr>
          <w:rFonts w:ascii="Arial" w:eastAsia="Times New Roman" w:hAnsi="Arial" w:cs="Arial"/>
          <w:color w:val="000000"/>
          <w:sz w:val="24"/>
          <w:szCs w:val="24"/>
          <w:lang w:eastAsia="en-GB" w:bidi="ar-SA"/>
        </w:rPr>
        <w:t>(Wood, 2008)</w:t>
      </w:r>
      <w:r w:rsidR="00CE3A24" w:rsidRPr="00CE3A24">
        <w:rPr>
          <w:rFonts w:ascii="Arial" w:hAnsi="Arial" w:cs="Arial"/>
          <w:color w:val="000000"/>
          <w:sz w:val="24"/>
          <w:szCs w:val="24"/>
          <w:shd w:val="clear" w:color="auto" w:fill="FFFFFF"/>
        </w:rPr>
        <w:t xml:space="preserve"> </w:t>
      </w:r>
      <w:r w:rsidR="00CE3A24" w:rsidRPr="00CE3A24">
        <w:rPr>
          <w:rFonts w:ascii="Arial" w:hAnsi="Arial" w:cs="Arial"/>
          <w:color w:val="000000"/>
          <w:sz w:val="24"/>
          <w:szCs w:val="24"/>
          <w:shd w:val="clear" w:color="auto" w:fill="FFFFFF"/>
        </w:rPr>
        <w:t>(</w:t>
      </w:r>
      <w:proofErr w:type="spellStart"/>
      <w:r w:rsidR="00CE3A24" w:rsidRPr="00CE3A24">
        <w:rPr>
          <w:rFonts w:ascii="Arial" w:hAnsi="Arial" w:cs="Arial"/>
          <w:color w:val="000000"/>
          <w:sz w:val="24"/>
          <w:szCs w:val="24"/>
          <w:shd w:val="clear" w:color="auto" w:fill="FFFFFF"/>
        </w:rPr>
        <w:t>Marketline</w:t>
      </w:r>
      <w:proofErr w:type="spellEnd"/>
      <w:r w:rsidR="00CE3A24" w:rsidRPr="00CE3A24">
        <w:rPr>
          <w:rFonts w:ascii="Arial" w:hAnsi="Arial" w:cs="Arial"/>
          <w:color w:val="000000"/>
          <w:sz w:val="24"/>
          <w:szCs w:val="24"/>
          <w:shd w:val="clear" w:color="auto" w:fill="FFFFFF"/>
        </w:rPr>
        <w:t>, 2018)</w:t>
      </w:r>
      <w:r w:rsidR="00DB38FA" w:rsidRPr="00CE3A24">
        <w:rPr>
          <w:rFonts w:ascii="Arial" w:eastAsia="Times New Roman" w:hAnsi="Arial" w:cs="Arial"/>
          <w:color w:val="000000"/>
          <w:sz w:val="24"/>
          <w:szCs w:val="24"/>
          <w:lang w:eastAsia="en-GB" w:bidi="ar-SA"/>
        </w:rPr>
        <w:t xml:space="preserve">. </w:t>
      </w:r>
      <w:r w:rsidR="00412F53" w:rsidRPr="00412F53">
        <w:rPr>
          <w:rFonts w:ascii="Arial" w:eastAsia="Times New Roman" w:hAnsi="Arial" w:cs="Arial"/>
          <w:color w:val="000000"/>
          <w:sz w:val="24"/>
          <w:szCs w:val="24"/>
          <w:lang w:eastAsia="en-GB" w:bidi="ar-SA"/>
        </w:rPr>
        <w:t xml:space="preserve">Following World </w:t>
      </w:r>
      <w:proofErr w:type="gramStart"/>
      <w:r w:rsidR="00412F53" w:rsidRPr="00412F53">
        <w:rPr>
          <w:rFonts w:ascii="Arial" w:eastAsia="Times New Roman" w:hAnsi="Arial" w:cs="Arial"/>
          <w:color w:val="000000"/>
          <w:sz w:val="24"/>
          <w:szCs w:val="24"/>
          <w:lang w:eastAsia="en-GB" w:bidi="ar-SA"/>
        </w:rPr>
        <w:t>War</w:t>
      </w:r>
      <w:proofErr w:type="gramEnd"/>
      <w:r w:rsidR="00412F53" w:rsidRPr="00412F53">
        <w:rPr>
          <w:rFonts w:ascii="Arial" w:eastAsia="Times New Roman" w:hAnsi="Arial" w:cs="Arial"/>
          <w:color w:val="000000"/>
          <w:sz w:val="24"/>
          <w:szCs w:val="24"/>
          <w:lang w:eastAsia="en-GB" w:bidi="ar-SA"/>
        </w:rPr>
        <w:t xml:space="preserve"> I, Marks &amp; Spencer transitioned from selling small items to clothing and food. It became a Public Limited Company in 1926</w:t>
      </w:r>
      <w:r w:rsidR="00412F53">
        <w:rPr>
          <w:rFonts w:ascii="Arial" w:eastAsia="Times New Roman" w:hAnsi="Arial" w:cs="Arial"/>
          <w:color w:val="000000"/>
          <w:sz w:val="24"/>
          <w:szCs w:val="24"/>
          <w:lang w:eastAsia="en-GB" w:bidi="ar-SA"/>
        </w:rPr>
        <w:t xml:space="preserve"> and joined </w:t>
      </w:r>
      <w:r w:rsidR="00412F53" w:rsidRPr="00412F53">
        <w:rPr>
          <w:rFonts w:ascii="Arial" w:eastAsia="Times New Roman" w:hAnsi="Arial" w:cs="Arial"/>
          <w:color w:val="000000"/>
          <w:sz w:val="24"/>
          <w:szCs w:val="24"/>
          <w:lang w:eastAsia="en-GB" w:bidi="ar-SA"/>
        </w:rPr>
        <w:t xml:space="preserve">London Stock Exchange </w:t>
      </w:r>
      <w:proofErr w:type="gramStart"/>
      <w:r w:rsidR="00412F53" w:rsidRPr="004C0FAC">
        <w:rPr>
          <w:rFonts w:ascii="Arial" w:eastAsia="Times New Roman" w:hAnsi="Arial" w:cs="Arial"/>
          <w:color w:val="000000"/>
          <w:sz w:val="24"/>
          <w:szCs w:val="24"/>
          <w:lang w:eastAsia="en-GB" w:bidi="ar-SA"/>
        </w:rPr>
        <w:t>(</w:t>
      </w:r>
      <w:r w:rsidR="00412F53">
        <w:rPr>
          <w:rFonts w:ascii="Arial" w:eastAsia="Times New Roman" w:hAnsi="Arial" w:cs="Arial"/>
          <w:color w:val="000000"/>
          <w:sz w:val="24"/>
          <w:szCs w:val="24"/>
          <w:lang w:eastAsia="en-GB" w:bidi="ar-SA"/>
        </w:rPr>
        <w:t xml:space="preserve"> </w:t>
      </w:r>
      <w:proofErr w:type="spellStart"/>
      <w:r w:rsidR="00412F53" w:rsidRPr="004C0FAC">
        <w:rPr>
          <w:rFonts w:ascii="Arial" w:eastAsia="Times New Roman" w:hAnsi="Arial" w:cs="Arial"/>
          <w:color w:val="000000"/>
          <w:sz w:val="24"/>
          <w:szCs w:val="24"/>
          <w:lang w:eastAsia="en-GB" w:bidi="ar-SA"/>
        </w:rPr>
        <w:t>Northedge</w:t>
      </w:r>
      <w:proofErr w:type="spellEnd"/>
      <w:proofErr w:type="gramEnd"/>
      <w:r w:rsidR="00412F53" w:rsidRPr="004C0FAC">
        <w:rPr>
          <w:rFonts w:ascii="Arial" w:eastAsia="Times New Roman" w:hAnsi="Arial" w:cs="Arial"/>
          <w:color w:val="000000"/>
          <w:sz w:val="24"/>
          <w:szCs w:val="24"/>
          <w:lang w:eastAsia="en-GB" w:bidi="ar-SA"/>
        </w:rPr>
        <w:t>, 2010).</w:t>
      </w:r>
      <w:r w:rsidR="00412F53" w:rsidRPr="00412F53">
        <w:rPr>
          <w:rFonts w:ascii="Arial" w:eastAsia="Times New Roman" w:hAnsi="Arial" w:cs="Arial"/>
          <w:color w:val="000000"/>
          <w:sz w:val="24"/>
          <w:szCs w:val="24"/>
          <w:lang w:eastAsia="en-GB" w:bidi="ar-SA"/>
        </w:rPr>
        <w:t xml:space="preserve">. </w:t>
      </w:r>
    </w:p>
    <w:p w14:paraId="5F0A21D9" w14:textId="72F45877" w:rsidR="00F621C2" w:rsidRDefault="00F621C2" w:rsidP="00AC39B9">
      <w:pPr>
        <w:shd w:val="clear" w:color="auto" w:fill="FFFFFF"/>
        <w:spacing w:line="360" w:lineRule="auto"/>
        <w:rPr>
          <w:rFonts w:ascii="Arial" w:eastAsia="Times New Roman" w:hAnsi="Arial" w:cs="Arial"/>
          <w:color w:val="000000"/>
          <w:sz w:val="24"/>
          <w:szCs w:val="24"/>
          <w:lang w:eastAsia="en-GB" w:bidi="ar-SA"/>
        </w:rPr>
      </w:pPr>
      <w:r w:rsidRPr="00F621C2">
        <w:rPr>
          <w:rFonts w:ascii="Arial" w:eastAsia="Times New Roman" w:hAnsi="Arial" w:cs="Arial"/>
          <w:color w:val="000000"/>
          <w:sz w:val="24"/>
          <w:szCs w:val="24"/>
          <w:lang w:eastAsia="en-GB" w:bidi="ar-SA"/>
        </w:rPr>
        <w:lastRenderedPageBreak/>
        <w:t>Over the last five years, several noteworthy events have transpired at M&amp;S, which include:</w:t>
      </w:r>
    </w:p>
    <w:p w14:paraId="08BD156B" w14:textId="0508C239" w:rsidR="00C42410" w:rsidRPr="00F50409" w:rsidRDefault="00C42410" w:rsidP="00F50409">
      <w:pPr>
        <w:pStyle w:val="ListParagraph"/>
        <w:numPr>
          <w:ilvl w:val="0"/>
          <w:numId w:val="20"/>
        </w:numPr>
        <w:shd w:val="clear" w:color="auto" w:fill="FFFFFF"/>
        <w:spacing w:line="360" w:lineRule="auto"/>
        <w:rPr>
          <w:rFonts w:ascii="Arial" w:eastAsia="Times New Roman" w:hAnsi="Arial" w:cs="Arial"/>
          <w:color w:val="000000"/>
          <w:sz w:val="24"/>
          <w:szCs w:val="24"/>
          <w:lang w:eastAsia="en-GB" w:bidi="ar-SA"/>
        </w:rPr>
      </w:pPr>
      <w:r w:rsidRPr="008F673B">
        <w:rPr>
          <w:rFonts w:ascii="Arial" w:hAnsi="Arial" w:cs="Arial"/>
          <w:sz w:val="24"/>
          <w:szCs w:val="24"/>
        </w:rPr>
        <w:t>M&amp;S plc</w:t>
      </w:r>
      <w:r>
        <w:rPr>
          <w:rFonts w:ascii="Arial" w:hAnsi="Arial" w:cs="Arial"/>
          <w:sz w:val="24"/>
          <w:szCs w:val="24"/>
        </w:rPr>
        <w:t>,</w:t>
      </w:r>
      <w:r>
        <w:rPr>
          <w:rFonts w:ascii="Arial" w:hAnsi="Arial" w:cs="Arial"/>
          <w:sz w:val="24"/>
          <w:szCs w:val="24"/>
        </w:rPr>
        <w:t xml:space="preserve"> </w:t>
      </w:r>
      <w:r w:rsidRPr="008F673B">
        <w:rPr>
          <w:rFonts w:ascii="Arial" w:hAnsi="Arial" w:cs="Arial"/>
          <w:sz w:val="24"/>
          <w:szCs w:val="24"/>
        </w:rPr>
        <w:t>in 202</w:t>
      </w:r>
      <w:r>
        <w:rPr>
          <w:rFonts w:ascii="Arial" w:hAnsi="Arial" w:cs="Arial"/>
          <w:sz w:val="24"/>
          <w:szCs w:val="24"/>
        </w:rPr>
        <w:t>1</w:t>
      </w:r>
      <w:r w:rsidRPr="008F673B">
        <w:rPr>
          <w:rFonts w:ascii="Arial" w:hAnsi="Arial" w:cs="Arial"/>
          <w:sz w:val="24"/>
          <w:szCs w:val="24"/>
        </w:rPr>
        <w:t xml:space="preserve">, </w:t>
      </w:r>
      <w:r>
        <w:rPr>
          <w:rFonts w:ascii="Arial" w:hAnsi="Arial" w:cs="Arial"/>
          <w:sz w:val="24"/>
          <w:szCs w:val="24"/>
        </w:rPr>
        <w:t>made a first net loss,</w:t>
      </w:r>
      <w:r w:rsidRPr="008F673B">
        <w:rPr>
          <w:rFonts w:ascii="Arial" w:hAnsi="Arial" w:cs="Arial"/>
          <w:sz w:val="24"/>
          <w:szCs w:val="24"/>
        </w:rPr>
        <w:t xml:space="preserve"> the first in 94 years, primarily due to the global </w:t>
      </w:r>
      <w:proofErr w:type="gramStart"/>
      <w:r w:rsidRPr="008F673B">
        <w:rPr>
          <w:rFonts w:ascii="Arial" w:hAnsi="Arial" w:cs="Arial"/>
          <w:sz w:val="24"/>
          <w:szCs w:val="24"/>
        </w:rPr>
        <w:t xml:space="preserve">pandemic  </w:t>
      </w:r>
      <w:r w:rsidRPr="008F673B">
        <w:rPr>
          <w:rFonts w:ascii="Arial" w:eastAsia="Times New Roman" w:hAnsi="Arial" w:cs="Arial"/>
          <w:color w:val="000000"/>
          <w:sz w:val="24"/>
          <w:szCs w:val="24"/>
          <w:lang w:eastAsia="en-GB" w:bidi="ar-SA"/>
        </w:rPr>
        <w:t>(</w:t>
      </w:r>
      <w:proofErr w:type="gramEnd"/>
      <w:r w:rsidRPr="008F673B">
        <w:rPr>
          <w:rFonts w:ascii="Arial" w:eastAsia="Times New Roman" w:hAnsi="Arial" w:cs="Arial"/>
          <w:color w:val="000000"/>
          <w:sz w:val="24"/>
          <w:szCs w:val="24"/>
          <w:lang w:eastAsia="en-GB" w:bidi="ar-SA"/>
        </w:rPr>
        <w:t>Davey, 2021). (Bradley, 2020).</w:t>
      </w:r>
    </w:p>
    <w:p w14:paraId="42200420" w14:textId="565BC0E4" w:rsidR="00AC39B9" w:rsidRPr="00C42410" w:rsidRDefault="00AC39B9" w:rsidP="00F621C2">
      <w:pPr>
        <w:pStyle w:val="ListParagraph"/>
        <w:numPr>
          <w:ilvl w:val="0"/>
          <w:numId w:val="20"/>
        </w:numPr>
        <w:shd w:val="clear" w:color="auto" w:fill="FFFFFF"/>
        <w:spacing w:line="360" w:lineRule="auto"/>
        <w:rPr>
          <w:rFonts w:ascii="Arial" w:hAnsi="Arial" w:cs="Arial"/>
          <w:sz w:val="24"/>
          <w:szCs w:val="24"/>
        </w:rPr>
      </w:pPr>
      <w:r w:rsidRPr="00F621C2">
        <w:rPr>
          <w:rFonts w:ascii="Arial" w:eastAsia="Times New Roman" w:hAnsi="Arial" w:cs="Arial"/>
          <w:color w:val="000000"/>
          <w:sz w:val="24"/>
          <w:szCs w:val="24"/>
          <w:lang w:eastAsia="en-GB" w:bidi="ar-SA"/>
        </w:rPr>
        <w:t xml:space="preserve">Steve Rowe, CEO for six years, resigned in March 2022, Stuart Machin was named CEO, and Katie Bickerstaffe was </w:t>
      </w:r>
      <w:r w:rsidR="002955F8" w:rsidRPr="00F621C2">
        <w:rPr>
          <w:rFonts w:ascii="Arial" w:eastAsia="Times New Roman" w:hAnsi="Arial" w:cs="Arial"/>
          <w:color w:val="000000"/>
          <w:sz w:val="24"/>
          <w:szCs w:val="24"/>
          <w:lang w:eastAsia="en-GB" w:bidi="ar-SA"/>
        </w:rPr>
        <w:t>Co</w:t>
      </w:r>
      <w:r w:rsidRPr="00F621C2">
        <w:rPr>
          <w:rFonts w:ascii="Arial" w:eastAsia="Times New Roman" w:hAnsi="Arial" w:cs="Arial"/>
          <w:color w:val="000000"/>
          <w:sz w:val="24"/>
          <w:szCs w:val="24"/>
          <w:lang w:eastAsia="en-GB" w:bidi="ar-SA"/>
        </w:rPr>
        <w:t>-CEO (Rojas, 2022).</w:t>
      </w:r>
    </w:p>
    <w:p w14:paraId="1B09B1D4" w14:textId="59C8497B" w:rsidR="00C42410" w:rsidRPr="00344B8A" w:rsidRDefault="00C42410" w:rsidP="00B76BED">
      <w:pPr>
        <w:pStyle w:val="ListParagraph"/>
        <w:numPr>
          <w:ilvl w:val="0"/>
          <w:numId w:val="20"/>
        </w:numPr>
        <w:shd w:val="clear" w:color="auto" w:fill="FFFFFF"/>
        <w:spacing w:line="360" w:lineRule="auto"/>
        <w:rPr>
          <w:rFonts w:ascii="Arial" w:eastAsia="Times New Roman" w:hAnsi="Arial" w:cs="Arial"/>
          <w:color w:val="000000"/>
          <w:sz w:val="24"/>
          <w:szCs w:val="24"/>
          <w:lang w:eastAsia="en-GB" w:bidi="ar-SA"/>
        </w:rPr>
      </w:pPr>
      <w:r w:rsidRPr="00F621C2">
        <w:rPr>
          <w:rFonts w:ascii="Arial" w:hAnsi="Arial" w:cs="Arial"/>
          <w:sz w:val="24"/>
          <w:szCs w:val="24"/>
        </w:rPr>
        <w:t xml:space="preserve">Since 2018, </w:t>
      </w:r>
      <w:r>
        <w:rPr>
          <w:rFonts w:ascii="Arial" w:hAnsi="Arial" w:cs="Arial"/>
          <w:sz w:val="24"/>
          <w:szCs w:val="24"/>
        </w:rPr>
        <w:t xml:space="preserve">apart from </w:t>
      </w:r>
      <w:r w:rsidRPr="00F621C2">
        <w:rPr>
          <w:rFonts w:ascii="Arial" w:hAnsi="Arial" w:cs="Arial"/>
          <w:sz w:val="24"/>
          <w:szCs w:val="24"/>
        </w:rPr>
        <w:t>COVID-19, BEXIT</w:t>
      </w:r>
      <w:r w:rsidR="00BF1CBF">
        <w:rPr>
          <w:rFonts w:ascii="Arial" w:hAnsi="Arial" w:cs="Arial"/>
          <w:sz w:val="24"/>
          <w:szCs w:val="24"/>
        </w:rPr>
        <w:t xml:space="preserve">, </w:t>
      </w:r>
      <w:r>
        <w:rPr>
          <w:rFonts w:ascii="Arial" w:hAnsi="Arial" w:cs="Arial"/>
          <w:sz w:val="24"/>
          <w:szCs w:val="24"/>
        </w:rPr>
        <w:t>M&amp;S has</w:t>
      </w:r>
      <w:r w:rsidR="00BF1CBF">
        <w:rPr>
          <w:rFonts w:ascii="Arial" w:hAnsi="Arial" w:cs="Arial"/>
          <w:sz w:val="24"/>
          <w:szCs w:val="24"/>
        </w:rPr>
        <w:t xml:space="preserve"> been suffering from other issues, such as </w:t>
      </w:r>
      <w:r w:rsidRPr="00F621C2">
        <w:rPr>
          <w:rFonts w:ascii="Arial" w:hAnsi="Arial" w:cs="Arial"/>
          <w:sz w:val="24"/>
          <w:szCs w:val="24"/>
        </w:rPr>
        <w:t>fail</w:t>
      </w:r>
      <w:r w:rsidR="00BF1CBF">
        <w:rPr>
          <w:rFonts w:ascii="Arial" w:hAnsi="Arial" w:cs="Arial"/>
          <w:sz w:val="24"/>
          <w:szCs w:val="24"/>
        </w:rPr>
        <w:t>ure</w:t>
      </w:r>
      <w:r w:rsidRPr="00F621C2">
        <w:rPr>
          <w:rFonts w:ascii="Arial" w:hAnsi="Arial" w:cs="Arial"/>
          <w:sz w:val="24"/>
          <w:szCs w:val="24"/>
        </w:rPr>
        <w:t xml:space="preserve"> to adopt e-commerce and digital technology effectively, and intense competition in the retail industry </w:t>
      </w:r>
      <w:r w:rsidR="008D3B68">
        <w:rPr>
          <w:rFonts w:ascii="Arial" w:hAnsi="Arial" w:cs="Arial"/>
          <w:sz w:val="24"/>
          <w:szCs w:val="24"/>
        </w:rPr>
        <w:t xml:space="preserve">has </w:t>
      </w:r>
      <w:r>
        <w:rPr>
          <w:rFonts w:ascii="Arial" w:hAnsi="Arial" w:cs="Arial"/>
          <w:sz w:val="24"/>
          <w:szCs w:val="24"/>
        </w:rPr>
        <w:t xml:space="preserve">significantly </w:t>
      </w:r>
      <w:r w:rsidR="00C615B9">
        <w:rPr>
          <w:rFonts w:ascii="Arial" w:hAnsi="Arial" w:cs="Arial"/>
          <w:sz w:val="24"/>
          <w:szCs w:val="24"/>
        </w:rPr>
        <w:t>impacted</w:t>
      </w:r>
      <w:r w:rsidRPr="00F621C2">
        <w:rPr>
          <w:rFonts w:ascii="Arial" w:hAnsi="Arial" w:cs="Arial"/>
          <w:sz w:val="24"/>
          <w:szCs w:val="24"/>
        </w:rPr>
        <w:t xml:space="preserve"> brand reputation and sales </w:t>
      </w:r>
      <w:r w:rsidRPr="00F621C2">
        <w:rPr>
          <w:rFonts w:ascii="Arial" w:eastAsia="Times New Roman" w:hAnsi="Arial" w:cs="Arial"/>
          <w:color w:val="000000"/>
          <w:sz w:val="24"/>
          <w:szCs w:val="24"/>
          <w:lang w:eastAsia="en-GB" w:bidi="ar-SA"/>
        </w:rPr>
        <w:t>(Finance, 2022)</w:t>
      </w:r>
      <w:r w:rsidRPr="00F621C2">
        <w:rPr>
          <w:rFonts w:ascii="Arial" w:hAnsi="Arial" w:cs="Arial"/>
          <w:color w:val="000000"/>
        </w:rPr>
        <w:t xml:space="preserve"> </w:t>
      </w:r>
      <w:r w:rsidRPr="00F621C2">
        <w:rPr>
          <w:rFonts w:ascii="Arial" w:eastAsia="Times New Roman" w:hAnsi="Arial" w:cs="Arial"/>
          <w:color w:val="000000"/>
          <w:sz w:val="24"/>
          <w:szCs w:val="24"/>
          <w:lang w:eastAsia="en-GB" w:bidi="ar-SA"/>
        </w:rPr>
        <w:t>(Nelson, 2021)</w:t>
      </w:r>
      <w:r w:rsidRPr="00F621C2">
        <w:rPr>
          <w:rFonts w:ascii="Arial" w:hAnsi="Arial" w:cs="Arial"/>
          <w:sz w:val="24"/>
          <w:szCs w:val="24"/>
        </w:rPr>
        <w:t>.</w:t>
      </w:r>
    </w:p>
    <w:p w14:paraId="1864C030" w14:textId="10053723" w:rsidR="00714C58" w:rsidRPr="00714C58" w:rsidRDefault="00714C58" w:rsidP="00F621C2">
      <w:pPr>
        <w:pStyle w:val="ListParagraph"/>
        <w:numPr>
          <w:ilvl w:val="0"/>
          <w:numId w:val="20"/>
        </w:numPr>
        <w:shd w:val="clear" w:color="auto" w:fill="FFFFFF"/>
        <w:spacing w:line="360" w:lineRule="auto"/>
        <w:rPr>
          <w:rFonts w:ascii="Arial" w:hAnsi="Arial" w:cs="Arial"/>
          <w:sz w:val="24"/>
          <w:szCs w:val="24"/>
        </w:rPr>
      </w:pPr>
      <w:r w:rsidRPr="00714C58">
        <w:rPr>
          <w:rFonts w:ascii="Arial" w:eastAsia="Times New Roman" w:hAnsi="Arial" w:cs="Arial"/>
          <w:color w:val="000000"/>
          <w:sz w:val="24"/>
          <w:szCs w:val="24"/>
          <w:lang w:eastAsia="en-GB" w:bidi="ar-SA"/>
        </w:rPr>
        <w:t xml:space="preserve">In August 2019, Marks &amp; Spencer (M&amp;S) </w:t>
      </w:r>
      <w:r w:rsidRPr="00714C58">
        <w:rPr>
          <w:rFonts w:ascii="Arial" w:eastAsia="Times New Roman" w:hAnsi="Arial" w:cs="Arial"/>
          <w:color w:val="000000"/>
          <w:sz w:val="24"/>
          <w:szCs w:val="24"/>
          <w:lang w:eastAsia="en-GB" w:bidi="ar-SA"/>
        </w:rPr>
        <w:t>partnered</w:t>
      </w:r>
      <w:r w:rsidRPr="00714C58">
        <w:rPr>
          <w:rFonts w:ascii="Arial" w:eastAsia="Times New Roman" w:hAnsi="Arial" w:cs="Arial"/>
          <w:color w:val="000000"/>
          <w:sz w:val="24"/>
          <w:szCs w:val="24"/>
          <w:lang w:eastAsia="en-GB" w:bidi="ar-SA"/>
        </w:rPr>
        <w:t xml:space="preserve"> with Ocado to jointly own Ocado Retail, enabling a swift entry into the online grocery market while leveraging Ocado's well-established technology and infrastructure</w:t>
      </w:r>
      <w:r w:rsidRPr="00714C58">
        <w:rPr>
          <w:rFonts w:ascii="Arial" w:hAnsi="Arial" w:cs="Arial"/>
          <w:color w:val="000000"/>
          <w:sz w:val="24"/>
          <w:szCs w:val="24"/>
          <w:shd w:val="clear" w:color="auto" w:fill="FFFFFF"/>
        </w:rPr>
        <w:t xml:space="preserve"> </w:t>
      </w:r>
      <w:r w:rsidRPr="00714C58">
        <w:rPr>
          <w:rFonts w:ascii="Arial" w:hAnsi="Arial" w:cs="Arial"/>
          <w:color w:val="000000"/>
          <w:sz w:val="24"/>
          <w:szCs w:val="24"/>
          <w:shd w:val="clear" w:color="auto" w:fill="FFFFFF"/>
        </w:rPr>
        <w:t>(OCADO, 2023)</w:t>
      </w:r>
      <w:r w:rsidRPr="00714C58">
        <w:rPr>
          <w:rFonts w:ascii="Arial" w:eastAsia="Times New Roman" w:hAnsi="Arial" w:cs="Arial"/>
          <w:color w:val="000000"/>
          <w:sz w:val="24"/>
          <w:szCs w:val="24"/>
          <w:lang w:eastAsia="en-GB" w:bidi="ar-SA"/>
        </w:rPr>
        <w:t>.</w:t>
      </w:r>
    </w:p>
    <w:p w14:paraId="4DA715AB" w14:textId="6FC94B90" w:rsidR="00B76BED" w:rsidRDefault="00B76BED" w:rsidP="00F621C2">
      <w:pPr>
        <w:pStyle w:val="ListParagraph"/>
        <w:numPr>
          <w:ilvl w:val="0"/>
          <w:numId w:val="20"/>
        </w:numPr>
        <w:shd w:val="clear" w:color="auto" w:fill="FFFFFF"/>
        <w:spacing w:line="360" w:lineRule="auto"/>
        <w:rPr>
          <w:rFonts w:ascii="Arial" w:hAnsi="Arial" w:cs="Arial"/>
          <w:sz w:val="24"/>
          <w:szCs w:val="24"/>
        </w:rPr>
      </w:pPr>
      <w:r w:rsidRPr="00E65539">
        <w:rPr>
          <w:rFonts w:ascii="Arial" w:hAnsi="Arial" w:cs="Arial"/>
          <w:sz w:val="24"/>
          <w:szCs w:val="24"/>
        </w:rPr>
        <w:t xml:space="preserve">M&amp;S has been implementing a store closure strategy for several years, with the intention of </w:t>
      </w:r>
      <w:r w:rsidR="00E65539">
        <w:rPr>
          <w:rFonts w:ascii="Arial" w:hAnsi="Arial" w:cs="Arial"/>
          <w:sz w:val="24"/>
          <w:szCs w:val="24"/>
        </w:rPr>
        <w:t>shutting</w:t>
      </w:r>
      <w:r w:rsidRPr="00E65539">
        <w:rPr>
          <w:rFonts w:ascii="Arial" w:hAnsi="Arial" w:cs="Arial"/>
          <w:sz w:val="24"/>
          <w:szCs w:val="24"/>
        </w:rPr>
        <w:t xml:space="preserve"> 110 major stores. In 2022, 67</w:t>
      </w:r>
      <w:r w:rsidR="00E65539">
        <w:rPr>
          <w:rFonts w:ascii="Arial" w:hAnsi="Arial" w:cs="Arial"/>
          <w:sz w:val="24"/>
          <w:szCs w:val="24"/>
        </w:rPr>
        <w:t xml:space="preserve"> stores were closed,</w:t>
      </w:r>
      <w:r w:rsidRPr="00E65539">
        <w:rPr>
          <w:rFonts w:ascii="Arial" w:hAnsi="Arial" w:cs="Arial"/>
          <w:sz w:val="24"/>
          <w:szCs w:val="24"/>
        </w:rPr>
        <w:t xml:space="preserve"> </w:t>
      </w:r>
      <w:r w:rsidRPr="00E65539">
        <w:rPr>
          <w:rFonts w:ascii="Arial" w:hAnsi="Arial" w:cs="Arial"/>
          <w:sz w:val="24"/>
          <w:szCs w:val="24"/>
        </w:rPr>
        <w:t>respond</w:t>
      </w:r>
      <w:r w:rsidR="00E65539">
        <w:rPr>
          <w:rFonts w:ascii="Arial" w:hAnsi="Arial" w:cs="Arial"/>
          <w:sz w:val="24"/>
          <w:szCs w:val="24"/>
        </w:rPr>
        <w:t>ing</w:t>
      </w:r>
      <w:r w:rsidRPr="00E65539">
        <w:rPr>
          <w:rFonts w:ascii="Arial" w:hAnsi="Arial" w:cs="Arial"/>
          <w:sz w:val="24"/>
          <w:szCs w:val="24"/>
        </w:rPr>
        <w:t xml:space="preserve"> to </w:t>
      </w:r>
      <w:r w:rsidR="00E65539">
        <w:rPr>
          <w:rFonts w:ascii="Arial" w:hAnsi="Arial" w:cs="Arial"/>
          <w:sz w:val="24"/>
          <w:szCs w:val="24"/>
        </w:rPr>
        <w:t>low</w:t>
      </w:r>
      <w:r w:rsidRPr="00E65539">
        <w:rPr>
          <w:rFonts w:ascii="Arial" w:hAnsi="Arial" w:cs="Arial"/>
          <w:sz w:val="24"/>
          <w:szCs w:val="24"/>
        </w:rPr>
        <w:t xml:space="preserve"> sales performance</w:t>
      </w:r>
      <w:r w:rsidRPr="00E65539">
        <w:rPr>
          <w:rFonts w:ascii="Arial" w:hAnsi="Arial" w:cs="Arial"/>
          <w:color w:val="000000"/>
          <w:sz w:val="24"/>
          <w:szCs w:val="24"/>
          <w:shd w:val="clear" w:color="auto" w:fill="FFFFFF"/>
        </w:rPr>
        <w:t xml:space="preserve"> </w:t>
      </w:r>
      <w:r w:rsidRPr="00E65539">
        <w:rPr>
          <w:rFonts w:ascii="Arial" w:hAnsi="Arial" w:cs="Arial"/>
          <w:color w:val="000000"/>
          <w:sz w:val="24"/>
          <w:szCs w:val="24"/>
          <w:shd w:val="clear" w:color="auto" w:fill="FFFFFF"/>
        </w:rPr>
        <w:t>(Simpson, 2022)</w:t>
      </w:r>
      <w:r w:rsidRPr="00E65539">
        <w:rPr>
          <w:rFonts w:ascii="Arial" w:hAnsi="Arial" w:cs="Arial"/>
          <w:sz w:val="24"/>
          <w:szCs w:val="24"/>
        </w:rPr>
        <w:t>.</w:t>
      </w:r>
    </w:p>
    <w:p w14:paraId="45D3D571" w14:textId="77777777" w:rsidR="00714C58" w:rsidRPr="00E65539" w:rsidRDefault="00714C58" w:rsidP="00714C58">
      <w:pPr>
        <w:pStyle w:val="ListParagraph"/>
        <w:shd w:val="clear" w:color="auto" w:fill="FFFFFF"/>
        <w:spacing w:line="360" w:lineRule="auto"/>
        <w:rPr>
          <w:rFonts w:ascii="Arial" w:hAnsi="Arial" w:cs="Arial"/>
          <w:sz w:val="24"/>
          <w:szCs w:val="24"/>
        </w:rPr>
      </w:pPr>
    </w:p>
    <w:p w14:paraId="4FDEEA59" w14:textId="31AC09C1" w:rsidR="00F55EB2" w:rsidRDefault="004C2ED2" w:rsidP="00F55EB2">
      <w:pPr>
        <w:shd w:val="clear" w:color="auto" w:fill="FFFFFF"/>
        <w:spacing w:line="360" w:lineRule="auto"/>
        <w:rPr>
          <w:rStyle w:val="price-tag"/>
          <w:rFonts w:ascii="Arial" w:hAnsi="Arial" w:cs="Arial"/>
          <w:sz w:val="24"/>
          <w:szCs w:val="24"/>
        </w:rPr>
      </w:pPr>
      <w:r w:rsidRPr="004C0FAC">
        <w:rPr>
          <w:rFonts w:ascii="Arial" w:hAnsi="Arial" w:cs="Arial"/>
          <w:sz w:val="24"/>
          <w:szCs w:val="24"/>
        </w:rPr>
        <w:t>M</w:t>
      </w:r>
      <w:r w:rsidR="00F621C2">
        <w:rPr>
          <w:rFonts w:ascii="Arial" w:hAnsi="Arial" w:cs="Arial"/>
          <w:sz w:val="24"/>
          <w:szCs w:val="24"/>
        </w:rPr>
        <w:t>&amp;S</w:t>
      </w:r>
      <w:r w:rsidRPr="004C0FAC">
        <w:rPr>
          <w:rFonts w:ascii="Arial" w:hAnsi="Arial" w:cs="Arial"/>
          <w:sz w:val="24"/>
          <w:szCs w:val="24"/>
        </w:rPr>
        <w:t xml:space="preserve"> is known for its focus on quality products, notably clothing, food, home goods</w:t>
      </w:r>
      <w:r w:rsidR="00F621C2">
        <w:rPr>
          <w:rFonts w:ascii="Arial" w:hAnsi="Arial" w:cs="Arial"/>
          <w:sz w:val="24"/>
          <w:szCs w:val="24"/>
        </w:rPr>
        <w:t xml:space="preserve"> </w:t>
      </w:r>
      <w:r w:rsidR="0079215E" w:rsidRPr="0079215E">
        <w:rPr>
          <w:rFonts w:ascii="Arial" w:hAnsi="Arial" w:cs="Arial"/>
          <w:sz w:val="24"/>
          <w:szCs w:val="24"/>
        </w:rPr>
        <w:t xml:space="preserve">and banking services. </w:t>
      </w:r>
      <w:r w:rsidR="00F55EB2" w:rsidRPr="00E64E7A">
        <w:rPr>
          <w:rFonts w:ascii="Arial" w:hAnsi="Arial" w:cs="Arial"/>
          <w:sz w:val="24"/>
          <w:szCs w:val="24"/>
        </w:rPr>
        <w:t>As of 2022, there were 1,035 Marks and Spencer stores in the U</w:t>
      </w:r>
      <w:r w:rsidR="00F621C2">
        <w:rPr>
          <w:rFonts w:ascii="Arial" w:hAnsi="Arial" w:cs="Arial"/>
          <w:sz w:val="24"/>
          <w:szCs w:val="24"/>
        </w:rPr>
        <w:t>K</w:t>
      </w:r>
      <w:r w:rsidR="00F55EB2" w:rsidRPr="00E64E7A">
        <w:rPr>
          <w:rFonts w:ascii="Arial" w:hAnsi="Arial" w:cs="Arial"/>
          <w:sz w:val="24"/>
          <w:szCs w:val="24"/>
        </w:rPr>
        <w:t xml:space="preserve"> and 452 other locations worldwide</w:t>
      </w:r>
      <w:r w:rsidR="00F55EB2" w:rsidRPr="00E64E7A">
        <w:rPr>
          <w:rFonts w:ascii="Arial" w:hAnsi="Arial" w:cs="Arial"/>
          <w:color w:val="000000"/>
          <w:sz w:val="24"/>
          <w:szCs w:val="24"/>
        </w:rPr>
        <w:t xml:space="preserve"> </w:t>
      </w:r>
      <w:r w:rsidR="00F55EB2" w:rsidRPr="00E64E7A">
        <w:rPr>
          <w:rFonts w:ascii="Arial" w:eastAsia="Times New Roman" w:hAnsi="Arial" w:cs="Arial"/>
          <w:color w:val="000000"/>
          <w:sz w:val="24"/>
          <w:szCs w:val="24"/>
          <w:lang w:eastAsia="en-GB" w:bidi="ar-SA"/>
        </w:rPr>
        <w:t>(Smith, 2022)</w:t>
      </w:r>
      <w:r w:rsidR="00F55EB2" w:rsidRPr="00E64E7A">
        <w:rPr>
          <w:rFonts w:ascii="Arial" w:hAnsi="Arial" w:cs="Arial"/>
          <w:sz w:val="24"/>
          <w:szCs w:val="24"/>
        </w:rPr>
        <w:t>. About 66 thousand individuals worked for M&amp;S globally in 2022; most of them were women</w:t>
      </w:r>
      <w:r w:rsidR="00F55EB2" w:rsidRPr="00E64E7A">
        <w:rPr>
          <w:rFonts w:ascii="Arial" w:hAnsi="Arial" w:cs="Arial"/>
          <w:color w:val="000000"/>
          <w:sz w:val="24"/>
          <w:szCs w:val="24"/>
        </w:rPr>
        <w:t xml:space="preserve"> </w:t>
      </w:r>
      <w:r w:rsidR="00F55EB2" w:rsidRPr="00E64E7A">
        <w:rPr>
          <w:rFonts w:ascii="Arial" w:eastAsia="Times New Roman" w:hAnsi="Arial" w:cs="Arial"/>
          <w:color w:val="000000"/>
          <w:sz w:val="24"/>
          <w:szCs w:val="24"/>
          <w:lang w:eastAsia="en-GB" w:bidi="ar-SA"/>
        </w:rPr>
        <w:t>(Smith, 2022)</w:t>
      </w:r>
      <w:r w:rsidR="00F55EB2" w:rsidRPr="00E64E7A">
        <w:rPr>
          <w:rFonts w:ascii="Arial" w:hAnsi="Arial" w:cs="Arial"/>
          <w:sz w:val="24"/>
          <w:szCs w:val="24"/>
        </w:rPr>
        <w:t xml:space="preserve">. </w:t>
      </w:r>
      <w:r w:rsidR="00F55EB2" w:rsidRPr="00E64E7A">
        <w:rPr>
          <w:rFonts w:ascii="Arial" w:eastAsia="Times New Roman" w:hAnsi="Arial" w:cs="Arial"/>
          <w:color w:val="000000"/>
          <w:sz w:val="24"/>
          <w:szCs w:val="24"/>
          <w:lang w:eastAsia="en-GB" w:bidi="ar-SA"/>
        </w:rPr>
        <w:t>It is a constituent of the FTSE 250 Index and is traded on the London Stock Exchange (LSE) as MKS</w:t>
      </w:r>
      <w:r w:rsidR="006E319E">
        <w:rPr>
          <w:rFonts w:ascii="Arial" w:eastAsia="Times New Roman" w:hAnsi="Arial" w:cs="Arial"/>
          <w:color w:val="000000"/>
          <w:sz w:val="24"/>
          <w:szCs w:val="24"/>
          <w:lang w:eastAsia="en-GB" w:bidi="ar-SA"/>
        </w:rPr>
        <w:t xml:space="preserve"> </w:t>
      </w:r>
      <w:r w:rsidR="00F55EB2" w:rsidRPr="00E64E7A">
        <w:rPr>
          <w:rFonts w:ascii="Arial" w:eastAsia="Times New Roman" w:hAnsi="Arial" w:cs="Arial"/>
          <w:color w:val="000000"/>
          <w:sz w:val="24"/>
          <w:szCs w:val="24"/>
          <w:lang w:eastAsia="en-GB" w:bidi="ar-SA"/>
        </w:rPr>
        <w:t>(LSE, 2023)</w:t>
      </w:r>
      <w:r w:rsidR="00F55EB2" w:rsidRPr="00E64E7A">
        <w:rPr>
          <w:rFonts w:ascii="Arial" w:hAnsi="Arial" w:cs="Arial"/>
          <w:color w:val="000000"/>
          <w:sz w:val="24"/>
          <w:szCs w:val="24"/>
        </w:rPr>
        <w:t xml:space="preserve"> </w:t>
      </w:r>
      <w:r w:rsidR="00F55EB2" w:rsidRPr="00E64E7A">
        <w:rPr>
          <w:rFonts w:ascii="Arial" w:eastAsia="Times New Roman" w:hAnsi="Arial" w:cs="Arial"/>
          <w:color w:val="000000"/>
          <w:sz w:val="24"/>
          <w:szCs w:val="24"/>
          <w:lang w:eastAsia="en-GB" w:bidi="ar-SA"/>
        </w:rPr>
        <w:t xml:space="preserve">(Bailey, 2019). M&amp;S </w:t>
      </w:r>
      <w:r w:rsidR="00F6281A">
        <w:rPr>
          <w:rFonts w:ascii="Arial" w:eastAsia="Times New Roman" w:hAnsi="Arial" w:cs="Arial"/>
          <w:color w:val="000000"/>
          <w:sz w:val="24"/>
          <w:szCs w:val="24"/>
          <w:lang w:eastAsia="en-GB" w:bidi="ar-SA"/>
        </w:rPr>
        <w:t>shares</w:t>
      </w:r>
      <w:r w:rsidR="00F55EB2" w:rsidRPr="00E64E7A">
        <w:rPr>
          <w:rFonts w:ascii="Arial" w:eastAsia="Times New Roman" w:hAnsi="Arial" w:cs="Arial"/>
          <w:color w:val="000000"/>
          <w:sz w:val="24"/>
          <w:szCs w:val="24"/>
          <w:lang w:eastAsia="en-GB" w:bidi="ar-SA"/>
        </w:rPr>
        <w:t xml:space="preserve"> traded at £</w:t>
      </w:r>
      <w:r w:rsidR="00F55EB2" w:rsidRPr="00E64E7A">
        <w:rPr>
          <w:rStyle w:val="markedcontent"/>
          <w:rFonts w:ascii="Arial" w:hAnsi="Arial" w:cs="Arial"/>
          <w:sz w:val="24"/>
          <w:szCs w:val="24"/>
        </w:rPr>
        <w:t xml:space="preserve"> </w:t>
      </w:r>
      <w:r w:rsidR="00F55EB2" w:rsidRPr="00E64E7A">
        <w:rPr>
          <w:rStyle w:val="price-tag"/>
          <w:rFonts w:ascii="Arial" w:hAnsi="Arial" w:cs="Arial"/>
          <w:sz w:val="24"/>
          <w:szCs w:val="24"/>
        </w:rPr>
        <w:t>16</w:t>
      </w:r>
      <w:r w:rsidR="00F621C2">
        <w:rPr>
          <w:rStyle w:val="price-tag"/>
          <w:rFonts w:ascii="Arial" w:hAnsi="Arial" w:cs="Arial"/>
          <w:sz w:val="24"/>
          <w:szCs w:val="24"/>
        </w:rPr>
        <w:t>3.6</w:t>
      </w:r>
      <w:r w:rsidR="00F55EB2" w:rsidRPr="00E64E7A">
        <w:rPr>
          <w:rStyle w:val="price-tag"/>
          <w:rFonts w:ascii="Arial" w:hAnsi="Arial" w:cs="Arial"/>
          <w:sz w:val="24"/>
          <w:szCs w:val="24"/>
        </w:rPr>
        <w:t>0</w:t>
      </w:r>
      <w:r w:rsidR="00F621C2">
        <w:rPr>
          <w:rStyle w:val="price-tag"/>
          <w:rFonts w:ascii="Arial" w:hAnsi="Arial" w:cs="Arial"/>
          <w:sz w:val="24"/>
          <w:szCs w:val="24"/>
        </w:rPr>
        <w:t xml:space="preserve"> on 23 May 2023</w:t>
      </w:r>
      <w:r w:rsidR="00F55EB2" w:rsidRPr="00E64E7A">
        <w:rPr>
          <w:rStyle w:val="price-tag"/>
          <w:rFonts w:ascii="Arial" w:hAnsi="Arial" w:cs="Arial"/>
          <w:sz w:val="24"/>
          <w:szCs w:val="24"/>
        </w:rPr>
        <w:t xml:space="preserve"> </w:t>
      </w:r>
      <w:r w:rsidR="00F55EB2" w:rsidRPr="00E64E7A">
        <w:rPr>
          <w:rFonts w:ascii="Arial" w:eastAsia="Times New Roman" w:hAnsi="Arial" w:cs="Arial"/>
          <w:color w:val="000000"/>
          <w:sz w:val="24"/>
          <w:szCs w:val="24"/>
          <w:lang w:eastAsia="en-GB" w:bidi="ar-SA"/>
        </w:rPr>
        <w:t>(LSE, 2023)</w:t>
      </w:r>
      <w:r w:rsidR="00F55EB2" w:rsidRPr="00E64E7A">
        <w:rPr>
          <w:rStyle w:val="price-tag"/>
          <w:rFonts w:ascii="Arial" w:hAnsi="Arial" w:cs="Arial"/>
          <w:sz w:val="24"/>
          <w:szCs w:val="24"/>
        </w:rPr>
        <w:t>.</w:t>
      </w:r>
    </w:p>
    <w:p w14:paraId="03FAD1F2" w14:textId="77777777" w:rsidR="009C6BBB" w:rsidRDefault="006E319E" w:rsidP="00C15161">
      <w:pPr>
        <w:pStyle w:val="NormalWeb"/>
        <w:spacing w:line="360" w:lineRule="auto"/>
        <w:rPr>
          <w:rFonts w:ascii="Arial" w:hAnsi="Arial" w:cs="Arial"/>
        </w:rPr>
      </w:pPr>
      <w:r w:rsidRPr="006E319E">
        <w:rPr>
          <w:rFonts w:ascii="Arial" w:hAnsi="Arial" w:cs="Arial"/>
        </w:rPr>
        <w:t xml:space="preserve">Marks and Spencer </w:t>
      </w:r>
      <w:proofErr w:type="gramStart"/>
      <w:r w:rsidRPr="006E319E">
        <w:rPr>
          <w:rFonts w:ascii="Arial" w:hAnsi="Arial" w:cs="Arial"/>
        </w:rPr>
        <w:t>faces</w:t>
      </w:r>
      <w:proofErr w:type="gramEnd"/>
      <w:r w:rsidRPr="006E319E">
        <w:rPr>
          <w:rFonts w:ascii="Arial" w:hAnsi="Arial" w:cs="Arial"/>
        </w:rPr>
        <w:t xml:space="preserve"> strong competition in the retail sector, competing with rivals like Sainsbury's, John Lewis, Morrison, Next, and Tesco, as they operate in both </w:t>
      </w:r>
      <w:r>
        <w:rPr>
          <w:rFonts w:ascii="Arial" w:hAnsi="Arial" w:cs="Arial"/>
        </w:rPr>
        <w:t xml:space="preserve">the </w:t>
      </w:r>
      <w:r w:rsidRPr="006E319E">
        <w:rPr>
          <w:rFonts w:ascii="Arial" w:hAnsi="Arial" w:cs="Arial"/>
        </w:rPr>
        <w:t>food and clothing retail industries.</w:t>
      </w:r>
      <w:r w:rsidR="009C6BBB">
        <w:rPr>
          <w:rFonts w:ascii="Arial" w:hAnsi="Arial" w:cs="Arial"/>
        </w:rPr>
        <w:t xml:space="preserve"> </w:t>
      </w:r>
      <w:r w:rsidR="009C6BBB" w:rsidRPr="009C6BBB">
        <w:rPr>
          <w:rFonts w:ascii="Arial" w:hAnsi="Arial" w:cs="Arial"/>
        </w:rPr>
        <w:t>In this report, a professional evaluation of the financial performance of M&amp;S in contrast to that of Sainsbury's Plc will be conducted.</w:t>
      </w:r>
    </w:p>
    <w:p w14:paraId="513B94CC" w14:textId="22146887" w:rsidR="0038138D" w:rsidRDefault="00BD337D" w:rsidP="00C15161">
      <w:pPr>
        <w:pStyle w:val="NormalWeb"/>
        <w:spacing w:line="360" w:lineRule="auto"/>
        <w:rPr>
          <w:rFonts w:ascii="Arial" w:hAnsi="Arial" w:cs="Arial"/>
          <w:b/>
          <w:bCs/>
        </w:rPr>
      </w:pPr>
      <w:r w:rsidRPr="00BD337D">
        <w:rPr>
          <w:rFonts w:ascii="Arial" w:hAnsi="Arial" w:cs="Arial"/>
          <w:b/>
          <w:bCs/>
        </w:rPr>
        <w:t>Financial Analysis</w:t>
      </w:r>
    </w:p>
    <w:p w14:paraId="451F00FE" w14:textId="78A3B8BA" w:rsidR="00974189" w:rsidRPr="00850B9E" w:rsidRDefault="00974189" w:rsidP="008C5D2C">
      <w:pPr>
        <w:shd w:val="clear" w:color="auto" w:fill="FFFFFF"/>
        <w:spacing w:line="360" w:lineRule="auto"/>
        <w:rPr>
          <w:rFonts w:ascii="Arial" w:hAnsi="Arial" w:cs="Arial"/>
          <w:sz w:val="24"/>
          <w:szCs w:val="24"/>
        </w:rPr>
      </w:pPr>
      <w:r w:rsidRPr="00850B9E">
        <w:rPr>
          <w:rFonts w:ascii="Arial" w:hAnsi="Arial" w:cs="Arial"/>
          <w:sz w:val="24"/>
          <w:szCs w:val="24"/>
        </w:rPr>
        <w:t xml:space="preserve">Financial analysis involves various techniques and tools, such as ratio analysis, trend analysis, comparative analysis, and cash flow analysis. Using these methods, analysts can identify key financial indicators, such as revenue growth, profit margins, return on </w:t>
      </w:r>
      <w:r w:rsidR="00FB5635">
        <w:rPr>
          <w:rFonts w:ascii="Arial" w:hAnsi="Arial" w:cs="Arial"/>
          <w:sz w:val="24"/>
          <w:szCs w:val="24"/>
        </w:rPr>
        <w:lastRenderedPageBreak/>
        <w:t>I</w:t>
      </w:r>
      <w:r w:rsidRPr="00850B9E">
        <w:rPr>
          <w:rFonts w:ascii="Arial" w:hAnsi="Arial" w:cs="Arial"/>
          <w:sz w:val="24"/>
          <w:szCs w:val="24"/>
        </w:rPr>
        <w:t>nvestment, and debt-to-equity ratios, and assess a company</w:t>
      </w:r>
      <w:r w:rsidR="00D11AF1">
        <w:rPr>
          <w:rFonts w:ascii="Arial" w:hAnsi="Arial" w:cs="Arial"/>
          <w:sz w:val="24"/>
          <w:szCs w:val="24"/>
        </w:rPr>
        <w:t>'</w:t>
      </w:r>
      <w:r w:rsidRPr="00850B9E">
        <w:rPr>
          <w:rFonts w:ascii="Arial" w:hAnsi="Arial" w:cs="Arial"/>
          <w:sz w:val="24"/>
          <w:szCs w:val="24"/>
        </w:rPr>
        <w:t>s ability to generate cash flow, meet its financial obligations, and deliver value to its stakeholders.</w:t>
      </w:r>
      <w:r w:rsidR="00850B9E" w:rsidRPr="00850B9E">
        <w:rPr>
          <w:rFonts w:ascii="Arial" w:eastAsia="Times New Roman" w:hAnsi="Arial" w:cs="Arial"/>
          <w:color w:val="000000"/>
          <w:sz w:val="24"/>
          <w:szCs w:val="24"/>
          <w:lang w:eastAsia="en-GB" w:bidi="ar-SA"/>
        </w:rPr>
        <w:t xml:space="preserve"> </w:t>
      </w:r>
    </w:p>
    <w:p w14:paraId="45813310" w14:textId="574100C6" w:rsidR="00A553BE" w:rsidRDefault="00A553BE" w:rsidP="00974189">
      <w:pPr>
        <w:pStyle w:val="NormalWeb"/>
        <w:spacing w:line="360" w:lineRule="auto"/>
        <w:rPr>
          <w:rFonts w:ascii="Arial" w:hAnsi="Arial" w:cs="Arial"/>
          <w:b/>
          <w:bCs/>
          <w:sz w:val="28"/>
          <w:szCs w:val="28"/>
        </w:rPr>
      </w:pPr>
      <w:r w:rsidRPr="00056F4A">
        <w:rPr>
          <w:rFonts w:ascii="Arial" w:hAnsi="Arial" w:cs="Arial"/>
          <w:b/>
          <w:bCs/>
          <w:sz w:val="28"/>
          <w:szCs w:val="28"/>
        </w:rPr>
        <w:t xml:space="preserve">Financial Analysis of </w:t>
      </w:r>
      <w:r w:rsidR="00056F4A" w:rsidRPr="00056F4A">
        <w:rPr>
          <w:rFonts w:ascii="Arial" w:hAnsi="Arial" w:cs="Arial"/>
          <w:b/>
          <w:bCs/>
          <w:sz w:val="28"/>
          <w:szCs w:val="28"/>
        </w:rPr>
        <w:t>Marks and Spencer Group plc</w:t>
      </w:r>
    </w:p>
    <w:p w14:paraId="754F2632" w14:textId="5E9E6399" w:rsidR="0008498F" w:rsidRPr="00291F34" w:rsidRDefault="00D97BED" w:rsidP="0008498F">
      <w:pPr>
        <w:shd w:val="clear" w:color="auto" w:fill="FFFFFF"/>
        <w:spacing w:line="360" w:lineRule="auto"/>
        <w:rPr>
          <w:rFonts w:ascii="Arial" w:eastAsia="Times New Roman" w:hAnsi="Arial" w:cs="Arial"/>
          <w:color w:val="000000"/>
          <w:sz w:val="24"/>
          <w:szCs w:val="24"/>
          <w:lang w:eastAsia="en-GB" w:bidi="ar-SA"/>
        </w:rPr>
      </w:pPr>
      <w:r w:rsidRPr="00D97BED">
        <w:rPr>
          <w:rFonts w:ascii="Arial" w:eastAsia="Times New Roman" w:hAnsi="Arial" w:cs="Arial"/>
          <w:color w:val="000000"/>
          <w:sz w:val="24"/>
          <w:szCs w:val="24"/>
          <w:lang w:eastAsia="en-GB" w:bidi="ar-SA"/>
        </w:rPr>
        <w:t>This section will focus on the financial analysis of M&amp;S plc, comparing performance ratios to Sainsbury's. This analysis, based on income statements, balance sheets, and cash flow statements, will assist investors in making investment decisions by providing recommendations.</w:t>
      </w:r>
    </w:p>
    <w:tbl>
      <w:tblPr>
        <w:tblStyle w:val="TableGrid"/>
        <w:tblW w:w="0" w:type="auto"/>
        <w:tblLook w:val="04A0" w:firstRow="1" w:lastRow="0" w:firstColumn="1" w:lastColumn="0" w:noHBand="0" w:noVBand="1"/>
      </w:tblPr>
      <w:tblGrid>
        <w:gridCol w:w="1651"/>
        <w:gridCol w:w="1151"/>
        <w:gridCol w:w="1284"/>
        <w:gridCol w:w="1284"/>
        <w:gridCol w:w="1151"/>
        <w:gridCol w:w="1284"/>
        <w:gridCol w:w="1710"/>
      </w:tblGrid>
      <w:tr w:rsidR="00F93016" w14:paraId="1D100D2E" w14:textId="77777777" w:rsidTr="005E245F">
        <w:tc>
          <w:tcPr>
            <w:tcW w:w="1651" w:type="dxa"/>
            <w:shd w:val="clear" w:color="auto" w:fill="FDE9D9" w:themeFill="accent6" w:themeFillTint="33"/>
          </w:tcPr>
          <w:p w14:paraId="7FBB84CA" w14:textId="703F2F45" w:rsidR="0008498F" w:rsidRPr="005E2125" w:rsidRDefault="00000472" w:rsidP="009764A0">
            <w:pPr>
              <w:spacing w:line="360" w:lineRule="auto"/>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M&amp;</w:t>
            </w:r>
            <w:r w:rsidR="00F93016" w:rsidRPr="005E2125">
              <w:rPr>
                <w:rFonts w:ascii="Arial" w:eastAsia="Times New Roman" w:hAnsi="Arial" w:cs="Arial"/>
                <w:color w:val="000000"/>
                <w:sz w:val="24"/>
                <w:szCs w:val="24"/>
                <w:lang w:eastAsia="en-GB" w:bidi="ar-SA"/>
              </w:rPr>
              <w:t>S</w:t>
            </w:r>
          </w:p>
        </w:tc>
        <w:tc>
          <w:tcPr>
            <w:tcW w:w="1151" w:type="dxa"/>
            <w:shd w:val="clear" w:color="auto" w:fill="C2D69B" w:themeFill="accent3" w:themeFillTint="99"/>
          </w:tcPr>
          <w:p w14:paraId="57E24306" w14:textId="6B2FD7DC" w:rsidR="0008498F" w:rsidRPr="005E2125" w:rsidRDefault="0008498F"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2018</w:t>
            </w:r>
          </w:p>
        </w:tc>
        <w:tc>
          <w:tcPr>
            <w:tcW w:w="1284" w:type="dxa"/>
            <w:shd w:val="clear" w:color="auto" w:fill="C2D69B" w:themeFill="accent3" w:themeFillTint="99"/>
          </w:tcPr>
          <w:p w14:paraId="1E3230F2" w14:textId="75F02F37" w:rsidR="0008498F" w:rsidRPr="005E2125" w:rsidRDefault="0008498F"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2019</w:t>
            </w:r>
          </w:p>
        </w:tc>
        <w:tc>
          <w:tcPr>
            <w:tcW w:w="1284" w:type="dxa"/>
            <w:shd w:val="clear" w:color="auto" w:fill="C2D69B" w:themeFill="accent3" w:themeFillTint="99"/>
          </w:tcPr>
          <w:p w14:paraId="068C7FBF" w14:textId="4A3D6B7D" w:rsidR="0008498F" w:rsidRPr="005E2125" w:rsidRDefault="0008498F"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2020</w:t>
            </w:r>
          </w:p>
        </w:tc>
        <w:tc>
          <w:tcPr>
            <w:tcW w:w="1151" w:type="dxa"/>
            <w:shd w:val="clear" w:color="auto" w:fill="C2D69B" w:themeFill="accent3" w:themeFillTint="99"/>
          </w:tcPr>
          <w:p w14:paraId="570D6EF8" w14:textId="5E7A51EB" w:rsidR="0008498F" w:rsidRPr="005E2125" w:rsidRDefault="0008498F"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2021</w:t>
            </w:r>
          </w:p>
        </w:tc>
        <w:tc>
          <w:tcPr>
            <w:tcW w:w="1284" w:type="dxa"/>
            <w:shd w:val="clear" w:color="auto" w:fill="C2D69B" w:themeFill="accent3" w:themeFillTint="99"/>
          </w:tcPr>
          <w:p w14:paraId="3966FCDB" w14:textId="63E88E73" w:rsidR="0008498F" w:rsidRPr="005E2125" w:rsidRDefault="0008498F"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2022</w:t>
            </w:r>
          </w:p>
        </w:tc>
        <w:tc>
          <w:tcPr>
            <w:tcW w:w="1710" w:type="dxa"/>
            <w:shd w:val="clear" w:color="auto" w:fill="CCC0D9" w:themeFill="accent4" w:themeFillTint="66"/>
          </w:tcPr>
          <w:p w14:paraId="3EFF3274" w14:textId="514BAADB" w:rsidR="0008498F" w:rsidRPr="005E2125" w:rsidRDefault="00B948D0"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Sainsbury</w:t>
            </w:r>
            <w:r w:rsidR="00D11AF1">
              <w:rPr>
                <w:rFonts w:ascii="Arial" w:eastAsia="Times New Roman" w:hAnsi="Arial" w:cs="Arial"/>
                <w:color w:val="000000"/>
                <w:sz w:val="24"/>
                <w:szCs w:val="24"/>
                <w:lang w:eastAsia="en-GB" w:bidi="ar-SA"/>
              </w:rPr>
              <w:t>'</w:t>
            </w:r>
            <w:r w:rsidRPr="005E2125">
              <w:rPr>
                <w:rFonts w:ascii="Arial" w:eastAsia="Times New Roman" w:hAnsi="Arial" w:cs="Arial"/>
                <w:color w:val="000000"/>
                <w:sz w:val="24"/>
                <w:szCs w:val="24"/>
                <w:lang w:eastAsia="en-GB" w:bidi="ar-SA"/>
              </w:rPr>
              <w:t>s</w:t>
            </w:r>
            <w:r w:rsidR="0008498F" w:rsidRPr="005E2125">
              <w:rPr>
                <w:rFonts w:ascii="Arial" w:eastAsia="Times New Roman" w:hAnsi="Arial" w:cs="Arial"/>
                <w:color w:val="000000"/>
                <w:sz w:val="24"/>
                <w:szCs w:val="24"/>
                <w:lang w:eastAsia="en-GB" w:bidi="ar-SA"/>
              </w:rPr>
              <w:t xml:space="preserve"> 2022</w:t>
            </w:r>
          </w:p>
        </w:tc>
      </w:tr>
      <w:tr w:rsidR="00F93016" w14:paraId="32FE3B4E" w14:textId="77777777" w:rsidTr="005E245F">
        <w:tc>
          <w:tcPr>
            <w:tcW w:w="1651" w:type="dxa"/>
            <w:shd w:val="clear" w:color="auto" w:fill="FDE9D9" w:themeFill="accent6" w:themeFillTint="33"/>
          </w:tcPr>
          <w:p w14:paraId="0BD65337" w14:textId="637DF63B" w:rsidR="0008498F" w:rsidRPr="005E2125" w:rsidRDefault="00000472" w:rsidP="009764A0">
            <w:pPr>
              <w:spacing w:line="360" w:lineRule="auto"/>
              <w:rPr>
                <w:rFonts w:ascii="Arial" w:eastAsia="Times New Roman" w:hAnsi="Arial" w:cs="Arial"/>
                <w:b/>
                <w:bCs/>
                <w:color w:val="000000"/>
                <w:sz w:val="24"/>
                <w:szCs w:val="24"/>
                <w:lang w:eastAsia="en-GB" w:bidi="ar-SA"/>
              </w:rPr>
            </w:pPr>
            <w:r w:rsidRPr="005E2125">
              <w:rPr>
                <w:rFonts w:ascii="Arial" w:hAnsi="Arial" w:cs="Arial"/>
                <w:b/>
                <w:bCs/>
                <w:i/>
                <w:iCs/>
                <w:sz w:val="24"/>
                <w:szCs w:val="24"/>
                <w:lang w:bidi="ar-SA"/>
              </w:rPr>
              <w:t>Revenue</w:t>
            </w:r>
            <w:r w:rsidR="0008498F" w:rsidRPr="005E2125">
              <w:rPr>
                <w:rFonts w:ascii="Arial" w:hAnsi="Arial" w:cs="Arial"/>
                <w:b/>
                <w:bCs/>
                <w:i/>
                <w:iCs/>
                <w:sz w:val="24"/>
                <w:szCs w:val="24"/>
                <w:lang w:bidi="ar-SA"/>
              </w:rPr>
              <w:t xml:space="preserve"> m £</w:t>
            </w:r>
          </w:p>
        </w:tc>
        <w:tc>
          <w:tcPr>
            <w:tcW w:w="1151" w:type="dxa"/>
            <w:shd w:val="clear" w:color="auto" w:fill="C2D69B" w:themeFill="accent3" w:themeFillTint="99"/>
          </w:tcPr>
          <w:p w14:paraId="38430C9E" w14:textId="2B3C1ED8" w:rsidR="0008498F" w:rsidRPr="005E2125" w:rsidRDefault="00F93016" w:rsidP="0065783C">
            <w:pPr>
              <w:spacing w:line="360" w:lineRule="auto"/>
              <w:jc w:val="center"/>
              <w:rPr>
                <w:rFonts w:ascii="Arial" w:eastAsia="Times New Roman" w:hAnsi="Arial" w:cs="Arial"/>
                <w:color w:val="000000"/>
                <w:sz w:val="24"/>
                <w:szCs w:val="24"/>
                <w:lang w:eastAsia="en-GB" w:bidi="ar-SA"/>
              </w:rPr>
            </w:pPr>
            <w:r w:rsidRPr="005E2125">
              <w:rPr>
                <w:rStyle w:val="markedcontent"/>
                <w:rFonts w:ascii="Arial" w:hAnsi="Arial" w:cs="Arial"/>
                <w:sz w:val="24"/>
                <w:szCs w:val="24"/>
              </w:rPr>
              <w:t>10,698.2</w:t>
            </w:r>
          </w:p>
        </w:tc>
        <w:tc>
          <w:tcPr>
            <w:tcW w:w="1284" w:type="dxa"/>
            <w:shd w:val="clear" w:color="auto" w:fill="C2D69B" w:themeFill="accent3" w:themeFillTint="99"/>
          </w:tcPr>
          <w:p w14:paraId="7F47E69B" w14:textId="5D1F717A" w:rsidR="0008498F" w:rsidRPr="005E2125" w:rsidRDefault="00F93016" w:rsidP="0065783C">
            <w:pPr>
              <w:spacing w:line="360" w:lineRule="auto"/>
              <w:jc w:val="center"/>
              <w:rPr>
                <w:rFonts w:ascii="Arial" w:eastAsia="Times New Roman" w:hAnsi="Arial" w:cs="Arial"/>
                <w:color w:val="000000"/>
                <w:sz w:val="24"/>
                <w:szCs w:val="24"/>
                <w:lang w:eastAsia="en-GB" w:bidi="ar-SA"/>
              </w:rPr>
            </w:pPr>
            <w:r w:rsidRPr="005E2125">
              <w:rPr>
                <w:rStyle w:val="markedcontent"/>
                <w:rFonts w:ascii="Arial" w:hAnsi="Arial" w:cs="Arial"/>
                <w:sz w:val="24"/>
                <w:szCs w:val="24"/>
              </w:rPr>
              <w:t>10,377.3</w:t>
            </w:r>
            <w:r w:rsidR="00B948D0" w:rsidRPr="005E2125">
              <w:rPr>
                <w:rStyle w:val="markedcontent"/>
                <w:rFonts w:ascii="Arial" w:hAnsi="Arial" w:cs="Arial"/>
                <w:sz w:val="24"/>
                <w:szCs w:val="24"/>
              </w:rPr>
              <w:t>0</w:t>
            </w:r>
          </w:p>
        </w:tc>
        <w:tc>
          <w:tcPr>
            <w:tcW w:w="1284" w:type="dxa"/>
            <w:shd w:val="clear" w:color="auto" w:fill="C2D69B" w:themeFill="accent3" w:themeFillTint="99"/>
          </w:tcPr>
          <w:p w14:paraId="0466C704" w14:textId="0FAAE3C6" w:rsidR="0008498F" w:rsidRPr="005E2125" w:rsidRDefault="00F93016" w:rsidP="0065783C">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10,181.90</w:t>
            </w:r>
          </w:p>
        </w:tc>
        <w:tc>
          <w:tcPr>
            <w:tcW w:w="1151" w:type="dxa"/>
            <w:shd w:val="clear" w:color="auto" w:fill="C2D69B" w:themeFill="accent3" w:themeFillTint="99"/>
          </w:tcPr>
          <w:p w14:paraId="75ED9DEC" w14:textId="3ED8D1F2" w:rsidR="0008498F" w:rsidRPr="005E2125" w:rsidRDefault="00F93016" w:rsidP="0065783C">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9,155.70</w:t>
            </w:r>
          </w:p>
        </w:tc>
        <w:tc>
          <w:tcPr>
            <w:tcW w:w="1284" w:type="dxa"/>
            <w:shd w:val="clear" w:color="auto" w:fill="C2D69B" w:themeFill="accent3" w:themeFillTint="99"/>
          </w:tcPr>
          <w:p w14:paraId="37D04CCA" w14:textId="1AAC09B5" w:rsidR="0008498F" w:rsidRPr="005E2125" w:rsidRDefault="00F93016" w:rsidP="0065783C">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10,885.10</w:t>
            </w:r>
          </w:p>
        </w:tc>
        <w:tc>
          <w:tcPr>
            <w:tcW w:w="1710" w:type="dxa"/>
            <w:shd w:val="clear" w:color="auto" w:fill="CCC0D9" w:themeFill="accent4" w:themeFillTint="66"/>
          </w:tcPr>
          <w:tbl>
            <w:tblPr>
              <w:tblW w:w="0" w:type="auto"/>
              <w:tblCellSpacing w:w="15" w:type="dxa"/>
              <w:tblCellMar>
                <w:top w:w="15" w:type="dxa"/>
                <w:left w:w="15" w:type="dxa"/>
                <w:bottom w:w="15" w:type="dxa"/>
                <w:right w:w="15" w:type="dxa"/>
              </w:tblCellMar>
              <w:tblLook w:val="04A0" w:firstRow="1" w:lastRow="0" w:firstColumn="1" w:lastColumn="0" w:noHBand="0" w:noVBand="1"/>
              <w:tblDescription w:val="Table of financial results for the last 5 years"/>
            </w:tblPr>
            <w:tblGrid>
              <w:gridCol w:w="1343"/>
              <w:gridCol w:w="81"/>
            </w:tblGrid>
            <w:tr w:rsidR="00B948D0" w:rsidRPr="005E2125" w14:paraId="23E38CF4" w14:textId="77777777" w:rsidTr="00B948D0">
              <w:trPr>
                <w:tblCellSpacing w:w="15" w:type="dxa"/>
              </w:trPr>
              <w:tc>
                <w:tcPr>
                  <w:tcW w:w="0" w:type="auto"/>
                  <w:vAlign w:val="center"/>
                  <w:hideMark/>
                </w:tcPr>
                <w:p w14:paraId="65237381" w14:textId="49A55699" w:rsidR="00B948D0" w:rsidRPr="005E2125" w:rsidRDefault="00B948D0" w:rsidP="0065783C">
                  <w:pPr>
                    <w:spacing w:after="0" w:line="360" w:lineRule="auto"/>
                    <w:rPr>
                      <w:rFonts w:ascii="Arial" w:eastAsia="Times New Roman" w:hAnsi="Arial" w:cs="Arial"/>
                      <w:sz w:val="24"/>
                      <w:szCs w:val="24"/>
                      <w:lang w:eastAsia="en-GB" w:bidi="ar-SA"/>
                    </w:rPr>
                  </w:pPr>
                  <w:r w:rsidRPr="005E2125">
                    <w:rPr>
                      <w:rFonts w:ascii="Arial" w:eastAsia="Times New Roman" w:hAnsi="Arial" w:cs="Arial"/>
                      <w:sz w:val="24"/>
                      <w:szCs w:val="24"/>
                      <w:lang w:eastAsia="en-GB" w:bidi="ar-SA"/>
                    </w:rPr>
                    <w:t xml:space="preserve">   29,895.00 </w:t>
                  </w:r>
                </w:p>
              </w:tc>
              <w:tc>
                <w:tcPr>
                  <w:tcW w:w="0" w:type="auto"/>
                  <w:vAlign w:val="center"/>
                  <w:hideMark/>
                </w:tcPr>
                <w:p w14:paraId="1C131A45" w14:textId="77777777" w:rsidR="00B948D0" w:rsidRPr="005E2125" w:rsidRDefault="00B948D0" w:rsidP="0065783C">
                  <w:pPr>
                    <w:spacing w:after="0" w:line="360" w:lineRule="auto"/>
                    <w:rPr>
                      <w:rFonts w:ascii="Arial" w:eastAsia="Times New Roman" w:hAnsi="Arial" w:cs="Arial"/>
                      <w:sz w:val="24"/>
                      <w:szCs w:val="24"/>
                      <w:lang w:eastAsia="en-GB" w:bidi="ar-SA"/>
                    </w:rPr>
                  </w:pPr>
                </w:p>
              </w:tc>
            </w:tr>
          </w:tbl>
          <w:p w14:paraId="4D1EA425" w14:textId="1781AF01" w:rsidR="0008498F" w:rsidRPr="005E2125" w:rsidRDefault="0008498F" w:rsidP="0065783C">
            <w:pPr>
              <w:spacing w:line="360" w:lineRule="auto"/>
              <w:jc w:val="center"/>
              <w:rPr>
                <w:rFonts w:ascii="Arial" w:eastAsia="Times New Roman" w:hAnsi="Arial" w:cs="Arial"/>
                <w:color w:val="000000"/>
                <w:sz w:val="24"/>
                <w:szCs w:val="24"/>
                <w:lang w:eastAsia="en-GB" w:bidi="ar-SA"/>
              </w:rPr>
            </w:pPr>
          </w:p>
        </w:tc>
      </w:tr>
      <w:tr w:rsidR="00F93016" w14:paraId="30CD8F3E" w14:textId="77777777" w:rsidTr="005E245F">
        <w:tc>
          <w:tcPr>
            <w:tcW w:w="1651" w:type="dxa"/>
            <w:shd w:val="clear" w:color="auto" w:fill="FDE9D9" w:themeFill="accent6" w:themeFillTint="33"/>
          </w:tcPr>
          <w:p w14:paraId="5E35ED43" w14:textId="23BFC2B8" w:rsidR="0008498F" w:rsidRPr="005E2125" w:rsidRDefault="00A551AA" w:rsidP="009764A0">
            <w:pPr>
              <w:spacing w:line="360" w:lineRule="auto"/>
              <w:rPr>
                <w:rFonts w:ascii="Arial" w:eastAsia="Times New Roman" w:hAnsi="Arial" w:cs="Arial"/>
                <w:b/>
                <w:bCs/>
                <w:color w:val="000000"/>
                <w:sz w:val="24"/>
                <w:szCs w:val="24"/>
                <w:lang w:eastAsia="en-GB" w:bidi="ar-SA"/>
              </w:rPr>
            </w:pPr>
            <w:r w:rsidRPr="005E2125">
              <w:rPr>
                <w:rFonts w:ascii="Arial" w:hAnsi="Arial" w:cs="Arial"/>
                <w:b/>
                <w:bCs/>
                <w:i/>
                <w:iCs/>
                <w:sz w:val="24"/>
                <w:szCs w:val="24"/>
                <w:lang w:bidi="ar-SA"/>
              </w:rPr>
              <w:t xml:space="preserve">Revenue </w:t>
            </w:r>
            <w:r w:rsidR="0008498F" w:rsidRPr="005E2125">
              <w:rPr>
                <w:rFonts w:ascii="Arial" w:hAnsi="Arial" w:cs="Arial"/>
                <w:b/>
                <w:bCs/>
                <w:i/>
                <w:iCs/>
                <w:sz w:val="24"/>
                <w:szCs w:val="24"/>
                <w:lang w:bidi="ar-SA"/>
              </w:rPr>
              <w:t>Growth (%)</w:t>
            </w:r>
          </w:p>
        </w:tc>
        <w:tc>
          <w:tcPr>
            <w:tcW w:w="1151" w:type="dxa"/>
            <w:shd w:val="clear" w:color="auto" w:fill="C2D69B" w:themeFill="accent3" w:themeFillTint="99"/>
          </w:tcPr>
          <w:p w14:paraId="55DBF995" w14:textId="57490E96" w:rsidR="0008498F" w:rsidRPr="005E2125" w:rsidRDefault="00314FBF"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w:t>
            </w:r>
            <w:r w:rsidR="00B948D0" w:rsidRPr="005E2125">
              <w:rPr>
                <w:rFonts w:ascii="Arial" w:eastAsia="Times New Roman" w:hAnsi="Arial" w:cs="Arial"/>
                <w:color w:val="000000"/>
                <w:sz w:val="24"/>
                <w:szCs w:val="24"/>
                <w:lang w:eastAsia="en-GB" w:bidi="ar-SA"/>
              </w:rPr>
              <w:t>0.72</w:t>
            </w:r>
            <w:r w:rsidR="0008498F" w:rsidRPr="005E2125">
              <w:rPr>
                <w:rFonts w:ascii="Arial" w:eastAsia="Times New Roman" w:hAnsi="Arial" w:cs="Arial"/>
                <w:color w:val="000000"/>
                <w:sz w:val="24"/>
                <w:szCs w:val="24"/>
                <w:lang w:eastAsia="en-GB" w:bidi="ar-SA"/>
              </w:rPr>
              <w:t>%</w:t>
            </w:r>
          </w:p>
        </w:tc>
        <w:tc>
          <w:tcPr>
            <w:tcW w:w="1284" w:type="dxa"/>
            <w:shd w:val="clear" w:color="auto" w:fill="C2D69B" w:themeFill="accent3" w:themeFillTint="99"/>
          </w:tcPr>
          <w:p w14:paraId="7302A596" w14:textId="79A6850B" w:rsidR="0008498F" w:rsidRPr="005E2125" w:rsidRDefault="00B948D0"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-3</w:t>
            </w:r>
            <w:r w:rsidR="0008498F" w:rsidRPr="005E2125">
              <w:rPr>
                <w:rFonts w:ascii="Arial" w:eastAsia="Times New Roman" w:hAnsi="Arial" w:cs="Arial"/>
                <w:color w:val="000000"/>
                <w:sz w:val="24"/>
                <w:szCs w:val="24"/>
                <w:lang w:eastAsia="en-GB" w:bidi="ar-SA"/>
              </w:rPr>
              <w:t>%</w:t>
            </w:r>
          </w:p>
        </w:tc>
        <w:tc>
          <w:tcPr>
            <w:tcW w:w="1284" w:type="dxa"/>
            <w:shd w:val="clear" w:color="auto" w:fill="C2D69B" w:themeFill="accent3" w:themeFillTint="99"/>
          </w:tcPr>
          <w:p w14:paraId="4797713D" w14:textId="56C84C2E" w:rsidR="0008498F" w:rsidRPr="005E2125" w:rsidRDefault="00B948D0"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-1.88</w:t>
            </w:r>
            <w:r w:rsidR="0008498F" w:rsidRPr="005E2125">
              <w:rPr>
                <w:rFonts w:ascii="Arial" w:eastAsia="Times New Roman" w:hAnsi="Arial" w:cs="Arial"/>
                <w:color w:val="000000"/>
                <w:sz w:val="24"/>
                <w:szCs w:val="24"/>
                <w:lang w:eastAsia="en-GB" w:bidi="ar-SA"/>
              </w:rPr>
              <w:t>%</w:t>
            </w:r>
          </w:p>
        </w:tc>
        <w:tc>
          <w:tcPr>
            <w:tcW w:w="1151" w:type="dxa"/>
            <w:shd w:val="clear" w:color="auto" w:fill="C2D69B" w:themeFill="accent3" w:themeFillTint="99"/>
          </w:tcPr>
          <w:p w14:paraId="17E013D8" w14:textId="185CCA0E" w:rsidR="0008498F" w:rsidRPr="005E2125" w:rsidRDefault="0008498F"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w:t>
            </w:r>
            <w:r w:rsidR="00314FBF" w:rsidRPr="005E2125">
              <w:rPr>
                <w:rFonts w:ascii="Arial" w:eastAsia="Times New Roman" w:hAnsi="Arial" w:cs="Arial"/>
                <w:color w:val="000000"/>
                <w:sz w:val="24"/>
                <w:szCs w:val="24"/>
                <w:lang w:eastAsia="en-GB" w:bidi="ar-SA"/>
              </w:rPr>
              <w:t>1</w:t>
            </w:r>
            <w:r w:rsidR="00B948D0" w:rsidRPr="005E2125">
              <w:rPr>
                <w:rFonts w:ascii="Arial" w:eastAsia="Times New Roman" w:hAnsi="Arial" w:cs="Arial"/>
                <w:color w:val="000000"/>
                <w:sz w:val="24"/>
                <w:szCs w:val="24"/>
                <w:lang w:eastAsia="en-GB" w:bidi="ar-SA"/>
              </w:rPr>
              <w:t>0.08</w:t>
            </w:r>
            <w:r w:rsidRPr="005E2125">
              <w:rPr>
                <w:rFonts w:ascii="Arial" w:eastAsia="Times New Roman" w:hAnsi="Arial" w:cs="Arial"/>
                <w:color w:val="000000"/>
                <w:sz w:val="24"/>
                <w:szCs w:val="24"/>
                <w:lang w:eastAsia="en-GB" w:bidi="ar-SA"/>
              </w:rPr>
              <w:t>%</w:t>
            </w:r>
          </w:p>
        </w:tc>
        <w:tc>
          <w:tcPr>
            <w:tcW w:w="1284" w:type="dxa"/>
            <w:shd w:val="clear" w:color="auto" w:fill="C2D69B" w:themeFill="accent3" w:themeFillTint="99"/>
          </w:tcPr>
          <w:p w14:paraId="0A66016A" w14:textId="208F72AA" w:rsidR="0008498F" w:rsidRPr="005E2125" w:rsidRDefault="00B948D0"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18.89</w:t>
            </w:r>
            <w:r w:rsidR="0008498F" w:rsidRPr="005E2125">
              <w:rPr>
                <w:rFonts w:ascii="Arial" w:eastAsia="Times New Roman" w:hAnsi="Arial" w:cs="Arial"/>
                <w:color w:val="000000"/>
                <w:sz w:val="24"/>
                <w:szCs w:val="24"/>
                <w:lang w:eastAsia="en-GB" w:bidi="ar-SA"/>
              </w:rPr>
              <w:t>%</w:t>
            </w:r>
          </w:p>
        </w:tc>
        <w:tc>
          <w:tcPr>
            <w:tcW w:w="1710" w:type="dxa"/>
            <w:shd w:val="clear" w:color="auto" w:fill="CCC0D9" w:themeFill="accent4" w:themeFillTint="66"/>
          </w:tcPr>
          <w:p w14:paraId="0650FEFA" w14:textId="2405F49F" w:rsidR="0008498F" w:rsidRPr="005E2125" w:rsidRDefault="00B948D0"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2.9</w:t>
            </w:r>
            <w:r w:rsidR="00085185" w:rsidRPr="005E2125">
              <w:rPr>
                <w:rFonts w:ascii="Arial" w:eastAsia="Times New Roman" w:hAnsi="Arial" w:cs="Arial"/>
                <w:color w:val="000000"/>
                <w:sz w:val="24"/>
                <w:szCs w:val="24"/>
                <w:lang w:eastAsia="en-GB" w:bidi="ar-SA"/>
              </w:rPr>
              <w:t>2</w:t>
            </w:r>
            <w:r w:rsidR="00590ED0" w:rsidRPr="005E2125">
              <w:rPr>
                <w:rFonts w:ascii="Arial" w:eastAsia="Times New Roman" w:hAnsi="Arial" w:cs="Arial"/>
                <w:color w:val="000000"/>
                <w:sz w:val="24"/>
                <w:szCs w:val="24"/>
                <w:lang w:eastAsia="en-GB" w:bidi="ar-SA"/>
              </w:rPr>
              <w:t>%</w:t>
            </w:r>
          </w:p>
        </w:tc>
      </w:tr>
      <w:tr w:rsidR="00F93016" w14:paraId="08BFAEFF" w14:textId="77777777" w:rsidTr="005E245F">
        <w:tc>
          <w:tcPr>
            <w:tcW w:w="1651" w:type="dxa"/>
            <w:shd w:val="clear" w:color="auto" w:fill="FDE9D9" w:themeFill="accent6" w:themeFillTint="33"/>
          </w:tcPr>
          <w:p w14:paraId="74400C70" w14:textId="51CBDBEB" w:rsidR="0008498F" w:rsidRPr="005E2125" w:rsidRDefault="0008498F" w:rsidP="009764A0">
            <w:pPr>
              <w:spacing w:line="360" w:lineRule="auto"/>
              <w:rPr>
                <w:rFonts w:ascii="Arial" w:eastAsia="Times New Roman" w:hAnsi="Arial" w:cs="Arial"/>
                <w:b/>
                <w:bCs/>
                <w:color w:val="000000"/>
                <w:sz w:val="24"/>
                <w:szCs w:val="24"/>
                <w:lang w:eastAsia="en-GB" w:bidi="ar-SA"/>
              </w:rPr>
            </w:pPr>
            <w:r w:rsidRPr="005E2125">
              <w:rPr>
                <w:rFonts w:ascii="Arial" w:hAnsi="Arial" w:cs="Arial"/>
                <w:b/>
                <w:bCs/>
                <w:i/>
                <w:iCs/>
                <w:sz w:val="24"/>
                <w:szCs w:val="24"/>
                <w:lang w:bidi="ar-SA"/>
              </w:rPr>
              <w:t>Gross Profit</w:t>
            </w:r>
            <w:r w:rsidR="00967A95" w:rsidRPr="005E2125">
              <w:rPr>
                <w:rFonts w:ascii="Arial" w:hAnsi="Arial" w:cs="Arial"/>
                <w:b/>
                <w:bCs/>
                <w:i/>
                <w:iCs/>
                <w:sz w:val="24"/>
                <w:szCs w:val="24"/>
                <w:lang w:bidi="ar-SA"/>
              </w:rPr>
              <w:t xml:space="preserve"> (m)</w:t>
            </w:r>
          </w:p>
        </w:tc>
        <w:tc>
          <w:tcPr>
            <w:tcW w:w="1151" w:type="dxa"/>
            <w:shd w:val="clear" w:color="auto" w:fill="C2D69B" w:themeFill="accent3" w:themeFillTint="99"/>
          </w:tcPr>
          <w:p w14:paraId="2F4B6AA5" w14:textId="77777777" w:rsidR="0065783C" w:rsidRPr="005E2125" w:rsidRDefault="0065783C" w:rsidP="0065783C">
            <w:pPr>
              <w:pStyle w:val="Default"/>
              <w:spacing w:line="360" w:lineRule="auto"/>
              <w:jc w:val="center"/>
            </w:pPr>
            <w:r w:rsidRPr="005E2125">
              <w:t xml:space="preserve">3,945.4 </w:t>
            </w:r>
          </w:p>
          <w:p w14:paraId="582A27BC" w14:textId="5188D045" w:rsidR="0008498F" w:rsidRPr="005E2125" w:rsidRDefault="0008498F" w:rsidP="0065783C">
            <w:pPr>
              <w:spacing w:line="360" w:lineRule="auto"/>
              <w:jc w:val="center"/>
              <w:rPr>
                <w:rFonts w:ascii="Arial" w:eastAsia="Times New Roman" w:hAnsi="Arial" w:cs="Arial"/>
                <w:color w:val="000000"/>
                <w:sz w:val="24"/>
                <w:szCs w:val="24"/>
                <w:lang w:eastAsia="en-GB" w:bidi="ar-SA"/>
              </w:rPr>
            </w:pPr>
          </w:p>
        </w:tc>
        <w:tc>
          <w:tcPr>
            <w:tcW w:w="1284" w:type="dxa"/>
            <w:shd w:val="clear" w:color="auto" w:fill="C2D69B" w:themeFill="accent3" w:themeFillTint="99"/>
          </w:tcPr>
          <w:p w14:paraId="64434BA9" w14:textId="709573B2" w:rsidR="0008498F" w:rsidRPr="005E2125" w:rsidRDefault="0065783C" w:rsidP="0065783C">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3819.1</w:t>
            </w:r>
          </w:p>
        </w:tc>
        <w:tc>
          <w:tcPr>
            <w:tcW w:w="1284" w:type="dxa"/>
            <w:shd w:val="clear" w:color="auto" w:fill="C2D69B" w:themeFill="accent3" w:themeFillTint="99"/>
          </w:tcPr>
          <w:p w14:paraId="04BA6F9C" w14:textId="339C3B8E" w:rsidR="0008498F" w:rsidRPr="005E2125" w:rsidRDefault="0065783C" w:rsidP="0065783C">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3592.4</w:t>
            </w:r>
          </w:p>
        </w:tc>
        <w:tc>
          <w:tcPr>
            <w:tcW w:w="1151" w:type="dxa"/>
            <w:shd w:val="clear" w:color="auto" w:fill="C2D69B" w:themeFill="accent3" w:themeFillTint="99"/>
          </w:tcPr>
          <w:p w14:paraId="7F5865A5" w14:textId="4A111926" w:rsidR="0008498F" w:rsidRPr="005E2125" w:rsidRDefault="0065783C" w:rsidP="0065783C">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2836.5</w:t>
            </w:r>
          </w:p>
        </w:tc>
        <w:tc>
          <w:tcPr>
            <w:tcW w:w="1284" w:type="dxa"/>
            <w:shd w:val="clear" w:color="auto" w:fill="C2D69B" w:themeFill="accent3" w:themeFillTint="99"/>
          </w:tcPr>
          <w:p w14:paraId="7D40710F" w14:textId="2CB51BA9" w:rsidR="0008498F" w:rsidRPr="005E2125" w:rsidRDefault="0065783C" w:rsidP="0065783C">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3615.6</w:t>
            </w:r>
          </w:p>
        </w:tc>
        <w:tc>
          <w:tcPr>
            <w:tcW w:w="1710" w:type="dxa"/>
            <w:shd w:val="clear" w:color="auto" w:fill="CCC0D9" w:themeFill="accent4" w:themeFillTint="66"/>
          </w:tcPr>
          <w:p w14:paraId="2C3E520C" w14:textId="1AF2CAC1" w:rsidR="0008498F" w:rsidRPr="005E2125" w:rsidRDefault="00085185" w:rsidP="0065783C">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£2,366</w:t>
            </w:r>
          </w:p>
        </w:tc>
      </w:tr>
      <w:tr w:rsidR="00F93016" w14:paraId="5D509A06" w14:textId="77777777" w:rsidTr="005E245F">
        <w:tc>
          <w:tcPr>
            <w:tcW w:w="1651" w:type="dxa"/>
            <w:shd w:val="clear" w:color="auto" w:fill="FDE9D9" w:themeFill="accent6" w:themeFillTint="33"/>
          </w:tcPr>
          <w:p w14:paraId="3CA92B81" w14:textId="11CF9D2B" w:rsidR="0008498F" w:rsidRPr="005E2125" w:rsidRDefault="0008498F" w:rsidP="009764A0">
            <w:pPr>
              <w:spacing w:line="360" w:lineRule="auto"/>
              <w:rPr>
                <w:rFonts w:ascii="Arial" w:eastAsia="Times New Roman" w:hAnsi="Arial" w:cs="Arial"/>
                <w:b/>
                <w:bCs/>
                <w:color w:val="000000"/>
                <w:sz w:val="24"/>
                <w:szCs w:val="24"/>
                <w:lang w:eastAsia="en-GB" w:bidi="ar-SA"/>
              </w:rPr>
            </w:pPr>
            <w:r w:rsidRPr="005E2125">
              <w:rPr>
                <w:rFonts w:ascii="Arial" w:hAnsi="Arial" w:cs="Arial"/>
                <w:b/>
                <w:bCs/>
                <w:i/>
                <w:iCs/>
                <w:sz w:val="24"/>
                <w:szCs w:val="24"/>
                <w:lang w:bidi="ar-SA"/>
              </w:rPr>
              <w:t>Operating Profit</w:t>
            </w:r>
          </w:p>
        </w:tc>
        <w:tc>
          <w:tcPr>
            <w:tcW w:w="1151" w:type="dxa"/>
            <w:shd w:val="clear" w:color="auto" w:fill="C2D69B" w:themeFill="accent3" w:themeFillTint="99"/>
          </w:tcPr>
          <w:p w14:paraId="40F6B68D" w14:textId="66484DBD" w:rsidR="0008498F" w:rsidRPr="005E2125" w:rsidRDefault="0065783C" w:rsidP="006D2457">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156.50</w:t>
            </w:r>
          </w:p>
        </w:tc>
        <w:tc>
          <w:tcPr>
            <w:tcW w:w="1284" w:type="dxa"/>
            <w:shd w:val="clear" w:color="auto" w:fill="C2D69B" w:themeFill="accent3" w:themeFillTint="99"/>
          </w:tcPr>
          <w:p w14:paraId="53C60C06" w14:textId="3C3E800C" w:rsidR="0008498F" w:rsidRPr="005E2125" w:rsidRDefault="005E2125" w:rsidP="006D2457">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162.4</w:t>
            </w:r>
          </w:p>
        </w:tc>
        <w:tc>
          <w:tcPr>
            <w:tcW w:w="1284" w:type="dxa"/>
            <w:shd w:val="clear" w:color="auto" w:fill="C2D69B" w:themeFill="accent3"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6"/>
              <w:gridCol w:w="81"/>
            </w:tblGrid>
            <w:tr w:rsidR="0065783C" w:rsidRPr="005E2125" w14:paraId="25D09F2D" w14:textId="77777777" w:rsidTr="0065783C">
              <w:trPr>
                <w:tblCellSpacing w:w="15" w:type="dxa"/>
              </w:trPr>
              <w:tc>
                <w:tcPr>
                  <w:tcW w:w="0" w:type="auto"/>
                  <w:vAlign w:val="center"/>
                  <w:hideMark/>
                </w:tcPr>
                <w:p w14:paraId="1C2B29EA" w14:textId="77777777" w:rsidR="0065783C" w:rsidRPr="005E2125" w:rsidRDefault="0065783C" w:rsidP="0065783C">
                  <w:pPr>
                    <w:spacing w:after="0" w:line="240" w:lineRule="auto"/>
                    <w:rPr>
                      <w:rFonts w:ascii="Arial" w:eastAsia="Times New Roman" w:hAnsi="Arial" w:cs="Arial"/>
                      <w:sz w:val="24"/>
                      <w:szCs w:val="24"/>
                      <w:lang w:eastAsia="en-GB" w:bidi="ar-SA"/>
                    </w:rPr>
                  </w:pPr>
                  <w:r w:rsidRPr="005E2125">
                    <w:rPr>
                      <w:rFonts w:ascii="Arial" w:eastAsia="Times New Roman" w:hAnsi="Arial" w:cs="Arial"/>
                      <w:sz w:val="24"/>
                      <w:szCs w:val="24"/>
                      <w:lang w:eastAsia="en-GB" w:bidi="ar-SA"/>
                    </w:rPr>
                    <w:t>254.8</w:t>
                  </w:r>
                </w:p>
              </w:tc>
              <w:tc>
                <w:tcPr>
                  <w:tcW w:w="0" w:type="auto"/>
                  <w:vAlign w:val="center"/>
                  <w:hideMark/>
                </w:tcPr>
                <w:p w14:paraId="3EF3B0C1" w14:textId="77777777" w:rsidR="0065783C" w:rsidRPr="005E2125" w:rsidRDefault="0065783C" w:rsidP="0065783C">
                  <w:pPr>
                    <w:spacing w:after="0" w:line="240" w:lineRule="auto"/>
                    <w:rPr>
                      <w:rFonts w:ascii="Arial" w:eastAsia="Times New Roman" w:hAnsi="Arial" w:cs="Arial"/>
                      <w:sz w:val="24"/>
                      <w:szCs w:val="24"/>
                      <w:lang w:eastAsia="en-GB" w:bidi="ar-SA"/>
                    </w:rPr>
                  </w:pPr>
                </w:p>
              </w:tc>
            </w:tr>
          </w:tbl>
          <w:p w14:paraId="6FC822FC" w14:textId="74D13265" w:rsidR="0008498F" w:rsidRPr="005E2125" w:rsidRDefault="0008498F" w:rsidP="006D2457">
            <w:pPr>
              <w:spacing w:line="360" w:lineRule="auto"/>
              <w:jc w:val="center"/>
              <w:rPr>
                <w:rFonts w:ascii="Arial" w:eastAsia="Times New Roman" w:hAnsi="Arial" w:cs="Arial"/>
                <w:color w:val="000000"/>
                <w:sz w:val="24"/>
                <w:szCs w:val="24"/>
                <w:lang w:eastAsia="en-GB" w:bidi="ar-SA"/>
              </w:rPr>
            </w:pPr>
          </w:p>
        </w:tc>
        <w:tc>
          <w:tcPr>
            <w:tcW w:w="1151" w:type="dxa"/>
            <w:shd w:val="clear" w:color="auto" w:fill="C2D69B" w:themeFill="accent3" w:themeFillTint="99"/>
          </w:tcPr>
          <w:p w14:paraId="6BF31175" w14:textId="20D27FB9" w:rsidR="0008498F" w:rsidRPr="005E2125" w:rsidRDefault="0065783C" w:rsidP="006D2457">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-30.7</w:t>
            </w:r>
          </w:p>
        </w:tc>
        <w:tc>
          <w:tcPr>
            <w:tcW w:w="1284" w:type="dxa"/>
            <w:shd w:val="clear" w:color="auto" w:fill="C2D69B" w:themeFill="accent3" w:themeFillTint="99"/>
          </w:tcPr>
          <w:p w14:paraId="66F1B5B4" w14:textId="07F4DA4A" w:rsidR="0008498F" w:rsidRPr="005E2125" w:rsidRDefault="0065783C" w:rsidP="006D2457">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572.20</w:t>
            </w:r>
          </w:p>
        </w:tc>
        <w:tc>
          <w:tcPr>
            <w:tcW w:w="1710" w:type="dxa"/>
            <w:shd w:val="clear" w:color="auto" w:fill="CCC0D9" w:themeFill="accent4" w:themeFillTint="66"/>
          </w:tcPr>
          <w:p w14:paraId="61D4B280" w14:textId="22A632D2" w:rsidR="0008498F" w:rsidRPr="005E2125" w:rsidRDefault="0065783C" w:rsidP="006D2457">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1,156.00</w:t>
            </w:r>
          </w:p>
        </w:tc>
      </w:tr>
      <w:tr w:rsidR="00F93016" w14:paraId="53611763" w14:textId="77777777" w:rsidTr="005E245F">
        <w:tc>
          <w:tcPr>
            <w:tcW w:w="1651" w:type="dxa"/>
            <w:shd w:val="clear" w:color="auto" w:fill="FDE9D9" w:themeFill="accent6" w:themeFillTint="33"/>
          </w:tcPr>
          <w:p w14:paraId="751783AF" w14:textId="593FD98F" w:rsidR="0008498F" w:rsidRPr="005E2125" w:rsidRDefault="0008498F" w:rsidP="009764A0">
            <w:pPr>
              <w:spacing w:line="360" w:lineRule="auto"/>
              <w:rPr>
                <w:rFonts w:ascii="Arial" w:hAnsi="Arial" w:cs="Arial"/>
                <w:b/>
                <w:bCs/>
                <w:i/>
                <w:iCs/>
                <w:sz w:val="24"/>
                <w:szCs w:val="24"/>
                <w:lang w:bidi="ar-SA"/>
              </w:rPr>
            </w:pPr>
            <w:r w:rsidRPr="005E2125">
              <w:rPr>
                <w:rFonts w:ascii="Arial" w:hAnsi="Arial" w:cs="Arial"/>
                <w:b/>
                <w:bCs/>
                <w:i/>
                <w:iCs/>
                <w:sz w:val="24"/>
                <w:szCs w:val="24"/>
                <w:lang w:bidi="ar-SA"/>
              </w:rPr>
              <w:t>Net Profit</w:t>
            </w:r>
          </w:p>
        </w:tc>
        <w:tc>
          <w:tcPr>
            <w:tcW w:w="1151" w:type="dxa"/>
            <w:shd w:val="clear" w:color="auto" w:fill="C2D69B" w:themeFill="accent3" w:themeFillTint="99"/>
          </w:tcPr>
          <w:p w14:paraId="2223BA60" w14:textId="6192AB59" w:rsidR="0008498F" w:rsidRPr="005E2125" w:rsidRDefault="005E2125" w:rsidP="006D2457">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29.10</w:t>
            </w:r>
          </w:p>
        </w:tc>
        <w:tc>
          <w:tcPr>
            <w:tcW w:w="1284" w:type="dxa"/>
            <w:shd w:val="clear" w:color="auto" w:fill="C2D69B" w:themeFill="accent3" w:themeFillTint="99"/>
          </w:tcPr>
          <w:p w14:paraId="4FB1BAA2" w14:textId="3011B7D4" w:rsidR="0008498F" w:rsidRPr="005E2125" w:rsidRDefault="005E2125" w:rsidP="006D2457">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45.3</w:t>
            </w:r>
          </w:p>
        </w:tc>
        <w:tc>
          <w:tcPr>
            <w:tcW w:w="1284" w:type="dxa"/>
            <w:shd w:val="clear" w:color="auto" w:fill="C2D69B" w:themeFill="accent3"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Description w:val="Table of financial results for the last 5 years"/>
            </w:tblPr>
            <w:tblGrid>
              <w:gridCol w:w="676"/>
              <w:gridCol w:w="81"/>
            </w:tblGrid>
            <w:tr w:rsidR="0065783C" w:rsidRPr="005E2125" w14:paraId="066F09DB" w14:textId="77777777" w:rsidTr="0065783C">
              <w:trPr>
                <w:tblCellSpacing w:w="15" w:type="dxa"/>
              </w:trPr>
              <w:tc>
                <w:tcPr>
                  <w:tcW w:w="0" w:type="auto"/>
                  <w:vAlign w:val="center"/>
                  <w:hideMark/>
                </w:tcPr>
                <w:p w14:paraId="5F587615" w14:textId="77777777" w:rsidR="0065783C" w:rsidRPr="005E2125" w:rsidRDefault="0065783C" w:rsidP="0065783C">
                  <w:pPr>
                    <w:spacing w:after="0" w:line="240" w:lineRule="auto"/>
                    <w:rPr>
                      <w:rFonts w:ascii="Arial" w:eastAsia="Times New Roman" w:hAnsi="Arial" w:cs="Arial"/>
                      <w:sz w:val="24"/>
                      <w:szCs w:val="24"/>
                      <w:lang w:eastAsia="en-GB" w:bidi="ar-SA"/>
                    </w:rPr>
                  </w:pPr>
                  <w:r w:rsidRPr="005E2125">
                    <w:rPr>
                      <w:rFonts w:ascii="Arial" w:eastAsia="Times New Roman" w:hAnsi="Arial" w:cs="Arial"/>
                      <w:sz w:val="24"/>
                      <w:szCs w:val="24"/>
                      <w:lang w:eastAsia="en-GB" w:bidi="ar-SA"/>
                    </w:rPr>
                    <w:t xml:space="preserve">27.40 </w:t>
                  </w:r>
                </w:p>
              </w:tc>
              <w:tc>
                <w:tcPr>
                  <w:tcW w:w="0" w:type="auto"/>
                  <w:vAlign w:val="center"/>
                  <w:hideMark/>
                </w:tcPr>
                <w:p w14:paraId="5FB6E4A9" w14:textId="77777777" w:rsidR="0065783C" w:rsidRPr="005E2125" w:rsidRDefault="0065783C" w:rsidP="0065783C">
                  <w:pPr>
                    <w:spacing w:after="0" w:line="240" w:lineRule="auto"/>
                    <w:rPr>
                      <w:rFonts w:ascii="Arial" w:eastAsia="Times New Roman" w:hAnsi="Arial" w:cs="Arial"/>
                      <w:sz w:val="24"/>
                      <w:szCs w:val="24"/>
                      <w:lang w:eastAsia="en-GB" w:bidi="ar-SA"/>
                    </w:rPr>
                  </w:pPr>
                </w:p>
              </w:tc>
            </w:tr>
          </w:tbl>
          <w:p w14:paraId="7051B6CF" w14:textId="67215C93" w:rsidR="0008498F" w:rsidRPr="005E2125" w:rsidRDefault="0008498F" w:rsidP="006D2457">
            <w:pPr>
              <w:spacing w:line="360" w:lineRule="auto"/>
              <w:jc w:val="center"/>
              <w:rPr>
                <w:rFonts w:ascii="Arial" w:eastAsia="Times New Roman" w:hAnsi="Arial" w:cs="Arial"/>
                <w:color w:val="000000"/>
                <w:sz w:val="24"/>
                <w:szCs w:val="24"/>
                <w:lang w:eastAsia="en-GB" w:bidi="ar-SA"/>
              </w:rPr>
            </w:pPr>
          </w:p>
        </w:tc>
        <w:tc>
          <w:tcPr>
            <w:tcW w:w="1151" w:type="dxa"/>
            <w:shd w:val="clear" w:color="auto" w:fill="C2D69B" w:themeFill="accent3" w:themeFillTint="99"/>
          </w:tcPr>
          <w:p w14:paraId="09DF1ADD" w14:textId="4982512B" w:rsidR="0008498F" w:rsidRPr="005E2125" w:rsidRDefault="005E2125" w:rsidP="006D2457">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-201.20</w:t>
            </w:r>
          </w:p>
        </w:tc>
        <w:tc>
          <w:tcPr>
            <w:tcW w:w="1284" w:type="dxa"/>
            <w:shd w:val="clear" w:color="auto" w:fill="C2D69B" w:themeFill="accent3" w:themeFillTint="99"/>
          </w:tcPr>
          <w:p w14:paraId="4F1646E8" w14:textId="2E31B3D4" w:rsidR="0008498F" w:rsidRPr="005E2125" w:rsidRDefault="005E2125" w:rsidP="006D2457">
            <w:pPr>
              <w:spacing w:line="360" w:lineRule="auto"/>
              <w:jc w:val="center"/>
              <w:rPr>
                <w:rFonts w:ascii="Arial" w:eastAsia="Times New Roman" w:hAnsi="Arial" w:cs="Arial"/>
                <w:color w:val="000000"/>
                <w:sz w:val="24"/>
                <w:szCs w:val="24"/>
                <w:lang w:eastAsia="en-GB" w:bidi="ar-SA"/>
              </w:rPr>
            </w:pPr>
            <w:r w:rsidRPr="005E2125">
              <w:rPr>
                <w:rFonts w:ascii="Arial" w:eastAsia="Times New Roman" w:hAnsi="Arial" w:cs="Arial"/>
                <w:color w:val="000000"/>
                <w:sz w:val="24"/>
                <w:szCs w:val="24"/>
                <w:lang w:eastAsia="en-GB" w:bidi="ar-SA"/>
              </w:rPr>
              <w:t>309</w:t>
            </w:r>
          </w:p>
        </w:tc>
        <w:tc>
          <w:tcPr>
            <w:tcW w:w="1710" w:type="dxa"/>
            <w:shd w:val="clear" w:color="auto" w:fill="CCC0D9" w:themeFill="accent4" w:themeFillTint="66"/>
          </w:tcPr>
          <w:p w14:paraId="24AB1C15" w14:textId="3B6E1064" w:rsidR="0008498F" w:rsidRPr="005E2125" w:rsidRDefault="0065783C" w:rsidP="006D2457">
            <w:pPr>
              <w:spacing w:line="360" w:lineRule="auto"/>
              <w:jc w:val="center"/>
              <w:rPr>
                <w:rFonts w:ascii="Arial" w:eastAsia="Times New Roman" w:hAnsi="Arial" w:cs="Arial"/>
                <w:color w:val="000000"/>
                <w:sz w:val="24"/>
                <w:szCs w:val="24"/>
                <w:lang w:eastAsia="en-GB" w:bidi="ar-SA"/>
              </w:rPr>
            </w:pPr>
            <w:r w:rsidRPr="005E2125">
              <w:rPr>
                <w:rFonts w:ascii="Arial" w:hAnsi="Arial" w:cs="Arial"/>
                <w:sz w:val="24"/>
                <w:szCs w:val="24"/>
              </w:rPr>
              <w:t>677</w:t>
            </w:r>
          </w:p>
        </w:tc>
      </w:tr>
    </w:tbl>
    <w:p w14:paraId="264662F5" w14:textId="3BB37BD1" w:rsidR="0008498F" w:rsidRPr="004A0721" w:rsidRDefault="00D97BED" w:rsidP="0071589E">
      <w:pPr>
        <w:shd w:val="clear" w:color="auto" w:fill="FFFFFF"/>
        <w:spacing w:line="360" w:lineRule="auto"/>
        <w:jc w:val="right"/>
        <w:rPr>
          <w:rFonts w:ascii="Arial" w:eastAsia="Times New Roman" w:hAnsi="Arial" w:cs="Arial"/>
          <w:color w:val="000000"/>
          <w:sz w:val="24"/>
          <w:szCs w:val="24"/>
          <w:lang w:eastAsia="en-GB" w:bidi="ar-SA"/>
        </w:rPr>
      </w:pPr>
      <w:r>
        <w:rPr>
          <w:rFonts w:ascii="Arial" w:eastAsia="Times New Roman" w:hAnsi="Arial" w:cs="Arial"/>
          <w:color w:val="000000"/>
          <w:sz w:val="24"/>
          <w:szCs w:val="24"/>
          <w:lang w:eastAsia="en-GB" w:bidi="ar-SA"/>
        </w:rPr>
        <w:t xml:space="preserve">Source: </w:t>
      </w:r>
      <w:r>
        <w:rPr>
          <w:color w:val="000000"/>
          <w:shd w:val="clear" w:color="auto" w:fill="FFFFFF"/>
        </w:rPr>
        <w:t>(M&amp;S PLC, 2022)</w:t>
      </w:r>
      <w:r>
        <w:rPr>
          <w:color w:val="000000"/>
          <w:shd w:val="clear" w:color="auto" w:fill="FFFFFF"/>
        </w:rPr>
        <w:t xml:space="preserve"> </w:t>
      </w:r>
      <w:r>
        <w:rPr>
          <w:color w:val="000000"/>
          <w:shd w:val="clear" w:color="auto" w:fill="FFFFFF"/>
        </w:rPr>
        <w:t>(Sainsburys, 2022)</w:t>
      </w:r>
      <w:r w:rsidR="0071589E" w:rsidRPr="0071589E">
        <w:rPr>
          <w:color w:val="000000"/>
          <w:shd w:val="clear" w:color="auto" w:fill="FFFFFF"/>
        </w:rPr>
        <w:t xml:space="preserve"> </w:t>
      </w:r>
      <w:r w:rsidR="0071589E">
        <w:rPr>
          <w:color w:val="000000"/>
          <w:shd w:val="clear" w:color="auto" w:fill="FFFFFF"/>
        </w:rPr>
        <w:t>(HL, 2023)</w:t>
      </w:r>
    </w:p>
    <w:p w14:paraId="3F4FF3FD" w14:textId="77777777" w:rsidR="00D97BED" w:rsidRDefault="00D97BED" w:rsidP="00314FBF">
      <w:pPr>
        <w:spacing w:line="360" w:lineRule="auto"/>
        <w:rPr>
          <w:rFonts w:ascii="Arial" w:eastAsia="Times New Roman" w:hAnsi="Arial" w:cs="Arial"/>
          <w:color w:val="000000"/>
          <w:sz w:val="24"/>
          <w:szCs w:val="24"/>
          <w:lang w:eastAsia="en-GB" w:bidi="ar-SA"/>
        </w:rPr>
      </w:pPr>
      <w:r w:rsidRPr="00D97BED">
        <w:rPr>
          <w:rFonts w:ascii="Arial" w:eastAsia="Times New Roman" w:hAnsi="Arial" w:cs="Arial"/>
          <w:color w:val="000000"/>
          <w:sz w:val="24"/>
          <w:szCs w:val="24"/>
          <w:lang w:eastAsia="en-GB" w:bidi="ar-SA"/>
        </w:rPr>
        <w:t>Brexit led to supply chain disruptions, rising costs, demand uncertainty, and currency fluctuations for UK retailers. A 2021 survey of UK fashion industry executives found that 59% were already impacted by Brexit (</w:t>
      </w:r>
      <w:proofErr w:type="spellStart"/>
      <w:r w:rsidRPr="00D97BED">
        <w:rPr>
          <w:rFonts w:ascii="Arial" w:eastAsia="Times New Roman" w:hAnsi="Arial" w:cs="Arial"/>
          <w:color w:val="000000"/>
          <w:sz w:val="24"/>
          <w:szCs w:val="24"/>
          <w:lang w:eastAsia="en-GB" w:bidi="ar-SA"/>
        </w:rPr>
        <w:t>Skeldon</w:t>
      </w:r>
      <w:proofErr w:type="spellEnd"/>
      <w:r w:rsidRPr="00D97BED">
        <w:rPr>
          <w:rFonts w:ascii="Arial" w:eastAsia="Times New Roman" w:hAnsi="Arial" w:cs="Arial"/>
          <w:color w:val="000000"/>
          <w:sz w:val="24"/>
          <w:szCs w:val="24"/>
          <w:lang w:eastAsia="en-GB" w:bidi="ar-SA"/>
        </w:rPr>
        <w:t>, 2022). Marks &amp; Spencer's weekly transactions increased from 7 million in 2020/21 to 9.7 million in 2021/22 (Statista, 2022).</w:t>
      </w:r>
    </w:p>
    <w:p w14:paraId="18191A37" w14:textId="77777777" w:rsidR="00D97BED" w:rsidRDefault="00D97BED" w:rsidP="00B71621">
      <w:pPr>
        <w:shd w:val="clear" w:color="auto" w:fill="FFFFFF"/>
        <w:spacing w:line="360" w:lineRule="auto"/>
        <w:rPr>
          <w:rFonts w:ascii="Arial" w:hAnsi="Arial" w:cs="Arial"/>
          <w:sz w:val="24"/>
          <w:szCs w:val="24"/>
        </w:rPr>
      </w:pPr>
      <w:r w:rsidRPr="00D97BED">
        <w:rPr>
          <w:rFonts w:ascii="Arial" w:hAnsi="Arial" w:cs="Arial"/>
          <w:sz w:val="24"/>
          <w:szCs w:val="24"/>
        </w:rPr>
        <w:t xml:space="preserve">After COVID restrictions lifted, M&amp;S experienced substantial growth in multiple financial aspects in 2022, showcasing its financial strength and customer loyalty. However, the Russia-Ukraine conflict and soaring inflation and living costs have constrained the company's potential for even higher sales and profits (Office for National Statistics, 2023; </w:t>
      </w:r>
      <w:proofErr w:type="spellStart"/>
      <w:r w:rsidRPr="00D97BED">
        <w:rPr>
          <w:rFonts w:ascii="Arial" w:hAnsi="Arial" w:cs="Arial"/>
          <w:sz w:val="24"/>
          <w:szCs w:val="24"/>
        </w:rPr>
        <w:t>Makortoff</w:t>
      </w:r>
      <w:proofErr w:type="spellEnd"/>
      <w:r w:rsidRPr="00D97BED">
        <w:rPr>
          <w:rFonts w:ascii="Arial" w:hAnsi="Arial" w:cs="Arial"/>
          <w:sz w:val="24"/>
          <w:szCs w:val="24"/>
        </w:rPr>
        <w:t>, 2022).</w:t>
      </w:r>
    </w:p>
    <w:p w14:paraId="243B19A0" w14:textId="77777777" w:rsidR="00D97BED" w:rsidRDefault="00D97BED" w:rsidP="00B86D89">
      <w:pPr>
        <w:shd w:val="clear" w:color="auto" w:fill="FFFFFF"/>
        <w:spacing w:line="360" w:lineRule="auto"/>
        <w:rPr>
          <w:rFonts w:ascii="Arial" w:hAnsi="Arial" w:cs="Arial"/>
          <w:sz w:val="24"/>
          <w:szCs w:val="24"/>
        </w:rPr>
      </w:pPr>
      <w:r w:rsidRPr="00D97BED">
        <w:rPr>
          <w:rFonts w:ascii="Arial" w:hAnsi="Arial" w:cs="Arial"/>
          <w:sz w:val="24"/>
          <w:szCs w:val="24"/>
        </w:rPr>
        <w:t xml:space="preserve">Sainsbury's opened just 96 stores in the past five years, a significant drop from 470 between 2013 and 2017 (Bedford, 2022). In contrast, M&amp;S shifted its focus to technology </w:t>
      </w:r>
      <w:r w:rsidRPr="00D97BED">
        <w:rPr>
          <w:rFonts w:ascii="Arial" w:hAnsi="Arial" w:cs="Arial"/>
          <w:sz w:val="24"/>
          <w:szCs w:val="24"/>
        </w:rPr>
        <w:lastRenderedPageBreak/>
        <w:t>and online sales, maintaining 1,487 global shops as of 2022 and closing stores since 2021. Despite a third lockdown, M&amp;S experienced robust online sales, with app traffic increasing by over 200% from 2021 to 2022 (</w:t>
      </w:r>
      <w:proofErr w:type="spellStart"/>
      <w:r w:rsidRPr="00D97BED">
        <w:rPr>
          <w:rFonts w:ascii="Arial" w:hAnsi="Arial" w:cs="Arial"/>
          <w:sz w:val="24"/>
          <w:szCs w:val="24"/>
        </w:rPr>
        <w:t>Globaldata</w:t>
      </w:r>
      <w:proofErr w:type="spellEnd"/>
      <w:r w:rsidRPr="00D97BED">
        <w:rPr>
          <w:rFonts w:ascii="Arial" w:hAnsi="Arial" w:cs="Arial"/>
          <w:sz w:val="24"/>
          <w:szCs w:val="24"/>
        </w:rPr>
        <w:t xml:space="preserve">, 2022). This contributed to a more substantial revenue growth percentage rebound compared to </w:t>
      </w:r>
      <w:proofErr w:type="spellStart"/>
      <w:r w:rsidRPr="00D97BED">
        <w:rPr>
          <w:rFonts w:ascii="Arial" w:hAnsi="Arial" w:cs="Arial"/>
          <w:sz w:val="24"/>
          <w:szCs w:val="24"/>
        </w:rPr>
        <w:t>Sainsbury's.</w:t>
      </w:r>
    </w:p>
    <w:p w14:paraId="2B2618A2" w14:textId="643D7194" w:rsidR="005F01D0" w:rsidRDefault="006822B7" w:rsidP="00B86D89">
      <w:pPr>
        <w:shd w:val="clear" w:color="auto" w:fill="FFFFFF"/>
        <w:spacing w:line="360" w:lineRule="auto"/>
        <w:rPr>
          <w:rFonts w:ascii="Arial" w:hAnsi="Arial" w:cs="Arial"/>
          <w:sz w:val="24"/>
          <w:szCs w:val="24"/>
        </w:rPr>
      </w:pPr>
      <w:proofErr w:type="spellEnd"/>
      <w:r w:rsidRPr="006822B7">
        <w:rPr>
          <w:rFonts w:ascii="Arial" w:hAnsi="Arial" w:cs="Arial"/>
          <w:sz w:val="24"/>
          <w:szCs w:val="24"/>
        </w:rPr>
        <w:t>A financial ratio is a mathematical relationship between two or more financial variables used to evaluate a company</w:t>
      </w:r>
      <w:r w:rsidR="00D11AF1">
        <w:rPr>
          <w:rFonts w:ascii="Arial" w:hAnsi="Arial" w:cs="Arial"/>
          <w:sz w:val="24"/>
          <w:szCs w:val="24"/>
        </w:rPr>
        <w:t>'</w:t>
      </w:r>
      <w:r w:rsidRPr="006822B7">
        <w:rPr>
          <w:rFonts w:ascii="Arial" w:hAnsi="Arial" w:cs="Arial"/>
          <w:sz w:val="24"/>
          <w:szCs w:val="24"/>
        </w:rPr>
        <w:t>s financial performance, health, and efficiency</w:t>
      </w:r>
      <w:r w:rsidRPr="006822B7">
        <w:rPr>
          <w:rFonts w:ascii="Arial" w:hAnsi="Arial" w:cs="Arial"/>
          <w:color w:val="000000"/>
          <w:sz w:val="24"/>
          <w:szCs w:val="24"/>
        </w:rPr>
        <w:t xml:space="preserve"> </w:t>
      </w:r>
      <w:r w:rsidRPr="006822B7">
        <w:rPr>
          <w:rFonts w:ascii="Arial" w:eastAsia="Times New Roman" w:hAnsi="Arial" w:cs="Arial"/>
          <w:color w:val="000000"/>
          <w:sz w:val="24"/>
          <w:szCs w:val="24"/>
          <w:lang w:eastAsia="en-GB" w:bidi="ar-SA"/>
        </w:rPr>
        <w:t>(CFI, 2023)</w:t>
      </w:r>
      <w:r w:rsidRPr="006822B7">
        <w:rPr>
          <w:rFonts w:ascii="Arial" w:hAnsi="Arial" w:cs="Arial"/>
          <w:sz w:val="24"/>
          <w:szCs w:val="24"/>
        </w:rPr>
        <w:t>. Financial ratios are calculated by dividing one financial variable by another, such as dividing a company</w:t>
      </w:r>
      <w:r w:rsidR="00D11AF1">
        <w:rPr>
          <w:rFonts w:ascii="Arial" w:hAnsi="Arial" w:cs="Arial"/>
          <w:sz w:val="24"/>
          <w:szCs w:val="24"/>
        </w:rPr>
        <w:t>'</w:t>
      </w:r>
      <w:r w:rsidRPr="006822B7">
        <w:rPr>
          <w:rFonts w:ascii="Arial" w:hAnsi="Arial" w:cs="Arial"/>
          <w:sz w:val="24"/>
          <w:szCs w:val="24"/>
        </w:rPr>
        <w:t xml:space="preserve">s current assets by its current liabilities to determine its current </w:t>
      </w:r>
      <w:r w:rsidR="00163859">
        <w:rPr>
          <w:rFonts w:ascii="Arial" w:hAnsi="Arial" w:cs="Arial"/>
          <w:sz w:val="24"/>
          <w:szCs w:val="24"/>
        </w:rPr>
        <w:t>r</w:t>
      </w:r>
      <w:r w:rsidRPr="006822B7">
        <w:rPr>
          <w:rFonts w:ascii="Arial" w:hAnsi="Arial" w:cs="Arial"/>
          <w:sz w:val="24"/>
          <w:szCs w:val="24"/>
        </w:rPr>
        <w:t xml:space="preserve">atio. </w:t>
      </w:r>
    </w:p>
    <w:p w14:paraId="5E89E392" w14:textId="66667872" w:rsidR="005F01D0" w:rsidRPr="005F01D0" w:rsidRDefault="005F01D0" w:rsidP="00B86D89">
      <w:pPr>
        <w:shd w:val="clear" w:color="auto" w:fill="FFFFFF"/>
        <w:spacing w:line="360" w:lineRule="auto"/>
        <w:rPr>
          <w:rFonts w:ascii="Arial" w:hAnsi="Arial" w:cs="Arial"/>
          <w:sz w:val="24"/>
          <w:szCs w:val="24"/>
        </w:rPr>
      </w:pPr>
      <w:r w:rsidRPr="005F01D0">
        <w:rPr>
          <w:rFonts w:ascii="Arial" w:hAnsi="Arial" w:cs="Arial"/>
          <w:sz w:val="24"/>
          <w:szCs w:val="24"/>
        </w:rPr>
        <w:t>Many financial ratios can be used to analyse a company</w:t>
      </w:r>
      <w:r w:rsidR="00D11AF1">
        <w:rPr>
          <w:rFonts w:ascii="Arial" w:hAnsi="Arial" w:cs="Arial"/>
          <w:sz w:val="24"/>
          <w:szCs w:val="24"/>
        </w:rPr>
        <w:t>'</w:t>
      </w:r>
      <w:r w:rsidRPr="005F01D0">
        <w:rPr>
          <w:rFonts w:ascii="Arial" w:hAnsi="Arial" w:cs="Arial"/>
          <w:sz w:val="24"/>
          <w:szCs w:val="24"/>
        </w:rPr>
        <w:t xml:space="preserve">s financial performance. The exact number depends on how one categorises and counts them, but several dozen commonly used ratios can be grouped into categories such as </w:t>
      </w:r>
      <w:proofErr w:type="gramStart"/>
      <w:r w:rsidRPr="005F01D0">
        <w:rPr>
          <w:rFonts w:ascii="Arial" w:hAnsi="Arial" w:cs="Arial"/>
          <w:b/>
          <w:bCs/>
          <w:sz w:val="24"/>
          <w:szCs w:val="24"/>
        </w:rPr>
        <w:t>liquidity,  profitability</w:t>
      </w:r>
      <w:proofErr w:type="gramEnd"/>
      <w:r w:rsidRPr="005F01D0">
        <w:rPr>
          <w:rFonts w:ascii="Arial" w:hAnsi="Arial" w:cs="Arial"/>
          <w:b/>
          <w:bCs/>
          <w:sz w:val="24"/>
          <w:szCs w:val="24"/>
        </w:rPr>
        <w:t xml:space="preserve"> and efficiency</w:t>
      </w:r>
      <w:r w:rsidRPr="005F01D0">
        <w:rPr>
          <w:rFonts w:ascii="Arial" w:hAnsi="Arial" w:cs="Arial"/>
          <w:sz w:val="24"/>
          <w:szCs w:val="24"/>
        </w:rPr>
        <w:t>.</w:t>
      </w:r>
    </w:p>
    <w:p w14:paraId="50CDDE94" w14:textId="6C988CCA" w:rsidR="00B71621" w:rsidRDefault="00090053" w:rsidP="00B86D89">
      <w:pPr>
        <w:shd w:val="clear" w:color="auto" w:fill="FFFFFF"/>
        <w:spacing w:line="360" w:lineRule="auto"/>
        <w:rPr>
          <w:rFonts w:ascii="Arial" w:hAnsi="Arial" w:cs="Arial"/>
          <w:sz w:val="24"/>
          <w:szCs w:val="24"/>
        </w:rPr>
      </w:pPr>
      <w:r w:rsidRPr="00090053">
        <w:rPr>
          <w:rFonts w:ascii="Arial" w:hAnsi="Arial" w:cs="Arial"/>
          <w:sz w:val="24"/>
          <w:szCs w:val="24"/>
        </w:rPr>
        <w:t xml:space="preserve">In the following section of this report, data from </w:t>
      </w:r>
      <w:r w:rsidR="00245B7F">
        <w:rPr>
          <w:rFonts w:ascii="Arial" w:hAnsi="Arial" w:cs="Arial"/>
          <w:sz w:val="24"/>
          <w:szCs w:val="24"/>
        </w:rPr>
        <w:t>M&amp;S</w:t>
      </w:r>
      <w:r w:rsidR="00D11AF1">
        <w:rPr>
          <w:rFonts w:ascii="Arial" w:hAnsi="Arial" w:cs="Arial"/>
          <w:sz w:val="24"/>
          <w:szCs w:val="24"/>
        </w:rPr>
        <w:t>'</w:t>
      </w:r>
      <w:r w:rsidRPr="00090053">
        <w:rPr>
          <w:rFonts w:ascii="Arial" w:hAnsi="Arial" w:cs="Arial"/>
          <w:sz w:val="24"/>
          <w:szCs w:val="24"/>
        </w:rPr>
        <w:t xml:space="preserve">s financial report will be used to figure out and evaluate different ratios, which will then be compared to the industry and </w:t>
      </w:r>
      <w:r w:rsidR="00245B7F">
        <w:rPr>
          <w:rFonts w:ascii="Arial" w:hAnsi="Arial" w:cs="Arial"/>
          <w:sz w:val="24"/>
          <w:szCs w:val="24"/>
        </w:rPr>
        <w:t>M&amp;S</w:t>
      </w:r>
      <w:r w:rsidR="00D11AF1">
        <w:rPr>
          <w:rFonts w:ascii="Arial" w:hAnsi="Arial" w:cs="Arial"/>
          <w:sz w:val="24"/>
          <w:szCs w:val="24"/>
        </w:rPr>
        <w:t>'</w:t>
      </w:r>
      <w:r w:rsidRPr="00090053">
        <w:rPr>
          <w:rFonts w:ascii="Arial" w:hAnsi="Arial" w:cs="Arial"/>
          <w:sz w:val="24"/>
          <w:szCs w:val="24"/>
        </w:rPr>
        <w:t>s competitors.</w:t>
      </w:r>
      <w:r>
        <w:rPr>
          <w:rFonts w:ascii="Arial" w:hAnsi="Arial" w:cs="Arial"/>
          <w:sz w:val="24"/>
          <w:szCs w:val="24"/>
        </w:rPr>
        <w:t xml:space="preserve"> R</w:t>
      </w:r>
      <w:r w:rsidR="00866153" w:rsidRPr="00866153">
        <w:rPr>
          <w:rFonts w:ascii="Arial" w:hAnsi="Arial" w:cs="Arial"/>
          <w:sz w:val="24"/>
          <w:szCs w:val="24"/>
        </w:rPr>
        <w:t>ecommendations will be provided to improve their financial performance.</w:t>
      </w:r>
    </w:p>
    <w:p w14:paraId="4D4E2196" w14:textId="1BB59988" w:rsidR="005F01D0" w:rsidRDefault="005F01D0" w:rsidP="00B86D89">
      <w:pPr>
        <w:shd w:val="clear" w:color="auto" w:fill="FFFFFF"/>
        <w:spacing w:line="360" w:lineRule="auto"/>
        <w:rPr>
          <w:rFonts w:ascii="Arial" w:hAnsi="Arial" w:cs="Arial"/>
          <w:b/>
          <w:bCs/>
          <w:sz w:val="24"/>
          <w:szCs w:val="24"/>
        </w:rPr>
      </w:pPr>
      <w:r w:rsidRPr="005F01D0">
        <w:rPr>
          <w:rFonts w:ascii="Arial" w:hAnsi="Arial" w:cs="Arial"/>
          <w:b/>
          <w:bCs/>
          <w:sz w:val="24"/>
          <w:szCs w:val="24"/>
        </w:rPr>
        <w:t>Liquidity</w:t>
      </w:r>
      <w:r>
        <w:rPr>
          <w:rFonts w:ascii="Arial" w:hAnsi="Arial" w:cs="Arial"/>
          <w:b/>
          <w:bCs/>
          <w:sz w:val="24"/>
          <w:szCs w:val="24"/>
        </w:rPr>
        <w:t>:</w:t>
      </w:r>
    </w:p>
    <w:p w14:paraId="00FC8580" w14:textId="160F7465" w:rsidR="009C6BBB" w:rsidRDefault="00F0085B" w:rsidP="00F0085B">
      <w:pPr>
        <w:shd w:val="clear" w:color="auto" w:fill="FFFFFF"/>
        <w:spacing w:line="360" w:lineRule="auto"/>
        <w:rPr>
          <w:rFonts w:ascii="Arial" w:eastAsia="Times New Roman" w:hAnsi="Arial" w:cs="Arial"/>
          <w:color w:val="000000"/>
          <w:sz w:val="24"/>
          <w:szCs w:val="24"/>
          <w:lang w:eastAsia="en-GB" w:bidi="ar-SA"/>
        </w:rPr>
      </w:pPr>
      <w:r w:rsidRPr="00F0085B">
        <w:rPr>
          <w:rFonts w:ascii="Arial" w:hAnsi="Arial" w:cs="Arial"/>
          <w:sz w:val="24"/>
          <w:szCs w:val="24"/>
        </w:rPr>
        <w:t>Liquidity ratios are financial ratios that measure a company</w:t>
      </w:r>
      <w:r w:rsidR="00D11AF1">
        <w:rPr>
          <w:rFonts w:ascii="Arial" w:hAnsi="Arial" w:cs="Arial"/>
          <w:sz w:val="24"/>
          <w:szCs w:val="24"/>
        </w:rPr>
        <w:t>'</w:t>
      </w:r>
      <w:r w:rsidRPr="00F0085B">
        <w:rPr>
          <w:rFonts w:ascii="Arial" w:hAnsi="Arial" w:cs="Arial"/>
          <w:sz w:val="24"/>
          <w:szCs w:val="24"/>
        </w:rPr>
        <w:t xml:space="preserve">s ability to meet its short-term obligations. These ratios help assess whether a company has enough current assets (such as cash and accounts receivable) to cover its current liabilities (accounts payable and short-term </w:t>
      </w:r>
      <w:r w:rsidR="00D204ED">
        <w:rPr>
          <w:rFonts w:ascii="Arial" w:hAnsi="Arial" w:cs="Arial"/>
          <w:sz w:val="24"/>
          <w:szCs w:val="24"/>
        </w:rPr>
        <w:t>D</w:t>
      </w:r>
      <w:r w:rsidRPr="00F0085B">
        <w:rPr>
          <w:rFonts w:ascii="Arial" w:hAnsi="Arial" w:cs="Arial"/>
          <w:sz w:val="24"/>
          <w:szCs w:val="24"/>
        </w:rPr>
        <w:t xml:space="preserve">ebt) </w:t>
      </w:r>
      <w:r w:rsidRPr="00F0085B">
        <w:rPr>
          <w:rFonts w:ascii="Arial" w:eastAsia="Times New Roman" w:hAnsi="Arial" w:cs="Arial"/>
          <w:color w:val="000000"/>
          <w:sz w:val="24"/>
          <w:szCs w:val="24"/>
          <w:lang w:eastAsia="en-GB" w:bidi="ar-SA"/>
        </w:rPr>
        <w:t>(</w:t>
      </w:r>
      <w:proofErr w:type="spellStart"/>
      <w:r w:rsidRPr="00F0085B">
        <w:rPr>
          <w:rFonts w:ascii="Arial" w:eastAsia="Times New Roman" w:hAnsi="Arial" w:cs="Arial"/>
          <w:color w:val="000000"/>
          <w:sz w:val="24"/>
          <w:szCs w:val="24"/>
          <w:lang w:eastAsia="en-GB" w:bidi="ar-SA"/>
        </w:rPr>
        <w:t>Durrah</w:t>
      </w:r>
      <w:proofErr w:type="spellEnd"/>
      <w:r w:rsidRPr="00F0085B">
        <w:rPr>
          <w:rFonts w:ascii="Arial" w:eastAsia="Times New Roman" w:hAnsi="Arial" w:cs="Arial"/>
          <w:color w:val="000000"/>
          <w:sz w:val="24"/>
          <w:szCs w:val="24"/>
          <w:lang w:eastAsia="en-GB" w:bidi="ar-SA"/>
        </w:rPr>
        <w:t xml:space="preserve"> et al., 2016)</w:t>
      </w:r>
      <w:r w:rsidRPr="00F0085B">
        <w:rPr>
          <w:rFonts w:ascii="Arial" w:hAnsi="Arial" w:cs="Arial"/>
          <w:sz w:val="24"/>
          <w:szCs w:val="24"/>
        </w:rPr>
        <w:t>. Common liquidity ratios include the current, quick, and cash ratios.</w:t>
      </w:r>
      <w:r>
        <w:t xml:space="preserve"> </w:t>
      </w:r>
      <w:r w:rsidR="005F01D0" w:rsidRPr="005F01D0">
        <w:rPr>
          <w:rFonts w:ascii="Arial" w:hAnsi="Arial" w:cs="Arial"/>
          <w:sz w:val="24"/>
          <w:szCs w:val="24"/>
        </w:rPr>
        <w:t xml:space="preserve">Based on </w:t>
      </w:r>
      <w:r w:rsidR="00C91DBF">
        <w:rPr>
          <w:rFonts w:ascii="Arial" w:hAnsi="Arial" w:cs="Arial"/>
          <w:sz w:val="24"/>
          <w:szCs w:val="24"/>
        </w:rPr>
        <w:t>M&amp;S</w:t>
      </w:r>
      <w:r w:rsidR="005F01D0" w:rsidRPr="005F01D0">
        <w:rPr>
          <w:rFonts w:ascii="Arial" w:hAnsi="Arial" w:cs="Arial"/>
          <w:sz w:val="24"/>
          <w:szCs w:val="24"/>
        </w:rPr>
        <w:t xml:space="preserve"> financial statement for 2022, here are some ratios</w:t>
      </w:r>
      <w:r>
        <w:rPr>
          <w:rFonts w:ascii="Arial" w:hAnsi="Arial" w:cs="Arial"/>
          <w:sz w:val="24"/>
          <w:szCs w:val="24"/>
        </w:rPr>
        <w:t xml:space="preserve"> </w:t>
      </w:r>
      <w:r w:rsidRPr="00B23475">
        <w:rPr>
          <w:rFonts w:ascii="Arial" w:eastAsia="Times New Roman" w:hAnsi="Arial" w:cs="Arial"/>
          <w:color w:val="000000"/>
          <w:sz w:val="24"/>
          <w:szCs w:val="24"/>
          <w:lang w:eastAsia="en-GB" w:bidi="ar-SA"/>
        </w:rPr>
        <w:t>(</w:t>
      </w:r>
      <w:r w:rsidR="00245B7F">
        <w:rPr>
          <w:rFonts w:ascii="Arial" w:eastAsia="Times New Roman" w:hAnsi="Arial" w:cs="Arial"/>
          <w:color w:val="000000"/>
          <w:sz w:val="24"/>
          <w:szCs w:val="24"/>
          <w:lang w:eastAsia="en-GB" w:bidi="ar-SA"/>
        </w:rPr>
        <w:t>M&amp;S</w:t>
      </w:r>
      <w:r w:rsidRPr="00B23475">
        <w:rPr>
          <w:rFonts w:ascii="Arial" w:eastAsia="Times New Roman" w:hAnsi="Arial" w:cs="Arial"/>
          <w:color w:val="000000"/>
          <w:sz w:val="24"/>
          <w:szCs w:val="24"/>
          <w:lang w:eastAsia="en-GB" w:bidi="ar-SA"/>
        </w:rPr>
        <w:t xml:space="preserve"> Plc, 2022):</w:t>
      </w:r>
    </w:p>
    <w:p w14:paraId="2037E69D" w14:textId="1ADF908F" w:rsidR="00F0085B" w:rsidRPr="00F0085B" w:rsidRDefault="00F0085B" w:rsidP="00344CED">
      <w:pPr>
        <w:shd w:val="clear" w:color="auto" w:fill="C2D69B" w:themeFill="accent3" w:themeFillTint="99"/>
        <w:spacing w:line="360" w:lineRule="auto"/>
        <w:rPr>
          <w:rFonts w:ascii="Arial" w:hAnsi="Arial" w:cs="Arial"/>
          <w:b/>
          <w:bCs/>
          <w:sz w:val="24"/>
          <w:szCs w:val="24"/>
        </w:rPr>
      </w:pPr>
      <m:oMathPara>
        <m:oMath>
          <m:r>
            <m:rPr>
              <m:sty m:val="bi"/>
            </m:rPr>
            <w:rPr>
              <w:rFonts w:ascii="Cambria Math" w:hAnsi="Cambria Math" w:cs="Arial"/>
              <w:sz w:val="24"/>
              <w:szCs w:val="24"/>
            </w:rPr>
            <m:t>Current Ratio=</m:t>
          </m:r>
          <m:f>
            <m:fPr>
              <m:ctrlPr>
                <w:rPr>
                  <w:rFonts w:ascii="Cambria Math" w:hAnsi="Cambria Math" w:cs="Arial"/>
                  <w:b/>
                  <w:bCs/>
                  <w:i/>
                  <w:sz w:val="24"/>
                  <w:szCs w:val="24"/>
                </w:rPr>
              </m:ctrlPr>
            </m:fPr>
            <m:num>
              <m:r>
                <m:rPr>
                  <m:sty m:val="bi"/>
                </m:rPr>
                <w:rPr>
                  <w:rFonts w:ascii="Cambria Math" w:hAnsi="Cambria Math" w:cs="Arial"/>
                  <w:sz w:val="24"/>
                  <w:szCs w:val="24"/>
                </w:rPr>
                <m:t>Current Assets</m:t>
              </m:r>
            </m:num>
            <m:den>
              <m:r>
                <m:rPr>
                  <m:sty m:val="bi"/>
                </m:rPr>
                <w:rPr>
                  <w:rFonts w:ascii="Cambria Math" w:hAnsi="Cambria Math" w:cs="Arial"/>
                  <w:sz w:val="24"/>
                  <w:szCs w:val="24"/>
                </w:rPr>
                <m:t>Current Liabilities</m:t>
              </m:r>
            </m:den>
          </m:f>
          <m:r>
            <m:rPr>
              <m:sty m:val="bi"/>
            </m:rPr>
            <w:rPr>
              <w:rFonts w:ascii="Cambria Math" w:hAnsi="Cambria Math" w:cs="Arial"/>
              <w:sz w:val="24"/>
              <w:szCs w:val="24"/>
            </w:rPr>
            <m:t>=</m:t>
          </m:r>
          <m:f>
            <m:fPr>
              <m:ctrlPr>
                <w:rPr>
                  <w:rFonts w:ascii="Cambria Math" w:hAnsi="Cambria Math" w:cs="Arial"/>
                  <w:b/>
                  <w:bCs/>
                  <w:i/>
                  <w:sz w:val="24"/>
                  <w:szCs w:val="24"/>
                </w:rPr>
              </m:ctrlPr>
            </m:fPr>
            <m:num>
              <m:r>
                <m:rPr>
                  <m:sty m:val="bi"/>
                </m:rPr>
                <w:rPr>
                  <w:rFonts w:ascii="Cambria Math" w:hAnsi="Cambria Math" w:cs="Arial"/>
                  <w:sz w:val="24"/>
                  <w:szCs w:val="24"/>
                </w:rPr>
                <m:t>2182.3</m:t>
              </m:r>
            </m:num>
            <m:den>
              <m:r>
                <m:rPr>
                  <m:sty m:val="bi"/>
                </m:rPr>
                <w:rPr>
                  <w:rFonts w:ascii="Cambria Math" w:hAnsi="Cambria Math" w:cs="Arial"/>
                  <w:sz w:val="24"/>
                  <w:szCs w:val="24"/>
                </w:rPr>
                <m:t>2370.8</m:t>
              </m:r>
            </m:den>
          </m:f>
          <m:r>
            <m:rPr>
              <m:sty m:val="bi"/>
            </m:rPr>
            <w:rPr>
              <w:rFonts w:ascii="Cambria Math" w:hAnsi="Cambria Math" w:cs="Arial"/>
              <w:sz w:val="24"/>
              <w:szCs w:val="24"/>
            </w:rPr>
            <m:t>=0.92</m:t>
          </m:r>
        </m:oMath>
      </m:oMathPara>
    </w:p>
    <w:p w14:paraId="2B33C01B" w14:textId="77777777" w:rsidR="00F0085B" w:rsidRDefault="00F0085B" w:rsidP="00B23475">
      <w:pPr>
        <w:shd w:val="clear" w:color="auto" w:fill="FFFFFF"/>
        <w:spacing w:line="360" w:lineRule="auto"/>
        <w:rPr>
          <w:rFonts w:ascii="Arial" w:hAnsi="Arial" w:cs="Arial"/>
          <w:b/>
          <w:bCs/>
          <w:sz w:val="24"/>
          <w:szCs w:val="24"/>
        </w:rPr>
      </w:pPr>
    </w:p>
    <w:p w14:paraId="4DF1594B" w14:textId="3F0964FE" w:rsidR="00F0085B" w:rsidRPr="006D6D43" w:rsidRDefault="00F0085B" w:rsidP="00344CED">
      <w:pPr>
        <w:shd w:val="clear" w:color="auto" w:fill="C2D69B" w:themeFill="accent3" w:themeFillTint="99"/>
        <w:spacing w:line="360" w:lineRule="auto"/>
        <w:rPr>
          <w:rFonts w:ascii="Arial" w:eastAsiaTheme="minorEastAsia" w:hAnsi="Arial" w:cs="Arial"/>
          <w:b/>
          <w:bCs/>
          <w:sz w:val="24"/>
          <w:szCs w:val="24"/>
        </w:rPr>
      </w:pPr>
      <m:oMathPara>
        <m:oMath>
          <m:r>
            <m:rPr>
              <m:sty m:val="bi"/>
            </m:rPr>
            <w:rPr>
              <w:rFonts w:ascii="Cambria Math" w:hAnsi="Cambria Math" w:cs="Arial"/>
              <w:sz w:val="24"/>
              <w:szCs w:val="24"/>
            </w:rPr>
            <m:t>Quick Ratio=</m:t>
          </m:r>
          <m:f>
            <m:fPr>
              <m:ctrlPr>
                <w:rPr>
                  <w:rFonts w:ascii="Cambria Math" w:hAnsi="Cambria Math" w:cs="Arial"/>
                  <w:b/>
                  <w:bCs/>
                  <w:i/>
                  <w:sz w:val="24"/>
                  <w:szCs w:val="24"/>
                </w:rPr>
              </m:ctrlPr>
            </m:fPr>
            <m:num>
              <m:r>
                <m:rPr>
                  <m:sty m:val="bi"/>
                </m:rPr>
                <w:rPr>
                  <w:rFonts w:ascii="Cambria Math" w:hAnsi="Cambria Math" w:cs="Arial"/>
                  <w:sz w:val="24"/>
                  <w:szCs w:val="24"/>
                </w:rPr>
                <m:t xml:space="preserve">Current Assets -Inventory </m:t>
              </m:r>
            </m:num>
            <m:den>
              <m:r>
                <m:rPr>
                  <m:sty m:val="bi"/>
                </m:rPr>
                <w:rPr>
                  <w:rFonts w:ascii="Cambria Math" w:hAnsi="Cambria Math" w:cs="Arial"/>
                  <w:sz w:val="24"/>
                  <w:szCs w:val="24"/>
                </w:rPr>
                <m:t>Current Liabilities</m:t>
              </m:r>
            </m:den>
          </m:f>
          <m:r>
            <m:rPr>
              <m:sty m:val="bi"/>
            </m:rPr>
            <w:rPr>
              <w:rFonts w:ascii="Cambria Math" w:hAnsi="Cambria Math" w:cs="Arial"/>
              <w:sz w:val="24"/>
              <w:szCs w:val="24"/>
            </w:rPr>
            <m:t>=</m:t>
          </m:r>
          <m:f>
            <m:fPr>
              <m:ctrlPr>
                <w:rPr>
                  <w:rFonts w:ascii="Cambria Math" w:hAnsi="Cambria Math" w:cs="Arial"/>
                  <w:b/>
                  <w:bCs/>
                  <w:i/>
                  <w:sz w:val="24"/>
                  <w:szCs w:val="24"/>
                </w:rPr>
              </m:ctrlPr>
            </m:fPr>
            <m:num>
              <m:r>
                <m:rPr>
                  <m:sty m:val="bi"/>
                </m:rPr>
                <w:rPr>
                  <w:rFonts w:ascii="Cambria Math" w:hAnsi="Cambria Math" w:cs="Arial"/>
                  <w:sz w:val="24"/>
                  <w:szCs w:val="24"/>
                </w:rPr>
                <m:t>2182.3-706.1</m:t>
              </m:r>
            </m:num>
            <m:den>
              <m:r>
                <m:rPr>
                  <m:sty m:val="bi"/>
                </m:rPr>
                <w:rPr>
                  <w:rFonts w:ascii="Cambria Math" w:hAnsi="Cambria Math" w:cs="Arial"/>
                  <w:sz w:val="24"/>
                  <w:szCs w:val="24"/>
                </w:rPr>
                <m:t>2370.8</m:t>
              </m:r>
            </m:den>
          </m:f>
          <m:r>
            <m:rPr>
              <m:sty m:val="bi"/>
            </m:rPr>
            <w:rPr>
              <w:rFonts w:ascii="Cambria Math" w:hAnsi="Cambria Math" w:cs="Arial"/>
              <w:sz w:val="24"/>
              <w:szCs w:val="24"/>
            </w:rPr>
            <m:t>=0.62</m:t>
          </m:r>
        </m:oMath>
      </m:oMathPara>
    </w:p>
    <w:p w14:paraId="275F4679" w14:textId="0D1F4E60" w:rsidR="006D6D43" w:rsidRDefault="006D6D43" w:rsidP="006D6D43">
      <w:pPr>
        <w:shd w:val="clear" w:color="auto" w:fill="FFFFFF" w:themeFill="background1"/>
        <w:spacing w:line="360" w:lineRule="auto"/>
        <w:rPr>
          <w:rFonts w:ascii="Arial" w:eastAsiaTheme="minorEastAsia" w:hAnsi="Arial" w:cs="Arial"/>
          <w:b/>
          <w:bCs/>
          <w:sz w:val="24"/>
          <w:szCs w:val="24"/>
        </w:rPr>
      </w:pPr>
    </w:p>
    <w:p w14:paraId="4F0F526C" w14:textId="50EE01DE" w:rsidR="00F0085B" w:rsidRDefault="00F0085B" w:rsidP="00344CED">
      <w:pPr>
        <w:shd w:val="clear" w:color="auto" w:fill="C2D69B" w:themeFill="accent3" w:themeFillTint="99"/>
        <w:spacing w:line="360" w:lineRule="auto"/>
        <w:rPr>
          <w:rFonts w:ascii="Arial" w:hAnsi="Arial" w:cs="Arial"/>
          <w:b/>
          <w:bCs/>
          <w:sz w:val="24"/>
          <w:szCs w:val="24"/>
        </w:rPr>
      </w:pPr>
      <m:oMathPara>
        <m:oMath>
          <m:r>
            <m:rPr>
              <m:sty m:val="bi"/>
            </m:rPr>
            <w:rPr>
              <w:rFonts w:ascii="Cambria Math" w:hAnsi="Cambria Math" w:cs="Arial"/>
              <w:sz w:val="24"/>
              <w:szCs w:val="24"/>
            </w:rPr>
            <w:lastRenderedPageBreak/>
            <m:t>Cash Ratio=</m:t>
          </m:r>
          <m:f>
            <m:fPr>
              <m:ctrlPr>
                <w:rPr>
                  <w:rFonts w:ascii="Cambria Math" w:hAnsi="Cambria Math" w:cs="Arial"/>
                  <w:b/>
                  <w:bCs/>
                  <w:i/>
                  <w:sz w:val="24"/>
                  <w:szCs w:val="24"/>
                </w:rPr>
              </m:ctrlPr>
            </m:fPr>
            <m:num>
              <m:r>
                <m:rPr>
                  <m:sty m:val="bi"/>
                </m:rPr>
                <w:rPr>
                  <w:rFonts w:ascii="Cambria Math" w:hAnsi="Cambria Math" w:cs="Arial"/>
                  <w:sz w:val="24"/>
                  <w:szCs w:val="24"/>
                </w:rPr>
                <m:t>Cash</m:t>
              </m:r>
            </m:num>
            <m:den>
              <m:r>
                <m:rPr>
                  <m:sty m:val="bi"/>
                </m:rPr>
                <w:rPr>
                  <w:rFonts w:ascii="Cambria Math" w:hAnsi="Cambria Math" w:cs="Arial"/>
                  <w:sz w:val="24"/>
                  <w:szCs w:val="24"/>
                </w:rPr>
                <m:t>Current Liabilities</m:t>
              </m:r>
            </m:den>
          </m:f>
          <m:r>
            <m:rPr>
              <m:sty m:val="bi"/>
            </m:rPr>
            <w:rPr>
              <w:rFonts w:ascii="Cambria Math" w:hAnsi="Cambria Math" w:cs="Arial"/>
              <w:sz w:val="24"/>
              <w:szCs w:val="24"/>
            </w:rPr>
            <m:t>=</m:t>
          </m:r>
          <m:f>
            <m:fPr>
              <m:ctrlPr>
                <w:rPr>
                  <w:rFonts w:ascii="Cambria Math" w:hAnsi="Cambria Math" w:cs="Arial"/>
                  <w:b/>
                  <w:bCs/>
                  <w:i/>
                  <w:sz w:val="24"/>
                  <w:szCs w:val="24"/>
                </w:rPr>
              </m:ctrlPr>
            </m:fPr>
            <m:num>
              <m:r>
                <m:rPr>
                  <m:sty m:val="bi"/>
                </m:rPr>
                <w:rPr>
                  <w:rFonts w:ascii="Cambria Math" w:hAnsi="Cambria Math" w:cs="Arial"/>
                  <w:sz w:val="24"/>
                  <w:szCs w:val="24"/>
                </w:rPr>
                <m:t>1197.9</m:t>
              </m:r>
            </m:num>
            <m:den>
              <m:r>
                <m:rPr>
                  <m:sty m:val="bi"/>
                </m:rPr>
                <w:rPr>
                  <w:rFonts w:ascii="Cambria Math" w:hAnsi="Cambria Math" w:cs="Arial"/>
                  <w:sz w:val="24"/>
                  <w:szCs w:val="24"/>
                </w:rPr>
                <m:t>2370.8</m:t>
              </m:r>
            </m:den>
          </m:f>
          <m:r>
            <m:rPr>
              <m:sty m:val="bi"/>
            </m:rPr>
            <w:rPr>
              <w:rFonts w:ascii="Cambria Math" w:hAnsi="Cambria Math" w:cs="Arial"/>
              <w:sz w:val="24"/>
              <w:szCs w:val="24"/>
            </w:rPr>
            <m:t>=0.50</m:t>
          </m:r>
        </m:oMath>
      </m:oMathPara>
    </w:p>
    <w:p w14:paraId="22FE29E0" w14:textId="078D093F" w:rsidR="00F0085B" w:rsidRDefault="00F0085B" w:rsidP="00B23475">
      <w:pPr>
        <w:shd w:val="clear" w:color="auto" w:fill="FFFFFF"/>
        <w:spacing w:line="360" w:lineRule="auto"/>
        <w:rPr>
          <w:rFonts w:ascii="Arial" w:hAnsi="Arial" w:cs="Arial"/>
          <w:b/>
          <w:bCs/>
          <w:sz w:val="24"/>
          <w:szCs w:val="24"/>
        </w:rPr>
      </w:pPr>
    </w:p>
    <w:p w14:paraId="48A85CD9" w14:textId="7DFEDC0D" w:rsidR="00BA169F" w:rsidRDefault="00BA169F" w:rsidP="00B23475">
      <w:pPr>
        <w:shd w:val="clear" w:color="auto" w:fill="FFFFFF"/>
        <w:spacing w:line="360" w:lineRule="auto"/>
        <w:rPr>
          <w:rFonts w:ascii="Arial" w:hAnsi="Arial" w:cs="Arial"/>
          <w:b/>
          <w:bCs/>
          <w:sz w:val="24"/>
          <w:szCs w:val="24"/>
        </w:rPr>
      </w:pPr>
    </w:p>
    <w:p w14:paraId="354CDC27" w14:textId="0B2BB19F" w:rsidR="00BA169F" w:rsidRDefault="00BA169F" w:rsidP="00B23475">
      <w:pPr>
        <w:shd w:val="clear" w:color="auto" w:fill="FFFFFF"/>
        <w:spacing w:line="360" w:lineRule="auto"/>
        <w:rPr>
          <w:rFonts w:ascii="Arial" w:hAnsi="Arial" w:cs="Arial"/>
          <w:b/>
          <w:bCs/>
          <w:sz w:val="24"/>
          <w:szCs w:val="24"/>
        </w:rPr>
      </w:pPr>
      <w:r>
        <w:rPr>
          <w:rFonts w:ascii="Arial" w:hAnsi="Arial" w:cs="Arial"/>
          <w:b/>
          <w:bCs/>
          <w:sz w:val="24"/>
          <w:szCs w:val="24"/>
        </w:rPr>
        <w:t>Using the above formulas, here is a comparison between M&amp;S and Sainsbury's liquidity ratios:</w:t>
      </w:r>
    </w:p>
    <w:tbl>
      <w:tblPr>
        <w:tblStyle w:val="TableGrid"/>
        <w:tblW w:w="0" w:type="auto"/>
        <w:tblLook w:val="04A0" w:firstRow="1" w:lastRow="0" w:firstColumn="1" w:lastColumn="0" w:noHBand="0" w:noVBand="1"/>
      </w:tblPr>
      <w:tblGrid>
        <w:gridCol w:w="1838"/>
        <w:gridCol w:w="977"/>
        <w:gridCol w:w="752"/>
        <w:gridCol w:w="1189"/>
        <w:gridCol w:w="1189"/>
        <w:gridCol w:w="1190"/>
        <w:gridCol w:w="1577"/>
      </w:tblGrid>
      <w:tr w:rsidR="00BA169F" w14:paraId="1DEEF484" w14:textId="77777777" w:rsidTr="00BA169F">
        <w:tc>
          <w:tcPr>
            <w:tcW w:w="1838" w:type="dxa"/>
          </w:tcPr>
          <w:p w14:paraId="6E9582DF" w14:textId="4CF9853E"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M&amp;S</w:t>
            </w:r>
          </w:p>
        </w:tc>
        <w:tc>
          <w:tcPr>
            <w:tcW w:w="977" w:type="dxa"/>
          </w:tcPr>
          <w:p w14:paraId="78CA9BEB" w14:textId="20C6FA96"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2018</w:t>
            </w:r>
          </w:p>
        </w:tc>
        <w:tc>
          <w:tcPr>
            <w:tcW w:w="752" w:type="dxa"/>
          </w:tcPr>
          <w:p w14:paraId="0FCC90C4" w14:textId="414B086C"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2019</w:t>
            </w:r>
          </w:p>
        </w:tc>
        <w:tc>
          <w:tcPr>
            <w:tcW w:w="1189" w:type="dxa"/>
          </w:tcPr>
          <w:p w14:paraId="35DA7590" w14:textId="5106AF92"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2020</w:t>
            </w:r>
          </w:p>
        </w:tc>
        <w:tc>
          <w:tcPr>
            <w:tcW w:w="1189" w:type="dxa"/>
          </w:tcPr>
          <w:p w14:paraId="18DCDE4C" w14:textId="79C3944F"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2021</w:t>
            </w:r>
          </w:p>
        </w:tc>
        <w:tc>
          <w:tcPr>
            <w:tcW w:w="1190" w:type="dxa"/>
          </w:tcPr>
          <w:p w14:paraId="6C48B9F0" w14:textId="3AD88399"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2022</w:t>
            </w:r>
          </w:p>
        </w:tc>
        <w:tc>
          <w:tcPr>
            <w:tcW w:w="1577" w:type="dxa"/>
          </w:tcPr>
          <w:p w14:paraId="401A5BA8" w14:textId="33B2AA24"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Sainsbury</w:t>
            </w:r>
            <w:r w:rsidR="00D204ED">
              <w:rPr>
                <w:rFonts w:ascii="Arial" w:hAnsi="Arial" w:cs="Arial"/>
                <w:b/>
                <w:bCs/>
                <w:i/>
                <w:iCs/>
                <w:sz w:val="24"/>
                <w:szCs w:val="24"/>
              </w:rPr>
              <w:t>'</w:t>
            </w:r>
            <w:r w:rsidRPr="00BA169F">
              <w:rPr>
                <w:rFonts w:ascii="Arial" w:hAnsi="Arial" w:cs="Arial"/>
                <w:b/>
                <w:bCs/>
                <w:i/>
                <w:iCs/>
                <w:sz w:val="24"/>
                <w:szCs w:val="24"/>
              </w:rPr>
              <w:t>s</w:t>
            </w:r>
          </w:p>
          <w:p w14:paraId="3D120C19" w14:textId="4A66FD53"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2022</w:t>
            </w:r>
          </w:p>
        </w:tc>
      </w:tr>
      <w:tr w:rsidR="00BA169F" w14:paraId="10505E2C" w14:textId="77777777" w:rsidTr="00BA169F">
        <w:tc>
          <w:tcPr>
            <w:tcW w:w="1838" w:type="dxa"/>
          </w:tcPr>
          <w:p w14:paraId="7327324F" w14:textId="20B49A89"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Current Ratio</w:t>
            </w:r>
          </w:p>
        </w:tc>
        <w:tc>
          <w:tcPr>
            <w:tcW w:w="977" w:type="dxa"/>
          </w:tcPr>
          <w:p w14:paraId="41C1F00B" w14:textId="2DAA3822"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0.72</w:t>
            </w:r>
          </w:p>
        </w:tc>
        <w:tc>
          <w:tcPr>
            <w:tcW w:w="752" w:type="dxa"/>
          </w:tcPr>
          <w:p w14:paraId="4822ACD6" w14:textId="3D38BE40"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0.67</w:t>
            </w:r>
          </w:p>
        </w:tc>
        <w:tc>
          <w:tcPr>
            <w:tcW w:w="1189" w:type="dxa"/>
          </w:tcPr>
          <w:p w14:paraId="754D7B96" w14:textId="53A6A101"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0.66</w:t>
            </w:r>
          </w:p>
        </w:tc>
        <w:tc>
          <w:tcPr>
            <w:tcW w:w="1189" w:type="dxa"/>
          </w:tcPr>
          <w:p w14:paraId="388B0E46" w14:textId="104AE51F"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0.70</w:t>
            </w:r>
          </w:p>
        </w:tc>
        <w:tc>
          <w:tcPr>
            <w:tcW w:w="1190" w:type="dxa"/>
          </w:tcPr>
          <w:p w14:paraId="49AF52BE" w14:textId="08F87CFB"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0.92</w:t>
            </w:r>
          </w:p>
        </w:tc>
        <w:tc>
          <w:tcPr>
            <w:tcW w:w="1577" w:type="dxa"/>
          </w:tcPr>
          <w:p w14:paraId="66062F85" w14:textId="36DD5A02" w:rsidR="00BA169F" w:rsidRPr="00BA169F" w:rsidRDefault="00BA169F" w:rsidP="00BA169F">
            <w:pPr>
              <w:spacing w:line="360" w:lineRule="auto"/>
              <w:jc w:val="center"/>
              <w:rPr>
                <w:rFonts w:ascii="Arial" w:hAnsi="Arial" w:cs="Arial"/>
                <w:sz w:val="24"/>
                <w:szCs w:val="24"/>
              </w:rPr>
            </w:pPr>
            <w:r>
              <w:rPr>
                <w:rFonts w:ascii="Arial" w:hAnsi="Arial" w:cs="Arial"/>
                <w:sz w:val="24"/>
                <w:szCs w:val="24"/>
              </w:rPr>
              <w:t>0.68</w:t>
            </w:r>
          </w:p>
        </w:tc>
      </w:tr>
      <w:tr w:rsidR="00BA169F" w14:paraId="42B45746" w14:textId="77777777" w:rsidTr="00BA169F">
        <w:tc>
          <w:tcPr>
            <w:tcW w:w="1838" w:type="dxa"/>
          </w:tcPr>
          <w:p w14:paraId="76397667" w14:textId="6A7E045D"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Quick Ratio</w:t>
            </w:r>
          </w:p>
        </w:tc>
        <w:tc>
          <w:tcPr>
            <w:tcW w:w="977" w:type="dxa"/>
          </w:tcPr>
          <w:p w14:paraId="15804502" w14:textId="726AB6E0"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0.29</w:t>
            </w:r>
          </w:p>
        </w:tc>
        <w:tc>
          <w:tcPr>
            <w:tcW w:w="752" w:type="dxa"/>
          </w:tcPr>
          <w:p w14:paraId="74E40D4E" w14:textId="1FCE21D5"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0.36</w:t>
            </w:r>
          </w:p>
        </w:tc>
        <w:tc>
          <w:tcPr>
            <w:tcW w:w="1189" w:type="dxa"/>
          </w:tcPr>
          <w:p w14:paraId="6BDF5049" w14:textId="00132E5E"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0.35</w:t>
            </w:r>
          </w:p>
        </w:tc>
        <w:tc>
          <w:tcPr>
            <w:tcW w:w="1189" w:type="dxa"/>
          </w:tcPr>
          <w:p w14:paraId="7117F089" w14:textId="31AB3D82"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0.42</w:t>
            </w:r>
          </w:p>
        </w:tc>
        <w:tc>
          <w:tcPr>
            <w:tcW w:w="1190" w:type="dxa"/>
          </w:tcPr>
          <w:p w14:paraId="3E73A6E3" w14:textId="49565D87"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0.62</w:t>
            </w:r>
          </w:p>
        </w:tc>
        <w:tc>
          <w:tcPr>
            <w:tcW w:w="1577" w:type="dxa"/>
          </w:tcPr>
          <w:p w14:paraId="75D63AB0" w14:textId="50AA1777" w:rsidR="00BA169F" w:rsidRPr="00BA169F" w:rsidRDefault="00BA169F" w:rsidP="00BA169F">
            <w:pPr>
              <w:spacing w:line="360" w:lineRule="auto"/>
              <w:jc w:val="center"/>
              <w:rPr>
                <w:rFonts w:ascii="Arial" w:hAnsi="Arial" w:cs="Arial"/>
                <w:sz w:val="24"/>
                <w:szCs w:val="24"/>
              </w:rPr>
            </w:pPr>
            <w:r>
              <w:rPr>
                <w:rFonts w:ascii="Arial" w:hAnsi="Arial" w:cs="Arial"/>
                <w:sz w:val="24"/>
                <w:szCs w:val="24"/>
              </w:rPr>
              <w:t>0.50</w:t>
            </w:r>
          </w:p>
        </w:tc>
      </w:tr>
      <w:tr w:rsidR="00BA169F" w14:paraId="60B591DC" w14:textId="77777777" w:rsidTr="00BA169F">
        <w:tc>
          <w:tcPr>
            <w:tcW w:w="1838" w:type="dxa"/>
          </w:tcPr>
          <w:p w14:paraId="1B84EFCC" w14:textId="7487D465" w:rsidR="00BA169F" w:rsidRPr="00BA169F" w:rsidRDefault="00BA169F" w:rsidP="00BA169F">
            <w:pPr>
              <w:spacing w:line="360" w:lineRule="auto"/>
              <w:jc w:val="center"/>
              <w:rPr>
                <w:rFonts w:ascii="Arial" w:hAnsi="Arial" w:cs="Arial"/>
                <w:b/>
                <w:bCs/>
                <w:i/>
                <w:iCs/>
                <w:sz w:val="24"/>
                <w:szCs w:val="24"/>
              </w:rPr>
            </w:pPr>
            <w:r w:rsidRPr="00BA169F">
              <w:rPr>
                <w:rFonts w:ascii="Arial" w:hAnsi="Arial" w:cs="Arial"/>
                <w:b/>
                <w:bCs/>
                <w:i/>
                <w:iCs/>
                <w:sz w:val="24"/>
                <w:szCs w:val="24"/>
              </w:rPr>
              <w:t>Cash Ratio</w:t>
            </w:r>
          </w:p>
        </w:tc>
        <w:tc>
          <w:tcPr>
            <w:tcW w:w="977" w:type="dxa"/>
          </w:tcPr>
          <w:p w14:paraId="55F03701" w14:textId="24BBA9C8" w:rsidR="00BA169F" w:rsidRPr="00BA169F" w:rsidRDefault="00BA169F" w:rsidP="00BA169F">
            <w:pPr>
              <w:spacing w:line="360" w:lineRule="auto"/>
              <w:jc w:val="center"/>
              <w:rPr>
                <w:rFonts w:ascii="Arial" w:hAnsi="Arial" w:cs="Arial"/>
                <w:sz w:val="24"/>
                <w:szCs w:val="24"/>
              </w:rPr>
            </w:pPr>
            <w:r>
              <w:rPr>
                <w:rFonts w:ascii="Arial" w:hAnsi="Arial" w:cs="Arial"/>
                <w:sz w:val="24"/>
                <w:szCs w:val="24"/>
              </w:rPr>
              <w:t>0.66</w:t>
            </w:r>
          </w:p>
        </w:tc>
        <w:tc>
          <w:tcPr>
            <w:tcW w:w="752" w:type="dxa"/>
          </w:tcPr>
          <w:p w14:paraId="7B7B0FA8" w14:textId="66C8BB52" w:rsidR="00BA169F" w:rsidRPr="00BA169F" w:rsidRDefault="00BA169F" w:rsidP="00BA169F">
            <w:pPr>
              <w:spacing w:line="360" w:lineRule="auto"/>
              <w:jc w:val="center"/>
              <w:rPr>
                <w:rFonts w:ascii="Arial" w:hAnsi="Arial" w:cs="Arial"/>
                <w:sz w:val="24"/>
                <w:szCs w:val="24"/>
              </w:rPr>
            </w:pPr>
            <w:r>
              <w:rPr>
                <w:rFonts w:ascii="Arial" w:hAnsi="Arial" w:cs="Arial"/>
                <w:sz w:val="24"/>
                <w:szCs w:val="24"/>
              </w:rPr>
              <w:t>0.61</w:t>
            </w:r>
          </w:p>
        </w:tc>
        <w:tc>
          <w:tcPr>
            <w:tcW w:w="1189" w:type="dxa"/>
          </w:tcPr>
          <w:p w14:paraId="3B148842" w14:textId="2C68276A" w:rsidR="00BA169F" w:rsidRPr="00BA169F" w:rsidRDefault="00BA169F" w:rsidP="00BA169F">
            <w:pPr>
              <w:spacing w:line="360" w:lineRule="auto"/>
              <w:jc w:val="center"/>
              <w:rPr>
                <w:rFonts w:ascii="Arial" w:hAnsi="Arial" w:cs="Arial"/>
                <w:sz w:val="24"/>
                <w:szCs w:val="24"/>
              </w:rPr>
            </w:pPr>
            <w:r>
              <w:rPr>
                <w:rFonts w:ascii="Arial" w:hAnsi="Arial" w:cs="Arial"/>
                <w:sz w:val="24"/>
                <w:szCs w:val="24"/>
              </w:rPr>
              <w:t>0.13</w:t>
            </w:r>
          </w:p>
        </w:tc>
        <w:tc>
          <w:tcPr>
            <w:tcW w:w="1189" w:type="dxa"/>
          </w:tcPr>
          <w:p w14:paraId="1DBC18EE" w14:textId="6E632643" w:rsidR="00BA169F" w:rsidRPr="00BA169F" w:rsidRDefault="00BA169F" w:rsidP="00BA169F">
            <w:pPr>
              <w:spacing w:line="360" w:lineRule="auto"/>
              <w:jc w:val="center"/>
              <w:rPr>
                <w:rFonts w:ascii="Arial" w:hAnsi="Arial" w:cs="Arial"/>
                <w:sz w:val="24"/>
                <w:szCs w:val="24"/>
              </w:rPr>
            </w:pPr>
            <w:r>
              <w:rPr>
                <w:rFonts w:ascii="Arial" w:hAnsi="Arial" w:cs="Arial"/>
                <w:sz w:val="24"/>
                <w:szCs w:val="24"/>
              </w:rPr>
              <w:t>0.29</w:t>
            </w:r>
          </w:p>
        </w:tc>
        <w:tc>
          <w:tcPr>
            <w:tcW w:w="1190" w:type="dxa"/>
          </w:tcPr>
          <w:p w14:paraId="54152AD7" w14:textId="2EE89775" w:rsidR="00BA169F" w:rsidRPr="00BA169F" w:rsidRDefault="00BA169F" w:rsidP="00BA169F">
            <w:pPr>
              <w:spacing w:line="360" w:lineRule="auto"/>
              <w:jc w:val="center"/>
              <w:rPr>
                <w:rFonts w:ascii="Arial" w:hAnsi="Arial" w:cs="Arial"/>
                <w:sz w:val="24"/>
                <w:szCs w:val="24"/>
              </w:rPr>
            </w:pPr>
            <w:r w:rsidRPr="00BA169F">
              <w:rPr>
                <w:rFonts w:ascii="Arial" w:hAnsi="Arial" w:cs="Arial"/>
                <w:sz w:val="24"/>
                <w:szCs w:val="24"/>
              </w:rPr>
              <w:t>0.50</w:t>
            </w:r>
          </w:p>
        </w:tc>
        <w:tc>
          <w:tcPr>
            <w:tcW w:w="1577" w:type="dxa"/>
          </w:tcPr>
          <w:p w14:paraId="4B1965C7" w14:textId="12224538" w:rsidR="00BA169F" w:rsidRPr="00BA169F" w:rsidRDefault="00BA169F" w:rsidP="00BA169F">
            <w:pPr>
              <w:spacing w:line="360" w:lineRule="auto"/>
              <w:jc w:val="center"/>
              <w:rPr>
                <w:rFonts w:ascii="Arial" w:hAnsi="Arial" w:cs="Arial"/>
                <w:sz w:val="24"/>
                <w:szCs w:val="24"/>
              </w:rPr>
            </w:pPr>
            <w:r>
              <w:rPr>
                <w:rFonts w:ascii="Arial" w:hAnsi="Arial" w:cs="Arial"/>
                <w:sz w:val="24"/>
                <w:szCs w:val="24"/>
              </w:rPr>
              <w:t>0.08</w:t>
            </w:r>
          </w:p>
        </w:tc>
      </w:tr>
    </w:tbl>
    <w:p w14:paraId="2649CFE5" w14:textId="305E889B" w:rsidR="00BA169F" w:rsidRDefault="00BA169F" w:rsidP="00B23475">
      <w:pPr>
        <w:shd w:val="clear" w:color="auto" w:fill="FFFFFF"/>
        <w:spacing w:line="360" w:lineRule="auto"/>
        <w:rPr>
          <w:rFonts w:ascii="Arial" w:hAnsi="Arial" w:cs="Arial"/>
          <w:b/>
          <w:bCs/>
          <w:sz w:val="24"/>
          <w:szCs w:val="24"/>
        </w:rPr>
      </w:pPr>
    </w:p>
    <w:p w14:paraId="4716C7FF" w14:textId="0A735D9E" w:rsidR="00163859" w:rsidRPr="00163859" w:rsidRDefault="00163859" w:rsidP="00163859">
      <w:pPr>
        <w:spacing w:before="100" w:beforeAutospacing="1" w:after="100" w:afterAutospacing="1" w:line="360" w:lineRule="auto"/>
        <w:rPr>
          <w:rFonts w:ascii="Arial" w:eastAsia="Times New Roman" w:hAnsi="Arial" w:cs="Arial"/>
          <w:sz w:val="24"/>
          <w:szCs w:val="24"/>
          <w:lang w:eastAsia="en-GB" w:bidi="ar-SA"/>
        </w:rPr>
      </w:pPr>
      <w:r w:rsidRPr="00163859">
        <w:rPr>
          <w:rFonts w:ascii="Arial" w:eastAsia="Times New Roman" w:hAnsi="Arial" w:cs="Arial"/>
          <w:sz w:val="24"/>
          <w:szCs w:val="24"/>
          <w:lang w:eastAsia="en-GB" w:bidi="ar-SA"/>
        </w:rPr>
        <w:t>The table above shows the current, quick, and cash ratios for M&amp;S (Marks &amp; Spencer) and Sainsbury's for 2022. These ratios are financial indicators that help assess a company's liquidity and ability to meet its short-term obligations.</w:t>
      </w:r>
    </w:p>
    <w:p w14:paraId="50035BB3" w14:textId="1AFBD2B9" w:rsidR="00163859" w:rsidRPr="00163859" w:rsidRDefault="00163859" w:rsidP="00163859">
      <w:pPr>
        <w:shd w:val="clear" w:color="auto" w:fill="FFFFFF"/>
        <w:spacing w:line="360" w:lineRule="auto"/>
        <w:rPr>
          <w:rFonts w:ascii="Arial" w:eastAsia="Times New Roman" w:hAnsi="Arial" w:cs="Arial"/>
          <w:color w:val="000000"/>
          <w:sz w:val="24"/>
          <w:szCs w:val="24"/>
          <w:lang w:eastAsia="en-GB" w:bidi="ar-SA"/>
        </w:rPr>
      </w:pPr>
      <w:r w:rsidRPr="00163859">
        <w:rPr>
          <w:rFonts w:ascii="Arial" w:eastAsia="Times New Roman" w:hAnsi="Arial" w:cs="Arial"/>
          <w:b/>
          <w:bCs/>
          <w:sz w:val="24"/>
          <w:szCs w:val="24"/>
          <w:lang w:eastAsia="en-GB" w:bidi="ar-SA"/>
        </w:rPr>
        <w:t>Current Ratio:</w:t>
      </w:r>
      <w:r w:rsidRPr="00163859">
        <w:rPr>
          <w:rFonts w:ascii="Arial" w:eastAsia="Times New Roman" w:hAnsi="Arial" w:cs="Arial"/>
          <w:sz w:val="24"/>
          <w:szCs w:val="24"/>
          <w:lang w:eastAsia="en-GB" w:bidi="ar-SA"/>
        </w:rPr>
        <w:t xml:space="preserve"> The current ratio, commonly </w:t>
      </w:r>
      <w:r>
        <w:rPr>
          <w:rFonts w:ascii="Arial" w:eastAsia="Times New Roman" w:hAnsi="Arial" w:cs="Arial"/>
          <w:sz w:val="24"/>
          <w:szCs w:val="24"/>
          <w:lang w:eastAsia="en-GB" w:bidi="ar-SA"/>
        </w:rPr>
        <w:t>called the working capital ratio, assesses a company's capacity to pay the short-term debt</w:t>
      </w:r>
      <w:r w:rsidRPr="00163859">
        <w:rPr>
          <w:rFonts w:ascii="Arial" w:eastAsia="Times New Roman" w:hAnsi="Arial" w:cs="Arial"/>
          <w:sz w:val="24"/>
          <w:szCs w:val="24"/>
          <w:lang w:eastAsia="en-GB" w:bidi="ar-SA"/>
        </w:rPr>
        <w:t xml:space="preserve"> due within a year. The weight of total current assets compared to total current liabilities is </w:t>
      </w:r>
      <w:r>
        <w:rPr>
          <w:rFonts w:ascii="Arial" w:eastAsia="Times New Roman" w:hAnsi="Arial" w:cs="Arial"/>
          <w:sz w:val="24"/>
          <w:szCs w:val="24"/>
          <w:lang w:eastAsia="en-GB" w:bidi="ar-SA"/>
        </w:rPr>
        <w:t>considered</w:t>
      </w:r>
      <w:r w:rsidRPr="00163859">
        <w:rPr>
          <w:rFonts w:ascii="Arial" w:eastAsia="Times New Roman" w:hAnsi="Arial" w:cs="Arial"/>
          <w:sz w:val="24"/>
          <w:szCs w:val="24"/>
          <w:lang w:eastAsia="en-GB" w:bidi="ar-SA"/>
        </w:rPr>
        <w:t xml:space="preserve"> in the ratio</w:t>
      </w:r>
      <w:r w:rsidRPr="00163859">
        <w:rPr>
          <w:rFonts w:ascii="Arial" w:hAnsi="Arial" w:cs="Arial"/>
          <w:color w:val="000000"/>
        </w:rPr>
        <w:t xml:space="preserve"> </w:t>
      </w:r>
      <w:r w:rsidRPr="00163859">
        <w:rPr>
          <w:rFonts w:ascii="Arial" w:eastAsia="Times New Roman" w:hAnsi="Arial" w:cs="Arial"/>
          <w:color w:val="000000"/>
          <w:sz w:val="24"/>
          <w:szCs w:val="24"/>
          <w:lang w:eastAsia="en-GB" w:bidi="ar-SA"/>
        </w:rPr>
        <w:t>(CFI, 2022)</w:t>
      </w:r>
      <w:r w:rsidRPr="00163859">
        <w:rPr>
          <w:rFonts w:ascii="Arial" w:eastAsia="Times New Roman" w:hAnsi="Arial" w:cs="Arial"/>
          <w:sz w:val="24"/>
          <w:szCs w:val="24"/>
          <w:lang w:eastAsia="en-GB" w:bidi="ar-SA"/>
        </w:rPr>
        <w:t>.</w:t>
      </w:r>
    </w:p>
    <w:p w14:paraId="3A96C400" w14:textId="369040AB" w:rsidR="00163859" w:rsidRPr="00163859" w:rsidRDefault="00163859" w:rsidP="00163859">
      <w:pPr>
        <w:shd w:val="clear" w:color="auto" w:fill="FFFFFF"/>
        <w:spacing w:line="360" w:lineRule="auto"/>
        <w:rPr>
          <w:rFonts w:ascii="Arial" w:hAnsi="Arial" w:cs="Arial"/>
          <w:sz w:val="24"/>
          <w:szCs w:val="24"/>
        </w:rPr>
      </w:pPr>
      <w:r w:rsidRPr="00163859">
        <w:rPr>
          <w:rFonts w:ascii="Arial" w:eastAsia="Times New Roman" w:hAnsi="Arial" w:cs="Arial"/>
          <w:sz w:val="24"/>
          <w:szCs w:val="24"/>
          <w:lang w:eastAsia="en-GB" w:bidi="ar-SA"/>
        </w:rPr>
        <w:t>The current Ratio for M&amp;S in 2022 is 0.92, which means that for every £1 of current liabilities, M&amp;S has £0.92 of current assets available to cover those liabilities</w:t>
      </w:r>
      <w:r w:rsidRPr="00163859">
        <w:rPr>
          <w:rFonts w:ascii="Arial" w:hAnsi="Arial" w:cs="Arial"/>
          <w:sz w:val="24"/>
          <w:szCs w:val="24"/>
        </w:rPr>
        <w:t>. A good current ratio typically falls within the range of 1.5 to 3</w:t>
      </w:r>
      <w:r w:rsidRPr="00163859">
        <w:rPr>
          <w:rFonts w:ascii="Arial" w:hAnsi="Arial" w:cs="Arial"/>
          <w:color w:val="000000"/>
          <w:sz w:val="24"/>
          <w:szCs w:val="24"/>
        </w:rPr>
        <w:t xml:space="preserve"> </w:t>
      </w:r>
      <w:r w:rsidRPr="00163859">
        <w:rPr>
          <w:rFonts w:ascii="Arial" w:eastAsia="Times New Roman" w:hAnsi="Arial" w:cs="Arial"/>
          <w:color w:val="000000"/>
          <w:sz w:val="24"/>
          <w:szCs w:val="24"/>
          <w:lang w:eastAsia="en-GB" w:bidi="ar-SA"/>
        </w:rPr>
        <w:t>(</w:t>
      </w:r>
      <w:proofErr w:type="spellStart"/>
      <w:r w:rsidRPr="00163859">
        <w:rPr>
          <w:rFonts w:ascii="Arial" w:eastAsia="Times New Roman" w:hAnsi="Arial" w:cs="Arial"/>
          <w:color w:val="000000"/>
          <w:sz w:val="24"/>
          <w:szCs w:val="24"/>
          <w:lang w:eastAsia="en-GB" w:bidi="ar-SA"/>
        </w:rPr>
        <w:t>Kibet</w:t>
      </w:r>
      <w:proofErr w:type="spellEnd"/>
      <w:r w:rsidRPr="00163859">
        <w:rPr>
          <w:rFonts w:ascii="Arial" w:eastAsia="Times New Roman" w:hAnsi="Arial" w:cs="Arial"/>
          <w:color w:val="000000"/>
          <w:sz w:val="24"/>
          <w:szCs w:val="24"/>
          <w:lang w:eastAsia="en-GB" w:bidi="ar-SA"/>
        </w:rPr>
        <w:t>, 2021)</w:t>
      </w:r>
      <w:r w:rsidRPr="00163859">
        <w:rPr>
          <w:rFonts w:ascii="Arial" w:hAnsi="Arial" w:cs="Arial"/>
          <w:sz w:val="24"/>
          <w:szCs w:val="24"/>
        </w:rPr>
        <w:t>. This range is considered healthy and indicates that a company has enough current assets to cover its short-term liabilities comfortably. A current ratio above 1 means that a company's current assets exceed its current liabilities, suggesting it has sufficient liquidity to meet its short-term obligations.</w:t>
      </w:r>
    </w:p>
    <w:p w14:paraId="0FD9AF57" w14:textId="392E5531" w:rsidR="00163859" w:rsidRDefault="00163859" w:rsidP="00163859">
      <w:pPr>
        <w:spacing w:before="100" w:beforeAutospacing="1" w:after="100" w:afterAutospacing="1" w:line="360" w:lineRule="auto"/>
        <w:rPr>
          <w:rFonts w:ascii="Arial" w:eastAsia="Times New Roman" w:hAnsi="Arial" w:cs="Arial"/>
          <w:sz w:val="24"/>
          <w:szCs w:val="24"/>
          <w:lang w:eastAsia="en-GB" w:bidi="ar-SA"/>
        </w:rPr>
      </w:pPr>
      <w:r w:rsidRPr="00163859">
        <w:rPr>
          <w:rFonts w:ascii="Arial" w:eastAsia="Times New Roman" w:hAnsi="Arial" w:cs="Arial"/>
          <w:sz w:val="24"/>
          <w:szCs w:val="24"/>
          <w:lang w:eastAsia="en-GB" w:bidi="ar-SA"/>
        </w:rPr>
        <w:t xml:space="preserve">The current Ratio for </w:t>
      </w:r>
      <w:r w:rsidRPr="00163859">
        <w:rPr>
          <w:rFonts w:ascii="Arial" w:eastAsia="Times New Roman" w:hAnsi="Arial" w:cs="Arial"/>
          <w:b/>
          <w:bCs/>
          <w:sz w:val="24"/>
          <w:szCs w:val="24"/>
          <w:lang w:eastAsia="en-GB" w:bidi="ar-SA"/>
        </w:rPr>
        <w:t>Sainsbury's</w:t>
      </w:r>
      <w:r w:rsidRPr="00163859">
        <w:rPr>
          <w:rFonts w:ascii="Arial" w:eastAsia="Times New Roman" w:hAnsi="Arial" w:cs="Arial"/>
          <w:sz w:val="24"/>
          <w:szCs w:val="24"/>
          <w:lang w:eastAsia="en-GB" w:bidi="ar-SA"/>
        </w:rPr>
        <w:t xml:space="preserve"> in 2022 </w:t>
      </w:r>
      <w:r w:rsidR="001648FE">
        <w:rPr>
          <w:rFonts w:ascii="Arial" w:eastAsia="Times New Roman" w:hAnsi="Arial" w:cs="Arial"/>
          <w:sz w:val="24"/>
          <w:szCs w:val="24"/>
          <w:lang w:eastAsia="en-GB" w:bidi="ar-SA"/>
        </w:rPr>
        <w:t>was</w:t>
      </w:r>
      <w:r w:rsidRPr="00163859">
        <w:rPr>
          <w:rFonts w:ascii="Arial" w:eastAsia="Times New Roman" w:hAnsi="Arial" w:cs="Arial"/>
          <w:sz w:val="24"/>
          <w:szCs w:val="24"/>
          <w:lang w:eastAsia="en-GB" w:bidi="ar-SA"/>
        </w:rPr>
        <w:t xml:space="preserve"> 0.68, indicating that for every £1 of current liabilities, Sainsbury's has £0.68 of current assets. Although lower than M&amp;S, the </w:t>
      </w:r>
      <w:r>
        <w:rPr>
          <w:rFonts w:ascii="Arial" w:eastAsia="Times New Roman" w:hAnsi="Arial" w:cs="Arial"/>
          <w:sz w:val="24"/>
          <w:szCs w:val="24"/>
          <w:lang w:eastAsia="en-GB" w:bidi="ar-SA"/>
        </w:rPr>
        <w:t>r</w:t>
      </w:r>
      <w:r w:rsidRPr="00163859">
        <w:rPr>
          <w:rFonts w:ascii="Arial" w:eastAsia="Times New Roman" w:hAnsi="Arial" w:cs="Arial"/>
          <w:sz w:val="24"/>
          <w:szCs w:val="24"/>
          <w:lang w:eastAsia="en-GB" w:bidi="ar-SA"/>
        </w:rPr>
        <w:t>atio is still above 0.5, suggesting Sainsbury's has sufficient current assets to cover its short-term obligations.</w:t>
      </w:r>
    </w:p>
    <w:p w14:paraId="09E24DF9" w14:textId="62F322D1" w:rsidR="00163859" w:rsidRPr="00163859" w:rsidRDefault="00163859" w:rsidP="00163859">
      <w:pPr>
        <w:shd w:val="clear" w:color="auto" w:fill="FFFFFF"/>
        <w:spacing w:line="360" w:lineRule="auto"/>
        <w:rPr>
          <w:rFonts w:ascii="Arial" w:eastAsia="Times New Roman" w:hAnsi="Arial" w:cs="Arial"/>
          <w:color w:val="000000"/>
          <w:sz w:val="24"/>
          <w:szCs w:val="24"/>
          <w:lang w:eastAsia="en-GB" w:bidi="ar-SA"/>
        </w:rPr>
      </w:pPr>
      <w:r w:rsidRPr="00163859">
        <w:rPr>
          <w:rFonts w:ascii="Arial" w:hAnsi="Arial" w:cs="Arial"/>
          <w:sz w:val="24"/>
          <w:szCs w:val="24"/>
        </w:rPr>
        <w:lastRenderedPageBreak/>
        <w:t>The retail industry's average current ratio is 1.186</w:t>
      </w:r>
      <w:r w:rsidRPr="00163859">
        <w:rPr>
          <w:rFonts w:ascii="Arial" w:hAnsi="Arial" w:cs="Arial"/>
          <w:color w:val="000000"/>
          <w:sz w:val="24"/>
          <w:szCs w:val="24"/>
        </w:rPr>
        <w:t xml:space="preserve"> </w:t>
      </w:r>
      <w:r w:rsidRPr="00163859">
        <w:rPr>
          <w:rFonts w:ascii="Arial" w:eastAsia="Times New Roman" w:hAnsi="Arial" w:cs="Arial"/>
          <w:color w:val="000000"/>
          <w:sz w:val="24"/>
          <w:szCs w:val="24"/>
          <w:lang w:eastAsia="en-GB" w:bidi="ar-SA"/>
        </w:rPr>
        <w:t>(CFA Journal, 2021)</w:t>
      </w:r>
      <w:r w:rsidRPr="00163859">
        <w:rPr>
          <w:rFonts w:ascii="Arial" w:hAnsi="Arial" w:cs="Arial"/>
          <w:sz w:val="24"/>
          <w:szCs w:val="24"/>
        </w:rPr>
        <w:t>.</w:t>
      </w:r>
      <w:r>
        <w:rPr>
          <w:rFonts w:ascii="Arial" w:hAnsi="Arial" w:cs="Arial"/>
          <w:sz w:val="24"/>
          <w:szCs w:val="24"/>
        </w:rPr>
        <w:t xml:space="preserve"> Therefore, considering the current ratio, M&amp;S is in a better position than Sainsbury's.</w:t>
      </w:r>
    </w:p>
    <w:p w14:paraId="29A3BEFA" w14:textId="77777777" w:rsidR="00163859" w:rsidRPr="00163859" w:rsidRDefault="00163859" w:rsidP="00163859">
      <w:pPr>
        <w:spacing w:before="100" w:beforeAutospacing="1" w:after="100" w:afterAutospacing="1" w:line="360" w:lineRule="auto"/>
        <w:rPr>
          <w:rFonts w:ascii="Arial" w:eastAsia="Times New Roman" w:hAnsi="Arial" w:cs="Arial"/>
          <w:b/>
          <w:bCs/>
          <w:sz w:val="24"/>
          <w:szCs w:val="24"/>
          <w:lang w:eastAsia="en-GB" w:bidi="ar-SA"/>
        </w:rPr>
      </w:pPr>
    </w:p>
    <w:p w14:paraId="2D284598" w14:textId="6019DA0F" w:rsidR="00163859" w:rsidRDefault="00163859" w:rsidP="00C32623">
      <w:pPr>
        <w:spacing w:before="100" w:beforeAutospacing="1" w:after="100" w:afterAutospacing="1" w:line="360" w:lineRule="auto"/>
        <w:jc w:val="both"/>
        <w:rPr>
          <w:rFonts w:ascii="Arial" w:eastAsia="Times New Roman" w:hAnsi="Arial" w:cs="Arial"/>
          <w:b/>
          <w:bCs/>
          <w:sz w:val="24"/>
          <w:szCs w:val="24"/>
          <w:lang w:eastAsia="en-GB" w:bidi="ar-SA"/>
        </w:rPr>
      </w:pPr>
      <w:r w:rsidRPr="00163859">
        <w:rPr>
          <w:rFonts w:ascii="Arial" w:eastAsia="Times New Roman" w:hAnsi="Arial" w:cs="Arial"/>
          <w:b/>
          <w:bCs/>
          <w:sz w:val="24"/>
          <w:szCs w:val="24"/>
          <w:lang w:eastAsia="en-GB" w:bidi="ar-SA"/>
        </w:rPr>
        <w:t xml:space="preserve">Quick </w:t>
      </w:r>
      <w:r w:rsidRPr="00C32623">
        <w:rPr>
          <w:rFonts w:ascii="Arial" w:eastAsia="Times New Roman" w:hAnsi="Arial" w:cs="Arial"/>
          <w:b/>
          <w:bCs/>
          <w:sz w:val="24"/>
          <w:szCs w:val="24"/>
          <w:lang w:eastAsia="en-GB" w:bidi="ar-SA"/>
        </w:rPr>
        <w:t>r</w:t>
      </w:r>
      <w:r w:rsidRPr="00163859">
        <w:rPr>
          <w:rFonts w:ascii="Arial" w:eastAsia="Times New Roman" w:hAnsi="Arial" w:cs="Arial"/>
          <w:b/>
          <w:bCs/>
          <w:sz w:val="24"/>
          <w:szCs w:val="24"/>
          <w:lang w:eastAsia="en-GB" w:bidi="ar-SA"/>
        </w:rPr>
        <w:t>atio (also known as Acid-Test Ratio):</w:t>
      </w:r>
    </w:p>
    <w:p w14:paraId="38C27B5A" w14:textId="332A615A" w:rsidR="00903960" w:rsidRPr="00903960" w:rsidRDefault="00184D80" w:rsidP="00184D80">
      <w:pPr>
        <w:spacing w:before="100" w:beforeAutospacing="1" w:after="100" w:afterAutospacing="1" w:line="360" w:lineRule="auto"/>
        <w:jc w:val="both"/>
        <w:rPr>
          <w:rFonts w:ascii="Arial" w:eastAsia="Times New Roman" w:hAnsi="Arial" w:cs="Arial"/>
          <w:color w:val="000000"/>
          <w:sz w:val="24"/>
          <w:szCs w:val="24"/>
          <w:lang w:eastAsia="en-GB" w:bidi="ar-SA"/>
        </w:rPr>
      </w:pPr>
      <w:r w:rsidRPr="005E245F">
        <w:rPr>
          <w:rFonts w:ascii="Arial" w:eastAsia="Times New Roman" w:hAnsi="Arial" w:cs="Arial"/>
          <w:sz w:val="24"/>
          <w:szCs w:val="24"/>
          <w:lang w:eastAsia="en-GB" w:bidi="ar-SA"/>
        </w:rPr>
        <w:t>The quick ratio is similar to the current ratio</w:t>
      </w:r>
      <w:r>
        <w:rPr>
          <w:rFonts w:ascii="Arial" w:eastAsia="Times New Roman" w:hAnsi="Arial" w:cs="Arial"/>
          <w:sz w:val="24"/>
          <w:szCs w:val="24"/>
          <w:lang w:eastAsia="en-GB" w:bidi="ar-SA"/>
        </w:rPr>
        <w:t xml:space="preserve"> bu</w:t>
      </w:r>
      <w:r w:rsidRPr="005E245F">
        <w:rPr>
          <w:rFonts w:ascii="Arial" w:eastAsia="Times New Roman" w:hAnsi="Arial" w:cs="Arial"/>
          <w:sz w:val="24"/>
          <w:szCs w:val="24"/>
          <w:lang w:eastAsia="en-GB" w:bidi="ar-SA"/>
        </w:rPr>
        <w:t xml:space="preserve">t is a </w:t>
      </w:r>
      <w:proofErr w:type="gramStart"/>
      <w:r w:rsidRPr="005E245F">
        <w:rPr>
          <w:rFonts w:ascii="Arial" w:eastAsia="Times New Roman" w:hAnsi="Arial" w:cs="Arial"/>
          <w:sz w:val="24"/>
          <w:szCs w:val="24"/>
          <w:lang w:eastAsia="en-GB" w:bidi="ar-SA"/>
        </w:rPr>
        <w:t>more strict</w:t>
      </w:r>
      <w:proofErr w:type="gramEnd"/>
      <w:r w:rsidRPr="005E245F">
        <w:rPr>
          <w:rFonts w:ascii="Arial" w:eastAsia="Times New Roman" w:hAnsi="Arial" w:cs="Arial"/>
          <w:sz w:val="24"/>
          <w:szCs w:val="24"/>
          <w:lang w:eastAsia="en-GB" w:bidi="ar-SA"/>
        </w:rPr>
        <w:t xml:space="preserve"> test. It may be argued that since inventory cannot be transformed into cash fast, </w:t>
      </w:r>
      <w:r>
        <w:rPr>
          <w:rFonts w:ascii="Arial" w:eastAsia="Times New Roman" w:hAnsi="Arial" w:cs="Arial"/>
          <w:sz w:val="24"/>
          <w:szCs w:val="24"/>
          <w:lang w:eastAsia="en-GB" w:bidi="ar-SA"/>
        </w:rPr>
        <w:t>it</w:t>
      </w:r>
      <w:r w:rsidRPr="005E245F">
        <w:rPr>
          <w:rFonts w:ascii="Arial" w:eastAsia="Times New Roman" w:hAnsi="Arial" w:cs="Arial"/>
          <w:sz w:val="24"/>
          <w:szCs w:val="24"/>
          <w:lang w:eastAsia="en-GB" w:bidi="ar-SA"/>
        </w:rPr>
        <w:t xml:space="preserve"> should be excluded when calculating liquidity.</w:t>
      </w:r>
      <w:r>
        <w:rPr>
          <w:rFonts w:ascii="Arial" w:eastAsia="Times New Roman" w:hAnsi="Arial" w:cs="Arial"/>
          <w:sz w:val="24"/>
          <w:szCs w:val="24"/>
          <w:lang w:eastAsia="en-GB" w:bidi="ar-SA"/>
        </w:rPr>
        <w:t xml:space="preserve"> </w:t>
      </w:r>
      <w:r w:rsidR="005E245F" w:rsidRPr="005E245F">
        <w:rPr>
          <w:rFonts w:ascii="Arial" w:eastAsia="Times New Roman" w:hAnsi="Arial" w:cs="Arial"/>
          <w:sz w:val="24"/>
          <w:szCs w:val="24"/>
          <w:lang w:eastAsia="en-GB" w:bidi="ar-SA"/>
        </w:rPr>
        <w:t xml:space="preserve">The quick ratio assesses a company's ability to pay current creditors without selling inventory or obtaining </w:t>
      </w:r>
      <w:r w:rsidR="005E245F">
        <w:rPr>
          <w:rFonts w:ascii="Arial" w:eastAsia="Times New Roman" w:hAnsi="Arial" w:cs="Arial"/>
          <w:sz w:val="24"/>
          <w:szCs w:val="24"/>
          <w:lang w:eastAsia="en-GB" w:bidi="ar-SA"/>
        </w:rPr>
        <w:t>additional</w:t>
      </w:r>
      <w:r w:rsidR="005E245F" w:rsidRPr="005E245F">
        <w:rPr>
          <w:rFonts w:ascii="Arial" w:eastAsia="Times New Roman" w:hAnsi="Arial" w:cs="Arial"/>
          <w:sz w:val="24"/>
          <w:szCs w:val="24"/>
          <w:lang w:eastAsia="en-GB" w:bidi="ar-SA"/>
        </w:rPr>
        <w:t xml:space="preserve"> financing.</w:t>
      </w:r>
      <w:r w:rsidR="00903960">
        <w:rPr>
          <w:rFonts w:ascii="Arial" w:eastAsia="Times New Roman" w:hAnsi="Arial" w:cs="Arial"/>
          <w:sz w:val="24"/>
          <w:szCs w:val="24"/>
          <w:lang w:eastAsia="en-GB" w:bidi="ar-SA"/>
        </w:rPr>
        <w:t xml:space="preserve"> </w:t>
      </w:r>
      <w:r w:rsidR="00903960" w:rsidRPr="00903960">
        <w:rPr>
          <w:rFonts w:ascii="Arial" w:eastAsia="Times New Roman" w:hAnsi="Arial" w:cs="Arial"/>
          <w:sz w:val="24"/>
          <w:szCs w:val="24"/>
          <w:lang w:eastAsia="en-GB" w:bidi="ar-SA"/>
        </w:rPr>
        <w:t>The ideal quick ratio is 1 or more</w:t>
      </w:r>
      <w:r w:rsidR="00903960" w:rsidRPr="00903960">
        <w:rPr>
          <w:rFonts w:ascii="Arial" w:hAnsi="Arial" w:cs="Arial"/>
          <w:color w:val="000000"/>
        </w:rPr>
        <w:t xml:space="preserve"> </w:t>
      </w:r>
      <w:r w:rsidR="00903960" w:rsidRPr="00903960">
        <w:rPr>
          <w:rFonts w:ascii="Arial" w:eastAsia="Times New Roman" w:hAnsi="Arial" w:cs="Arial"/>
          <w:color w:val="000000"/>
          <w:sz w:val="24"/>
          <w:szCs w:val="24"/>
          <w:lang w:eastAsia="en-GB" w:bidi="ar-SA"/>
        </w:rPr>
        <w:t>(Seth, 2023).</w:t>
      </w:r>
    </w:p>
    <w:p w14:paraId="7D029967" w14:textId="5814FC64" w:rsidR="00163859" w:rsidRPr="005E245F" w:rsidRDefault="00163859" w:rsidP="005E245F">
      <w:pPr>
        <w:spacing w:before="100" w:beforeAutospacing="1" w:after="100" w:afterAutospacing="1" w:line="360" w:lineRule="auto"/>
        <w:jc w:val="both"/>
        <w:rPr>
          <w:rFonts w:ascii="Arial" w:eastAsia="Times New Roman" w:hAnsi="Arial" w:cs="Arial"/>
          <w:sz w:val="24"/>
          <w:szCs w:val="24"/>
          <w:lang w:eastAsia="en-GB" w:bidi="ar-SA"/>
        </w:rPr>
      </w:pPr>
      <w:r w:rsidRPr="00163859">
        <w:rPr>
          <w:rFonts w:ascii="Arial" w:eastAsia="Times New Roman" w:hAnsi="Arial" w:cs="Arial"/>
          <w:sz w:val="24"/>
          <w:szCs w:val="24"/>
          <w:lang w:eastAsia="en-GB" w:bidi="ar-SA"/>
        </w:rPr>
        <w:t xml:space="preserve">The quick Ratio for M&amp;S in 2022 is 0.62, indicating that for every £1 of current liabilities, M&amp;S has £0.62 of quick assets (current assets excluding inventories) available to cover those liabilities. This </w:t>
      </w:r>
      <w:r>
        <w:rPr>
          <w:rFonts w:ascii="Arial" w:eastAsia="Times New Roman" w:hAnsi="Arial" w:cs="Arial"/>
          <w:sz w:val="24"/>
          <w:szCs w:val="24"/>
          <w:lang w:eastAsia="en-GB" w:bidi="ar-SA"/>
        </w:rPr>
        <w:t>r</w:t>
      </w:r>
      <w:r w:rsidRPr="00163859">
        <w:rPr>
          <w:rFonts w:ascii="Arial" w:eastAsia="Times New Roman" w:hAnsi="Arial" w:cs="Arial"/>
          <w:sz w:val="24"/>
          <w:szCs w:val="24"/>
          <w:lang w:eastAsia="en-GB" w:bidi="ar-SA"/>
        </w:rPr>
        <w:t xml:space="preserve">atio provides a more conservative measure of liquidity, </w:t>
      </w:r>
      <w:r>
        <w:rPr>
          <w:rFonts w:ascii="Arial" w:eastAsia="Times New Roman" w:hAnsi="Arial" w:cs="Arial"/>
          <w:sz w:val="24"/>
          <w:szCs w:val="24"/>
          <w:lang w:eastAsia="en-GB" w:bidi="ar-SA"/>
        </w:rPr>
        <w:t>excluding</w:t>
      </w:r>
      <w:r w:rsidRPr="00163859">
        <w:rPr>
          <w:rFonts w:ascii="Arial" w:eastAsia="Times New Roman" w:hAnsi="Arial" w:cs="Arial"/>
          <w:sz w:val="24"/>
          <w:szCs w:val="24"/>
          <w:lang w:eastAsia="en-GB" w:bidi="ar-SA"/>
        </w:rPr>
        <w:t xml:space="preserve"> </w:t>
      </w:r>
      <w:proofErr w:type="gramStart"/>
      <w:r w:rsidRPr="00163859">
        <w:rPr>
          <w:rFonts w:ascii="Arial" w:eastAsia="Times New Roman" w:hAnsi="Arial" w:cs="Arial"/>
          <w:sz w:val="24"/>
          <w:szCs w:val="24"/>
          <w:lang w:eastAsia="en-GB" w:bidi="ar-SA"/>
        </w:rPr>
        <w:t>less</w:t>
      </w:r>
      <w:proofErr w:type="gramEnd"/>
      <w:r w:rsidRPr="00163859">
        <w:rPr>
          <w:rFonts w:ascii="Arial" w:eastAsia="Times New Roman" w:hAnsi="Arial" w:cs="Arial"/>
          <w:sz w:val="24"/>
          <w:szCs w:val="24"/>
          <w:lang w:eastAsia="en-GB" w:bidi="ar-SA"/>
        </w:rPr>
        <w:t xml:space="preserve"> liquid assets like inventories. A higher quick ratio indicates a better ability to meet short-</w:t>
      </w:r>
      <w:r w:rsidRPr="005E245F">
        <w:rPr>
          <w:rFonts w:ascii="Arial" w:eastAsia="Times New Roman" w:hAnsi="Arial" w:cs="Arial"/>
          <w:sz w:val="24"/>
          <w:szCs w:val="24"/>
          <w:lang w:eastAsia="en-GB" w:bidi="ar-SA"/>
        </w:rPr>
        <w:t>term obligations without relying heavily on inventory sales.</w:t>
      </w:r>
    </w:p>
    <w:p w14:paraId="67C405AB" w14:textId="3AD7FA81" w:rsidR="00163859" w:rsidRPr="005E245F" w:rsidRDefault="00163859" w:rsidP="005E245F">
      <w:pPr>
        <w:shd w:val="clear" w:color="auto" w:fill="FFFFFF"/>
        <w:spacing w:line="360" w:lineRule="auto"/>
        <w:rPr>
          <w:rFonts w:ascii="Arial" w:eastAsia="Times New Roman" w:hAnsi="Arial" w:cs="Arial"/>
          <w:color w:val="000000"/>
          <w:sz w:val="24"/>
          <w:szCs w:val="24"/>
          <w:lang w:eastAsia="en-GB" w:bidi="ar-SA"/>
        </w:rPr>
      </w:pPr>
      <w:r w:rsidRPr="005E245F">
        <w:rPr>
          <w:rFonts w:ascii="Arial" w:eastAsia="Times New Roman" w:hAnsi="Arial" w:cs="Arial"/>
          <w:sz w:val="24"/>
          <w:szCs w:val="24"/>
          <w:lang w:eastAsia="en-GB" w:bidi="ar-SA"/>
        </w:rPr>
        <w:t>The quick Ratio for Sainsbury's in 2022 is 0.50</w:t>
      </w:r>
      <w:r w:rsidR="005E245F" w:rsidRPr="005E245F">
        <w:rPr>
          <w:rFonts w:ascii="Arial" w:eastAsia="Times New Roman" w:hAnsi="Arial" w:cs="Arial"/>
          <w:sz w:val="24"/>
          <w:szCs w:val="24"/>
          <w:lang w:eastAsia="en-GB" w:bidi="ar-SA"/>
        </w:rPr>
        <w:t>; w</w:t>
      </w:r>
      <w:r w:rsidRPr="005E245F">
        <w:rPr>
          <w:rFonts w:ascii="Arial" w:eastAsia="Times New Roman" w:hAnsi="Arial" w:cs="Arial"/>
          <w:sz w:val="24"/>
          <w:szCs w:val="24"/>
          <w:lang w:eastAsia="en-GB" w:bidi="ar-SA"/>
        </w:rPr>
        <w:t>hile lower than M&amp;S, the ratio is still above 0.5, indicating a reasonable ability to meet short-term obligations.</w:t>
      </w:r>
      <w:r w:rsidR="005E245F" w:rsidRPr="005E245F">
        <w:rPr>
          <w:rFonts w:ascii="Arial" w:eastAsia="Times New Roman" w:hAnsi="Arial" w:cs="Arial"/>
          <w:sz w:val="24"/>
          <w:szCs w:val="24"/>
          <w:lang w:eastAsia="en-GB" w:bidi="ar-SA"/>
        </w:rPr>
        <w:t xml:space="preserve"> However, even though M&amp;S i</w:t>
      </w:r>
      <w:r w:rsidR="005E245F">
        <w:rPr>
          <w:rFonts w:ascii="Arial" w:eastAsia="Times New Roman" w:hAnsi="Arial" w:cs="Arial"/>
          <w:sz w:val="24"/>
          <w:szCs w:val="24"/>
          <w:lang w:eastAsia="en-GB" w:bidi="ar-SA"/>
        </w:rPr>
        <w:t>s in a better position in 2022 with a higher quick ratio, both companies operate</w:t>
      </w:r>
      <w:r w:rsidR="005E245F" w:rsidRPr="005E245F">
        <w:rPr>
          <w:rFonts w:ascii="Arial" w:eastAsia="Times New Roman" w:hAnsi="Arial" w:cs="Arial"/>
          <w:sz w:val="24"/>
          <w:szCs w:val="24"/>
          <w:lang w:eastAsia="en-GB" w:bidi="ar-SA"/>
        </w:rPr>
        <w:t xml:space="preserve"> in </w:t>
      </w:r>
      <w:r w:rsidR="005E245F">
        <w:rPr>
          <w:rFonts w:ascii="Arial" w:eastAsia="Times New Roman" w:hAnsi="Arial" w:cs="Arial"/>
          <w:sz w:val="24"/>
          <w:szCs w:val="24"/>
          <w:lang w:eastAsia="en-GB" w:bidi="ar-SA"/>
        </w:rPr>
        <w:t xml:space="preserve">the </w:t>
      </w:r>
      <w:r w:rsidR="005E245F" w:rsidRPr="005E245F">
        <w:rPr>
          <w:rFonts w:ascii="Arial" w:eastAsia="Times New Roman" w:hAnsi="Arial" w:cs="Arial"/>
          <w:sz w:val="24"/>
          <w:szCs w:val="24"/>
          <w:lang w:eastAsia="en-GB" w:bidi="ar-SA"/>
        </w:rPr>
        <w:t>r</w:t>
      </w:r>
      <w:r w:rsidR="005E245F">
        <w:rPr>
          <w:rFonts w:ascii="Arial" w:eastAsia="Times New Roman" w:hAnsi="Arial" w:cs="Arial"/>
          <w:sz w:val="24"/>
          <w:szCs w:val="24"/>
          <w:lang w:eastAsia="en-GB" w:bidi="ar-SA"/>
        </w:rPr>
        <w:t>eta</w:t>
      </w:r>
      <w:r w:rsidR="005E245F" w:rsidRPr="005E245F">
        <w:rPr>
          <w:rFonts w:ascii="Arial" w:eastAsia="Times New Roman" w:hAnsi="Arial" w:cs="Arial"/>
          <w:sz w:val="24"/>
          <w:szCs w:val="24"/>
          <w:lang w:eastAsia="en-GB" w:bidi="ar-SA"/>
        </w:rPr>
        <w:t>il industry. Retailers often have flexible and longer payment terms with suppliers. M&amp;S can take up</w:t>
      </w:r>
      <w:r w:rsidR="005E245F">
        <w:rPr>
          <w:rFonts w:ascii="Arial" w:eastAsia="Times New Roman" w:hAnsi="Arial" w:cs="Arial"/>
          <w:sz w:val="24"/>
          <w:szCs w:val="24"/>
          <w:lang w:eastAsia="en-GB" w:bidi="ar-SA"/>
        </w:rPr>
        <w:t xml:space="preserve"> </w:t>
      </w:r>
      <w:r w:rsidR="005E245F" w:rsidRPr="005E245F">
        <w:rPr>
          <w:rFonts w:ascii="Arial" w:eastAsia="Times New Roman" w:hAnsi="Arial" w:cs="Arial"/>
          <w:sz w:val="24"/>
          <w:szCs w:val="24"/>
          <w:lang w:eastAsia="en-GB" w:bidi="ar-SA"/>
        </w:rPr>
        <w:t xml:space="preserve">to 75 days to pay their </w:t>
      </w:r>
      <w:r w:rsidR="00184D80">
        <w:rPr>
          <w:rFonts w:ascii="Arial" w:eastAsia="Times New Roman" w:hAnsi="Arial" w:cs="Arial"/>
          <w:sz w:val="24"/>
          <w:szCs w:val="24"/>
          <w:lang w:eastAsia="en-GB" w:bidi="ar-SA"/>
        </w:rPr>
        <w:t xml:space="preserve">FOB </w:t>
      </w:r>
      <w:r w:rsidR="005E245F" w:rsidRPr="005E245F">
        <w:rPr>
          <w:rFonts w:ascii="Arial" w:eastAsia="Times New Roman" w:hAnsi="Arial" w:cs="Arial"/>
          <w:sz w:val="24"/>
          <w:szCs w:val="24"/>
          <w:lang w:eastAsia="en-GB" w:bidi="ar-SA"/>
        </w:rPr>
        <w:t>suppliers</w:t>
      </w:r>
      <w:r w:rsidR="005E245F" w:rsidRPr="005E245F">
        <w:rPr>
          <w:rFonts w:ascii="Arial" w:hAnsi="Arial" w:cs="Arial"/>
          <w:color w:val="000000"/>
        </w:rPr>
        <w:t xml:space="preserve"> </w:t>
      </w:r>
      <w:r w:rsidR="005E245F" w:rsidRPr="005E245F">
        <w:rPr>
          <w:rFonts w:ascii="Arial" w:eastAsia="Times New Roman" w:hAnsi="Arial" w:cs="Arial"/>
          <w:color w:val="000000"/>
          <w:sz w:val="24"/>
          <w:szCs w:val="24"/>
          <w:lang w:eastAsia="en-GB" w:bidi="ar-SA"/>
        </w:rPr>
        <w:t>(Kleinman, 2013).</w:t>
      </w:r>
    </w:p>
    <w:p w14:paraId="661A57B2" w14:textId="56E0036A" w:rsidR="00163859" w:rsidRPr="005E245F" w:rsidRDefault="00163859" w:rsidP="005E245F">
      <w:pPr>
        <w:spacing w:before="100" w:beforeAutospacing="1" w:after="100" w:afterAutospacing="1" w:line="360" w:lineRule="auto"/>
        <w:rPr>
          <w:rFonts w:ascii="Arial" w:eastAsia="Times New Roman" w:hAnsi="Arial" w:cs="Arial"/>
          <w:b/>
          <w:bCs/>
          <w:sz w:val="24"/>
          <w:szCs w:val="24"/>
          <w:lang w:eastAsia="en-GB" w:bidi="ar-SA"/>
        </w:rPr>
      </w:pPr>
      <w:r w:rsidRPr="005E245F">
        <w:rPr>
          <w:rFonts w:ascii="Arial" w:eastAsia="Times New Roman" w:hAnsi="Arial" w:cs="Arial"/>
          <w:b/>
          <w:bCs/>
          <w:sz w:val="24"/>
          <w:szCs w:val="24"/>
          <w:lang w:eastAsia="en-GB" w:bidi="ar-SA"/>
        </w:rPr>
        <w:t>Cash Ratio:</w:t>
      </w:r>
    </w:p>
    <w:p w14:paraId="1157634B" w14:textId="66BD5D46" w:rsidR="005E245F" w:rsidRPr="005E245F" w:rsidRDefault="005E245F" w:rsidP="005D08DE">
      <w:pPr>
        <w:spacing w:before="100" w:beforeAutospacing="1" w:after="100" w:afterAutospacing="1" w:line="360" w:lineRule="auto"/>
        <w:jc w:val="both"/>
        <w:rPr>
          <w:rFonts w:ascii="Arial" w:eastAsia="Times New Roman" w:hAnsi="Arial" w:cs="Arial"/>
          <w:sz w:val="24"/>
          <w:szCs w:val="24"/>
          <w:lang w:eastAsia="en-GB" w:bidi="ar-SA"/>
        </w:rPr>
      </w:pPr>
      <w:r w:rsidRPr="005E245F">
        <w:rPr>
          <w:rFonts w:ascii="Arial" w:eastAsia="Times New Roman" w:hAnsi="Arial" w:cs="Arial"/>
          <w:sz w:val="24"/>
          <w:szCs w:val="24"/>
          <w:lang w:eastAsia="en-GB" w:bidi="ar-SA"/>
        </w:rPr>
        <w:t>The cash ratio measures a company's ability to meet its short-term obligations using only its cash reserves. A higher cash ratio suggests a stronger ability to cover immediate liabilities with readily available cash.</w:t>
      </w:r>
      <w:r>
        <w:rPr>
          <w:rFonts w:ascii="Arial" w:eastAsia="Times New Roman" w:hAnsi="Arial" w:cs="Arial"/>
          <w:sz w:val="24"/>
          <w:szCs w:val="24"/>
          <w:lang w:eastAsia="en-GB" w:bidi="ar-SA"/>
        </w:rPr>
        <w:t xml:space="preserve"> </w:t>
      </w:r>
    </w:p>
    <w:p w14:paraId="6AEFECAC" w14:textId="77777777" w:rsidR="005E245F" w:rsidRPr="00163859" w:rsidRDefault="005E245F" w:rsidP="005E245F">
      <w:pPr>
        <w:spacing w:before="100" w:beforeAutospacing="1" w:after="100" w:afterAutospacing="1" w:line="360" w:lineRule="auto"/>
        <w:rPr>
          <w:rFonts w:ascii="Arial" w:eastAsia="Times New Roman" w:hAnsi="Arial" w:cs="Arial"/>
          <w:sz w:val="24"/>
          <w:szCs w:val="24"/>
          <w:lang w:eastAsia="en-GB" w:bidi="ar-SA"/>
        </w:rPr>
      </w:pPr>
    </w:p>
    <w:p w14:paraId="6CDA42E6" w14:textId="4384A9E3" w:rsidR="005D08DE" w:rsidRPr="005D08DE" w:rsidRDefault="00163859" w:rsidP="005D08DE">
      <w:pPr>
        <w:shd w:val="clear" w:color="auto" w:fill="FFFFFF"/>
        <w:spacing w:line="360" w:lineRule="auto"/>
        <w:rPr>
          <w:rFonts w:ascii="Arial" w:eastAsia="Times New Roman" w:hAnsi="Arial" w:cs="Arial"/>
          <w:color w:val="000000"/>
          <w:sz w:val="24"/>
          <w:szCs w:val="24"/>
          <w:lang w:eastAsia="en-GB" w:bidi="ar-SA"/>
        </w:rPr>
      </w:pPr>
      <w:r w:rsidRPr="005D08DE">
        <w:rPr>
          <w:rFonts w:ascii="Arial" w:eastAsia="Times New Roman" w:hAnsi="Arial" w:cs="Arial"/>
          <w:sz w:val="24"/>
          <w:szCs w:val="24"/>
          <w:lang w:eastAsia="en-GB" w:bidi="ar-SA"/>
        </w:rPr>
        <w:t xml:space="preserve">The cash ratio for M&amp;S in 2022 is 0.50, indicating that for every £1 of current liabilities, M&amp;S has £0.50 of cash and cash equivalents available to cover those liabilities. </w:t>
      </w:r>
      <w:r w:rsidR="005D08DE" w:rsidRPr="005D08DE">
        <w:rPr>
          <w:rFonts w:ascii="Arial" w:eastAsia="Times New Roman" w:hAnsi="Arial" w:cs="Arial"/>
          <w:sz w:val="24"/>
          <w:szCs w:val="24"/>
          <w:lang w:eastAsia="en-GB" w:bidi="ar-SA"/>
        </w:rPr>
        <w:t xml:space="preserve">M&amp;S had unusually low cash ratios in 2020 and 21 compared to previous years, confirming that M&amp;S had lower sales, supply chain interruptions, and higher expenditures connected to </w:t>
      </w:r>
      <w:r w:rsidR="005D08DE" w:rsidRPr="005D08DE">
        <w:rPr>
          <w:rFonts w:ascii="Arial" w:eastAsia="Times New Roman" w:hAnsi="Arial" w:cs="Arial"/>
          <w:sz w:val="24"/>
          <w:szCs w:val="24"/>
          <w:lang w:eastAsia="en-GB" w:bidi="ar-SA"/>
        </w:rPr>
        <w:lastRenderedPageBreak/>
        <w:t>health and safety measures owing to the pandemic and their substantial operating expense.</w:t>
      </w:r>
      <w:r w:rsidRPr="005D08DE">
        <w:rPr>
          <w:rFonts w:ascii="Arial" w:eastAsia="Times New Roman" w:hAnsi="Arial" w:cs="Arial"/>
          <w:sz w:val="24"/>
          <w:szCs w:val="24"/>
          <w:lang w:eastAsia="en-GB" w:bidi="ar-SA"/>
        </w:rPr>
        <w:t xml:space="preserve"> The cash ratio for Sainsbury's in 2022 is 0.08, indicating that for every £1 of current liabilities, Sainsbury's has £0.08 of cash and cash equivalents. This suggests a relatively lower ability to cover short-term obligations solely with cash reserves</w:t>
      </w:r>
      <w:r w:rsidR="005D08DE" w:rsidRPr="005D08DE">
        <w:rPr>
          <w:rFonts w:ascii="Arial" w:eastAsia="Times New Roman" w:hAnsi="Arial" w:cs="Arial"/>
          <w:sz w:val="24"/>
          <w:szCs w:val="24"/>
          <w:lang w:eastAsia="en-GB" w:bidi="ar-SA"/>
        </w:rPr>
        <w:t xml:space="preserve">. A cash ratio of more than 1 is typically preferred, and a ratio less than 0.5 is deemed dangerous since the firm has twice as much short-term debt as cash. </w:t>
      </w:r>
      <w:r w:rsidR="005D08DE" w:rsidRPr="005D08DE">
        <w:rPr>
          <w:rFonts w:ascii="Arial" w:eastAsia="Times New Roman" w:hAnsi="Arial" w:cs="Arial"/>
          <w:color w:val="000000"/>
          <w:sz w:val="24"/>
          <w:szCs w:val="24"/>
          <w:lang w:eastAsia="en-GB" w:bidi="ar-SA"/>
        </w:rPr>
        <w:t>(Kenton, 2022)</w:t>
      </w:r>
    </w:p>
    <w:p w14:paraId="601D576F" w14:textId="0C45755B" w:rsidR="00163859" w:rsidRPr="00163859" w:rsidRDefault="005D08DE" w:rsidP="00C32623">
      <w:pPr>
        <w:spacing w:before="100" w:beforeAutospacing="1" w:after="100" w:afterAutospacing="1" w:line="360" w:lineRule="auto"/>
        <w:rPr>
          <w:rFonts w:ascii="Arial" w:eastAsia="Times New Roman" w:hAnsi="Arial" w:cs="Arial"/>
          <w:sz w:val="24"/>
          <w:szCs w:val="24"/>
          <w:lang w:eastAsia="en-GB" w:bidi="ar-SA"/>
        </w:rPr>
      </w:pPr>
      <w:r>
        <w:rPr>
          <w:rFonts w:ascii="Arial" w:eastAsia="Times New Roman" w:hAnsi="Arial" w:cs="Arial"/>
          <w:sz w:val="24"/>
          <w:szCs w:val="24"/>
          <w:lang w:eastAsia="en-GB" w:bidi="ar-SA"/>
        </w:rPr>
        <w:t xml:space="preserve"> </w:t>
      </w:r>
    </w:p>
    <w:p w14:paraId="15DEF1CF" w14:textId="77777777" w:rsidR="005D08DE" w:rsidRDefault="005D08DE" w:rsidP="005D08DE">
      <w:pPr>
        <w:shd w:val="clear" w:color="auto" w:fill="FFFFFF"/>
        <w:spacing w:line="360" w:lineRule="auto"/>
        <w:rPr>
          <w:rFonts w:ascii="Arial" w:hAnsi="Arial" w:cs="Arial"/>
          <w:b/>
          <w:bCs/>
          <w:sz w:val="24"/>
          <w:szCs w:val="24"/>
        </w:rPr>
      </w:pPr>
      <w:r>
        <w:rPr>
          <w:rFonts w:ascii="Arial" w:hAnsi="Arial" w:cs="Arial"/>
          <w:sz w:val="24"/>
          <w:szCs w:val="24"/>
        </w:rPr>
        <w:t>L</w:t>
      </w:r>
      <w:r w:rsidRPr="00163859">
        <w:rPr>
          <w:rFonts w:ascii="Arial" w:hAnsi="Arial" w:cs="Arial"/>
          <w:sz w:val="24"/>
          <w:szCs w:val="24"/>
        </w:rPr>
        <w:t xml:space="preserve">iquidity ratios should fall within a specified range. Companies with abnormally low liquidity ratios are </w:t>
      </w:r>
      <w:r>
        <w:rPr>
          <w:rFonts w:ascii="Arial" w:hAnsi="Arial" w:cs="Arial"/>
          <w:sz w:val="24"/>
          <w:szCs w:val="24"/>
        </w:rPr>
        <w:t>in</w:t>
      </w:r>
      <w:r w:rsidRPr="00163859">
        <w:rPr>
          <w:rFonts w:ascii="Arial" w:hAnsi="Arial" w:cs="Arial"/>
          <w:sz w:val="24"/>
          <w:szCs w:val="24"/>
        </w:rPr>
        <w:t xml:space="preserve"> danger of default and may struggle to obtain finance. However, organisations with high liquidity ratios may be wasting capital that might be used to expand operations </w:t>
      </w:r>
      <w:r>
        <w:rPr>
          <w:rFonts w:ascii="Arial" w:hAnsi="Arial" w:cs="Arial"/>
          <w:sz w:val="24"/>
          <w:szCs w:val="24"/>
        </w:rPr>
        <w:t>and improve</w:t>
      </w:r>
      <w:r w:rsidRPr="00163859">
        <w:rPr>
          <w:rFonts w:ascii="Arial" w:hAnsi="Arial" w:cs="Arial"/>
          <w:sz w:val="24"/>
          <w:szCs w:val="24"/>
        </w:rPr>
        <w:t xml:space="preserve"> equipment.</w:t>
      </w:r>
      <w:r>
        <w:rPr>
          <w:rFonts w:ascii="Arial" w:eastAsia="Times New Roman" w:hAnsi="Arial" w:cs="Arial"/>
          <w:color w:val="000000"/>
          <w:sz w:val="24"/>
          <w:szCs w:val="24"/>
          <w:lang w:eastAsia="en-GB" w:bidi="ar-SA"/>
        </w:rPr>
        <w:t xml:space="preserve"> </w:t>
      </w:r>
      <w:r>
        <w:rPr>
          <w:rFonts w:ascii="Arial" w:hAnsi="Arial" w:cs="Arial"/>
          <w:sz w:val="24"/>
          <w:szCs w:val="24"/>
        </w:rPr>
        <w:t>Although</w:t>
      </w:r>
      <w:r w:rsidRPr="00163859">
        <w:rPr>
          <w:rFonts w:ascii="Arial" w:hAnsi="Arial" w:cs="Arial"/>
          <w:sz w:val="24"/>
          <w:szCs w:val="24"/>
        </w:rPr>
        <w:t xml:space="preserve">, it is essential to </w:t>
      </w:r>
      <w:r>
        <w:rPr>
          <w:rFonts w:ascii="Arial" w:hAnsi="Arial" w:cs="Arial"/>
          <w:sz w:val="24"/>
          <w:szCs w:val="24"/>
        </w:rPr>
        <w:t>understand</w:t>
      </w:r>
      <w:r w:rsidRPr="00163859">
        <w:rPr>
          <w:rFonts w:ascii="Arial" w:hAnsi="Arial" w:cs="Arial"/>
          <w:sz w:val="24"/>
          <w:szCs w:val="24"/>
        </w:rPr>
        <w:t xml:space="preserve"> that what constitutes a good current ratio can vary depending on the industry and specific circumstances of a company. Some industries, such as retail or manufacturing, may require higher current ratios due to factors like inventory turnover or longer cash conversion cycles.</w:t>
      </w:r>
    </w:p>
    <w:p w14:paraId="60B024E0" w14:textId="3782F411" w:rsidR="00163859" w:rsidRPr="00163859" w:rsidRDefault="00C32623" w:rsidP="00163859">
      <w:pPr>
        <w:spacing w:before="100" w:beforeAutospacing="1" w:after="100" w:afterAutospacing="1" w:line="360" w:lineRule="auto"/>
        <w:rPr>
          <w:rFonts w:ascii="Arial" w:eastAsia="Times New Roman" w:hAnsi="Arial" w:cs="Arial"/>
          <w:sz w:val="24"/>
          <w:szCs w:val="24"/>
          <w:lang w:eastAsia="en-GB" w:bidi="ar-SA"/>
        </w:rPr>
      </w:pPr>
      <w:r>
        <w:rPr>
          <w:rFonts w:ascii="Arial" w:eastAsia="Times New Roman" w:hAnsi="Arial" w:cs="Arial"/>
          <w:sz w:val="24"/>
          <w:szCs w:val="24"/>
          <w:lang w:eastAsia="en-GB" w:bidi="ar-SA"/>
        </w:rPr>
        <w:t>T</w:t>
      </w:r>
      <w:r w:rsidR="00163859" w:rsidRPr="00163859">
        <w:rPr>
          <w:rFonts w:ascii="Arial" w:eastAsia="Times New Roman" w:hAnsi="Arial" w:cs="Arial"/>
          <w:sz w:val="24"/>
          <w:szCs w:val="24"/>
          <w:lang w:eastAsia="en-GB" w:bidi="ar-SA"/>
        </w:rPr>
        <w:t xml:space="preserve">he ratios provide insights into </w:t>
      </w:r>
      <w:r>
        <w:rPr>
          <w:rFonts w:ascii="Arial" w:eastAsia="Times New Roman" w:hAnsi="Arial" w:cs="Arial"/>
          <w:sz w:val="24"/>
          <w:szCs w:val="24"/>
          <w:lang w:eastAsia="en-GB" w:bidi="ar-SA"/>
        </w:rPr>
        <w:t>M&amp;S and Sainsbury's liquidity position</w:t>
      </w:r>
      <w:r w:rsidR="00163859" w:rsidRPr="00163859">
        <w:rPr>
          <w:rFonts w:ascii="Arial" w:eastAsia="Times New Roman" w:hAnsi="Arial" w:cs="Arial"/>
          <w:sz w:val="24"/>
          <w:szCs w:val="24"/>
          <w:lang w:eastAsia="en-GB" w:bidi="ar-SA"/>
        </w:rPr>
        <w:t>s in 2022. M&amp;</w:t>
      </w:r>
      <w:proofErr w:type="gramStart"/>
      <w:r w:rsidR="00163859" w:rsidRPr="00163859">
        <w:rPr>
          <w:rFonts w:ascii="Arial" w:eastAsia="Times New Roman" w:hAnsi="Arial" w:cs="Arial"/>
          <w:sz w:val="24"/>
          <w:szCs w:val="24"/>
          <w:lang w:eastAsia="en-GB" w:bidi="ar-SA"/>
        </w:rPr>
        <w:t xml:space="preserve">S </w:t>
      </w:r>
      <w:r w:rsidR="005D08DE">
        <w:rPr>
          <w:rFonts w:ascii="Arial" w:eastAsia="Times New Roman" w:hAnsi="Arial" w:cs="Arial"/>
          <w:sz w:val="24"/>
          <w:szCs w:val="24"/>
          <w:lang w:eastAsia="en-GB" w:bidi="ar-SA"/>
        </w:rPr>
        <w:t xml:space="preserve"> </w:t>
      </w:r>
      <w:r w:rsidR="00163859" w:rsidRPr="00163859">
        <w:rPr>
          <w:rFonts w:ascii="Arial" w:eastAsia="Times New Roman" w:hAnsi="Arial" w:cs="Arial"/>
          <w:sz w:val="24"/>
          <w:szCs w:val="24"/>
          <w:lang w:eastAsia="en-GB" w:bidi="ar-SA"/>
        </w:rPr>
        <w:t>generally</w:t>
      </w:r>
      <w:proofErr w:type="gramEnd"/>
      <w:r w:rsidR="00163859" w:rsidRPr="00163859">
        <w:rPr>
          <w:rFonts w:ascii="Arial" w:eastAsia="Times New Roman" w:hAnsi="Arial" w:cs="Arial"/>
          <w:sz w:val="24"/>
          <w:szCs w:val="24"/>
          <w:lang w:eastAsia="en-GB" w:bidi="ar-SA"/>
        </w:rPr>
        <w:t xml:space="preserve"> exhibits stronger liquidity ratios </w:t>
      </w:r>
      <w:r>
        <w:rPr>
          <w:rFonts w:ascii="Arial" w:eastAsia="Times New Roman" w:hAnsi="Arial" w:cs="Arial"/>
          <w:sz w:val="24"/>
          <w:szCs w:val="24"/>
          <w:lang w:eastAsia="en-GB" w:bidi="ar-SA"/>
        </w:rPr>
        <w:t>than</w:t>
      </w:r>
      <w:r w:rsidR="00163859" w:rsidRPr="00163859">
        <w:rPr>
          <w:rFonts w:ascii="Arial" w:eastAsia="Times New Roman" w:hAnsi="Arial" w:cs="Arial"/>
          <w:sz w:val="24"/>
          <w:szCs w:val="24"/>
          <w:lang w:eastAsia="en-GB" w:bidi="ar-SA"/>
        </w:rPr>
        <w:t xml:space="preserve"> Sainsbury's, indicating a better ability to meet short-term obligations and manage liquidity risks. However, it</w:t>
      </w:r>
      <w:r>
        <w:rPr>
          <w:rFonts w:ascii="Arial" w:eastAsia="Times New Roman" w:hAnsi="Arial" w:cs="Arial"/>
          <w:sz w:val="24"/>
          <w:szCs w:val="24"/>
          <w:lang w:eastAsia="en-GB" w:bidi="ar-SA"/>
        </w:rPr>
        <w:t xml:space="preserve"> i</w:t>
      </w:r>
      <w:r w:rsidR="00163859" w:rsidRPr="00163859">
        <w:rPr>
          <w:rFonts w:ascii="Arial" w:eastAsia="Times New Roman" w:hAnsi="Arial" w:cs="Arial"/>
          <w:sz w:val="24"/>
          <w:szCs w:val="24"/>
          <w:lang w:eastAsia="en-GB" w:bidi="ar-SA"/>
        </w:rPr>
        <w:t xml:space="preserve">s </w:t>
      </w:r>
      <w:r>
        <w:rPr>
          <w:rFonts w:ascii="Arial" w:eastAsia="Times New Roman" w:hAnsi="Arial" w:cs="Arial"/>
          <w:sz w:val="24"/>
          <w:szCs w:val="24"/>
          <w:lang w:eastAsia="en-GB" w:bidi="ar-SA"/>
        </w:rPr>
        <w:t>essential</w:t>
      </w:r>
      <w:r w:rsidR="00163859" w:rsidRPr="00163859">
        <w:rPr>
          <w:rFonts w:ascii="Arial" w:eastAsia="Times New Roman" w:hAnsi="Arial" w:cs="Arial"/>
          <w:sz w:val="24"/>
          <w:szCs w:val="24"/>
          <w:lang w:eastAsia="en-GB" w:bidi="ar-SA"/>
        </w:rPr>
        <w:t xml:space="preserve"> to consider these ratios in conjunction with other financial factors and industry benchmarks for a comprehensive assessment of a company's financial health.</w:t>
      </w:r>
    </w:p>
    <w:p w14:paraId="3862006C" w14:textId="08C062AB" w:rsidR="003A3E5E" w:rsidRDefault="003A3E5E" w:rsidP="00B23475">
      <w:pPr>
        <w:shd w:val="clear" w:color="auto" w:fill="FFFFFF"/>
        <w:spacing w:line="360" w:lineRule="auto"/>
        <w:rPr>
          <w:rFonts w:ascii="Arial" w:hAnsi="Arial" w:cs="Arial"/>
          <w:b/>
          <w:bCs/>
          <w:sz w:val="24"/>
          <w:szCs w:val="24"/>
        </w:rPr>
      </w:pPr>
      <w:r>
        <w:rPr>
          <w:rFonts w:ascii="Arial" w:hAnsi="Arial" w:cs="Arial"/>
          <w:b/>
          <w:bCs/>
          <w:sz w:val="24"/>
          <w:szCs w:val="24"/>
        </w:rPr>
        <w:t>Gearing (Leverage) Ratios:</w:t>
      </w:r>
    </w:p>
    <w:p w14:paraId="1DCB85CE" w14:textId="2B8A7055" w:rsidR="003A3E5E" w:rsidRPr="003A3E5E" w:rsidRDefault="003A3E5E" w:rsidP="003A3E5E">
      <w:pPr>
        <w:pStyle w:val="NormalWeb"/>
        <w:spacing w:line="360" w:lineRule="auto"/>
        <w:rPr>
          <w:rFonts w:ascii="Arial" w:hAnsi="Arial" w:cs="Arial"/>
        </w:rPr>
      </w:pPr>
      <w:r>
        <w:rPr>
          <w:rFonts w:ascii="Arial" w:hAnsi="Arial" w:cs="Arial"/>
        </w:rPr>
        <w:t>The g</w:t>
      </w:r>
      <w:r w:rsidRPr="003A3E5E">
        <w:rPr>
          <w:rFonts w:ascii="Arial" w:hAnsi="Arial" w:cs="Arial"/>
        </w:rPr>
        <w:t xml:space="preserve">earing ratio, also known as </w:t>
      </w:r>
      <w:r>
        <w:rPr>
          <w:rFonts w:ascii="Arial" w:hAnsi="Arial" w:cs="Arial"/>
        </w:rPr>
        <w:t xml:space="preserve">the </w:t>
      </w:r>
      <w:r w:rsidRPr="003A3E5E">
        <w:rPr>
          <w:rFonts w:ascii="Arial" w:hAnsi="Arial" w:cs="Arial"/>
        </w:rPr>
        <w:t>leverage ratio, is a financial ratio that measures the proportion of a company</w:t>
      </w:r>
      <w:r w:rsidR="00D11AF1">
        <w:rPr>
          <w:rFonts w:ascii="Arial" w:hAnsi="Arial" w:cs="Arial"/>
        </w:rPr>
        <w:t>'</w:t>
      </w:r>
      <w:r w:rsidRPr="003A3E5E">
        <w:rPr>
          <w:rFonts w:ascii="Arial" w:hAnsi="Arial" w:cs="Arial"/>
        </w:rPr>
        <w:t xml:space="preserve">s </w:t>
      </w:r>
      <w:r w:rsidR="00D204ED">
        <w:rPr>
          <w:rFonts w:ascii="Arial" w:hAnsi="Arial" w:cs="Arial"/>
        </w:rPr>
        <w:t>D</w:t>
      </w:r>
      <w:r w:rsidRPr="003A3E5E">
        <w:rPr>
          <w:rFonts w:ascii="Arial" w:hAnsi="Arial" w:cs="Arial"/>
        </w:rPr>
        <w:t xml:space="preserve">ebt to its equity. It </w:t>
      </w:r>
      <w:r>
        <w:rPr>
          <w:rFonts w:ascii="Arial" w:hAnsi="Arial" w:cs="Arial"/>
        </w:rPr>
        <w:t>indicates</w:t>
      </w:r>
      <w:r w:rsidRPr="003A3E5E">
        <w:rPr>
          <w:rFonts w:ascii="Arial" w:hAnsi="Arial" w:cs="Arial"/>
        </w:rPr>
        <w:t xml:space="preserve"> the level of financial risk a company </w:t>
      </w:r>
      <w:r>
        <w:rPr>
          <w:rFonts w:ascii="Arial" w:hAnsi="Arial" w:cs="Arial"/>
        </w:rPr>
        <w:t>takes</w:t>
      </w:r>
      <w:r w:rsidRPr="003A3E5E">
        <w:rPr>
          <w:rFonts w:ascii="Arial" w:hAnsi="Arial" w:cs="Arial"/>
        </w:rPr>
        <w:t xml:space="preserve"> by using </w:t>
      </w:r>
      <w:r w:rsidR="00D204ED">
        <w:rPr>
          <w:rFonts w:ascii="Arial" w:hAnsi="Arial" w:cs="Arial"/>
        </w:rPr>
        <w:t>D</w:t>
      </w:r>
      <w:r w:rsidRPr="003A3E5E">
        <w:rPr>
          <w:rFonts w:ascii="Arial" w:hAnsi="Arial" w:cs="Arial"/>
        </w:rPr>
        <w:t>ebt to finance its operations.</w:t>
      </w:r>
    </w:p>
    <w:p w14:paraId="09163FE3" w14:textId="0108ED8D" w:rsidR="003A3E5E" w:rsidRDefault="003A3E5E" w:rsidP="003A3E5E">
      <w:pPr>
        <w:pStyle w:val="NormalWeb"/>
        <w:spacing w:line="360" w:lineRule="auto"/>
        <w:rPr>
          <w:rFonts w:ascii="Arial" w:hAnsi="Arial" w:cs="Arial"/>
        </w:rPr>
      </w:pPr>
      <w:r w:rsidRPr="003A3E5E">
        <w:rPr>
          <w:rFonts w:ascii="Arial" w:hAnsi="Arial" w:cs="Arial"/>
        </w:rPr>
        <w:t>The gearing ratio is calculated by dividing the company</w:t>
      </w:r>
      <w:r w:rsidR="00D11AF1">
        <w:rPr>
          <w:rFonts w:ascii="Arial" w:hAnsi="Arial" w:cs="Arial"/>
        </w:rPr>
        <w:t>'</w:t>
      </w:r>
      <w:r w:rsidRPr="003A3E5E">
        <w:rPr>
          <w:rFonts w:ascii="Arial" w:hAnsi="Arial" w:cs="Arial"/>
        </w:rPr>
        <w:t xml:space="preserve">s total </w:t>
      </w:r>
      <w:r w:rsidR="00D204ED">
        <w:rPr>
          <w:rFonts w:ascii="Arial" w:hAnsi="Arial" w:cs="Arial"/>
        </w:rPr>
        <w:t>d</w:t>
      </w:r>
      <w:r w:rsidRPr="003A3E5E">
        <w:rPr>
          <w:rFonts w:ascii="Arial" w:hAnsi="Arial" w:cs="Arial"/>
        </w:rPr>
        <w:t xml:space="preserve">ebt by equity. This </w:t>
      </w:r>
      <w:r w:rsidR="00D204ED">
        <w:rPr>
          <w:rFonts w:ascii="Arial" w:hAnsi="Arial" w:cs="Arial"/>
        </w:rPr>
        <w:t>measures</w:t>
      </w:r>
      <w:r w:rsidRPr="003A3E5E">
        <w:rPr>
          <w:rFonts w:ascii="Arial" w:hAnsi="Arial" w:cs="Arial"/>
        </w:rPr>
        <w:t xml:space="preserve"> the amount of </w:t>
      </w:r>
      <w:r w:rsidR="00D204ED">
        <w:rPr>
          <w:rFonts w:ascii="Arial" w:hAnsi="Arial" w:cs="Arial"/>
        </w:rPr>
        <w:t>D</w:t>
      </w:r>
      <w:r w:rsidRPr="003A3E5E">
        <w:rPr>
          <w:rFonts w:ascii="Arial" w:hAnsi="Arial" w:cs="Arial"/>
        </w:rPr>
        <w:t xml:space="preserve">ebt a company has relative to its equity. A high gearing ratio indicates that a company has a significant amount of </w:t>
      </w:r>
      <w:r w:rsidR="00D204ED">
        <w:rPr>
          <w:rFonts w:ascii="Arial" w:hAnsi="Arial" w:cs="Arial"/>
        </w:rPr>
        <w:t>D</w:t>
      </w:r>
      <w:r w:rsidRPr="003A3E5E">
        <w:rPr>
          <w:rFonts w:ascii="Arial" w:hAnsi="Arial" w:cs="Arial"/>
        </w:rPr>
        <w:t xml:space="preserve">ebt compared to its equity </w:t>
      </w:r>
      <w:r w:rsidR="00596731">
        <w:rPr>
          <w:rFonts w:ascii="Arial" w:hAnsi="Arial" w:cs="Arial"/>
        </w:rPr>
        <w:t xml:space="preserve">and </w:t>
      </w:r>
      <w:r w:rsidR="00596731" w:rsidRPr="00596731">
        <w:rPr>
          <w:rFonts w:ascii="Arial" w:hAnsi="Arial" w:cs="Arial"/>
        </w:rPr>
        <w:t>often indicates that a corporation has been active in financing expansion via debt, which generally results in fluctuating profitability.</w:t>
      </w:r>
      <w:r w:rsidR="00596731">
        <w:rPr>
          <w:rFonts w:ascii="Arial" w:hAnsi="Arial" w:cs="Arial"/>
        </w:rPr>
        <w:t xml:space="preserve"> In contrast,</w:t>
      </w:r>
      <w:r w:rsidR="00596731" w:rsidRPr="003A3E5E">
        <w:rPr>
          <w:rFonts w:ascii="Arial" w:hAnsi="Arial" w:cs="Arial"/>
        </w:rPr>
        <w:t xml:space="preserve"> a low gearing ratio indicates that a </w:t>
      </w:r>
      <w:r w:rsidR="00596731" w:rsidRPr="003A3E5E">
        <w:rPr>
          <w:rFonts w:ascii="Arial" w:hAnsi="Arial" w:cs="Arial"/>
        </w:rPr>
        <w:lastRenderedPageBreak/>
        <w:t>company has a smaller debt relative to its equity.</w:t>
      </w:r>
      <w:r w:rsidR="00596731">
        <w:rPr>
          <w:rFonts w:ascii="Arial" w:hAnsi="Arial" w:cs="Arial"/>
        </w:rPr>
        <w:t xml:space="preserve"> </w:t>
      </w:r>
      <w:r w:rsidRPr="003A3E5E">
        <w:rPr>
          <w:rFonts w:ascii="Arial" w:hAnsi="Arial" w:cs="Arial"/>
        </w:rPr>
        <w:t xml:space="preserve">The most common gearing ratios are debt-to-equity </w:t>
      </w:r>
      <w:r w:rsidR="00163859">
        <w:rPr>
          <w:rFonts w:ascii="Arial" w:hAnsi="Arial" w:cs="Arial"/>
        </w:rPr>
        <w:t>R</w:t>
      </w:r>
      <w:r w:rsidRPr="003A3E5E">
        <w:rPr>
          <w:rFonts w:ascii="Arial" w:hAnsi="Arial" w:cs="Arial"/>
        </w:rPr>
        <w:t>atio</w:t>
      </w:r>
      <w:r w:rsidR="00134797">
        <w:rPr>
          <w:rFonts w:ascii="Arial" w:hAnsi="Arial" w:cs="Arial"/>
        </w:rPr>
        <w:t xml:space="preserve"> and </w:t>
      </w:r>
      <w:r w:rsidRPr="003A3E5E">
        <w:rPr>
          <w:rFonts w:ascii="Arial" w:hAnsi="Arial" w:cs="Arial"/>
        </w:rPr>
        <w:t>debt-to-</w:t>
      </w:r>
      <w:r w:rsidR="00134797">
        <w:rPr>
          <w:rFonts w:ascii="Arial" w:hAnsi="Arial" w:cs="Arial"/>
        </w:rPr>
        <w:t>capital</w:t>
      </w:r>
      <w:r w:rsidRPr="003A3E5E">
        <w:rPr>
          <w:rFonts w:ascii="Arial" w:hAnsi="Arial" w:cs="Arial"/>
        </w:rPr>
        <w:t xml:space="preserve"> </w:t>
      </w:r>
      <w:r w:rsidR="00163859">
        <w:rPr>
          <w:rFonts w:ascii="Arial" w:hAnsi="Arial" w:cs="Arial"/>
        </w:rPr>
        <w:t>R</w:t>
      </w:r>
      <w:r w:rsidRPr="003A3E5E">
        <w:rPr>
          <w:rFonts w:ascii="Arial" w:hAnsi="Arial" w:cs="Arial"/>
        </w:rPr>
        <w:t>atio</w:t>
      </w:r>
      <w:r>
        <w:rPr>
          <w:rFonts w:ascii="Arial" w:hAnsi="Arial" w:cs="Arial"/>
        </w:rPr>
        <w:t xml:space="preserve">. </w:t>
      </w:r>
    </w:p>
    <w:p w14:paraId="406DEF3A" w14:textId="00FD01A9" w:rsidR="003A3E5E" w:rsidRPr="00596731" w:rsidRDefault="003A3E5E" w:rsidP="00596731">
      <w:pPr>
        <w:shd w:val="clear" w:color="auto" w:fill="FFFFFF"/>
        <w:spacing w:line="360" w:lineRule="auto"/>
        <w:rPr>
          <w:rFonts w:ascii="Arial" w:hAnsi="Arial" w:cs="Arial"/>
          <w:sz w:val="24"/>
          <w:szCs w:val="24"/>
        </w:rPr>
      </w:pPr>
      <w:r w:rsidRPr="00596731">
        <w:rPr>
          <w:rFonts w:ascii="Arial" w:hAnsi="Arial" w:cs="Arial"/>
          <w:sz w:val="24"/>
          <w:szCs w:val="24"/>
        </w:rPr>
        <w:t xml:space="preserve">Calculation </w:t>
      </w:r>
      <w:r w:rsidR="00596731" w:rsidRPr="00596731">
        <w:rPr>
          <w:rFonts w:ascii="Arial" w:hAnsi="Arial" w:cs="Arial"/>
          <w:sz w:val="24"/>
          <w:szCs w:val="24"/>
        </w:rPr>
        <w:t>of Marks and Spencer Group's</w:t>
      </w:r>
      <w:r w:rsidRPr="00596731">
        <w:rPr>
          <w:rFonts w:ascii="Arial" w:hAnsi="Arial" w:cs="Arial"/>
          <w:sz w:val="24"/>
          <w:szCs w:val="24"/>
        </w:rPr>
        <w:t xml:space="preserve"> Gearing ratios from its annual report 2021/22</w:t>
      </w:r>
      <w:r w:rsidRPr="00596731">
        <w:rPr>
          <w:rFonts w:ascii="Arial" w:eastAsia="Times New Roman" w:hAnsi="Arial" w:cs="Arial"/>
          <w:color w:val="000000"/>
          <w:sz w:val="24"/>
          <w:szCs w:val="24"/>
          <w:lang w:eastAsia="en-GB" w:bidi="ar-SA"/>
        </w:rPr>
        <w:t>:</w:t>
      </w:r>
    </w:p>
    <w:p w14:paraId="4D0DEBE2" w14:textId="638F34BB" w:rsidR="003A3E5E" w:rsidRDefault="003A3E5E" w:rsidP="00B23475">
      <w:pPr>
        <w:shd w:val="clear" w:color="auto" w:fill="FFFFFF"/>
        <w:spacing w:line="360" w:lineRule="auto"/>
        <w:rPr>
          <w:rFonts w:ascii="Arial" w:hAnsi="Arial" w:cs="Arial"/>
          <w:sz w:val="24"/>
          <w:szCs w:val="24"/>
        </w:rPr>
      </w:pPr>
      <w:r w:rsidRPr="00596731">
        <w:rPr>
          <w:rFonts w:ascii="Arial" w:hAnsi="Arial" w:cs="Arial"/>
          <w:b/>
          <w:bCs/>
          <w:sz w:val="24"/>
          <w:szCs w:val="24"/>
        </w:rPr>
        <w:t xml:space="preserve">Debt-to-equity Ratio: </w:t>
      </w:r>
      <w:r w:rsidRPr="00596731">
        <w:rPr>
          <w:rFonts w:ascii="Arial" w:hAnsi="Arial" w:cs="Arial"/>
          <w:sz w:val="24"/>
          <w:szCs w:val="24"/>
        </w:rPr>
        <w:t xml:space="preserve">The debt-to-equity </w:t>
      </w:r>
      <w:r w:rsidR="00163859" w:rsidRPr="00596731">
        <w:rPr>
          <w:rFonts w:ascii="Arial" w:hAnsi="Arial" w:cs="Arial"/>
          <w:sz w:val="24"/>
          <w:szCs w:val="24"/>
        </w:rPr>
        <w:t>R</w:t>
      </w:r>
      <w:r w:rsidRPr="00596731">
        <w:rPr>
          <w:rFonts w:ascii="Arial" w:hAnsi="Arial" w:cs="Arial"/>
          <w:sz w:val="24"/>
          <w:szCs w:val="24"/>
        </w:rPr>
        <w:t>atio is a financial ratio that compares a company</w:t>
      </w:r>
      <w:r w:rsidR="00D11AF1" w:rsidRPr="00596731">
        <w:rPr>
          <w:rFonts w:ascii="Arial" w:hAnsi="Arial" w:cs="Arial"/>
          <w:sz w:val="24"/>
          <w:szCs w:val="24"/>
        </w:rPr>
        <w:t>'</w:t>
      </w:r>
      <w:r w:rsidRPr="00596731">
        <w:rPr>
          <w:rFonts w:ascii="Arial" w:hAnsi="Arial" w:cs="Arial"/>
          <w:sz w:val="24"/>
          <w:szCs w:val="24"/>
        </w:rPr>
        <w:t xml:space="preserve">s total </w:t>
      </w:r>
      <w:r w:rsidR="00D204ED" w:rsidRPr="00596731">
        <w:rPr>
          <w:rFonts w:ascii="Arial" w:hAnsi="Arial" w:cs="Arial"/>
          <w:sz w:val="24"/>
          <w:szCs w:val="24"/>
        </w:rPr>
        <w:t>d</w:t>
      </w:r>
      <w:r w:rsidRPr="00596731">
        <w:rPr>
          <w:rFonts w:ascii="Arial" w:hAnsi="Arial" w:cs="Arial"/>
          <w:sz w:val="24"/>
          <w:szCs w:val="24"/>
        </w:rPr>
        <w:t xml:space="preserve">ebt to its total equity. It indicates how much </w:t>
      </w:r>
      <w:r w:rsidR="00D204ED" w:rsidRPr="00596731">
        <w:rPr>
          <w:rFonts w:ascii="Arial" w:hAnsi="Arial" w:cs="Arial"/>
          <w:sz w:val="24"/>
          <w:szCs w:val="24"/>
        </w:rPr>
        <w:t>d</w:t>
      </w:r>
      <w:r w:rsidRPr="00596731">
        <w:rPr>
          <w:rFonts w:ascii="Arial" w:hAnsi="Arial" w:cs="Arial"/>
          <w:sz w:val="24"/>
          <w:szCs w:val="24"/>
        </w:rPr>
        <w:t>ebt a company uses to finance its operations relative to its equity</w:t>
      </w:r>
      <w:r w:rsidR="00596731" w:rsidRPr="00596731">
        <w:rPr>
          <w:rFonts w:ascii="Arial" w:hAnsi="Arial" w:cs="Arial"/>
          <w:color w:val="000000"/>
        </w:rPr>
        <w:t xml:space="preserve"> </w:t>
      </w:r>
      <w:r w:rsidR="00596731" w:rsidRPr="00596731">
        <w:rPr>
          <w:rFonts w:ascii="Arial" w:eastAsia="Times New Roman" w:hAnsi="Arial" w:cs="Arial"/>
          <w:color w:val="000000"/>
          <w:sz w:val="24"/>
          <w:szCs w:val="24"/>
          <w:lang w:eastAsia="en-GB" w:bidi="ar-SA"/>
        </w:rPr>
        <w:t>(CFI Team, 2022)</w:t>
      </w:r>
      <w:r w:rsidRPr="003A3E5E">
        <w:rPr>
          <w:rFonts w:ascii="Arial" w:hAnsi="Arial" w:cs="Arial"/>
          <w:sz w:val="24"/>
          <w:szCs w:val="24"/>
        </w:rPr>
        <w:t>.</w:t>
      </w:r>
      <w:r w:rsidR="00D204ED">
        <w:rPr>
          <w:rFonts w:ascii="Arial" w:hAnsi="Arial" w:cs="Arial"/>
          <w:sz w:val="24"/>
          <w:szCs w:val="24"/>
        </w:rPr>
        <w:t xml:space="preserve"> The calculation of the debt-to-equity ratio of 2022 M&amp;S is as follows:</w:t>
      </w:r>
    </w:p>
    <w:p w14:paraId="75A27901" w14:textId="64A41B94" w:rsidR="003A3E5E" w:rsidRPr="00D204ED" w:rsidRDefault="003A3E5E" w:rsidP="00B14F15">
      <w:pPr>
        <w:shd w:val="clear" w:color="auto" w:fill="EAF1DD" w:themeFill="accent3" w:themeFillTint="33"/>
        <w:spacing w:line="360" w:lineRule="auto"/>
        <w:rPr>
          <w:rFonts w:cstheme="minorHAnsi"/>
          <w:b/>
          <w:bCs/>
          <w:i/>
          <w:iCs/>
          <w:sz w:val="24"/>
          <w:szCs w:val="24"/>
        </w:rPr>
      </w:pPr>
      <m:oMathPara>
        <m:oMathParaPr>
          <m:jc m:val="center"/>
        </m:oMathParaPr>
        <m:oMath>
          <m:r>
            <m:rPr>
              <m:sty m:val="bi"/>
            </m:rPr>
            <w:rPr>
              <w:rFonts w:ascii="Cambria Math" w:hAnsi="Cambria Math" w:cstheme="minorHAnsi"/>
              <w:sz w:val="24"/>
              <w:szCs w:val="24"/>
            </w:rPr>
            <m:t>Debt-to-equity Ratio=</m:t>
          </m:r>
          <m:f>
            <m:fPr>
              <m:ctrlPr>
                <w:rPr>
                  <w:rFonts w:ascii="Cambria Math" w:hAnsi="Cambria Math" w:cstheme="minorHAnsi"/>
                  <w:b/>
                  <w:bCs/>
                  <w:i/>
                  <w:iCs/>
                  <w:sz w:val="24"/>
                  <w:szCs w:val="24"/>
                </w:rPr>
              </m:ctrlPr>
            </m:fPr>
            <m:num>
              <m:r>
                <m:rPr>
                  <m:sty m:val="bi"/>
                </m:rPr>
                <w:rPr>
                  <w:rFonts w:ascii="Cambria Math" w:hAnsi="Cambria Math" w:cstheme="minorHAnsi"/>
                  <w:sz w:val="24"/>
                  <w:szCs w:val="24"/>
                </w:rPr>
                <m:t>Total Liabilities</m:t>
              </m:r>
            </m:num>
            <m:den>
              <m:r>
                <m:rPr>
                  <m:sty m:val="bi"/>
                </m:rPr>
                <w:rPr>
                  <w:rFonts w:ascii="Cambria Math" w:hAnsi="Cambria Math" w:cstheme="minorHAnsi"/>
                  <w:sz w:val="24"/>
                  <w:szCs w:val="24"/>
                </w:rPr>
                <m:t>Total Equity</m:t>
              </m:r>
            </m:den>
          </m:f>
          <m:r>
            <m:rPr>
              <m:sty m:val="bi"/>
            </m:rPr>
            <w:rPr>
              <w:rFonts w:ascii="Cambria Math" w:hAnsi="Cambria Math" w:cstheme="minorHAnsi"/>
              <w:sz w:val="24"/>
              <w:szCs w:val="24"/>
            </w:rPr>
            <m:t>=</m:t>
          </m:r>
          <m:f>
            <m:fPr>
              <m:ctrlPr>
                <w:rPr>
                  <w:rFonts w:ascii="Cambria Math" w:hAnsi="Cambria Math" w:cstheme="minorHAnsi"/>
                  <w:b/>
                  <w:bCs/>
                  <w:i/>
                  <w:iCs/>
                  <w:sz w:val="24"/>
                  <w:szCs w:val="24"/>
                </w:rPr>
              </m:ctrlPr>
            </m:fPr>
            <m:num>
              <m:r>
                <m:rPr>
                  <m:sty m:val="b"/>
                </m:rPr>
                <w:rPr>
                  <w:rFonts w:ascii="Cambria Math" w:hAnsi="Cambria Math" w:cs="M&amp;SLondon-Bold"/>
                  <w:sz w:val="24"/>
                  <w:szCs w:val="24"/>
                  <w:lang w:bidi="ar-SA"/>
                </w:rPr>
                <m:t>6525.5</m:t>
              </m:r>
            </m:num>
            <m:den>
              <m:r>
                <m:rPr>
                  <m:sty m:val="b"/>
                </m:rPr>
                <w:rPr>
                  <w:rFonts w:ascii="Cambria Math" w:hAnsi="Cambria Math" w:cs="M&amp;SLondon-Bold"/>
                  <w:sz w:val="24"/>
                  <w:szCs w:val="24"/>
                  <w:lang w:bidi="ar-SA"/>
                </w:rPr>
                <m:t>2917.9</m:t>
              </m:r>
            </m:den>
          </m:f>
          <m:r>
            <m:rPr>
              <m:sty m:val="bi"/>
            </m:rPr>
            <w:rPr>
              <w:rFonts w:ascii="Cambria Math" w:hAnsi="Cambria Math" w:cstheme="minorHAnsi"/>
              <w:sz w:val="24"/>
              <w:szCs w:val="24"/>
            </w:rPr>
            <m:t>=2.24</m:t>
          </m:r>
        </m:oMath>
      </m:oMathPara>
    </w:p>
    <w:p w14:paraId="3C5E9DE5" w14:textId="17C8A941" w:rsidR="003A3E5E" w:rsidRDefault="003A3E5E" w:rsidP="00B23475">
      <w:pPr>
        <w:shd w:val="clear" w:color="auto" w:fill="FFFFFF"/>
        <w:spacing w:line="360" w:lineRule="auto"/>
        <w:rPr>
          <w:rFonts w:ascii="Arial" w:hAnsi="Arial" w:cs="Arial"/>
          <w:b/>
          <w:bCs/>
          <w:sz w:val="24"/>
          <w:szCs w:val="24"/>
        </w:rPr>
      </w:pPr>
    </w:p>
    <w:p w14:paraId="0811F02B" w14:textId="77777777" w:rsidR="00D204ED" w:rsidRPr="003A3E5E" w:rsidRDefault="00D204ED" w:rsidP="00B23475">
      <w:pPr>
        <w:shd w:val="clear" w:color="auto" w:fill="FFFFFF"/>
        <w:spacing w:line="360" w:lineRule="auto"/>
        <w:rPr>
          <w:rFonts w:ascii="Arial" w:hAnsi="Arial" w:cs="Arial"/>
          <w:b/>
          <w:bCs/>
          <w:sz w:val="24"/>
          <w:szCs w:val="24"/>
        </w:rPr>
      </w:pPr>
    </w:p>
    <w:p w14:paraId="46185E9B" w14:textId="60126D71" w:rsidR="003A3E5E" w:rsidRPr="00D204ED" w:rsidRDefault="00D204ED" w:rsidP="00B14F15">
      <w:pPr>
        <w:shd w:val="clear" w:color="auto" w:fill="EAF1DD" w:themeFill="accent3" w:themeFillTint="33"/>
        <w:spacing w:line="360" w:lineRule="auto"/>
        <w:rPr>
          <w:rFonts w:ascii="Arial" w:hAnsi="Arial" w:cs="Arial"/>
          <w:bCs/>
          <w:sz w:val="24"/>
          <w:szCs w:val="24"/>
        </w:rPr>
      </w:pPr>
      <m:oMathPara>
        <m:oMathParaPr>
          <m:jc m:val="center"/>
        </m:oMathParaPr>
        <m:oMath>
          <m:r>
            <w:rPr>
              <w:rFonts w:ascii="Cambria Math" w:hAnsi="Cambria Math" w:cs="Arial"/>
              <w:sz w:val="24"/>
              <w:szCs w:val="24"/>
            </w:rPr>
            <m:t>Debt to Capital Ratio=</m:t>
          </m:r>
          <m:f>
            <m:fPr>
              <m:ctrlPr>
                <w:rPr>
                  <w:rFonts w:ascii="Cambria Math" w:hAnsi="Cambria Math" w:cs="Arial"/>
                  <w:bCs/>
                  <w:i/>
                  <w:sz w:val="24"/>
                  <w:szCs w:val="24"/>
                </w:rPr>
              </m:ctrlPr>
            </m:fPr>
            <m:num>
              <m:r>
                <w:rPr>
                  <w:rFonts w:ascii="Cambria Math" w:hAnsi="Cambria Math" w:cs="Arial"/>
                  <w:sz w:val="24"/>
                  <w:szCs w:val="24"/>
                </w:rPr>
                <m:t>Total Liabilities</m:t>
              </m:r>
            </m:num>
            <m:den>
              <m:r>
                <w:rPr>
                  <w:rFonts w:ascii="Cambria Math" w:hAnsi="Cambria Math" w:cs="Arial"/>
                  <w:sz w:val="24"/>
                  <w:szCs w:val="24"/>
                </w:rPr>
                <m:t>Total Equity+Total Liabilities</m:t>
              </m:r>
            </m:den>
          </m:f>
          <m:r>
            <w:rPr>
              <w:rFonts w:ascii="Cambria Math" w:hAnsi="Cambria Math" w:cs="Arial"/>
              <w:sz w:val="24"/>
              <w:szCs w:val="24"/>
            </w:rPr>
            <m:t>=</m:t>
          </m:r>
          <m:f>
            <m:fPr>
              <m:ctrlPr>
                <w:rPr>
                  <w:rFonts w:ascii="Cambria Math" w:hAnsi="Cambria Math" w:cs="Arial"/>
                  <w:bCs/>
                  <w:i/>
                  <w:sz w:val="24"/>
                  <w:szCs w:val="24"/>
                </w:rPr>
              </m:ctrlPr>
            </m:fPr>
            <m:num>
              <m:r>
                <m:rPr>
                  <m:sty m:val="p"/>
                </m:rPr>
                <w:rPr>
                  <w:rFonts w:ascii="Cambria Math" w:hAnsi="Cambria Math"/>
                  <w:sz w:val="24"/>
                  <w:szCs w:val="24"/>
                </w:rPr>
                <m:t>6525.5</m:t>
              </m:r>
            </m:num>
            <m:den>
              <m:r>
                <m:rPr>
                  <m:sty m:val="p"/>
                </m:rPr>
                <w:rPr>
                  <w:rFonts w:ascii="Cambria Math" w:hAnsi="Cambria Math" w:cs="M&amp;SLondon-Bold"/>
                  <w:sz w:val="24"/>
                  <w:szCs w:val="24"/>
                  <w:lang w:bidi="ar-SA"/>
                </w:rPr>
                <m:t>2917.9</m:t>
              </m:r>
              <m:r>
                <w:rPr>
                  <w:rFonts w:ascii="Cambria Math" w:hAnsi="Cambria Math" w:cs="Arial"/>
                  <w:sz w:val="24"/>
                  <w:szCs w:val="24"/>
                </w:rPr>
                <m:t>+</m:t>
              </m:r>
              <m:r>
                <m:rPr>
                  <m:sty m:val="p"/>
                </m:rPr>
                <w:rPr>
                  <w:rFonts w:ascii="Cambria Math" w:hAnsi="Cambria Math"/>
                  <w:sz w:val="24"/>
                  <w:szCs w:val="24"/>
                </w:rPr>
                <m:t>6525.5</m:t>
              </m:r>
            </m:den>
          </m:f>
          <m:r>
            <w:rPr>
              <w:rFonts w:ascii="Cambria Math" w:hAnsi="Cambria Math" w:cs="Arial"/>
              <w:sz w:val="24"/>
              <w:szCs w:val="24"/>
            </w:rPr>
            <m:t>=</m:t>
          </m:r>
          <m:f>
            <m:fPr>
              <m:ctrlPr>
                <w:rPr>
                  <w:rFonts w:ascii="Cambria Math" w:hAnsi="Cambria Math" w:cs="Arial"/>
                  <w:bCs/>
                  <w:i/>
                  <w:sz w:val="24"/>
                  <w:szCs w:val="24"/>
                </w:rPr>
              </m:ctrlPr>
            </m:fPr>
            <m:num>
              <m:r>
                <w:rPr>
                  <w:rFonts w:ascii="Cambria Math" w:hAnsi="Cambria Math" w:cs="Arial"/>
                  <w:sz w:val="24"/>
                  <w:szCs w:val="24"/>
                </w:rPr>
                <m:t>6525.5</m:t>
              </m:r>
            </m:num>
            <m:den>
              <m:r>
                <w:rPr>
                  <w:rFonts w:ascii="Cambria Math" w:hAnsi="Cambria Math" w:cs="Arial"/>
                  <w:sz w:val="24"/>
                  <w:szCs w:val="24"/>
                </w:rPr>
                <m:t>9443.4</m:t>
              </m:r>
            </m:den>
          </m:f>
          <m:r>
            <w:rPr>
              <w:rFonts w:ascii="Cambria Math" w:hAnsi="Cambria Math" w:cs="Arial"/>
              <w:sz w:val="24"/>
              <w:szCs w:val="24"/>
            </w:rPr>
            <m:t>=0.69</m:t>
          </m:r>
        </m:oMath>
      </m:oMathPara>
    </w:p>
    <w:p w14:paraId="26BF3C1E" w14:textId="308F9A04" w:rsidR="00134797" w:rsidRDefault="00134797" w:rsidP="00B23475">
      <w:pPr>
        <w:shd w:val="clear" w:color="auto" w:fill="FFFFFF"/>
        <w:spacing w:line="360" w:lineRule="auto"/>
        <w:rPr>
          <w:rFonts w:ascii="Arial" w:hAnsi="Arial" w:cs="Arial"/>
          <w:b/>
          <w:bCs/>
          <w:sz w:val="24"/>
          <w:szCs w:val="24"/>
        </w:rPr>
      </w:pPr>
    </w:p>
    <w:p w14:paraId="10144D8B" w14:textId="75EF88E9" w:rsidR="00D204ED" w:rsidRDefault="00D204ED" w:rsidP="00B23475">
      <w:pPr>
        <w:shd w:val="clear" w:color="auto" w:fill="FFFFFF"/>
        <w:spacing w:line="360" w:lineRule="auto"/>
        <w:rPr>
          <w:rFonts w:ascii="Arial" w:hAnsi="Arial" w:cs="Arial"/>
          <w:b/>
          <w:bCs/>
          <w:sz w:val="24"/>
          <w:szCs w:val="24"/>
        </w:rPr>
      </w:pPr>
    </w:p>
    <w:tbl>
      <w:tblPr>
        <w:tblStyle w:val="TableGrid"/>
        <w:tblW w:w="0" w:type="auto"/>
        <w:jc w:val="center"/>
        <w:tblLook w:val="04A0" w:firstRow="1" w:lastRow="0" w:firstColumn="1" w:lastColumn="0" w:noHBand="0" w:noVBand="1"/>
      </w:tblPr>
      <w:tblGrid>
        <w:gridCol w:w="2830"/>
        <w:gridCol w:w="1134"/>
        <w:gridCol w:w="993"/>
        <w:gridCol w:w="992"/>
        <w:gridCol w:w="992"/>
        <w:gridCol w:w="1007"/>
        <w:gridCol w:w="1567"/>
      </w:tblGrid>
      <w:tr w:rsidR="00D204ED" w14:paraId="65A6A51A" w14:textId="77777777" w:rsidTr="00C20EFE">
        <w:trPr>
          <w:jc w:val="center"/>
        </w:trPr>
        <w:tc>
          <w:tcPr>
            <w:tcW w:w="2830" w:type="dxa"/>
          </w:tcPr>
          <w:p w14:paraId="01077DCB"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M&amp;S</w:t>
            </w:r>
          </w:p>
        </w:tc>
        <w:tc>
          <w:tcPr>
            <w:tcW w:w="1134" w:type="dxa"/>
          </w:tcPr>
          <w:p w14:paraId="17717DF6"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2018</w:t>
            </w:r>
          </w:p>
        </w:tc>
        <w:tc>
          <w:tcPr>
            <w:tcW w:w="993" w:type="dxa"/>
          </w:tcPr>
          <w:p w14:paraId="77FA0198"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2019</w:t>
            </w:r>
          </w:p>
        </w:tc>
        <w:tc>
          <w:tcPr>
            <w:tcW w:w="992" w:type="dxa"/>
          </w:tcPr>
          <w:p w14:paraId="4D1C10C0"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2020</w:t>
            </w:r>
          </w:p>
        </w:tc>
        <w:tc>
          <w:tcPr>
            <w:tcW w:w="992" w:type="dxa"/>
          </w:tcPr>
          <w:p w14:paraId="48BB86F7"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2021</w:t>
            </w:r>
          </w:p>
        </w:tc>
        <w:tc>
          <w:tcPr>
            <w:tcW w:w="1007" w:type="dxa"/>
          </w:tcPr>
          <w:p w14:paraId="5D359D2D"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2022</w:t>
            </w:r>
          </w:p>
        </w:tc>
        <w:tc>
          <w:tcPr>
            <w:tcW w:w="1567" w:type="dxa"/>
          </w:tcPr>
          <w:p w14:paraId="6CDBB351"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Sainsbury's</w:t>
            </w:r>
          </w:p>
          <w:p w14:paraId="437B20D0"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2022</w:t>
            </w:r>
          </w:p>
        </w:tc>
      </w:tr>
      <w:tr w:rsidR="00D204ED" w14:paraId="0FC31B03" w14:textId="77777777" w:rsidTr="00C20EFE">
        <w:trPr>
          <w:jc w:val="center"/>
        </w:trPr>
        <w:tc>
          <w:tcPr>
            <w:tcW w:w="2830" w:type="dxa"/>
          </w:tcPr>
          <w:p w14:paraId="4518B29B" w14:textId="7777777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Debt - to- Equity Ratio</w:t>
            </w:r>
          </w:p>
        </w:tc>
        <w:tc>
          <w:tcPr>
            <w:tcW w:w="1134" w:type="dxa"/>
          </w:tcPr>
          <w:p w14:paraId="5F88CE2E" w14:textId="74E49B8E"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1.56</w:t>
            </w:r>
          </w:p>
        </w:tc>
        <w:tc>
          <w:tcPr>
            <w:tcW w:w="993" w:type="dxa"/>
          </w:tcPr>
          <w:p w14:paraId="1E5AADCE" w14:textId="340D1A78"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1.69</w:t>
            </w:r>
          </w:p>
        </w:tc>
        <w:tc>
          <w:tcPr>
            <w:tcW w:w="992" w:type="dxa"/>
          </w:tcPr>
          <w:p w14:paraId="17CA6B51" w14:textId="10BEB630"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1.75</w:t>
            </w:r>
          </w:p>
        </w:tc>
        <w:tc>
          <w:tcPr>
            <w:tcW w:w="992" w:type="dxa"/>
          </w:tcPr>
          <w:p w14:paraId="4B83ADBC" w14:textId="3BEE63A5"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2.78</w:t>
            </w:r>
          </w:p>
        </w:tc>
        <w:tc>
          <w:tcPr>
            <w:tcW w:w="1007" w:type="dxa"/>
          </w:tcPr>
          <w:p w14:paraId="15ACDEB0" w14:textId="65CC580E"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2.24</w:t>
            </w:r>
          </w:p>
        </w:tc>
        <w:tc>
          <w:tcPr>
            <w:tcW w:w="1567" w:type="dxa"/>
          </w:tcPr>
          <w:p w14:paraId="23E7D42A" w14:textId="07BBB4A5" w:rsidR="00D204ED" w:rsidRPr="004C74E4" w:rsidRDefault="00F30E8C" w:rsidP="004C74E4">
            <w:pPr>
              <w:spacing w:line="360" w:lineRule="auto"/>
              <w:jc w:val="center"/>
              <w:rPr>
                <w:rFonts w:ascii="Arial" w:hAnsi="Arial" w:cs="Arial"/>
                <w:b/>
                <w:bCs/>
                <w:sz w:val="24"/>
                <w:szCs w:val="24"/>
              </w:rPr>
            </w:pPr>
            <w:r>
              <w:rPr>
                <w:rFonts w:ascii="Arial" w:hAnsi="Arial" w:cs="Arial"/>
                <w:b/>
                <w:bCs/>
                <w:sz w:val="24"/>
                <w:szCs w:val="24"/>
              </w:rPr>
              <w:t>2.19</w:t>
            </w:r>
          </w:p>
        </w:tc>
      </w:tr>
      <w:tr w:rsidR="00D204ED" w14:paraId="6EECF327" w14:textId="77777777" w:rsidTr="00C20EFE">
        <w:trPr>
          <w:jc w:val="center"/>
        </w:trPr>
        <w:tc>
          <w:tcPr>
            <w:tcW w:w="2830" w:type="dxa"/>
          </w:tcPr>
          <w:p w14:paraId="4AF00E11" w14:textId="672268B1"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Debt to Capital Ratio</w:t>
            </w:r>
          </w:p>
        </w:tc>
        <w:tc>
          <w:tcPr>
            <w:tcW w:w="1134" w:type="dxa"/>
          </w:tcPr>
          <w:p w14:paraId="7658830E" w14:textId="1133FA93"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0.71</w:t>
            </w:r>
          </w:p>
        </w:tc>
        <w:tc>
          <w:tcPr>
            <w:tcW w:w="993" w:type="dxa"/>
          </w:tcPr>
          <w:p w14:paraId="3CA8AAF8" w14:textId="66DFD0B1"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0.72</w:t>
            </w:r>
          </w:p>
        </w:tc>
        <w:tc>
          <w:tcPr>
            <w:tcW w:w="992" w:type="dxa"/>
          </w:tcPr>
          <w:p w14:paraId="2DB3C1BD" w14:textId="6FE2F444"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0.64</w:t>
            </w:r>
          </w:p>
        </w:tc>
        <w:tc>
          <w:tcPr>
            <w:tcW w:w="992" w:type="dxa"/>
          </w:tcPr>
          <w:p w14:paraId="641C3ABD" w14:textId="558D0467"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0.74</w:t>
            </w:r>
          </w:p>
        </w:tc>
        <w:tc>
          <w:tcPr>
            <w:tcW w:w="1007" w:type="dxa"/>
          </w:tcPr>
          <w:p w14:paraId="2A063EA7" w14:textId="2A9BB490"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0.69</w:t>
            </w:r>
          </w:p>
        </w:tc>
        <w:tc>
          <w:tcPr>
            <w:tcW w:w="1567" w:type="dxa"/>
          </w:tcPr>
          <w:p w14:paraId="4C9E45EA" w14:textId="43D41105" w:rsidR="00D204ED" w:rsidRPr="004C74E4" w:rsidRDefault="00D204ED" w:rsidP="004C74E4">
            <w:pPr>
              <w:spacing w:line="360" w:lineRule="auto"/>
              <w:jc w:val="center"/>
              <w:rPr>
                <w:rFonts w:ascii="Arial" w:hAnsi="Arial" w:cs="Arial"/>
                <w:b/>
                <w:bCs/>
                <w:sz w:val="24"/>
                <w:szCs w:val="24"/>
              </w:rPr>
            </w:pPr>
            <w:r w:rsidRPr="004C74E4">
              <w:rPr>
                <w:rFonts w:ascii="Arial" w:hAnsi="Arial" w:cs="Arial"/>
                <w:b/>
                <w:bCs/>
                <w:sz w:val="24"/>
                <w:szCs w:val="24"/>
              </w:rPr>
              <w:t>0.69</w:t>
            </w:r>
          </w:p>
        </w:tc>
      </w:tr>
    </w:tbl>
    <w:p w14:paraId="0164546D" w14:textId="6E111EFD" w:rsidR="00D204ED" w:rsidRDefault="00D204ED" w:rsidP="00B23475">
      <w:pPr>
        <w:shd w:val="clear" w:color="auto" w:fill="FFFFFF"/>
        <w:spacing w:line="360" w:lineRule="auto"/>
        <w:rPr>
          <w:rFonts w:ascii="Arial" w:hAnsi="Arial" w:cs="Arial"/>
          <w:b/>
          <w:bCs/>
          <w:sz w:val="24"/>
          <w:szCs w:val="24"/>
        </w:rPr>
      </w:pPr>
    </w:p>
    <w:p w14:paraId="21DED3F8" w14:textId="6702D562" w:rsidR="00596731" w:rsidRDefault="00596731" w:rsidP="00596731">
      <w:pPr>
        <w:shd w:val="clear" w:color="auto" w:fill="FFFFFF"/>
        <w:spacing w:line="360" w:lineRule="auto"/>
        <w:rPr>
          <w:rFonts w:ascii="Arial" w:hAnsi="Arial" w:cs="Arial"/>
          <w:sz w:val="24"/>
          <w:szCs w:val="24"/>
        </w:rPr>
      </w:pPr>
      <w:r w:rsidRPr="0009371B">
        <w:rPr>
          <w:rFonts w:ascii="Arial" w:hAnsi="Arial" w:cs="Arial"/>
          <w:sz w:val="24"/>
          <w:szCs w:val="24"/>
        </w:rPr>
        <w:t>The Debt-to-Equity Ratio</w:t>
      </w:r>
      <w:r w:rsidRPr="00596731">
        <w:rPr>
          <w:rFonts w:ascii="Arial" w:hAnsi="Arial" w:cs="Arial"/>
          <w:sz w:val="24"/>
          <w:szCs w:val="24"/>
        </w:rPr>
        <w:t xml:space="preserve"> for M&amp;S shows an increasing trend from 2018 to 2021, indicating a higher level of debt relative to equity over those years. This ratio was highest in 2021, as there were external factor</w:t>
      </w:r>
      <w:r w:rsidR="00F30E8C">
        <w:rPr>
          <w:rFonts w:ascii="Arial" w:hAnsi="Arial" w:cs="Arial"/>
          <w:sz w:val="24"/>
          <w:szCs w:val="24"/>
        </w:rPr>
        <w:t>s</w:t>
      </w:r>
      <w:r w:rsidRPr="00596731">
        <w:rPr>
          <w:rFonts w:ascii="Arial" w:hAnsi="Arial" w:cs="Arial"/>
          <w:sz w:val="24"/>
          <w:szCs w:val="24"/>
        </w:rPr>
        <w:t xml:space="preserve"> such as COVID-19 and a significant </w:t>
      </w:r>
      <w:r w:rsidR="0009371B">
        <w:rPr>
          <w:rFonts w:ascii="Arial" w:hAnsi="Arial" w:cs="Arial"/>
          <w:sz w:val="24"/>
          <w:szCs w:val="24"/>
        </w:rPr>
        <w:t xml:space="preserve">amount of </w:t>
      </w:r>
      <w:r w:rsidR="00FB5635">
        <w:rPr>
          <w:rFonts w:ascii="Arial" w:hAnsi="Arial" w:cs="Arial"/>
          <w:sz w:val="24"/>
          <w:szCs w:val="24"/>
        </w:rPr>
        <w:t>I</w:t>
      </w:r>
      <w:r w:rsidRPr="00596731">
        <w:rPr>
          <w:rFonts w:ascii="Arial" w:hAnsi="Arial" w:cs="Arial"/>
          <w:sz w:val="24"/>
          <w:szCs w:val="24"/>
        </w:rPr>
        <w:t xml:space="preserve">nvestment in OCADO Ltd. M&amp;S invested </w:t>
      </w:r>
      <w:r w:rsidRPr="00F80A34">
        <w:rPr>
          <w:rFonts w:ascii="Arial" w:hAnsi="Arial" w:cs="Arial"/>
          <w:b/>
          <w:bCs/>
          <w:sz w:val="24"/>
          <w:szCs w:val="24"/>
        </w:rPr>
        <w:t>£</w:t>
      </w:r>
      <w:r w:rsidRPr="00F80A34">
        <w:rPr>
          <w:rFonts w:ascii="Arial" w:hAnsi="Arial" w:cs="Arial"/>
          <w:b/>
          <w:bCs/>
          <w:sz w:val="24"/>
          <w:szCs w:val="24"/>
          <w:lang w:bidi="ar-SA"/>
        </w:rPr>
        <w:t>825.8 and £760.4</w:t>
      </w:r>
      <w:r w:rsidRPr="00596731">
        <w:rPr>
          <w:rFonts w:ascii="Arial" w:hAnsi="Arial" w:cs="Arial"/>
          <w:sz w:val="24"/>
          <w:szCs w:val="24"/>
        </w:rPr>
        <w:t xml:space="preserve"> </w:t>
      </w:r>
      <w:r w:rsidRPr="00596731">
        <w:rPr>
          <w:rFonts w:ascii="Arial" w:hAnsi="Arial" w:cs="Arial"/>
          <w:sz w:val="24"/>
          <w:szCs w:val="24"/>
          <w:lang w:bidi="ar-SA"/>
        </w:rPr>
        <w:t>in joint ventures and associates</w:t>
      </w:r>
      <w:r w:rsidRPr="00596731">
        <w:rPr>
          <w:rFonts w:ascii="Arial" w:hAnsi="Arial" w:cs="Arial"/>
          <w:sz w:val="24"/>
          <w:szCs w:val="24"/>
        </w:rPr>
        <w:t xml:space="preserve"> in </w:t>
      </w:r>
      <w:r w:rsidR="00F30E8C">
        <w:rPr>
          <w:rFonts w:ascii="Arial" w:hAnsi="Arial" w:cs="Arial"/>
          <w:sz w:val="24"/>
          <w:szCs w:val="24"/>
        </w:rPr>
        <w:t>20</w:t>
      </w:r>
      <w:r w:rsidRPr="00596731">
        <w:rPr>
          <w:rFonts w:ascii="Arial" w:hAnsi="Arial" w:cs="Arial"/>
          <w:sz w:val="24"/>
          <w:szCs w:val="24"/>
        </w:rPr>
        <w:t>21 and 20</w:t>
      </w:r>
      <w:r w:rsidR="00F30E8C">
        <w:rPr>
          <w:rFonts w:ascii="Arial" w:hAnsi="Arial" w:cs="Arial"/>
          <w:sz w:val="24"/>
          <w:szCs w:val="24"/>
        </w:rPr>
        <w:t>20</w:t>
      </w:r>
      <w:r w:rsidRPr="00596731">
        <w:rPr>
          <w:rFonts w:ascii="Arial" w:hAnsi="Arial" w:cs="Arial"/>
          <w:color w:val="000000"/>
        </w:rPr>
        <w:t xml:space="preserve"> </w:t>
      </w:r>
      <w:r w:rsidRPr="00596731">
        <w:rPr>
          <w:rFonts w:ascii="Arial" w:eastAsia="Times New Roman" w:hAnsi="Arial" w:cs="Arial"/>
          <w:color w:val="000000"/>
          <w:sz w:val="24"/>
          <w:szCs w:val="24"/>
          <w:lang w:eastAsia="en-GB" w:bidi="ar-SA"/>
        </w:rPr>
        <w:t>(M&amp;S, 2021)</w:t>
      </w:r>
      <w:r w:rsidR="00F30E8C">
        <w:rPr>
          <w:rFonts w:ascii="Arial" w:eastAsia="Times New Roman" w:hAnsi="Arial" w:cs="Arial"/>
          <w:color w:val="000000"/>
          <w:sz w:val="24"/>
          <w:szCs w:val="24"/>
          <w:lang w:eastAsia="en-GB" w:bidi="ar-SA"/>
        </w:rPr>
        <w:t xml:space="preserve">. </w:t>
      </w:r>
      <w:r w:rsidRPr="00596731">
        <w:rPr>
          <w:rFonts w:ascii="Arial" w:hAnsi="Arial" w:cs="Arial"/>
          <w:sz w:val="24"/>
          <w:szCs w:val="24"/>
        </w:rPr>
        <w:t xml:space="preserve">The ratio decreases slightly in 2022, suggesting a reduction in debt compared to the previous year. </w:t>
      </w:r>
      <w:r w:rsidR="00F30E8C" w:rsidRPr="00F30E8C">
        <w:rPr>
          <w:rFonts w:ascii="Arial" w:hAnsi="Arial" w:cs="Arial"/>
          <w:sz w:val="24"/>
          <w:szCs w:val="24"/>
        </w:rPr>
        <w:t>The Debt-to-Equity Ratio for Sainsbury's remains relatively stable</w:t>
      </w:r>
      <w:r w:rsidR="00F30E8C">
        <w:rPr>
          <w:rFonts w:ascii="Arial" w:hAnsi="Arial" w:cs="Arial"/>
          <w:sz w:val="24"/>
          <w:szCs w:val="24"/>
        </w:rPr>
        <w:t>,</w:t>
      </w:r>
      <w:r w:rsidR="00F30E8C" w:rsidRPr="00F30E8C">
        <w:rPr>
          <w:rFonts w:ascii="Arial" w:hAnsi="Arial" w:cs="Arial"/>
          <w:sz w:val="24"/>
          <w:szCs w:val="24"/>
        </w:rPr>
        <w:t xml:space="preserve"> around </w:t>
      </w:r>
      <w:r w:rsidR="00F30E8C">
        <w:rPr>
          <w:rFonts w:ascii="Arial" w:hAnsi="Arial" w:cs="Arial"/>
          <w:sz w:val="24"/>
          <w:szCs w:val="24"/>
        </w:rPr>
        <w:t>2.19</w:t>
      </w:r>
      <w:r w:rsidR="00F30E8C" w:rsidRPr="00F30E8C">
        <w:rPr>
          <w:rFonts w:ascii="Arial" w:hAnsi="Arial" w:cs="Arial"/>
          <w:sz w:val="24"/>
          <w:szCs w:val="24"/>
        </w:rPr>
        <w:t xml:space="preserve"> in 2022, indicating a consistent level of debt compared to equity.</w:t>
      </w:r>
      <w:r w:rsidR="00F30E8C">
        <w:rPr>
          <w:rFonts w:ascii="Arial" w:hAnsi="Arial" w:cs="Arial"/>
          <w:sz w:val="24"/>
          <w:szCs w:val="24"/>
        </w:rPr>
        <w:t xml:space="preserve"> Even though it was an improvement since March 2021, </w:t>
      </w:r>
      <w:r w:rsidR="00F30E8C">
        <w:rPr>
          <w:rFonts w:ascii="Arial" w:hAnsi="Arial" w:cs="Arial"/>
          <w:sz w:val="24"/>
          <w:szCs w:val="24"/>
        </w:rPr>
        <w:lastRenderedPageBreak/>
        <w:t xml:space="preserve">when this ratio reached 2.81 highest ever for Sainsbury, compared to M&amp;S, it is higher in most years. </w:t>
      </w:r>
      <w:r w:rsidRPr="00596731">
        <w:rPr>
          <w:rFonts w:ascii="Arial" w:hAnsi="Arial" w:cs="Arial"/>
          <w:sz w:val="24"/>
          <w:szCs w:val="24"/>
        </w:rPr>
        <w:t>The ideal debt-to-equity ratio var</w:t>
      </w:r>
      <w:r w:rsidR="0009371B">
        <w:rPr>
          <w:rFonts w:ascii="Arial" w:hAnsi="Arial" w:cs="Arial"/>
          <w:sz w:val="24"/>
          <w:szCs w:val="24"/>
        </w:rPr>
        <w:t>ie</w:t>
      </w:r>
      <w:r w:rsidR="00B72EDA">
        <w:rPr>
          <w:rFonts w:ascii="Arial" w:hAnsi="Arial" w:cs="Arial"/>
          <w:sz w:val="24"/>
          <w:szCs w:val="24"/>
        </w:rPr>
        <w:t xml:space="preserve">s </w:t>
      </w:r>
      <w:r>
        <w:rPr>
          <w:rFonts w:ascii="Arial" w:hAnsi="Arial" w:cs="Arial"/>
          <w:sz w:val="24"/>
          <w:szCs w:val="24"/>
        </w:rPr>
        <w:t>significan</w:t>
      </w:r>
      <w:r w:rsidRPr="00596731">
        <w:rPr>
          <w:rFonts w:ascii="Arial" w:hAnsi="Arial" w:cs="Arial"/>
          <w:sz w:val="24"/>
          <w:szCs w:val="24"/>
        </w:rPr>
        <w:t xml:space="preserve">tly by industry, although the </w:t>
      </w:r>
      <w:r>
        <w:rPr>
          <w:rFonts w:ascii="Arial" w:hAnsi="Arial" w:cs="Arial"/>
          <w:sz w:val="24"/>
          <w:szCs w:val="24"/>
        </w:rPr>
        <w:t>standard</w:t>
      </w:r>
      <w:r w:rsidRPr="00596731">
        <w:rPr>
          <w:rFonts w:ascii="Arial" w:hAnsi="Arial" w:cs="Arial"/>
          <w:sz w:val="24"/>
          <w:szCs w:val="24"/>
        </w:rPr>
        <w:t xml:space="preserve"> agreement is that it should not exceed 2.0</w:t>
      </w:r>
      <w:r w:rsidRPr="00596731">
        <w:rPr>
          <w:rFonts w:ascii="Arial" w:hAnsi="Arial" w:cs="Arial"/>
          <w:color w:val="000000"/>
        </w:rPr>
        <w:t xml:space="preserve"> </w:t>
      </w:r>
      <w:r w:rsidRPr="00596731">
        <w:rPr>
          <w:rFonts w:ascii="Arial" w:eastAsia="Times New Roman" w:hAnsi="Arial" w:cs="Arial"/>
          <w:color w:val="000000"/>
          <w:sz w:val="24"/>
          <w:szCs w:val="24"/>
          <w:lang w:eastAsia="en-GB" w:bidi="ar-SA"/>
        </w:rPr>
        <w:t>(Investopedia, 2022)</w:t>
      </w:r>
      <w:r w:rsidRPr="00596731">
        <w:rPr>
          <w:rFonts w:ascii="Arial" w:hAnsi="Arial" w:cs="Arial"/>
          <w:sz w:val="24"/>
          <w:szCs w:val="24"/>
        </w:rPr>
        <w:t>.</w:t>
      </w:r>
    </w:p>
    <w:p w14:paraId="0145A013" w14:textId="77777777" w:rsidR="00A930EE" w:rsidRDefault="0009371B" w:rsidP="00B23475">
      <w:pPr>
        <w:shd w:val="clear" w:color="auto" w:fill="FFFFFF"/>
        <w:spacing w:line="360" w:lineRule="auto"/>
        <w:rPr>
          <w:rFonts w:ascii="Arial" w:hAnsi="Arial" w:cs="Arial"/>
          <w:b/>
          <w:bCs/>
          <w:sz w:val="24"/>
          <w:szCs w:val="24"/>
        </w:rPr>
      </w:pPr>
      <w:r w:rsidRPr="004C74E4">
        <w:rPr>
          <w:rFonts w:ascii="Arial" w:hAnsi="Arial" w:cs="Arial"/>
          <w:b/>
          <w:bCs/>
          <w:sz w:val="24"/>
          <w:szCs w:val="24"/>
        </w:rPr>
        <w:t>Debt to Capital Ratio</w:t>
      </w:r>
      <w:r>
        <w:rPr>
          <w:rFonts w:ascii="Arial" w:hAnsi="Arial" w:cs="Arial"/>
          <w:b/>
          <w:bCs/>
          <w:sz w:val="24"/>
          <w:szCs w:val="24"/>
        </w:rPr>
        <w:t xml:space="preserve">: </w:t>
      </w:r>
    </w:p>
    <w:p w14:paraId="10C29AAE" w14:textId="6E5FF2B6" w:rsidR="00A930EE" w:rsidRDefault="00A930EE" w:rsidP="00A930EE">
      <w:pPr>
        <w:shd w:val="clear" w:color="auto" w:fill="FFFFFF"/>
        <w:spacing w:line="360" w:lineRule="auto"/>
        <w:rPr>
          <w:rFonts w:ascii="Arial" w:hAnsi="Arial" w:cs="Arial"/>
          <w:sz w:val="24"/>
          <w:szCs w:val="24"/>
        </w:rPr>
      </w:pPr>
      <w:r w:rsidRPr="00A930EE">
        <w:rPr>
          <w:rFonts w:ascii="Arial" w:hAnsi="Arial" w:cs="Arial"/>
          <w:sz w:val="24"/>
          <w:szCs w:val="24"/>
        </w:rPr>
        <w:t xml:space="preserve">The debt-to-capital ratio, often known as the D/C ratio, compares how much debt a firm utilises to cover its operating and functional expenses to how much capital it uses. A company's capital consists of its assets and cash. The D/C ratio is used to assess the level of risk a company takes concerning debt and overall financial operations </w:t>
      </w:r>
      <w:r w:rsidRPr="00A930EE">
        <w:rPr>
          <w:rFonts w:ascii="Arial" w:eastAsia="Times New Roman" w:hAnsi="Arial" w:cs="Arial"/>
          <w:color w:val="000000"/>
          <w:sz w:val="24"/>
          <w:szCs w:val="24"/>
          <w:lang w:eastAsia="en-GB" w:bidi="ar-SA"/>
        </w:rPr>
        <w:t>(Indeed, 2023)</w:t>
      </w:r>
      <w:r w:rsidRPr="00A930EE">
        <w:rPr>
          <w:rFonts w:ascii="Arial" w:hAnsi="Arial" w:cs="Arial"/>
          <w:sz w:val="24"/>
          <w:szCs w:val="24"/>
        </w:rPr>
        <w:t xml:space="preserve">. </w:t>
      </w:r>
      <w:r w:rsidR="004C6B85" w:rsidRPr="004C6B85">
        <w:rPr>
          <w:rFonts w:ascii="Arial" w:hAnsi="Arial" w:cs="Arial"/>
          <w:sz w:val="24"/>
          <w:szCs w:val="24"/>
        </w:rPr>
        <w:t xml:space="preserve">Industry, financial stability, development stage, and risk tolerance determine the appropriate debt-to-capital ratio. However, a lower debt-to-capital ratio suggests a smaller debt level </w:t>
      </w:r>
      <w:r w:rsidR="004C6B85">
        <w:rPr>
          <w:rFonts w:ascii="Arial" w:hAnsi="Arial" w:cs="Arial"/>
          <w:sz w:val="24"/>
          <w:szCs w:val="24"/>
        </w:rPr>
        <w:t>than</w:t>
      </w:r>
      <w:r w:rsidR="004C6B85" w:rsidRPr="004C6B85">
        <w:rPr>
          <w:rFonts w:ascii="Arial" w:hAnsi="Arial" w:cs="Arial"/>
          <w:sz w:val="24"/>
          <w:szCs w:val="24"/>
        </w:rPr>
        <w:t xml:space="preserve"> the capital structure, which is usually better. A lower debt-to-capital ratio indicates a greater equity capital structure and less debt financing. This suggests a better financial position, lesser risk, and greater debt management options.</w:t>
      </w:r>
    </w:p>
    <w:p w14:paraId="665DCE19" w14:textId="0A1CFB81" w:rsidR="004C6B85" w:rsidRDefault="004C6B85" w:rsidP="00A930EE">
      <w:pPr>
        <w:shd w:val="clear" w:color="auto" w:fill="FFFFFF"/>
        <w:spacing w:line="360" w:lineRule="auto"/>
        <w:rPr>
          <w:rFonts w:ascii="Arial" w:hAnsi="Arial" w:cs="Arial"/>
          <w:sz w:val="24"/>
          <w:szCs w:val="24"/>
        </w:rPr>
      </w:pPr>
      <w:r>
        <w:rPr>
          <w:rFonts w:ascii="Arial" w:hAnsi="Arial" w:cs="Arial"/>
          <w:sz w:val="24"/>
          <w:szCs w:val="24"/>
        </w:rPr>
        <w:t>M&amp;S and Sainsbury's have maintained relatively stable Debt-to-Capital Ratios over the years, with</w:t>
      </w:r>
      <w:r w:rsidRPr="004C6B85">
        <w:rPr>
          <w:rFonts w:ascii="Arial" w:hAnsi="Arial" w:cs="Arial"/>
          <w:sz w:val="24"/>
          <w:szCs w:val="24"/>
        </w:rPr>
        <w:t xml:space="preserve"> minor fluctuations. M&amp;S had a slightly higher Debt-to-Capital Ratio compared to Sainsbury's in 2022, indicating a relatively higher reliance on debt financing for M&amp;S.</w:t>
      </w:r>
      <w:r w:rsidR="001648FE">
        <w:rPr>
          <w:rFonts w:ascii="Arial" w:hAnsi="Arial" w:cs="Arial"/>
          <w:sz w:val="24"/>
          <w:szCs w:val="24"/>
        </w:rPr>
        <w:t xml:space="preserve"> Both companies did not have any aggressive business expansion in the last five years, which could influence their amount of debt substantially.</w:t>
      </w:r>
    </w:p>
    <w:p w14:paraId="105F0E2B" w14:textId="704D9277" w:rsidR="001648FE" w:rsidRPr="001648FE" w:rsidRDefault="001648FE" w:rsidP="00A930EE">
      <w:pPr>
        <w:shd w:val="clear" w:color="auto" w:fill="FFFFFF"/>
        <w:spacing w:line="360" w:lineRule="auto"/>
        <w:rPr>
          <w:rFonts w:ascii="Arial" w:eastAsia="Times New Roman" w:hAnsi="Arial" w:cs="Arial"/>
          <w:color w:val="000000"/>
          <w:sz w:val="24"/>
          <w:szCs w:val="24"/>
          <w:lang w:eastAsia="en-GB" w:bidi="ar-SA"/>
        </w:rPr>
      </w:pPr>
      <w:r w:rsidRPr="001648FE">
        <w:rPr>
          <w:rFonts w:ascii="Arial" w:eastAsia="Times New Roman" w:hAnsi="Arial" w:cs="Arial"/>
          <w:color w:val="000000"/>
          <w:sz w:val="24"/>
          <w:szCs w:val="24"/>
          <w:lang w:eastAsia="en-GB" w:bidi="ar-SA"/>
        </w:rPr>
        <w:t>A company's debt is one of the primary factors of gearing ratios. Industry norms, business cycle, company strategy, interest rates, cash flow and earnings, credit ratings and investor perception are all crucial factors in assessing a company's debt levels. M&amp;S</w:t>
      </w:r>
      <w:r w:rsidR="00E63FAE">
        <w:rPr>
          <w:rFonts w:ascii="Arial" w:eastAsia="Times New Roman" w:hAnsi="Arial" w:cs="Arial"/>
          <w:color w:val="000000"/>
          <w:sz w:val="24"/>
          <w:szCs w:val="24"/>
          <w:lang w:eastAsia="en-GB" w:bidi="ar-SA"/>
        </w:rPr>
        <w:t>'</w:t>
      </w:r>
      <w:r w:rsidRPr="001648FE">
        <w:rPr>
          <w:rFonts w:ascii="Arial" w:eastAsia="Times New Roman" w:hAnsi="Arial" w:cs="Arial"/>
          <w:color w:val="000000"/>
          <w:sz w:val="24"/>
          <w:szCs w:val="24"/>
          <w:lang w:eastAsia="en-GB" w:bidi="ar-SA"/>
        </w:rPr>
        <w:t xml:space="preserve">s total liabilities increased </w:t>
      </w:r>
      <w:r>
        <w:rPr>
          <w:rFonts w:ascii="Arial" w:eastAsia="Times New Roman" w:hAnsi="Arial" w:cs="Arial"/>
          <w:color w:val="000000"/>
          <w:sz w:val="24"/>
          <w:szCs w:val="24"/>
          <w:lang w:eastAsia="en-GB" w:bidi="ar-SA"/>
        </w:rPr>
        <w:t>from £</w:t>
      </w:r>
      <w:r w:rsidRPr="001648FE">
        <w:rPr>
          <w:rFonts w:ascii="Arial" w:hAnsi="Arial" w:cs="Arial"/>
          <w:sz w:val="24"/>
          <w:szCs w:val="24"/>
          <w:lang w:bidi="ar-SA"/>
        </w:rPr>
        <w:t>4,596</w:t>
      </w:r>
      <w:r>
        <w:rPr>
          <w:rFonts w:ascii="Arial" w:hAnsi="Arial" w:cs="Arial"/>
          <w:sz w:val="24"/>
          <w:szCs w:val="24"/>
          <w:lang w:bidi="ar-SA"/>
        </w:rPr>
        <w:t>m</w:t>
      </w:r>
      <w:r w:rsidRPr="001648FE">
        <w:rPr>
          <w:rFonts w:ascii="Arial" w:hAnsi="Arial" w:cs="Arial"/>
          <w:sz w:val="24"/>
          <w:szCs w:val="24"/>
          <w:lang w:bidi="ar-SA"/>
        </w:rPr>
        <w:t xml:space="preserve"> to </w:t>
      </w:r>
      <w:r>
        <w:rPr>
          <w:rFonts w:ascii="Arial" w:hAnsi="Arial" w:cs="Arial"/>
          <w:sz w:val="24"/>
          <w:szCs w:val="24"/>
          <w:lang w:bidi="ar-SA"/>
        </w:rPr>
        <w:t>£</w:t>
      </w:r>
      <w:r w:rsidRPr="001648FE">
        <w:rPr>
          <w:rFonts w:ascii="Arial" w:hAnsi="Arial" w:cs="Arial"/>
          <w:sz w:val="24"/>
          <w:szCs w:val="24"/>
          <w:lang w:bidi="ar-SA"/>
        </w:rPr>
        <w:t>6,525.5</w:t>
      </w:r>
      <w:r>
        <w:rPr>
          <w:rFonts w:ascii="Arial" w:hAnsi="Arial" w:cs="Arial"/>
          <w:sz w:val="24"/>
          <w:szCs w:val="24"/>
          <w:lang w:bidi="ar-SA"/>
        </w:rPr>
        <w:t>m</w:t>
      </w:r>
      <w:r w:rsidRPr="001648FE">
        <w:rPr>
          <w:rFonts w:ascii="Arial" w:hAnsi="Arial" w:cs="Arial"/>
          <w:sz w:val="24"/>
          <w:szCs w:val="24"/>
          <w:lang w:bidi="ar-SA"/>
        </w:rPr>
        <w:t xml:space="preserve"> from 2018 to 22</w:t>
      </w:r>
      <w:r>
        <w:rPr>
          <w:rFonts w:ascii="Arial" w:hAnsi="Arial" w:cs="Arial"/>
          <w:sz w:val="24"/>
          <w:szCs w:val="24"/>
          <w:lang w:bidi="ar-SA"/>
        </w:rPr>
        <w:t xml:space="preserve">, </w:t>
      </w:r>
      <w:r w:rsidR="00665EAD">
        <w:rPr>
          <w:rFonts w:ascii="Arial" w:hAnsi="Arial" w:cs="Arial"/>
          <w:sz w:val="24"/>
          <w:szCs w:val="24"/>
          <w:lang w:bidi="ar-SA"/>
        </w:rPr>
        <w:t xml:space="preserve">reflected </w:t>
      </w:r>
      <w:r>
        <w:rPr>
          <w:rFonts w:ascii="Arial" w:hAnsi="Arial" w:cs="Arial"/>
          <w:sz w:val="24"/>
          <w:szCs w:val="24"/>
          <w:lang w:bidi="ar-SA"/>
        </w:rPr>
        <w:t>in it</w:t>
      </w:r>
      <w:r w:rsidR="00E63FAE">
        <w:rPr>
          <w:rFonts w:ascii="Arial" w:hAnsi="Arial" w:cs="Arial"/>
          <w:sz w:val="24"/>
          <w:szCs w:val="24"/>
          <w:lang w:bidi="ar-SA"/>
        </w:rPr>
        <w:t>s</w:t>
      </w:r>
      <w:r>
        <w:rPr>
          <w:rFonts w:ascii="Arial" w:hAnsi="Arial" w:cs="Arial"/>
          <w:sz w:val="24"/>
          <w:szCs w:val="24"/>
          <w:lang w:bidi="ar-SA"/>
        </w:rPr>
        <w:t xml:space="preserve"> debt</w:t>
      </w:r>
      <w:r w:rsidR="00E63FAE">
        <w:rPr>
          <w:rFonts w:ascii="Arial" w:hAnsi="Arial" w:cs="Arial"/>
          <w:sz w:val="24"/>
          <w:szCs w:val="24"/>
          <w:lang w:bidi="ar-SA"/>
        </w:rPr>
        <w:t>-to-</w:t>
      </w:r>
      <w:r>
        <w:rPr>
          <w:rFonts w:ascii="Arial" w:hAnsi="Arial" w:cs="Arial"/>
          <w:sz w:val="24"/>
          <w:szCs w:val="24"/>
          <w:lang w:bidi="ar-SA"/>
        </w:rPr>
        <w:t>equity ratio</w:t>
      </w:r>
      <w:r w:rsidR="00665EAD">
        <w:rPr>
          <w:rFonts w:ascii="Arial" w:hAnsi="Arial" w:cs="Arial"/>
          <w:sz w:val="24"/>
          <w:szCs w:val="24"/>
          <w:lang w:bidi="ar-SA"/>
        </w:rPr>
        <w:t>s</w:t>
      </w:r>
      <w:r>
        <w:rPr>
          <w:rFonts w:ascii="Arial" w:hAnsi="Arial" w:cs="Arial"/>
          <w:sz w:val="24"/>
          <w:szCs w:val="24"/>
          <w:lang w:bidi="ar-SA"/>
        </w:rPr>
        <w:t xml:space="preserve">. However, </w:t>
      </w:r>
      <w:r w:rsidR="00E63FAE">
        <w:rPr>
          <w:rFonts w:ascii="Arial" w:hAnsi="Arial" w:cs="Arial"/>
          <w:sz w:val="24"/>
          <w:szCs w:val="24"/>
          <w:lang w:bidi="ar-SA"/>
        </w:rPr>
        <w:t xml:space="preserve">the </w:t>
      </w:r>
      <w:r>
        <w:rPr>
          <w:rFonts w:ascii="Arial" w:hAnsi="Arial" w:cs="Arial"/>
          <w:sz w:val="24"/>
          <w:szCs w:val="24"/>
          <w:lang w:bidi="ar-SA"/>
        </w:rPr>
        <w:t>ste</w:t>
      </w:r>
      <w:r w:rsidR="00E63FAE">
        <w:rPr>
          <w:rFonts w:ascii="Arial" w:hAnsi="Arial" w:cs="Arial"/>
          <w:sz w:val="24"/>
          <w:szCs w:val="24"/>
          <w:lang w:bidi="ar-SA"/>
        </w:rPr>
        <w:t>a</w:t>
      </w:r>
      <w:r>
        <w:rPr>
          <w:rFonts w:ascii="Arial" w:hAnsi="Arial" w:cs="Arial"/>
          <w:sz w:val="24"/>
          <w:szCs w:val="24"/>
          <w:lang w:bidi="ar-SA"/>
        </w:rPr>
        <w:t>dy debt</w:t>
      </w:r>
      <w:r w:rsidR="00E63FAE">
        <w:rPr>
          <w:rFonts w:ascii="Arial" w:hAnsi="Arial" w:cs="Arial"/>
          <w:sz w:val="24"/>
          <w:szCs w:val="24"/>
          <w:lang w:bidi="ar-SA"/>
        </w:rPr>
        <w:t>-to-</w:t>
      </w:r>
      <w:r>
        <w:rPr>
          <w:rFonts w:ascii="Arial" w:hAnsi="Arial" w:cs="Arial"/>
          <w:sz w:val="24"/>
          <w:szCs w:val="24"/>
          <w:lang w:bidi="ar-SA"/>
        </w:rPr>
        <w:t xml:space="preserve">capital ratio confirms </w:t>
      </w:r>
      <w:r w:rsidR="00E63FAE">
        <w:rPr>
          <w:rFonts w:ascii="Arial" w:hAnsi="Arial" w:cs="Arial"/>
          <w:sz w:val="24"/>
          <w:szCs w:val="24"/>
          <w:lang w:bidi="ar-SA"/>
        </w:rPr>
        <w:t xml:space="preserve">that </w:t>
      </w:r>
      <w:r>
        <w:rPr>
          <w:rFonts w:ascii="Arial" w:hAnsi="Arial" w:cs="Arial"/>
          <w:sz w:val="24"/>
          <w:szCs w:val="24"/>
          <w:lang w:bidi="ar-SA"/>
        </w:rPr>
        <w:t>it has been carrying healt</w:t>
      </w:r>
      <w:r w:rsidR="00E63FAE">
        <w:rPr>
          <w:rFonts w:ascii="Arial" w:hAnsi="Arial" w:cs="Arial"/>
          <w:sz w:val="24"/>
          <w:szCs w:val="24"/>
          <w:lang w:bidi="ar-SA"/>
        </w:rPr>
        <w:t>h</w:t>
      </w:r>
      <w:r>
        <w:rPr>
          <w:rFonts w:ascii="Arial" w:hAnsi="Arial" w:cs="Arial"/>
          <w:sz w:val="24"/>
          <w:szCs w:val="24"/>
          <w:lang w:bidi="ar-SA"/>
        </w:rPr>
        <w:t>y assets and cash since 2018.</w:t>
      </w:r>
    </w:p>
    <w:p w14:paraId="7662AF7C" w14:textId="77777777" w:rsidR="00A930EE" w:rsidRDefault="00A930EE" w:rsidP="00B23475">
      <w:pPr>
        <w:shd w:val="clear" w:color="auto" w:fill="FFFFFF"/>
        <w:spacing w:line="360" w:lineRule="auto"/>
      </w:pPr>
    </w:p>
    <w:p w14:paraId="1B185D45" w14:textId="14B4C7D3" w:rsidR="00134797" w:rsidRDefault="00134797" w:rsidP="00B23475">
      <w:pPr>
        <w:shd w:val="clear" w:color="auto" w:fill="FFFFFF"/>
        <w:spacing w:line="360" w:lineRule="auto"/>
        <w:rPr>
          <w:rFonts w:ascii="Arial" w:hAnsi="Arial" w:cs="Arial"/>
          <w:b/>
          <w:bCs/>
          <w:sz w:val="24"/>
          <w:szCs w:val="24"/>
        </w:rPr>
      </w:pPr>
      <w:r>
        <w:rPr>
          <w:rFonts w:ascii="Arial" w:hAnsi="Arial" w:cs="Arial"/>
          <w:b/>
          <w:bCs/>
          <w:sz w:val="24"/>
          <w:szCs w:val="24"/>
        </w:rPr>
        <w:t xml:space="preserve">Efficiency Ratio: </w:t>
      </w:r>
    </w:p>
    <w:p w14:paraId="3877ED03" w14:textId="4CD47827" w:rsidR="00134797" w:rsidRDefault="00134797" w:rsidP="00B23475">
      <w:pPr>
        <w:shd w:val="clear" w:color="auto" w:fill="FFFFFF"/>
        <w:spacing w:line="360" w:lineRule="auto"/>
        <w:rPr>
          <w:rFonts w:ascii="Arial" w:hAnsi="Arial" w:cs="Arial"/>
          <w:sz w:val="24"/>
          <w:szCs w:val="24"/>
        </w:rPr>
      </w:pPr>
      <w:r w:rsidRPr="00134797">
        <w:rPr>
          <w:rFonts w:ascii="Arial" w:hAnsi="Arial" w:cs="Arial"/>
          <w:sz w:val="24"/>
          <w:szCs w:val="24"/>
        </w:rPr>
        <w:t>The efficiency ratio is a way to measure how efficiently a company uses its assets and liabilities to generate revenue. It is also known as the activity ratio or asset utilisation ratio.</w:t>
      </w:r>
      <w:r>
        <w:rPr>
          <w:rFonts w:ascii="Arial" w:hAnsi="Arial" w:cs="Arial"/>
          <w:sz w:val="24"/>
          <w:szCs w:val="24"/>
        </w:rPr>
        <w:t xml:space="preserve"> </w:t>
      </w:r>
      <w:r w:rsidR="00D279ED">
        <w:rPr>
          <w:rFonts w:ascii="Arial" w:hAnsi="Arial" w:cs="Arial"/>
          <w:sz w:val="24"/>
          <w:szCs w:val="24"/>
        </w:rPr>
        <w:t>C</w:t>
      </w:r>
      <w:r>
        <w:rPr>
          <w:rFonts w:ascii="Arial" w:hAnsi="Arial" w:cs="Arial"/>
          <w:sz w:val="24"/>
          <w:szCs w:val="24"/>
        </w:rPr>
        <w:t xml:space="preserve">alculations of </w:t>
      </w:r>
      <w:r w:rsidR="00245B7F">
        <w:rPr>
          <w:rFonts w:ascii="Arial" w:hAnsi="Arial" w:cs="Arial"/>
          <w:sz w:val="24"/>
          <w:szCs w:val="24"/>
        </w:rPr>
        <w:t>M&amp;S</w:t>
      </w:r>
      <w:r w:rsidR="00D11AF1">
        <w:rPr>
          <w:rFonts w:ascii="Arial" w:hAnsi="Arial" w:cs="Arial"/>
          <w:sz w:val="24"/>
          <w:szCs w:val="24"/>
        </w:rPr>
        <w:t>'</w:t>
      </w:r>
      <w:r>
        <w:rPr>
          <w:rFonts w:ascii="Arial" w:hAnsi="Arial" w:cs="Arial"/>
          <w:sz w:val="24"/>
          <w:szCs w:val="24"/>
        </w:rPr>
        <w:t xml:space="preserve">s 2022 efficiency ratios </w:t>
      </w:r>
      <w:r w:rsidR="00D279ED">
        <w:rPr>
          <w:rFonts w:ascii="Arial" w:hAnsi="Arial" w:cs="Arial"/>
          <w:sz w:val="24"/>
          <w:szCs w:val="24"/>
        </w:rPr>
        <w:t>are</w:t>
      </w:r>
      <w:r>
        <w:rPr>
          <w:rFonts w:ascii="Arial" w:hAnsi="Arial" w:cs="Arial"/>
          <w:sz w:val="24"/>
          <w:szCs w:val="24"/>
        </w:rPr>
        <w:t xml:space="preserve"> given below</w:t>
      </w:r>
      <w:r w:rsidR="00D279ED">
        <w:rPr>
          <w:rFonts w:ascii="Arial" w:hAnsi="Arial" w:cs="Arial"/>
          <w:sz w:val="24"/>
          <w:szCs w:val="24"/>
        </w:rPr>
        <w:t xml:space="preserve"> </w:t>
      </w:r>
      <w:r w:rsidR="00D279ED" w:rsidRPr="00B23475">
        <w:rPr>
          <w:rFonts w:ascii="Arial" w:eastAsia="Times New Roman" w:hAnsi="Arial" w:cs="Arial"/>
          <w:color w:val="000000"/>
          <w:sz w:val="24"/>
          <w:szCs w:val="24"/>
          <w:lang w:eastAsia="en-GB" w:bidi="ar-SA"/>
        </w:rPr>
        <w:t>(</w:t>
      </w:r>
      <w:r w:rsidR="00245B7F">
        <w:rPr>
          <w:rFonts w:ascii="Arial" w:eastAsia="Times New Roman" w:hAnsi="Arial" w:cs="Arial"/>
          <w:color w:val="000000"/>
          <w:sz w:val="24"/>
          <w:szCs w:val="24"/>
          <w:lang w:eastAsia="en-GB" w:bidi="ar-SA"/>
        </w:rPr>
        <w:t>M&amp;S</w:t>
      </w:r>
      <w:r w:rsidR="00D279ED" w:rsidRPr="00B23475">
        <w:rPr>
          <w:rFonts w:ascii="Arial" w:eastAsia="Times New Roman" w:hAnsi="Arial" w:cs="Arial"/>
          <w:color w:val="000000"/>
          <w:sz w:val="24"/>
          <w:szCs w:val="24"/>
          <w:lang w:eastAsia="en-GB" w:bidi="ar-SA"/>
        </w:rPr>
        <w:t xml:space="preserve"> Plc, 2022):</w:t>
      </w:r>
    </w:p>
    <w:p w14:paraId="107BBE6F" w14:textId="11E98D41" w:rsidR="00134797" w:rsidRPr="00134797" w:rsidRDefault="00134797" w:rsidP="00B23475">
      <w:pPr>
        <w:shd w:val="clear" w:color="auto" w:fill="FFFFFF"/>
        <w:spacing w:line="360" w:lineRule="auto"/>
        <w:rPr>
          <w:rFonts w:ascii="Arial" w:hAnsi="Arial" w:cs="Arial"/>
          <w:b/>
          <w:bCs/>
          <w:sz w:val="24"/>
          <w:szCs w:val="24"/>
        </w:rPr>
      </w:pPr>
      <w:r w:rsidRPr="00134797">
        <w:rPr>
          <w:rFonts w:ascii="Arial" w:hAnsi="Arial" w:cs="Arial"/>
          <w:b/>
          <w:bCs/>
          <w:sz w:val="24"/>
          <w:szCs w:val="24"/>
        </w:rPr>
        <w:lastRenderedPageBreak/>
        <w:t>Asset Turnover:</w:t>
      </w:r>
      <w:r>
        <w:rPr>
          <w:rFonts w:ascii="Arial" w:hAnsi="Arial" w:cs="Arial"/>
          <w:b/>
          <w:bCs/>
          <w:sz w:val="24"/>
          <w:szCs w:val="24"/>
        </w:rPr>
        <w:t xml:space="preserve"> </w:t>
      </w:r>
      <w:r w:rsidRPr="00134797">
        <w:rPr>
          <w:rFonts w:ascii="Arial" w:hAnsi="Arial" w:cs="Arial"/>
        </w:rPr>
        <w:t xml:space="preserve">This </w:t>
      </w:r>
      <w:r w:rsidR="00163859">
        <w:rPr>
          <w:rFonts w:ascii="Arial" w:hAnsi="Arial" w:cs="Arial"/>
        </w:rPr>
        <w:t>R</w:t>
      </w:r>
      <w:r w:rsidRPr="00134797">
        <w:rPr>
          <w:rFonts w:ascii="Arial" w:hAnsi="Arial" w:cs="Arial"/>
        </w:rPr>
        <w:t>atio measures how efficiently a company uses its assets to generate revenue. It is calculated by dividing the company</w:t>
      </w:r>
      <w:r w:rsidR="00D11AF1">
        <w:rPr>
          <w:rFonts w:ascii="Arial" w:hAnsi="Arial" w:cs="Arial"/>
        </w:rPr>
        <w:t>'</w:t>
      </w:r>
      <w:r w:rsidRPr="00134797">
        <w:rPr>
          <w:rFonts w:ascii="Arial" w:hAnsi="Arial" w:cs="Arial"/>
        </w:rPr>
        <w:t>s total revenue by its total assets.</w:t>
      </w:r>
    </w:p>
    <w:p w14:paraId="39CA8670" w14:textId="3F1D551A" w:rsidR="00134797" w:rsidRPr="00472019" w:rsidRDefault="00D4622D" w:rsidP="00472019">
      <w:pPr>
        <w:shd w:val="clear" w:color="auto" w:fill="EAF1DD" w:themeFill="accent3" w:themeFillTint="33"/>
        <w:spacing w:line="360" w:lineRule="auto"/>
        <w:rPr>
          <w:rFonts w:ascii="Arial" w:hAnsi="Arial" w:cs="Arial"/>
          <w:b/>
          <w:bCs/>
          <w:sz w:val="24"/>
          <w:szCs w:val="24"/>
        </w:rPr>
      </w:pPr>
      <m:oMathPara>
        <m:oMath>
          <m:r>
            <m:rPr>
              <m:sty m:val="bi"/>
            </m:rPr>
            <w:rPr>
              <w:rFonts w:ascii="Cambria Math" w:hAnsi="Cambria Math" w:cs="Arial"/>
              <w:sz w:val="24"/>
              <w:szCs w:val="24"/>
            </w:rPr>
            <m:t>Asset Turnover=</m:t>
          </m:r>
          <m:f>
            <m:fPr>
              <m:ctrlPr>
                <w:rPr>
                  <w:rFonts w:ascii="Cambria Math" w:hAnsi="Cambria Math" w:cs="Arial"/>
                  <w:b/>
                  <w:bCs/>
                  <w:i/>
                  <w:sz w:val="24"/>
                  <w:szCs w:val="24"/>
                </w:rPr>
              </m:ctrlPr>
            </m:fPr>
            <m:num>
              <m:r>
                <m:rPr>
                  <m:sty m:val="bi"/>
                </m:rPr>
                <w:rPr>
                  <w:rFonts w:ascii="Cambria Math" w:hAnsi="Cambria Math" w:cs="Arial"/>
                  <w:sz w:val="24"/>
                  <w:szCs w:val="24"/>
                </w:rPr>
                <m:t>Sales</m:t>
              </m:r>
            </m:num>
            <m:den>
              <m:r>
                <m:rPr>
                  <m:sty m:val="bi"/>
                </m:rPr>
                <w:rPr>
                  <w:rFonts w:ascii="Cambria Math" w:hAnsi="Cambria Math" w:cs="Arial"/>
                  <w:sz w:val="24"/>
                  <w:szCs w:val="24"/>
                </w:rPr>
                <m:t>Total Asset</m:t>
              </m:r>
            </m:den>
          </m:f>
          <m:r>
            <m:rPr>
              <m:sty m:val="bi"/>
            </m:rPr>
            <w:rPr>
              <w:rFonts w:ascii="Cambria Math" w:hAnsi="Cambria Math" w:cs="Arial"/>
              <w:sz w:val="24"/>
              <w:szCs w:val="24"/>
            </w:rPr>
            <m:t>=</m:t>
          </m:r>
          <m:f>
            <m:fPr>
              <m:ctrlPr>
                <w:rPr>
                  <w:rFonts w:ascii="Cambria Math" w:hAnsi="Cambria Math" w:cs="Arial"/>
                  <w:b/>
                  <w:bCs/>
                  <w:i/>
                  <w:sz w:val="24"/>
                  <w:szCs w:val="24"/>
                </w:rPr>
              </m:ctrlPr>
            </m:fPr>
            <m:num>
              <m:r>
                <m:rPr>
                  <m:sty m:val="b"/>
                </m:rPr>
                <w:rPr>
                  <w:rFonts w:ascii="Cambria Math" w:hAnsi="Cambria Math" w:cs="M&amp;SLondon-Bold"/>
                  <w:sz w:val="24"/>
                  <w:szCs w:val="24"/>
                  <w:lang w:bidi="ar-SA"/>
                </w:rPr>
                <m:t>10885.1</m:t>
              </m:r>
            </m:num>
            <m:den>
              <m:r>
                <m:rPr>
                  <m:sty m:val="b"/>
                </m:rPr>
                <w:rPr>
                  <w:rFonts w:ascii="Cambria Math" w:hAnsi="Cambria Math" w:cs="M&amp;SLondon-Bold"/>
                  <w:sz w:val="24"/>
                  <w:szCs w:val="24"/>
                  <w:lang w:bidi="ar-SA"/>
                </w:rPr>
                <m:t>9443.4</m:t>
              </m:r>
            </m:den>
          </m:f>
          <m:r>
            <m:rPr>
              <m:sty m:val="bi"/>
            </m:rPr>
            <w:rPr>
              <w:rFonts w:ascii="Cambria Math" w:hAnsi="Cambria Math" w:cs="Arial"/>
              <w:sz w:val="24"/>
              <w:szCs w:val="24"/>
            </w:rPr>
            <m:t>=1.15</m:t>
          </m:r>
        </m:oMath>
      </m:oMathPara>
    </w:p>
    <w:p w14:paraId="57677006" w14:textId="77777777" w:rsidR="00472019" w:rsidRDefault="00472019" w:rsidP="00B23475">
      <w:pPr>
        <w:shd w:val="clear" w:color="auto" w:fill="FFFFFF"/>
        <w:spacing w:line="360" w:lineRule="auto"/>
        <w:rPr>
          <w:rFonts w:ascii="Arial" w:hAnsi="Arial" w:cs="Arial"/>
          <w:b/>
          <w:bCs/>
          <w:sz w:val="24"/>
          <w:szCs w:val="24"/>
        </w:rPr>
      </w:pPr>
    </w:p>
    <w:p w14:paraId="27E99189" w14:textId="77732627" w:rsidR="00D4622D" w:rsidRDefault="00D4622D" w:rsidP="00B23475">
      <w:pPr>
        <w:shd w:val="clear" w:color="auto" w:fill="FFFFFF"/>
        <w:spacing w:line="360" w:lineRule="auto"/>
        <w:rPr>
          <w:rFonts w:ascii="Arial" w:hAnsi="Arial" w:cs="Arial"/>
          <w:sz w:val="24"/>
          <w:szCs w:val="24"/>
        </w:rPr>
      </w:pPr>
      <w:r w:rsidRPr="00D4622D">
        <w:rPr>
          <w:rFonts w:ascii="Arial" w:hAnsi="Arial" w:cs="Arial"/>
          <w:b/>
          <w:bCs/>
          <w:sz w:val="24"/>
          <w:szCs w:val="24"/>
        </w:rPr>
        <w:t>Inventory Turnover Ratio</w:t>
      </w:r>
      <w:r>
        <w:rPr>
          <w:rFonts w:ascii="Arial" w:hAnsi="Arial" w:cs="Arial"/>
          <w:b/>
          <w:bCs/>
          <w:sz w:val="24"/>
          <w:szCs w:val="24"/>
        </w:rPr>
        <w:t xml:space="preserve">: </w:t>
      </w:r>
      <w:r w:rsidRPr="00D4622D">
        <w:rPr>
          <w:rFonts w:ascii="Arial" w:hAnsi="Arial" w:cs="Arial"/>
          <w:sz w:val="24"/>
          <w:szCs w:val="24"/>
        </w:rPr>
        <w:t xml:space="preserve">This </w:t>
      </w:r>
      <w:r w:rsidR="00163859">
        <w:rPr>
          <w:rFonts w:ascii="Arial" w:hAnsi="Arial" w:cs="Arial"/>
          <w:sz w:val="24"/>
          <w:szCs w:val="24"/>
        </w:rPr>
        <w:t>R</w:t>
      </w:r>
      <w:r w:rsidRPr="00D4622D">
        <w:rPr>
          <w:rFonts w:ascii="Arial" w:hAnsi="Arial" w:cs="Arial"/>
          <w:sz w:val="24"/>
          <w:szCs w:val="24"/>
        </w:rPr>
        <w:t xml:space="preserve">atio measures how </w:t>
      </w:r>
      <w:r>
        <w:rPr>
          <w:rFonts w:ascii="Arial" w:hAnsi="Arial" w:cs="Arial"/>
          <w:sz w:val="24"/>
          <w:szCs w:val="24"/>
        </w:rPr>
        <w:t>often</w:t>
      </w:r>
      <w:r w:rsidRPr="00D4622D">
        <w:rPr>
          <w:rFonts w:ascii="Arial" w:hAnsi="Arial" w:cs="Arial"/>
          <w:sz w:val="24"/>
          <w:szCs w:val="24"/>
        </w:rPr>
        <w:t xml:space="preserve"> a company</w:t>
      </w:r>
      <w:r w:rsidR="00D11AF1">
        <w:rPr>
          <w:rFonts w:ascii="Arial" w:hAnsi="Arial" w:cs="Arial"/>
          <w:sz w:val="24"/>
          <w:szCs w:val="24"/>
        </w:rPr>
        <w:t>'</w:t>
      </w:r>
      <w:r w:rsidRPr="00D4622D">
        <w:rPr>
          <w:rFonts w:ascii="Arial" w:hAnsi="Arial" w:cs="Arial"/>
          <w:sz w:val="24"/>
          <w:szCs w:val="24"/>
        </w:rPr>
        <w:t>s inventory is sold and replaced over a specific period.</w:t>
      </w:r>
    </w:p>
    <w:p w14:paraId="5DCC43EF" w14:textId="2B99457D" w:rsidR="00D4622D" w:rsidRPr="006C2A12" w:rsidRDefault="00D4622D" w:rsidP="006C2A12">
      <w:pPr>
        <w:shd w:val="clear" w:color="auto" w:fill="EAF1DD" w:themeFill="accent3" w:themeFillTint="33"/>
        <w:spacing w:line="360" w:lineRule="auto"/>
        <w:rPr>
          <w:rFonts w:ascii="Arial" w:hAnsi="Arial" w:cs="Arial"/>
          <w:b/>
          <w:bCs/>
          <w:sz w:val="24"/>
          <w:szCs w:val="24"/>
        </w:rPr>
      </w:pPr>
      <m:oMathPara>
        <m:oMath>
          <m:r>
            <m:rPr>
              <m:sty m:val="bi"/>
            </m:rPr>
            <w:rPr>
              <w:rFonts w:ascii="Cambria Math" w:hAnsi="Cambria Math" w:cs="Arial"/>
              <w:sz w:val="24"/>
              <w:szCs w:val="24"/>
            </w:rPr>
            <m:t>Inventory Turnover Ratio=</m:t>
          </m:r>
          <m:f>
            <m:fPr>
              <m:ctrlPr>
                <w:rPr>
                  <w:rFonts w:ascii="Cambria Math" w:hAnsi="Cambria Math" w:cs="Arial"/>
                  <w:b/>
                  <w:bCs/>
                  <w:i/>
                  <w:sz w:val="24"/>
                  <w:szCs w:val="24"/>
                </w:rPr>
              </m:ctrlPr>
            </m:fPr>
            <m:num>
              <m:r>
                <m:rPr>
                  <m:sty m:val="bi"/>
                </m:rPr>
                <w:rPr>
                  <w:rFonts w:ascii="Cambria Math" w:hAnsi="Cambria Math" w:cs="Arial"/>
                  <w:sz w:val="24"/>
                  <w:szCs w:val="24"/>
                </w:rPr>
                <m:t>Cost of Sales</m:t>
              </m:r>
            </m:num>
            <m:den>
              <m:r>
                <m:rPr>
                  <m:sty m:val="bi"/>
                </m:rPr>
                <w:rPr>
                  <w:rFonts w:ascii="Cambria Math" w:hAnsi="Cambria Math" w:cs="Arial"/>
                  <w:sz w:val="24"/>
                  <w:szCs w:val="24"/>
                </w:rPr>
                <m:t>Inventory Held</m:t>
              </m:r>
            </m:den>
          </m:f>
          <m:r>
            <m:rPr>
              <m:sty m:val="bi"/>
            </m:rPr>
            <w:rPr>
              <w:rFonts w:ascii="Cambria Math" w:hAnsi="Cambria Math" w:cs="Arial"/>
              <w:sz w:val="24"/>
              <w:szCs w:val="24"/>
            </w:rPr>
            <m:t>=</m:t>
          </m:r>
          <m:f>
            <m:fPr>
              <m:ctrlPr>
                <w:rPr>
                  <w:rFonts w:ascii="Cambria Math" w:hAnsi="Cambria Math" w:cs="Arial"/>
                  <w:b/>
                  <w:bCs/>
                  <w:i/>
                  <w:sz w:val="24"/>
                  <w:szCs w:val="24"/>
                </w:rPr>
              </m:ctrlPr>
            </m:fPr>
            <m:num>
              <m:r>
                <m:rPr>
                  <m:sty m:val="b"/>
                </m:rPr>
                <w:rPr>
                  <w:rFonts w:ascii="Cambria Math" w:hAnsi="Cambria Math" w:cs="M&amp;SLondon-Bold"/>
                  <w:sz w:val="24"/>
                  <w:szCs w:val="24"/>
                  <w:lang w:bidi="ar-SA"/>
                </w:rPr>
                <m:t>7130.3</m:t>
              </m:r>
            </m:num>
            <m:den>
              <m:r>
                <m:rPr>
                  <m:sty m:val="b"/>
                </m:rPr>
                <w:rPr>
                  <w:rFonts w:ascii="Cambria Math" w:hAnsi="Cambria Math" w:cs="M&amp;SLondon-Bold"/>
                  <w:sz w:val="24"/>
                  <w:szCs w:val="24"/>
                  <w:lang w:bidi="ar-SA"/>
                </w:rPr>
                <m:t>706.1</m:t>
              </m:r>
            </m:den>
          </m:f>
          <m:r>
            <m:rPr>
              <m:sty m:val="bi"/>
            </m:rPr>
            <w:rPr>
              <w:rFonts w:ascii="Cambria Math" w:hAnsi="Cambria Math" w:cs="Arial"/>
              <w:sz w:val="24"/>
              <w:szCs w:val="24"/>
            </w:rPr>
            <m:t>=10.09</m:t>
          </m:r>
        </m:oMath>
      </m:oMathPara>
    </w:p>
    <w:p w14:paraId="7FF7A417" w14:textId="31C270AE" w:rsidR="00E859C8" w:rsidRDefault="00E859C8" w:rsidP="00B23475">
      <w:pPr>
        <w:shd w:val="clear" w:color="auto" w:fill="FFFFFF"/>
        <w:spacing w:line="360" w:lineRule="auto"/>
        <w:rPr>
          <w:rFonts w:ascii="Arial" w:hAnsi="Arial" w:cs="Arial"/>
          <w:sz w:val="24"/>
          <w:szCs w:val="24"/>
        </w:rPr>
      </w:pPr>
      <w:r w:rsidRPr="00E859C8">
        <w:rPr>
          <w:rFonts w:ascii="Arial" w:hAnsi="Arial" w:cs="Arial"/>
          <w:b/>
          <w:bCs/>
          <w:sz w:val="24"/>
          <w:szCs w:val="24"/>
        </w:rPr>
        <w:t>Debtor Days Ratio</w:t>
      </w:r>
      <w:r>
        <w:rPr>
          <w:rFonts w:ascii="Arial" w:hAnsi="Arial" w:cs="Arial"/>
          <w:b/>
          <w:bCs/>
          <w:sz w:val="24"/>
          <w:szCs w:val="24"/>
        </w:rPr>
        <w:t xml:space="preserve">: </w:t>
      </w:r>
      <w:r w:rsidRPr="00E859C8">
        <w:rPr>
          <w:rFonts w:ascii="Arial" w:hAnsi="Arial" w:cs="Arial"/>
          <w:sz w:val="24"/>
          <w:szCs w:val="24"/>
        </w:rPr>
        <w:t xml:space="preserve">The debtor days ratio is a financial metric used to measure how long it takes </w:t>
      </w:r>
      <w:r>
        <w:rPr>
          <w:rFonts w:ascii="Arial" w:hAnsi="Arial" w:cs="Arial"/>
          <w:sz w:val="24"/>
          <w:szCs w:val="24"/>
        </w:rPr>
        <w:t>a company to collect customer payment</w:t>
      </w:r>
      <w:r w:rsidRPr="00E859C8">
        <w:rPr>
          <w:rFonts w:ascii="Arial" w:hAnsi="Arial" w:cs="Arial"/>
          <w:sz w:val="24"/>
          <w:szCs w:val="24"/>
        </w:rPr>
        <w:t>s.</w:t>
      </w:r>
    </w:p>
    <w:p w14:paraId="0B698DB1" w14:textId="2D0A8B0E" w:rsidR="00E859C8" w:rsidRPr="006D6D43" w:rsidRDefault="00E859C8" w:rsidP="00B23475">
      <w:pPr>
        <w:shd w:val="clear" w:color="auto" w:fill="FFFFFF"/>
        <w:spacing w:line="360" w:lineRule="auto"/>
        <w:rPr>
          <w:rFonts w:ascii="Arial" w:eastAsiaTheme="minorEastAsia" w:hAnsi="Arial" w:cs="Arial"/>
          <w:b/>
          <w:bCs/>
          <w:sz w:val="24"/>
          <w:szCs w:val="24"/>
        </w:rPr>
      </w:pPr>
      <m:oMathPara>
        <m:oMath>
          <m:r>
            <m:rPr>
              <m:sty m:val="bi"/>
            </m:rPr>
            <w:rPr>
              <w:rFonts w:ascii="Cambria Math" w:hAnsi="Cambria Math" w:cs="Arial"/>
              <w:sz w:val="24"/>
              <w:szCs w:val="24"/>
            </w:rPr>
            <m:t>Debtor Days Ratio=</m:t>
          </m:r>
          <m:f>
            <m:fPr>
              <m:ctrlPr>
                <w:rPr>
                  <w:rFonts w:ascii="Cambria Math" w:hAnsi="Cambria Math" w:cs="Arial"/>
                  <w:b/>
                  <w:bCs/>
                  <w:i/>
                  <w:sz w:val="24"/>
                  <w:szCs w:val="24"/>
                </w:rPr>
              </m:ctrlPr>
            </m:fPr>
            <m:num>
              <m:r>
                <m:rPr>
                  <m:sty m:val="bi"/>
                </m:rPr>
                <w:rPr>
                  <w:rFonts w:ascii="Cambria Math" w:hAnsi="Cambria Math" w:cs="Arial"/>
                  <w:sz w:val="24"/>
                  <w:szCs w:val="24"/>
                </w:rPr>
                <m:t>Debtors×365</m:t>
              </m:r>
            </m:num>
            <m:den>
              <m:r>
                <m:rPr>
                  <m:sty m:val="bi"/>
                </m:rPr>
                <w:rPr>
                  <w:rFonts w:ascii="Cambria Math" w:hAnsi="Cambria Math" w:cs="Arial"/>
                  <w:sz w:val="24"/>
                  <w:szCs w:val="24"/>
                </w:rPr>
                <m:t>Sales</m:t>
              </m:r>
            </m:den>
          </m:f>
          <m:r>
            <m:rPr>
              <m:sty m:val="bi"/>
            </m:rPr>
            <w:rPr>
              <w:rFonts w:ascii="Cambria Math" w:hAnsi="Cambria Math" w:cs="Arial"/>
              <w:sz w:val="24"/>
              <w:szCs w:val="24"/>
            </w:rPr>
            <m:t>=</m:t>
          </m:r>
          <m:f>
            <m:fPr>
              <m:ctrlPr>
                <w:rPr>
                  <w:rFonts w:ascii="Cambria Math" w:hAnsi="Cambria Math" w:cs="Arial"/>
                  <w:b/>
                  <w:bCs/>
                  <w:i/>
                  <w:sz w:val="24"/>
                  <w:szCs w:val="24"/>
                </w:rPr>
              </m:ctrlPr>
            </m:fPr>
            <m:num>
              <m:r>
                <m:rPr>
                  <m:sty m:val="bi"/>
                </m:rPr>
                <w:rPr>
                  <w:rFonts w:ascii="Cambria Math" w:hAnsi="Cambria Math" w:cs="Arial"/>
                  <w:sz w:val="24"/>
                  <w:szCs w:val="24"/>
                </w:rPr>
                <m:t>283×365</m:t>
              </m:r>
            </m:num>
            <m:den>
              <m:r>
                <m:rPr>
                  <m:sty m:val="b"/>
                </m:rPr>
                <w:rPr>
                  <w:rFonts w:ascii="Cambria Math" w:hAnsi="Cambria Math" w:cs="M&amp;SLondon-Bold"/>
                  <w:sz w:val="24"/>
                  <w:szCs w:val="24"/>
                  <w:lang w:bidi="ar-SA"/>
                </w:rPr>
                <m:t>10885.1</m:t>
              </m:r>
            </m:den>
          </m:f>
          <m:r>
            <m:rPr>
              <m:sty m:val="bi"/>
            </m:rPr>
            <w:rPr>
              <w:rFonts w:ascii="Cambria Math" w:hAnsi="Cambria Math" w:cs="Arial"/>
              <w:sz w:val="24"/>
              <w:szCs w:val="24"/>
            </w:rPr>
            <m:t>=</m:t>
          </m:r>
          <m:f>
            <m:fPr>
              <m:ctrlPr>
                <w:rPr>
                  <w:rFonts w:ascii="Cambria Math" w:hAnsi="Cambria Math" w:cs="Arial"/>
                  <w:b/>
                  <w:bCs/>
                  <w:i/>
                  <w:sz w:val="24"/>
                  <w:szCs w:val="24"/>
                </w:rPr>
              </m:ctrlPr>
            </m:fPr>
            <m:num>
              <m:r>
                <m:rPr>
                  <m:sty m:val="bi"/>
                </m:rPr>
                <w:rPr>
                  <w:rFonts w:ascii="Cambria Math" w:hAnsi="Cambria Math" w:cs="Arial"/>
                  <w:sz w:val="24"/>
                  <w:szCs w:val="24"/>
                </w:rPr>
                <m:t>103295</m:t>
              </m:r>
            </m:num>
            <m:den>
              <m:r>
                <m:rPr>
                  <m:sty m:val="bi"/>
                </m:rPr>
                <w:rPr>
                  <w:rFonts w:ascii="Cambria Math" w:hAnsi="Cambria Math" w:cs="Arial"/>
                  <w:sz w:val="24"/>
                  <w:szCs w:val="24"/>
                </w:rPr>
                <m:t>2826</m:t>
              </m:r>
            </m:den>
          </m:f>
          <m:r>
            <m:rPr>
              <m:sty m:val="bi"/>
            </m:rPr>
            <w:rPr>
              <w:rFonts w:ascii="Cambria Math" w:hAnsi="Cambria Math" w:cs="Arial"/>
              <w:sz w:val="24"/>
              <w:szCs w:val="24"/>
            </w:rPr>
            <m:t>=36.55</m:t>
          </m:r>
        </m:oMath>
      </m:oMathPara>
    </w:p>
    <w:p w14:paraId="3F30C31F" w14:textId="72F70C7E" w:rsidR="006D6D43" w:rsidRDefault="006D6D43" w:rsidP="00B23475">
      <w:pPr>
        <w:shd w:val="clear" w:color="auto" w:fill="FFFFFF"/>
        <w:spacing w:line="360" w:lineRule="auto"/>
        <w:rPr>
          <w:rFonts w:ascii="Arial" w:hAnsi="Arial" w:cs="Arial"/>
          <w:sz w:val="24"/>
          <w:szCs w:val="24"/>
        </w:rPr>
      </w:pPr>
      <w:r w:rsidRPr="006D6D43">
        <w:rPr>
          <w:rFonts w:ascii="Arial" w:hAnsi="Arial" w:cs="Arial"/>
          <w:b/>
          <w:bCs/>
          <w:sz w:val="24"/>
          <w:szCs w:val="24"/>
        </w:rPr>
        <w:t>Payable Days Ratio</w:t>
      </w:r>
      <w:r>
        <w:rPr>
          <w:rFonts w:ascii="Arial" w:hAnsi="Arial" w:cs="Arial"/>
          <w:b/>
          <w:bCs/>
          <w:sz w:val="24"/>
          <w:szCs w:val="24"/>
        </w:rPr>
        <w:t xml:space="preserve">: </w:t>
      </w:r>
      <w:r w:rsidRPr="006D6D43">
        <w:rPr>
          <w:rFonts w:ascii="Arial" w:hAnsi="Arial" w:cs="Arial"/>
          <w:sz w:val="24"/>
          <w:szCs w:val="24"/>
        </w:rPr>
        <w:t>Creditors</w:t>
      </w:r>
      <w:r w:rsidR="00D11AF1">
        <w:rPr>
          <w:rFonts w:ascii="Arial" w:hAnsi="Arial" w:cs="Arial"/>
          <w:sz w:val="24"/>
          <w:szCs w:val="24"/>
        </w:rPr>
        <w:t>'</w:t>
      </w:r>
      <w:r w:rsidRPr="006D6D43">
        <w:rPr>
          <w:rFonts w:ascii="Arial" w:hAnsi="Arial" w:cs="Arial"/>
          <w:sz w:val="24"/>
          <w:szCs w:val="24"/>
        </w:rPr>
        <w:t xml:space="preserve"> Payable Days Ratio, also known as Payables Turnover Ratio or Accounts Payable Turnover Ratio, is a financial metric that measures the number of days it takes for a company to pay its suppliers or vendors. It shows how efficiently a company manages its accounts payable and how long it takes to pay off its debts to its creditors.</w:t>
      </w:r>
    </w:p>
    <w:p w14:paraId="57ECBFA5" w14:textId="3FFD756F" w:rsidR="006D6D43" w:rsidRPr="006403B4" w:rsidRDefault="006D6D43" w:rsidP="006403B4">
      <w:pPr>
        <w:shd w:val="clear" w:color="auto" w:fill="EAF1DD" w:themeFill="accent3" w:themeFillTint="33"/>
        <w:spacing w:line="360" w:lineRule="auto"/>
        <w:rPr>
          <w:rFonts w:ascii="Arial" w:hAnsi="Arial" w:cs="Arial"/>
          <w:b/>
          <w:bCs/>
          <w:sz w:val="24"/>
          <w:szCs w:val="24"/>
        </w:rPr>
      </w:pPr>
      <m:oMath>
        <m:r>
          <m:rPr>
            <m:sty m:val="bi"/>
          </m:rPr>
          <w:rPr>
            <w:rFonts w:ascii="Cambria Math" w:hAnsi="Cambria Math" w:cs="Arial"/>
            <w:sz w:val="28"/>
          </w:rPr>
          <m:t>Payable Days Ratio=</m:t>
        </m:r>
        <m:f>
          <m:fPr>
            <m:ctrlPr>
              <w:rPr>
                <w:rFonts w:ascii="Cambria Math" w:hAnsi="Cambria Math" w:cs="Arial"/>
                <w:b/>
                <w:i/>
                <w:sz w:val="28"/>
              </w:rPr>
            </m:ctrlPr>
          </m:fPr>
          <m:num>
            <m:r>
              <m:rPr>
                <m:sty m:val="bi"/>
              </m:rPr>
              <w:rPr>
                <w:rFonts w:ascii="Cambria Math" w:hAnsi="Cambria Math" w:cs="Arial"/>
                <w:sz w:val="28"/>
              </w:rPr>
              <m:t>Paybles x 365</m:t>
            </m:r>
          </m:num>
          <m:den>
            <m:r>
              <m:rPr>
                <m:sty m:val="bi"/>
              </m:rPr>
              <w:rPr>
                <w:rFonts w:ascii="Cambria Math" w:hAnsi="Cambria Math" w:cs="Arial"/>
                <w:sz w:val="28"/>
              </w:rPr>
              <m:t>Cost of Sales</m:t>
            </m:r>
          </m:den>
        </m:f>
        <m:r>
          <m:rPr>
            <m:sty m:val="bi"/>
          </m:rPr>
          <w:rPr>
            <w:rFonts w:ascii="Cambria Math" w:hAnsi="Cambria Math" w:cs="Arial"/>
            <w:sz w:val="28"/>
          </w:rPr>
          <m:t>=</m:t>
        </m:r>
        <m:f>
          <m:fPr>
            <m:ctrlPr>
              <w:rPr>
                <w:rFonts w:ascii="Cambria Math" w:hAnsi="Cambria Math" w:cs="Arial"/>
                <w:b/>
                <w:i/>
                <w:sz w:val="28"/>
              </w:rPr>
            </m:ctrlPr>
          </m:fPr>
          <m:num>
            <m:r>
              <m:rPr>
                <m:sty m:val="bi"/>
              </m:rPr>
              <w:rPr>
                <w:rFonts w:ascii="Cambria Math" w:hAnsi="Cambria Math" w:cs="Arial"/>
                <w:sz w:val="28"/>
              </w:rPr>
              <m:t>1960.9 x 365</m:t>
            </m:r>
          </m:num>
          <m:den>
            <m:r>
              <m:rPr>
                <m:sty m:val="b"/>
              </m:rPr>
              <w:rPr>
                <w:rFonts w:ascii="Cambria Math" w:hAnsi="Cambria Math" w:cs="M&amp;SLondon-Bold"/>
                <w:sz w:val="24"/>
                <w:szCs w:val="24"/>
                <w:lang w:bidi="ar-SA"/>
              </w:rPr>
              <m:t>7130.3</m:t>
            </m:r>
          </m:den>
        </m:f>
        <m:r>
          <m:rPr>
            <m:sty m:val="bi"/>
          </m:rPr>
          <w:rPr>
            <w:rFonts w:ascii="Cambria Math" w:hAnsi="Cambria Math" w:cs="Arial"/>
            <w:sz w:val="28"/>
          </w:rPr>
          <m:t>=</m:t>
        </m:r>
        <m:f>
          <m:fPr>
            <m:ctrlPr>
              <w:rPr>
                <w:rFonts w:ascii="Cambria Math" w:hAnsi="Cambria Math" w:cs="Arial"/>
                <w:b/>
                <w:i/>
                <w:sz w:val="28"/>
              </w:rPr>
            </m:ctrlPr>
          </m:fPr>
          <m:num>
            <m:r>
              <m:rPr>
                <m:sty m:val="bi"/>
              </m:rPr>
              <w:rPr>
                <w:rFonts w:ascii="Cambria Math" w:hAnsi="Cambria Math" w:cs="Arial"/>
                <w:sz w:val="28"/>
              </w:rPr>
              <m:t>715,728.5</m:t>
            </m:r>
          </m:num>
          <m:den>
            <m:r>
              <m:rPr>
                <m:sty m:val="bi"/>
              </m:rPr>
              <w:rPr>
                <w:rFonts w:ascii="Cambria Math" w:hAnsi="Cambria Math" w:cs="Arial"/>
                <w:sz w:val="28"/>
              </w:rPr>
              <m:t>7130.3</m:t>
            </m:r>
          </m:den>
        </m:f>
        <m:r>
          <m:rPr>
            <m:sty m:val="bi"/>
          </m:rPr>
          <w:rPr>
            <w:rFonts w:ascii="Cambria Math" w:hAnsi="Cambria Math" w:cs="Arial"/>
            <w:sz w:val="28"/>
          </w:rPr>
          <m:t>=100</m:t>
        </m:r>
      </m:oMath>
      <w:r w:rsidR="006403B4" w:rsidRPr="006403B4">
        <w:rPr>
          <w:rFonts w:ascii="Arial" w:eastAsiaTheme="minorEastAsia" w:hAnsi="Arial" w:cs="Arial"/>
          <w:b/>
          <w:sz w:val="24"/>
          <w:szCs w:val="24"/>
        </w:rPr>
        <w:t xml:space="preserve"> </w:t>
      </w:r>
    </w:p>
    <w:p w14:paraId="7565568F" w14:textId="4FF3EE0C" w:rsidR="006E1A59" w:rsidRDefault="006E1A59" w:rsidP="00B23475">
      <w:pPr>
        <w:shd w:val="clear" w:color="auto" w:fill="FFFFFF"/>
        <w:spacing w:line="360" w:lineRule="auto"/>
        <w:rPr>
          <w:rFonts w:ascii="Arial" w:hAnsi="Arial" w:cs="Arial"/>
          <w:b/>
          <w:bCs/>
          <w:sz w:val="24"/>
          <w:szCs w:val="24"/>
        </w:rPr>
      </w:pPr>
    </w:p>
    <w:p w14:paraId="5C0015C1" w14:textId="77777777" w:rsidR="006E1A59" w:rsidRDefault="006E1A59" w:rsidP="00B23475">
      <w:pPr>
        <w:shd w:val="clear" w:color="auto" w:fill="FFFFFF"/>
        <w:spacing w:line="360" w:lineRule="auto"/>
        <w:rPr>
          <w:rFonts w:ascii="Arial" w:hAnsi="Arial" w:cs="Arial"/>
          <w:b/>
          <w:bCs/>
          <w:sz w:val="24"/>
          <w:szCs w:val="24"/>
        </w:rPr>
      </w:pPr>
    </w:p>
    <w:p w14:paraId="37F1BD32" w14:textId="77777777" w:rsidR="006E1A59" w:rsidRDefault="006E1A59" w:rsidP="00B23475">
      <w:pPr>
        <w:shd w:val="clear" w:color="auto" w:fill="FFFFFF"/>
        <w:spacing w:line="360" w:lineRule="auto"/>
        <w:rPr>
          <w:rFonts w:ascii="Arial" w:hAnsi="Arial" w:cs="Arial"/>
          <w:b/>
          <w:bCs/>
          <w:sz w:val="24"/>
          <w:szCs w:val="24"/>
        </w:rPr>
      </w:pPr>
    </w:p>
    <w:p w14:paraId="65102614" w14:textId="4BB69EAA" w:rsidR="00B16EA0" w:rsidRPr="00B16EA0" w:rsidRDefault="00B16EA0" w:rsidP="00B23475">
      <w:pPr>
        <w:shd w:val="clear" w:color="auto" w:fill="FFFFFF"/>
        <w:spacing w:line="360" w:lineRule="auto"/>
        <w:rPr>
          <w:rFonts w:ascii="Arial" w:hAnsi="Arial" w:cs="Arial"/>
          <w:b/>
          <w:bCs/>
          <w:sz w:val="24"/>
          <w:szCs w:val="24"/>
        </w:rPr>
      </w:pPr>
      <w:r w:rsidRPr="00B16EA0">
        <w:rPr>
          <w:rFonts w:ascii="Arial" w:hAnsi="Arial" w:cs="Arial"/>
          <w:b/>
          <w:bCs/>
          <w:sz w:val="24"/>
          <w:szCs w:val="24"/>
        </w:rPr>
        <w:t>Profitability:</w:t>
      </w:r>
    </w:p>
    <w:p w14:paraId="1875DF62" w14:textId="12D865B3" w:rsidR="00B23475" w:rsidRDefault="00B16EA0" w:rsidP="00B23475">
      <w:pPr>
        <w:shd w:val="clear" w:color="auto" w:fill="FFFFFF"/>
        <w:spacing w:line="360" w:lineRule="auto"/>
        <w:rPr>
          <w:rFonts w:ascii="Arial" w:hAnsi="Arial" w:cs="Arial"/>
          <w:sz w:val="24"/>
          <w:szCs w:val="24"/>
        </w:rPr>
      </w:pPr>
      <w:r w:rsidRPr="00B16EA0">
        <w:rPr>
          <w:rFonts w:ascii="Arial" w:hAnsi="Arial" w:cs="Arial"/>
          <w:sz w:val="24"/>
          <w:szCs w:val="24"/>
        </w:rPr>
        <w:t>Profitability measures a company</w:t>
      </w:r>
      <w:r w:rsidR="00D11AF1">
        <w:rPr>
          <w:rFonts w:ascii="Arial" w:hAnsi="Arial" w:cs="Arial"/>
          <w:sz w:val="24"/>
          <w:szCs w:val="24"/>
        </w:rPr>
        <w:t>'</w:t>
      </w:r>
      <w:r w:rsidRPr="00B16EA0">
        <w:rPr>
          <w:rFonts w:ascii="Arial" w:hAnsi="Arial" w:cs="Arial"/>
          <w:sz w:val="24"/>
          <w:szCs w:val="24"/>
        </w:rPr>
        <w:t>s ability to generate earnings or profits relative to its costs and expenses. It is a crucial indicator of a company</w:t>
      </w:r>
      <w:r w:rsidR="00D11AF1">
        <w:rPr>
          <w:rFonts w:ascii="Arial" w:hAnsi="Arial" w:cs="Arial"/>
          <w:sz w:val="24"/>
          <w:szCs w:val="24"/>
        </w:rPr>
        <w:t>'</w:t>
      </w:r>
      <w:r w:rsidRPr="00B16EA0">
        <w:rPr>
          <w:rFonts w:ascii="Arial" w:hAnsi="Arial" w:cs="Arial"/>
          <w:sz w:val="24"/>
          <w:szCs w:val="24"/>
        </w:rPr>
        <w:t>s financial health and sustainability</w:t>
      </w:r>
      <w:r w:rsidR="00B23475">
        <w:rPr>
          <w:rFonts w:ascii="Arial" w:hAnsi="Arial" w:cs="Arial"/>
          <w:sz w:val="24"/>
          <w:szCs w:val="24"/>
        </w:rPr>
        <w:t xml:space="preserve"> </w:t>
      </w:r>
      <w:r w:rsidR="00B23475" w:rsidRPr="00B16EA0">
        <w:rPr>
          <w:rFonts w:ascii="Arial" w:eastAsia="Times New Roman" w:hAnsi="Arial" w:cs="Arial"/>
          <w:color w:val="000000"/>
          <w:sz w:val="24"/>
          <w:szCs w:val="24"/>
          <w:lang w:eastAsia="en-GB" w:bidi="ar-SA"/>
        </w:rPr>
        <w:t>(Hayes, 2023)</w:t>
      </w:r>
      <w:r w:rsidR="00B23475" w:rsidRPr="00B16EA0">
        <w:rPr>
          <w:rFonts w:ascii="Arial" w:hAnsi="Arial" w:cs="Arial"/>
          <w:sz w:val="24"/>
          <w:szCs w:val="24"/>
        </w:rPr>
        <w:t>.</w:t>
      </w:r>
    </w:p>
    <w:p w14:paraId="6913B3BC" w14:textId="50487652" w:rsidR="00B23475" w:rsidRDefault="00B23475" w:rsidP="00CC46D2">
      <w:pPr>
        <w:shd w:val="clear" w:color="auto" w:fill="FFFFFF"/>
        <w:rPr>
          <w:rFonts w:ascii="Arial" w:eastAsia="Times New Roman" w:hAnsi="Arial" w:cs="Arial"/>
          <w:color w:val="000000"/>
          <w:sz w:val="24"/>
          <w:szCs w:val="24"/>
          <w:lang w:eastAsia="en-GB" w:bidi="ar-SA"/>
        </w:rPr>
      </w:pPr>
    </w:p>
    <w:p w14:paraId="137D48CD" w14:textId="1471D440" w:rsidR="00B23475" w:rsidRDefault="006E1A59" w:rsidP="006E1A59">
      <w:pPr>
        <w:pStyle w:val="Heading2"/>
        <w:rPr>
          <w:rFonts w:ascii="Arial" w:eastAsia="Times New Roman" w:hAnsi="Arial" w:cs="Arial"/>
          <w:color w:val="000000"/>
          <w:sz w:val="24"/>
          <w:szCs w:val="24"/>
          <w:lang w:eastAsia="en-GB" w:bidi="ar-SA"/>
        </w:rPr>
      </w:pPr>
      <w:bookmarkStart w:id="1" w:name="_Toc144635654"/>
      <w:r w:rsidRPr="006E1A59">
        <w:rPr>
          <w:rFonts w:ascii="Arial" w:hAnsi="Arial" w:cs="Arial"/>
          <w:color w:val="auto"/>
          <w:sz w:val="24"/>
          <w:szCs w:val="24"/>
        </w:rPr>
        <w:lastRenderedPageBreak/>
        <w:t>Marks &amp; Spencer Group PLC</w:t>
      </w:r>
      <w:r>
        <w:rPr>
          <w:rFonts w:ascii="Arial" w:hAnsi="Arial" w:cs="Arial"/>
          <w:color w:val="auto"/>
          <w:sz w:val="24"/>
          <w:szCs w:val="24"/>
        </w:rPr>
        <w:t xml:space="preserve"> </w:t>
      </w:r>
      <w:proofErr w:type="spellStart"/>
      <w:r w:rsidR="00B23475" w:rsidRPr="00B23475">
        <w:rPr>
          <w:rFonts w:ascii="Arial" w:eastAsia="Times New Roman" w:hAnsi="Arial" w:cs="Arial"/>
          <w:color w:val="000000"/>
          <w:sz w:val="24"/>
          <w:szCs w:val="24"/>
          <w:lang w:eastAsia="en-GB" w:bidi="ar-SA"/>
        </w:rPr>
        <w:t>Profidibilities</w:t>
      </w:r>
      <w:proofErr w:type="spellEnd"/>
      <w:r w:rsidR="00B23475" w:rsidRPr="00B23475">
        <w:rPr>
          <w:rFonts w:ascii="Arial" w:eastAsia="Times New Roman" w:hAnsi="Arial" w:cs="Arial"/>
          <w:color w:val="000000"/>
          <w:sz w:val="24"/>
          <w:szCs w:val="24"/>
          <w:lang w:eastAsia="en-GB" w:bidi="ar-SA"/>
        </w:rPr>
        <w:t xml:space="preserve"> for 2022 (</w:t>
      </w:r>
      <w:r w:rsidR="00245B7F">
        <w:rPr>
          <w:rFonts w:ascii="Arial" w:eastAsia="Times New Roman" w:hAnsi="Arial" w:cs="Arial"/>
          <w:color w:val="000000"/>
          <w:sz w:val="24"/>
          <w:szCs w:val="24"/>
          <w:lang w:eastAsia="en-GB" w:bidi="ar-SA"/>
        </w:rPr>
        <w:t>M&amp;S</w:t>
      </w:r>
      <w:r w:rsidR="00B23475" w:rsidRPr="00B23475">
        <w:rPr>
          <w:rFonts w:ascii="Arial" w:eastAsia="Times New Roman" w:hAnsi="Arial" w:cs="Arial"/>
          <w:color w:val="000000"/>
          <w:sz w:val="24"/>
          <w:szCs w:val="24"/>
          <w:lang w:eastAsia="en-GB" w:bidi="ar-SA"/>
        </w:rPr>
        <w:t xml:space="preserve"> Plc, 2022):</w:t>
      </w:r>
      <w:bookmarkEnd w:id="1"/>
    </w:p>
    <w:p w14:paraId="27FFB72C" w14:textId="77777777" w:rsidR="006E1A59" w:rsidRPr="006E1A59" w:rsidRDefault="006E1A59" w:rsidP="006E1A59">
      <w:pPr>
        <w:rPr>
          <w:lang w:eastAsia="en-GB" w:bidi="ar-SA"/>
        </w:rPr>
      </w:pPr>
    </w:p>
    <w:p w14:paraId="427AF824" w14:textId="689E04A2" w:rsidR="00B23475" w:rsidRPr="00E859C8" w:rsidRDefault="00E859C8" w:rsidP="007B4A96">
      <w:pPr>
        <w:shd w:val="clear" w:color="auto" w:fill="FFFFFF"/>
        <w:spacing w:line="360" w:lineRule="auto"/>
        <w:rPr>
          <w:rFonts w:ascii="Arial" w:eastAsia="Times New Roman" w:hAnsi="Arial" w:cs="Arial"/>
          <w:b/>
          <w:bCs/>
          <w:iCs/>
          <w:color w:val="000000"/>
          <w:sz w:val="24"/>
          <w:szCs w:val="24"/>
          <w:lang w:eastAsia="en-GB" w:bidi="ar-SA"/>
        </w:rPr>
      </w:pPr>
      <m:oMathPara>
        <m:oMath>
          <m:r>
            <m:rPr>
              <m:sty m:val="b"/>
            </m:rPr>
            <w:rPr>
              <w:rFonts w:ascii="Cambria Math" w:eastAsia="Times New Roman" w:hAnsi="Cambria Math" w:cs="Arial"/>
              <w:color w:val="000000"/>
              <w:sz w:val="24"/>
              <w:szCs w:val="24"/>
              <w:lang w:eastAsia="en-GB" w:bidi="ar-SA"/>
            </w:rPr>
            <m:t>Gross Profit Margin=</m:t>
          </m:r>
          <m:f>
            <m:fPr>
              <m:ctrlPr>
                <w:rPr>
                  <w:rFonts w:ascii="Cambria Math" w:eastAsia="Times New Roman" w:hAnsi="Cambria Math" w:cs="Arial"/>
                  <w:b/>
                  <w:bCs/>
                  <w:iCs/>
                  <w:color w:val="000000"/>
                  <w:sz w:val="24"/>
                  <w:szCs w:val="24"/>
                  <w:lang w:eastAsia="en-GB" w:bidi="ar-SA"/>
                </w:rPr>
              </m:ctrlPr>
            </m:fPr>
            <m:num>
              <m:r>
                <m:rPr>
                  <m:sty m:val="b"/>
                </m:rPr>
                <w:rPr>
                  <w:rFonts w:ascii="Cambria Math" w:eastAsia="Times New Roman" w:hAnsi="Cambria Math" w:cs="Arial"/>
                  <w:color w:val="000000"/>
                  <w:sz w:val="24"/>
                  <w:szCs w:val="24"/>
                  <w:lang w:eastAsia="en-GB" w:bidi="ar-SA"/>
                </w:rPr>
                <m:t>Gross Profit</m:t>
              </m:r>
            </m:num>
            <m:den>
              <m:r>
                <m:rPr>
                  <m:sty m:val="b"/>
                </m:rPr>
                <w:rPr>
                  <w:rFonts w:ascii="Cambria Math" w:eastAsia="Times New Roman" w:hAnsi="Cambria Math" w:cs="Arial"/>
                  <w:color w:val="000000"/>
                  <w:sz w:val="24"/>
                  <w:szCs w:val="24"/>
                  <w:lang w:eastAsia="en-GB" w:bidi="ar-SA"/>
                </w:rPr>
                <m:t>Sales (Sales Revenue)</m:t>
              </m:r>
            </m:den>
          </m:f>
          <m:r>
            <m:rPr>
              <m:sty m:val="b"/>
            </m:rPr>
            <w:rPr>
              <w:rFonts w:ascii="Cambria Math" w:eastAsia="Times New Roman" w:hAnsi="Cambria Math" w:cs="Arial"/>
              <w:color w:val="000000"/>
              <w:sz w:val="24"/>
              <w:szCs w:val="24"/>
              <w:lang w:eastAsia="en-GB" w:bidi="ar-SA"/>
            </w:rPr>
            <m:t>×100=</m:t>
          </m:r>
          <m:f>
            <m:fPr>
              <m:ctrlPr>
                <w:rPr>
                  <w:rFonts w:ascii="Cambria Math" w:eastAsia="Times New Roman" w:hAnsi="Cambria Math" w:cs="Arial"/>
                  <w:b/>
                  <w:bCs/>
                  <w:iCs/>
                  <w:color w:val="000000"/>
                  <w:sz w:val="24"/>
                  <w:szCs w:val="24"/>
                  <w:lang w:eastAsia="en-GB" w:bidi="ar-SA"/>
                </w:rPr>
              </m:ctrlPr>
            </m:fPr>
            <m:num>
              <m:r>
                <m:rPr>
                  <m:sty m:val="b"/>
                </m:rPr>
                <w:rPr>
                  <w:rFonts w:ascii="Cambria Math" w:hAnsi="Cambria Math" w:cs="BurberryStyrene-Medium"/>
                  <w:sz w:val="24"/>
                  <w:szCs w:val="24"/>
                  <w:lang w:bidi="ar-SA"/>
                </w:rPr>
                <m:t>3754.8</m:t>
              </m:r>
            </m:num>
            <m:den>
              <m:r>
                <m:rPr>
                  <m:sty m:val="b"/>
                </m:rPr>
                <w:rPr>
                  <w:rFonts w:ascii="Cambria Math" w:hAnsi="Cambria Math" w:cs="M&amp;SLondon-Bold"/>
                  <w:sz w:val="24"/>
                  <w:szCs w:val="24"/>
                  <w:lang w:bidi="ar-SA"/>
                </w:rPr>
                <m:t>10885.1</m:t>
              </m:r>
            </m:den>
          </m:f>
          <m:r>
            <m:rPr>
              <m:sty m:val="b"/>
            </m:rPr>
            <w:rPr>
              <w:rFonts w:ascii="Cambria Math" w:eastAsia="Times New Roman" w:hAnsi="Cambria Math" w:cs="Arial"/>
              <w:color w:val="000000"/>
              <w:sz w:val="24"/>
              <w:szCs w:val="24"/>
              <w:lang w:eastAsia="en-GB" w:bidi="ar-SA"/>
            </w:rPr>
            <m:t>×100=34.50%</m:t>
          </m:r>
        </m:oMath>
      </m:oMathPara>
    </w:p>
    <w:p w14:paraId="474F7CF4" w14:textId="0CDB8587" w:rsidR="007B4A96" w:rsidRPr="00E859C8" w:rsidRDefault="00E859C8" w:rsidP="007B4A96">
      <w:pPr>
        <w:shd w:val="clear" w:color="auto" w:fill="FFFFFF"/>
        <w:spacing w:line="360" w:lineRule="auto"/>
        <w:rPr>
          <w:rFonts w:ascii="Arial" w:eastAsia="Times New Roman" w:hAnsi="Arial" w:cs="Arial"/>
          <w:b/>
          <w:bCs/>
          <w:iCs/>
          <w:color w:val="000000"/>
          <w:sz w:val="24"/>
          <w:szCs w:val="24"/>
          <w:lang w:eastAsia="en-GB" w:bidi="ar-SA"/>
        </w:rPr>
      </w:pPr>
      <m:oMathPara>
        <m:oMath>
          <m:r>
            <m:rPr>
              <m:sty m:val="b"/>
            </m:rPr>
            <w:rPr>
              <w:rFonts w:ascii="Cambria Math" w:eastAsia="Times New Roman" w:hAnsi="Cambria Math" w:cs="Arial"/>
              <w:color w:val="000000"/>
              <w:sz w:val="24"/>
              <w:szCs w:val="24"/>
              <w:lang w:eastAsia="en-GB" w:bidi="ar-SA"/>
            </w:rPr>
            <m:t>Operation Profit Margin=</m:t>
          </m:r>
          <m:f>
            <m:fPr>
              <m:ctrlPr>
                <w:rPr>
                  <w:rFonts w:ascii="Cambria Math" w:eastAsia="Times New Roman" w:hAnsi="Cambria Math" w:cs="Arial"/>
                  <w:b/>
                  <w:bCs/>
                  <w:iCs/>
                  <w:color w:val="000000"/>
                  <w:sz w:val="24"/>
                  <w:szCs w:val="24"/>
                  <w:lang w:eastAsia="en-GB" w:bidi="ar-SA"/>
                </w:rPr>
              </m:ctrlPr>
            </m:fPr>
            <m:num>
              <m:r>
                <m:rPr>
                  <m:sty m:val="b"/>
                </m:rPr>
                <w:rPr>
                  <w:rFonts w:ascii="Cambria Math" w:eastAsia="Times New Roman" w:hAnsi="Cambria Math" w:cs="Arial"/>
                  <w:color w:val="000000"/>
                  <w:sz w:val="24"/>
                  <w:szCs w:val="24"/>
                  <w:lang w:eastAsia="en-GB" w:bidi="ar-SA"/>
                </w:rPr>
                <m:t>Operating Profit</m:t>
              </m:r>
            </m:num>
            <m:den>
              <m:r>
                <m:rPr>
                  <m:sty m:val="b"/>
                </m:rPr>
                <w:rPr>
                  <w:rFonts w:ascii="Cambria Math" w:eastAsia="Times New Roman" w:hAnsi="Cambria Math" w:cs="Arial"/>
                  <w:color w:val="000000"/>
                  <w:sz w:val="24"/>
                  <w:szCs w:val="24"/>
                  <w:lang w:eastAsia="en-GB" w:bidi="ar-SA"/>
                </w:rPr>
                <m:t>Sales (Sales Revenue)</m:t>
              </m:r>
            </m:den>
          </m:f>
          <m:r>
            <m:rPr>
              <m:sty m:val="b"/>
            </m:rPr>
            <w:rPr>
              <w:rFonts w:ascii="Cambria Math" w:eastAsia="Times New Roman" w:hAnsi="Cambria Math" w:cs="Arial"/>
              <w:color w:val="000000"/>
              <w:sz w:val="24"/>
              <w:szCs w:val="24"/>
              <w:lang w:eastAsia="en-GB" w:bidi="ar-SA"/>
            </w:rPr>
            <m:t>×100=</m:t>
          </m:r>
          <m:f>
            <m:fPr>
              <m:ctrlPr>
                <w:rPr>
                  <w:rFonts w:ascii="Cambria Math" w:eastAsia="Times New Roman" w:hAnsi="Cambria Math" w:cs="Arial"/>
                  <w:b/>
                  <w:bCs/>
                  <w:iCs/>
                  <w:color w:val="000000"/>
                  <w:sz w:val="24"/>
                  <w:szCs w:val="24"/>
                  <w:lang w:eastAsia="en-GB" w:bidi="ar-SA"/>
                </w:rPr>
              </m:ctrlPr>
            </m:fPr>
            <m:num>
              <m:r>
                <m:rPr>
                  <m:sty m:val="b"/>
                </m:rPr>
                <w:rPr>
                  <w:rFonts w:ascii="Cambria Math" w:hAnsi="Cambria Math" w:cs="M&amp;SLondon-Bold"/>
                  <w:sz w:val="24"/>
                  <w:szCs w:val="24"/>
                  <w:lang w:bidi="ar-SA"/>
                </w:rPr>
                <m:t>572.2</m:t>
              </m:r>
            </m:num>
            <m:den>
              <m:r>
                <m:rPr>
                  <m:sty m:val="b"/>
                </m:rPr>
                <w:rPr>
                  <w:rFonts w:ascii="Cambria Math" w:hAnsi="Cambria Math" w:cs="M&amp;SLondon-Bold"/>
                  <w:sz w:val="24"/>
                  <w:szCs w:val="24"/>
                  <w:lang w:bidi="ar-SA"/>
                </w:rPr>
                <m:t>10885.1</m:t>
              </m:r>
            </m:den>
          </m:f>
          <m:r>
            <m:rPr>
              <m:sty m:val="b"/>
            </m:rPr>
            <w:rPr>
              <w:rFonts w:ascii="Cambria Math" w:eastAsia="Times New Roman" w:hAnsi="Cambria Math" w:cs="Arial"/>
              <w:color w:val="000000"/>
              <w:sz w:val="24"/>
              <w:szCs w:val="24"/>
              <w:lang w:eastAsia="en-GB" w:bidi="ar-SA"/>
            </w:rPr>
            <m:t>×100=5.26%</m:t>
          </m:r>
        </m:oMath>
      </m:oMathPara>
    </w:p>
    <w:p w14:paraId="11149305" w14:textId="3A0FD7EE" w:rsidR="007B4A96" w:rsidRPr="00F50409" w:rsidRDefault="00E859C8" w:rsidP="007B4A96">
      <w:pPr>
        <w:shd w:val="clear" w:color="auto" w:fill="FFFFFF"/>
        <w:spacing w:line="360" w:lineRule="auto"/>
        <w:rPr>
          <w:rFonts w:asciiTheme="majorHAnsi" w:eastAsia="Times New Roman" w:hAnsiTheme="majorHAnsi" w:cs="Arial"/>
          <w:b/>
          <w:bCs/>
          <w:iCs/>
          <w:color w:val="000000"/>
          <w:sz w:val="24"/>
          <w:szCs w:val="24"/>
          <w:lang w:eastAsia="en-GB" w:bidi="ar-SA"/>
        </w:rPr>
      </w:pPr>
      <m:oMath>
        <m:r>
          <m:rPr>
            <m:sty m:val="b"/>
          </m:rPr>
          <w:rPr>
            <w:rFonts w:ascii="Cambria Math" w:eastAsia="Times New Roman" w:hAnsi="Cambria Math" w:cs="Arial"/>
            <w:color w:val="000000"/>
            <w:sz w:val="24"/>
            <w:szCs w:val="24"/>
            <w:lang w:eastAsia="en-GB" w:bidi="ar-SA"/>
          </w:rPr>
          <m:t>Net Profit Margin=</m:t>
        </m:r>
        <m:f>
          <m:fPr>
            <m:ctrlPr>
              <w:rPr>
                <w:rFonts w:ascii="Cambria Math" w:eastAsia="Times New Roman" w:hAnsi="Cambria Math" w:cs="Arial"/>
                <w:b/>
                <w:bCs/>
                <w:iCs/>
                <w:color w:val="000000"/>
                <w:sz w:val="24"/>
                <w:szCs w:val="24"/>
                <w:lang w:eastAsia="en-GB" w:bidi="ar-SA"/>
              </w:rPr>
            </m:ctrlPr>
          </m:fPr>
          <m:num>
            <m:r>
              <m:rPr>
                <m:sty m:val="b"/>
              </m:rPr>
              <w:rPr>
                <w:rFonts w:ascii="Cambria Math" w:eastAsia="Times New Roman" w:hAnsi="Cambria Math" w:cs="Arial"/>
                <w:color w:val="000000"/>
                <w:sz w:val="24"/>
                <w:szCs w:val="24"/>
                <w:lang w:eastAsia="en-GB" w:bidi="ar-SA"/>
              </w:rPr>
              <m:t>Net Profit</m:t>
            </m:r>
          </m:num>
          <m:den>
            <m:r>
              <m:rPr>
                <m:sty m:val="b"/>
              </m:rPr>
              <w:rPr>
                <w:rFonts w:ascii="Cambria Math" w:eastAsia="Times New Roman" w:hAnsi="Cambria Math" w:cs="Arial"/>
                <w:color w:val="000000"/>
                <w:sz w:val="24"/>
                <w:szCs w:val="24"/>
                <w:lang w:eastAsia="en-GB" w:bidi="ar-SA"/>
              </w:rPr>
              <m:t>Sales (Sales Revenue)</m:t>
            </m:r>
          </m:den>
        </m:f>
        <m:r>
          <m:rPr>
            <m:sty m:val="b"/>
          </m:rPr>
          <w:rPr>
            <w:rFonts w:ascii="Cambria Math" w:eastAsia="Times New Roman" w:hAnsi="Cambria Math" w:cs="Arial"/>
            <w:color w:val="000000"/>
            <w:sz w:val="24"/>
            <w:szCs w:val="24"/>
            <w:lang w:eastAsia="en-GB" w:bidi="ar-SA"/>
          </w:rPr>
          <m:t>=</m:t>
        </m:r>
        <m:f>
          <m:fPr>
            <m:ctrlPr>
              <w:rPr>
                <w:rFonts w:ascii="Cambria Math" w:eastAsia="Times New Roman" w:hAnsi="Cambria Math" w:cs="Arial"/>
                <w:b/>
                <w:bCs/>
                <w:iCs/>
                <w:color w:val="000000"/>
                <w:sz w:val="24"/>
                <w:szCs w:val="24"/>
                <w:lang w:eastAsia="en-GB" w:bidi="ar-SA"/>
              </w:rPr>
            </m:ctrlPr>
          </m:fPr>
          <m:num>
            <m:r>
              <m:rPr>
                <m:sty m:val="b"/>
              </m:rPr>
              <w:rPr>
                <w:rFonts w:ascii="Cambria Math" w:hAnsi="Cambria Math" w:cs="BurberryStyrene-Medium"/>
                <w:sz w:val="24"/>
                <w:szCs w:val="24"/>
                <w:lang w:bidi="ar-SA"/>
              </w:rPr>
              <m:t>309</m:t>
            </m:r>
          </m:num>
          <m:den>
            <m:r>
              <m:rPr>
                <m:sty m:val="b"/>
              </m:rPr>
              <w:rPr>
                <w:rFonts w:ascii="Cambria Math" w:hAnsi="Cambria Math" w:cs="M&amp;SLondon-Bold"/>
                <w:sz w:val="24"/>
                <w:szCs w:val="24"/>
                <w:lang w:bidi="ar-SA"/>
              </w:rPr>
              <m:t>10885.1</m:t>
            </m:r>
          </m:den>
        </m:f>
        <m:r>
          <m:rPr>
            <m:sty m:val="b"/>
          </m:rPr>
          <w:rPr>
            <w:rFonts w:ascii="Cambria Math" w:eastAsia="Times New Roman" w:hAnsi="Cambria Math" w:cs="Arial"/>
            <w:color w:val="000000"/>
            <w:sz w:val="24"/>
            <w:szCs w:val="24"/>
            <w:lang w:eastAsia="en-GB" w:bidi="ar-SA"/>
          </w:rPr>
          <m:t>×100=2.84</m:t>
        </m:r>
      </m:oMath>
      <w:r w:rsidR="000313D4" w:rsidRPr="00F50409">
        <w:rPr>
          <w:rFonts w:asciiTheme="majorHAnsi" w:eastAsia="Times New Roman" w:hAnsiTheme="majorHAnsi" w:cs="Arial"/>
          <w:b/>
          <w:color w:val="000000"/>
          <w:sz w:val="24"/>
          <w:szCs w:val="24"/>
          <w:lang w:eastAsia="en-GB" w:bidi="ar-SA"/>
        </w:rPr>
        <w:t>%</w:t>
      </w:r>
    </w:p>
    <w:p w14:paraId="62897495" w14:textId="2D370B81" w:rsidR="007D3829" w:rsidRDefault="007D3829" w:rsidP="00DA2C6A">
      <w:pPr>
        <w:shd w:val="clear" w:color="auto" w:fill="FFFFFF"/>
        <w:spacing w:line="360" w:lineRule="auto"/>
        <w:rPr>
          <w:rFonts w:ascii="Arial" w:hAnsi="Arial" w:cs="Arial"/>
          <w:sz w:val="24"/>
          <w:szCs w:val="24"/>
        </w:rPr>
      </w:pPr>
    </w:p>
    <w:p w14:paraId="33C115BA" w14:textId="116B4D73" w:rsidR="000D217B" w:rsidRDefault="000D217B" w:rsidP="00DA2C6A">
      <w:pPr>
        <w:shd w:val="clear" w:color="auto" w:fill="FFFFFF"/>
        <w:spacing w:line="360" w:lineRule="auto"/>
        <w:rPr>
          <w:rFonts w:ascii="Arial" w:hAnsi="Arial" w:cs="Arial"/>
          <w:sz w:val="24"/>
          <w:szCs w:val="24"/>
        </w:rPr>
      </w:pPr>
    </w:p>
    <w:p w14:paraId="5C86F630" w14:textId="77777777" w:rsidR="000D217B" w:rsidRDefault="000D217B" w:rsidP="00DA2C6A">
      <w:pPr>
        <w:shd w:val="clear" w:color="auto" w:fill="FFFFFF"/>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2767"/>
        <w:gridCol w:w="1030"/>
        <w:gridCol w:w="1030"/>
        <w:gridCol w:w="988"/>
        <w:gridCol w:w="1130"/>
        <w:gridCol w:w="1113"/>
        <w:gridCol w:w="1457"/>
      </w:tblGrid>
      <w:tr w:rsidR="000D217B" w14:paraId="4B3FC1CA" w14:textId="77777777" w:rsidTr="000D217B">
        <w:tc>
          <w:tcPr>
            <w:tcW w:w="2767" w:type="dxa"/>
          </w:tcPr>
          <w:p w14:paraId="4E0E6B5A" w14:textId="2835D05E" w:rsidR="000D217B" w:rsidRPr="00CC46D2" w:rsidRDefault="000D217B" w:rsidP="000D217B">
            <w:pPr>
              <w:tabs>
                <w:tab w:val="left" w:pos="588"/>
              </w:tabs>
              <w:spacing w:line="360" w:lineRule="auto"/>
              <w:rPr>
                <w:rFonts w:ascii="Arial" w:hAnsi="Arial" w:cs="Arial"/>
                <w:sz w:val="24"/>
                <w:szCs w:val="24"/>
              </w:rPr>
            </w:pPr>
            <w:r>
              <w:rPr>
                <w:rFonts w:ascii="Arial" w:hAnsi="Arial" w:cs="Arial"/>
                <w:sz w:val="24"/>
                <w:szCs w:val="24"/>
              </w:rPr>
              <w:tab/>
              <w:t>M&amp;S</w:t>
            </w:r>
          </w:p>
        </w:tc>
        <w:tc>
          <w:tcPr>
            <w:tcW w:w="1030" w:type="dxa"/>
          </w:tcPr>
          <w:p w14:paraId="1A392D5F" w14:textId="3BAEFF1E" w:rsidR="000D217B" w:rsidRDefault="000D217B" w:rsidP="007D3829">
            <w:pPr>
              <w:spacing w:line="360" w:lineRule="auto"/>
              <w:jc w:val="center"/>
              <w:rPr>
                <w:rFonts w:ascii="Arial" w:hAnsi="Arial" w:cs="Arial"/>
                <w:sz w:val="24"/>
                <w:szCs w:val="24"/>
              </w:rPr>
            </w:pPr>
            <w:r>
              <w:rPr>
                <w:rFonts w:ascii="Arial" w:hAnsi="Arial" w:cs="Arial"/>
                <w:sz w:val="24"/>
                <w:szCs w:val="24"/>
              </w:rPr>
              <w:t>2018</w:t>
            </w:r>
          </w:p>
        </w:tc>
        <w:tc>
          <w:tcPr>
            <w:tcW w:w="1030" w:type="dxa"/>
          </w:tcPr>
          <w:p w14:paraId="1E8E488A" w14:textId="27A8015F" w:rsidR="000D217B" w:rsidRDefault="000D217B" w:rsidP="007D3829">
            <w:pPr>
              <w:spacing w:line="360" w:lineRule="auto"/>
              <w:jc w:val="center"/>
              <w:rPr>
                <w:rFonts w:ascii="Arial" w:hAnsi="Arial" w:cs="Arial"/>
                <w:sz w:val="24"/>
                <w:szCs w:val="24"/>
              </w:rPr>
            </w:pPr>
            <w:r>
              <w:rPr>
                <w:rFonts w:ascii="Arial" w:hAnsi="Arial" w:cs="Arial"/>
                <w:sz w:val="24"/>
                <w:szCs w:val="24"/>
              </w:rPr>
              <w:t>2019</w:t>
            </w:r>
          </w:p>
        </w:tc>
        <w:tc>
          <w:tcPr>
            <w:tcW w:w="988" w:type="dxa"/>
          </w:tcPr>
          <w:p w14:paraId="5381A45B" w14:textId="210FE27B" w:rsidR="000D217B" w:rsidRDefault="000D217B" w:rsidP="007D3829">
            <w:pPr>
              <w:spacing w:line="360" w:lineRule="auto"/>
              <w:jc w:val="center"/>
              <w:rPr>
                <w:rFonts w:ascii="Arial" w:hAnsi="Arial" w:cs="Arial"/>
                <w:sz w:val="24"/>
                <w:szCs w:val="24"/>
              </w:rPr>
            </w:pPr>
            <w:r>
              <w:rPr>
                <w:rFonts w:ascii="Arial" w:hAnsi="Arial" w:cs="Arial"/>
                <w:sz w:val="24"/>
                <w:szCs w:val="24"/>
              </w:rPr>
              <w:t>2020</w:t>
            </w:r>
          </w:p>
        </w:tc>
        <w:tc>
          <w:tcPr>
            <w:tcW w:w="1130" w:type="dxa"/>
          </w:tcPr>
          <w:p w14:paraId="2F8B292D" w14:textId="1C2EE377" w:rsidR="000D217B" w:rsidRDefault="000D217B" w:rsidP="007D3829">
            <w:pPr>
              <w:spacing w:line="360" w:lineRule="auto"/>
              <w:jc w:val="center"/>
              <w:rPr>
                <w:rFonts w:ascii="Arial" w:hAnsi="Arial" w:cs="Arial"/>
                <w:sz w:val="24"/>
                <w:szCs w:val="24"/>
              </w:rPr>
            </w:pPr>
            <w:r>
              <w:rPr>
                <w:rFonts w:ascii="Arial" w:hAnsi="Arial" w:cs="Arial"/>
                <w:sz w:val="24"/>
                <w:szCs w:val="24"/>
              </w:rPr>
              <w:t>2021</w:t>
            </w:r>
          </w:p>
        </w:tc>
        <w:tc>
          <w:tcPr>
            <w:tcW w:w="1113" w:type="dxa"/>
          </w:tcPr>
          <w:p w14:paraId="08B76F54" w14:textId="27F7428B" w:rsidR="000D217B" w:rsidRDefault="000D217B" w:rsidP="007D3829">
            <w:pPr>
              <w:spacing w:line="360" w:lineRule="auto"/>
              <w:jc w:val="center"/>
              <w:rPr>
                <w:rFonts w:ascii="Arial" w:hAnsi="Arial" w:cs="Arial"/>
                <w:sz w:val="24"/>
                <w:szCs w:val="24"/>
              </w:rPr>
            </w:pPr>
            <w:r>
              <w:rPr>
                <w:rFonts w:ascii="Arial" w:hAnsi="Arial" w:cs="Arial"/>
                <w:sz w:val="24"/>
                <w:szCs w:val="24"/>
              </w:rPr>
              <w:t>2022</w:t>
            </w:r>
          </w:p>
        </w:tc>
        <w:tc>
          <w:tcPr>
            <w:tcW w:w="1457" w:type="dxa"/>
          </w:tcPr>
          <w:p w14:paraId="0036A40A" w14:textId="3BE70C02" w:rsidR="000D217B" w:rsidRDefault="000D217B" w:rsidP="007D3829">
            <w:pPr>
              <w:spacing w:line="360" w:lineRule="auto"/>
              <w:jc w:val="center"/>
              <w:rPr>
                <w:rFonts w:ascii="Arial" w:hAnsi="Arial" w:cs="Arial"/>
                <w:sz w:val="24"/>
                <w:szCs w:val="24"/>
              </w:rPr>
            </w:pPr>
            <w:r>
              <w:rPr>
                <w:rFonts w:ascii="Arial" w:hAnsi="Arial" w:cs="Arial"/>
                <w:sz w:val="24"/>
                <w:szCs w:val="24"/>
              </w:rPr>
              <w:t>Sainsbury's 2022</w:t>
            </w:r>
          </w:p>
        </w:tc>
      </w:tr>
      <w:tr w:rsidR="000313D4" w14:paraId="5EFE4328" w14:textId="77777777" w:rsidTr="000D217B">
        <w:tc>
          <w:tcPr>
            <w:tcW w:w="2767" w:type="dxa"/>
          </w:tcPr>
          <w:p w14:paraId="773AFD70" w14:textId="7DF968D4" w:rsidR="007D3829" w:rsidRDefault="007D3829" w:rsidP="007D3829">
            <w:pPr>
              <w:spacing w:line="360" w:lineRule="auto"/>
              <w:jc w:val="center"/>
              <w:rPr>
                <w:rFonts w:ascii="Arial" w:hAnsi="Arial" w:cs="Arial"/>
                <w:sz w:val="24"/>
                <w:szCs w:val="24"/>
              </w:rPr>
            </w:pPr>
            <w:r w:rsidRPr="00CC46D2">
              <w:rPr>
                <w:rFonts w:ascii="Arial" w:hAnsi="Arial" w:cs="Arial"/>
                <w:sz w:val="24"/>
                <w:szCs w:val="24"/>
              </w:rPr>
              <w:t xml:space="preserve">Gross </w:t>
            </w:r>
            <w:r>
              <w:rPr>
                <w:rFonts w:ascii="Arial" w:hAnsi="Arial" w:cs="Arial"/>
                <w:sz w:val="24"/>
                <w:szCs w:val="24"/>
              </w:rPr>
              <w:t>P</w:t>
            </w:r>
            <w:r w:rsidRPr="00CC46D2">
              <w:rPr>
                <w:rFonts w:ascii="Arial" w:hAnsi="Arial" w:cs="Arial"/>
                <w:sz w:val="24"/>
                <w:szCs w:val="24"/>
              </w:rPr>
              <w:t xml:space="preserve">rofit </w:t>
            </w:r>
            <w:r>
              <w:rPr>
                <w:rFonts w:ascii="Arial" w:hAnsi="Arial" w:cs="Arial"/>
                <w:sz w:val="24"/>
                <w:szCs w:val="24"/>
              </w:rPr>
              <w:t>M</w:t>
            </w:r>
            <w:r w:rsidRPr="00CC46D2">
              <w:rPr>
                <w:rFonts w:ascii="Arial" w:hAnsi="Arial" w:cs="Arial"/>
                <w:sz w:val="24"/>
                <w:szCs w:val="24"/>
              </w:rPr>
              <w:t>argin</w:t>
            </w:r>
          </w:p>
        </w:tc>
        <w:tc>
          <w:tcPr>
            <w:tcW w:w="1030" w:type="dxa"/>
          </w:tcPr>
          <w:p w14:paraId="2D199D70" w14:textId="1C64B24B" w:rsidR="007D3829" w:rsidRDefault="00085DA4" w:rsidP="007D3829">
            <w:pPr>
              <w:spacing w:line="360" w:lineRule="auto"/>
              <w:jc w:val="center"/>
              <w:rPr>
                <w:rFonts w:ascii="Arial" w:hAnsi="Arial" w:cs="Arial"/>
                <w:sz w:val="24"/>
                <w:szCs w:val="24"/>
              </w:rPr>
            </w:pPr>
            <w:r>
              <w:rPr>
                <w:rFonts w:ascii="Arial" w:hAnsi="Arial" w:cs="Arial"/>
                <w:sz w:val="24"/>
                <w:szCs w:val="24"/>
              </w:rPr>
              <w:t>37.83%</w:t>
            </w:r>
          </w:p>
        </w:tc>
        <w:tc>
          <w:tcPr>
            <w:tcW w:w="1030" w:type="dxa"/>
          </w:tcPr>
          <w:p w14:paraId="4AB98CF5" w14:textId="48C47A23" w:rsidR="007D3829" w:rsidRDefault="006F52B7" w:rsidP="007D3829">
            <w:pPr>
              <w:spacing w:line="360" w:lineRule="auto"/>
              <w:jc w:val="center"/>
              <w:rPr>
                <w:rFonts w:ascii="Arial" w:hAnsi="Arial" w:cs="Arial"/>
                <w:sz w:val="24"/>
                <w:szCs w:val="24"/>
              </w:rPr>
            </w:pPr>
            <w:r>
              <w:rPr>
                <w:rFonts w:ascii="Arial" w:hAnsi="Arial" w:cs="Arial"/>
                <w:sz w:val="24"/>
                <w:szCs w:val="24"/>
              </w:rPr>
              <w:t>36.80%</w:t>
            </w:r>
          </w:p>
        </w:tc>
        <w:tc>
          <w:tcPr>
            <w:tcW w:w="988" w:type="dxa"/>
          </w:tcPr>
          <w:p w14:paraId="4B61607B" w14:textId="688F939A" w:rsidR="007D3829" w:rsidRDefault="006F52B7" w:rsidP="007D3829">
            <w:pPr>
              <w:spacing w:line="360" w:lineRule="auto"/>
              <w:jc w:val="center"/>
              <w:rPr>
                <w:rFonts w:ascii="Arial" w:hAnsi="Arial" w:cs="Arial"/>
                <w:sz w:val="24"/>
                <w:szCs w:val="24"/>
              </w:rPr>
            </w:pPr>
            <w:r>
              <w:rPr>
                <w:rFonts w:ascii="Arial" w:hAnsi="Arial" w:cs="Arial"/>
                <w:sz w:val="24"/>
                <w:szCs w:val="24"/>
              </w:rPr>
              <w:t>33.74</w:t>
            </w:r>
          </w:p>
        </w:tc>
        <w:tc>
          <w:tcPr>
            <w:tcW w:w="1130" w:type="dxa"/>
          </w:tcPr>
          <w:p w14:paraId="71BF217A" w14:textId="73314E7C" w:rsidR="007D3829" w:rsidRDefault="006F52B7" w:rsidP="007D3829">
            <w:pPr>
              <w:spacing w:line="360" w:lineRule="auto"/>
              <w:jc w:val="center"/>
              <w:rPr>
                <w:rFonts w:ascii="Arial" w:hAnsi="Arial" w:cs="Arial"/>
                <w:sz w:val="24"/>
                <w:szCs w:val="24"/>
              </w:rPr>
            </w:pPr>
            <w:r>
              <w:rPr>
                <w:rFonts w:ascii="Arial" w:hAnsi="Arial" w:cs="Arial"/>
                <w:sz w:val="24"/>
                <w:szCs w:val="24"/>
              </w:rPr>
              <w:t>31.80%</w:t>
            </w:r>
          </w:p>
        </w:tc>
        <w:tc>
          <w:tcPr>
            <w:tcW w:w="1113" w:type="dxa"/>
          </w:tcPr>
          <w:p w14:paraId="4C743A82" w14:textId="0FA137C1" w:rsidR="007D3829" w:rsidRDefault="000313D4" w:rsidP="007D3829">
            <w:pPr>
              <w:spacing w:line="360" w:lineRule="auto"/>
              <w:jc w:val="center"/>
              <w:rPr>
                <w:rFonts w:ascii="Arial" w:hAnsi="Arial" w:cs="Arial"/>
                <w:sz w:val="24"/>
                <w:szCs w:val="24"/>
              </w:rPr>
            </w:pPr>
            <w:r>
              <w:rPr>
                <w:rFonts w:ascii="Arial" w:hAnsi="Arial" w:cs="Arial"/>
                <w:sz w:val="24"/>
                <w:szCs w:val="24"/>
              </w:rPr>
              <w:t>34.50%</w:t>
            </w:r>
          </w:p>
        </w:tc>
        <w:tc>
          <w:tcPr>
            <w:tcW w:w="1457" w:type="dxa"/>
          </w:tcPr>
          <w:p w14:paraId="21F56A5D" w14:textId="0A04A28A" w:rsidR="007D3829" w:rsidRDefault="000313D4" w:rsidP="007D3829">
            <w:pPr>
              <w:spacing w:line="360" w:lineRule="auto"/>
              <w:jc w:val="center"/>
              <w:rPr>
                <w:rFonts w:ascii="Arial" w:hAnsi="Arial" w:cs="Arial"/>
                <w:sz w:val="24"/>
                <w:szCs w:val="24"/>
              </w:rPr>
            </w:pPr>
            <w:r>
              <w:rPr>
                <w:rFonts w:ascii="Arial" w:hAnsi="Arial" w:cs="Arial"/>
                <w:sz w:val="24"/>
                <w:szCs w:val="24"/>
              </w:rPr>
              <w:t>7.89%</w:t>
            </w:r>
          </w:p>
        </w:tc>
      </w:tr>
      <w:tr w:rsidR="000313D4" w14:paraId="2565E4E6" w14:textId="77777777" w:rsidTr="000D217B">
        <w:tc>
          <w:tcPr>
            <w:tcW w:w="2767" w:type="dxa"/>
          </w:tcPr>
          <w:p w14:paraId="5B633969" w14:textId="73147DBA" w:rsidR="007D3829" w:rsidRDefault="000313D4" w:rsidP="007D3829">
            <w:pPr>
              <w:spacing w:line="360" w:lineRule="auto"/>
              <w:jc w:val="center"/>
              <w:rPr>
                <w:rFonts w:ascii="Arial" w:hAnsi="Arial" w:cs="Arial"/>
                <w:sz w:val="24"/>
                <w:szCs w:val="24"/>
              </w:rPr>
            </w:pPr>
            <w:r>
              <w:rPr>
                <w:rFonts w:ascii="Arial" w:hAnsi="Arial" w:cs="Arial"/>
                <w:sz w:val="24"/>
                <w:szCs w:val="24"/>
              </w:rPr>
              <w:t>Operation Profit Margin</w:t>
            </w:r>
          </w:p>
        </w:tc>
        <w:tc>
          <w:tcPr>
            <w:tcW w:w="1030" w:type="dxa"/>
          </w:tcPr>
          <w:p w14:paraId="089E4FDC" w14:textId="3DEE3ED6" w:rsidR="007D3829" w:rsidRDefault="004800D3" w:rsidP="007D3829">
            <w:pPr>
              <w:spacing w:line="360" w:lineRule="auto"/>
              <w:jc w:val="center"/>
              <w:rPr>
                <w:rFonts w:ascii="Arial" w:hAnsi="Arial" w:cs="Arial"/>
                <w:sz w:val="24"/>
                <w:szCs w:val="24"/>
              </w:rPr>
            </w:pPr>
            <w:r>
              <w:rPr>
                <w:rFonts w:ascii="Arial" w:hAnsi="Arial" w:cs="Arial"/>
                <w:sz w:val="24"/>
                <w:szCs w:val="24"/>
              </w:rPr>
              <w:t>6.27%</w:t>
            </w:r>
          </w:p>
        </w:tc>
        <w:tc>
          <w:tcPr>
            <w:tcW w:w="1030" w:type="dxa"/>
          </w:tcPr>
          <w:p w14:paraId="3C6A4ED0" w14:textId="4421FDBB" w:rsidR="007D3829" w:rsidRDefault="004800D3" w:rsidP="007D3829">
            <w:pPr>
              <w:spacing w:line="360" w:lineRule="auto"/>
              <w:jc w:val="center"/>
              <w:rPr>
                <w:rFonts w:ascii="Arial" w:hAnsi="Arial" w:cs="Arial"/>
                <w:sz w:val="24"/>
                <w:szCs w:val="24"/>
              </w:rPr>
            </w:pPr>
            <w:r>
              <w:rPr>
                <w:rFonts w:ascii="Arial" w:hAnsi="Arial" w:cs="Arial"/>
                <w:sz w:val="24"/>
                <w:szCs w:val="24"/>
              </w:rPr>
              <w:t>5.79%</w:t>
            </w:r>
          </w:p>
        </w:tc>
        <w:tc>
          <w:tcPr>
            <w:tcW w:w="988" w:type="dxa"/>
          </w:tcPr>
          <w:p w14:paraId="555E5BA0" w14:textId="21C53AA8" w:rsidR="007D3829" w:rsidRDefault="004800D3" w:rsidP="007D3829">
            <w:pPr>
              <w:spacing w:line="360" w:lineRule="auto"/>
              <w:jc w:val="center"/>
              <w:rPr>
                <w:rFonts w:ascii="Arial" w:hAnsi="Arial" w:cs="Arial"/>
                <w:sz w:val="24"/>
                <w:szCs w:val="24"/>
              </w:rPr>
            </w:pPr>
            <w:r>
              <w:rPr>
                <w:rFonts w:ascii="Arial" w:hAnsi="Arial" w:cs="Arial"/>
                <w:sz w:val="24"/>
                <w:szCs w:val="24"/>
              </w:rPr>
              <w:t>2.50%</w:t>
            </w:r>
          </w:p>
        </w:tc>
        <w:tc>
          <w:tcPr>
            <w:tcW w:w="1130" w:type="dxa"/>
          </w:tcPr>
          <w:p w14:paraId="1FEDEFB4" w14:textId="0F4B780C" w:rsidR="007D3829" w:rsidRDefault="004800D3" w:rsidP="007D3829">
            <w:pPr>
              <w:spacing w:line="360" w:lineRule="auto"/>
              <w:jc w:val="center"/>
              <w:rPr>
                <w:rFonts w:ascii="Arial" w:hAnsi="Arial" w:cs="Arial"/>
                <w:sz w:val="24"/>
                <w:szCs w:val="24"/>
              </w:rPr>
            </w:pPr>
            <w:r>
              <w:rPr>
                <w:rFonts w:ascii="Arial" w:hAnsi="Arial" w:cs="Arial"/>
                <w:sz w:val="24"/>
                <w:szCs w:val="24"/>
              </w:rPr>
              <w:t>-0.33%</w:t>
            </w:r>
          </w:p>
        </w:tc>
        <w:tc>
          <w:tcPr>
            <w:tcW w:w="1113" w:type="dxa"/>
          </w:tcPr>
          <w:p w14:paraId="0611996C" w14:textId="6A4588DA" w:rsidR="007D3829" w:rsidRDefault="000313D4" w:rsidP="007D3829">
            <w:pPr>
              <w:spacing w:line="360" w:lineRule="auto"/>
              <w:jc w:val="center"/>
              <w:rPr>
                <w:rFonts w:ascii="Arial" w:hAnsi="Arial" w:cs="Arial"/>
                <w:sz w:val="24"/>
                <w:szCs w:val="24"/>
              </w:rPr>
            </w:pPr>
            <w:r>
              <w:rPr>
                <w:rFonts w:ascii="Arial" w:hAnsi="Arial" w:cs="Arial"/>
                <w:sz w:val="24"/>
                <w:szCs w:val="24"/>
              </w:rPr>
              <w:t>5.26%</w:t>
            </w:r>
          </w:p>
        </w:tc>
        <w:tc>
          <w:tcPr>
            <w:tcW w:w="1457" w:type="dxa"/>
          </w:tcPr>
          <w:p w14:paraId="6C376D38" w14:textId="514EA0F9" w:rsidR="007D3829" w:rsidRDefault="005B0EF8" w:rsidP="007D3829">
            <w:pPr>
              <w:spacing w:line="360" w:lineRule="auto"/>
              <w:jc w:val="center"/>
              <w:rPr>
                <w:rFonts w:ascii="Arial" w:hAnsi="Arial" w:cs="Arial"/>
                <w:sz w:val="24"/>
                <w:szCs w:val="24"/>
              </w:rPr>
            </w:pPr>
            <w:r w:rsidRPr="005B0EF8">
              <w:rPr>
                <w:rFonts w:ascii="Arial" w:hAnsi="Arial" w:cs="Arial"/>
                <w:sz w:val="24"/>
                <w:szCs w:val="24"/>
              </w:rPr>
              <w:t>3.8</w:t>
            </w:r>
            <w:r>
              <w:rPr>
                <w:rFonts w:ascii="Arial" w:hAnsi="Arial" w:cs="Arial"/>
                <w:sz w:val="24"/>
                <w:szCs w:val="24"/>
              </w:rPr>
              <w:t>7</w:t>
            </w:r>
            <w:r w:rsidR="000313D4">
              <w:rPr>
                <w:rFonts w:ascii="Arial" w:hAnsi="Arial" w:cs="Arial"/>
                <w:sz w:val="24"/>
                <w:szCs w:val="24"/>
              </w:rPr>
              <w:t>%</w:t>
            </w:r>
          </w:p>
        </w:tc>
      </w:tr>
      <w:tr w:rsidR="000313D4" w14:paraId="61855FD4" w14:textId="77777777" w:rsidTr="000D217B">
        <w:tc>
          <w:tcPr>
            <w:tcW w:w="2767" w:type="dxa"/>
          </w:tcPr>
          <w:p w14:paraId="510B003B" w14:textId="3B21BB78" w:rsidR="007D3829" w:rsidRDefault="000313D4" w:rsidP="007D3829">
            <w:pPr>
              <w:spacing w:line="360" w:lineRule="auto"/>
              <w:jc w:val="center"/>
              <w:rPr>
                <w:rFonts w:ascii="Arial" w:hAnsi="Arial" w:cs="Arial"/>
                <w:sz w:val="24"/>
                <w:szCs w:val="24"/>
              </w:rPr>
            </w:pPr>
            <w:r>
              <w:rPr>
                <w:rFonts w:ascii="Arial" w:hAnsi="Arial" w:cs="Arial"/>
                <w:sz w:val="24"/>
                <w:szCs w:val="24"/>
              </w:rPr>
              <w:t>Net Profit Margin</w:t>
            </w:r>
          </w:p>
        </w:tc>
        <w:tc>
          <w:tcPr>
            <w:tcW w:w="1030" w:type="dxa"/>
          </w:tcPr>
          <w:p w14:paraId="2E14A583" w14:textId="79129C90" w:rsidR="007D3829" w:rsidRDefault="00F429AD" w:rsidP="007D3829">
            <w:pPr>
              <w:spacing w:line="360" w:lineRule="auto"/>
              <w:jc w:val="center"/>
              <w:rPr>
                <w:rFonts w:ascii="Arial" w:hAnsi="Arial" w:cs="Arial"/>
                <w:sz w:val="24"/>
                <w:szCs w:val="24"/>
              </w:rPr>
            </w:pPr>
            <w:r>
              <w:rPr>
                <w:rFonts w:ascii="Arial" w:hAnsi="Arial" w:cs="Arial"/>
                <w:sz w:val="24"/>
                <w:szCs w:val="24"/>
              </w:rPr>
              <w:t>0.27%</w:t>
            </w:r>
          </w:p>
        </w:tc>
        <w:tc>
          <w:tcPr>
            <w:tcW w:w="1030" w:type="dxa"/>
          </w:tcPr>
          <w:p w14:paraId="691E5067" w14:textId="0F80E311" w:rsidR="007D3829" w:rsidRDefault="00F429AD" w:rsidP="007D3829">
            <w:pPr>
              <w:spacing w:line="360" w:lineRule="auto"/>
              <w:jc w:val="center"/>
              <w:rPr>
                <w:rFonts w:ascii="Arial" w:hAnsi="Arial" w:cs="Arial"/>
                <w:sz w:val="24"/>
                <w:szCs w:val="24"/>
              </w:rPr>
            </w:pPr>
            <w:r>
              <w:rPr>
                <w:rFonts w:ascii="Arial" w:hAnsi="Arial" w:cs="Arial"/>
                <w:sz w:val="24"/>
                <w:szCs w:val="24"/>
              </w:rPr>
              <w:t>0.44%</w:t>
            </w:r>
          </w:p>
        </w:tc>
        <w:tc>
          <w:tcPr>
            <w:tcW w:w="988" w:type="dxa"/>
          </w:tcPr>
          <w:p w14:paraId="4AFF7A00" w14:textId="67433572" w:rsidR="007D3829" w:rsidRDefault="00F429AD" w:rsidP="007D3829">
            <w:pPr>
              <w:spacing w:line="360" w:lineRule="auto"/>
              <w:jc w:val="center"/>
              <w:rPr>
                <w:rFonts w:ascii="Arial" w:hAnsi="Arial" w:cs="Arial"/>
                <w:sz w:val="24"/>
                <w:szCs w:val="24"/>
              </w:rPr>
            </w:pPr>
            <w:r>
              <w:rPr>
                <w:rFonts w:ascii="Arial" w:hAnsi="Arial" w:cs="Arial"/>
                <w:sz w:val="24"/>
                <w:szCs w:val="24"/>
              </w:rPr>
              <w:t>0.27%</w:t>
            </w:r>
          </w:p>
        </w:tc>
        <w:tc>
          <w:tcPr>
            <w:tcW w:w="1130" w:type="dxa"/>
          </w:tcPr>
          <w:p w14:paraId="45F83222" w14:textId="5FC0A2FF" w:rsidR="007D3829" w:rsidRDefault="00F429AD" w:rsidP="007D3829">
            <w:pPr>
              <w:spacing w:line="360" w:lineRule="auto"/>
              <w:jc w:val="center"/>
              <w:rPr>
                <w:rFonts w:ascii="Arial" w:hAnsi="Arial" w:cs="Arial"/>
                <w:sz w:val="24"/>
                <w:szCs w:val="24"/>
              </w:rPr>
            </w:pPr>
            <w:r>
              <w:rPr>
                <w:rFonts w:ascii="Arial" w:hAnsi="Arial" w:cs="Arial"/>
                <w:sz w:val="24"/>
                <w:szCs w:val="24"/>
              </w:rPr>
              <w:t>-2.20%</w:t>
            </w:r>
          </w:p>
        </w:tc>
        <w:tc>
          <w:tcPr>
            <w:tcW w:w="1113" w:type="dxa"/>
          </w:tcPr>
          <w:p w14:paraId="5DA81DEA" w14:textId="42EDDBA3" w:rsidR="007D3829" w:rsidRDefault="000313D4" w:rsidP="007D3829">
            <w:pPr>
              <w:spacing w:line="360" w:lineRule="auto"/>
              <w:jc w:val="center"/>
              <w:rPr>
                <w:rFonts w:ascii="Arial" w:hAnsi="Arial" w:cs="Arial"/>
                <w:sz w:val="24"/>
                <w:szCs w:val="24"/>
              </w:rPr>
            </w:pPr>
            <w:r>
              <w:rPr>
                <w:rFonts w:ascii="Arial" w:hAnsi="Arial" w:cs="Arial"/>
                <w:sz w:val="24"/>
                <w:szCs w:val="24"/>
              </w:rPr>
              <w:t>2.84%</w:t>
            </w:r>
          </w:p>
        </w:tc>
        <w:tc>
          <w:tcPr>
            <w:tcW w:w="1457" w:type="dxa"/>
          </w:tcPr>
          <w:p w14:paraId="15907280" w14:textId="13052B4C" w:rsidR="007D3829" w:rsidRDefault="000313D4" w:rsidP="007D3829">
            <w:pPr>
              <w:spacing w:line="360" w:lineRule="auto"/>
              <w:jc w:val="center"/>
              <w:rPr>
                <w:rFonts w:ascii="Arial" w:hAnsi="Arial" w:cs="Arial"/>
                <w:sz w:val="24"/>
                <w:szCs w:val="24"/>
              </w:rPr>
            </w:pPr>
            <w:r>
              <w:rPr>
                <w:rFonts w:ascii="Arial" w:hAnsi="Arial" w:cs="Arial"/>
                <w:sz w:val="24"/>
                <w:szCs w:val="24"/>
              </w:rPr>
              <w:t>1.93%</w:t>
            </w:r>
          </w:p>
        </w:tc>
      </w:tr>
    </w:tbl>
    <w:p w14:paraId="345A3177" w14:textId="77777777" w:rsidR="007D3829" w:rsidRDefault="007D3829" w:rsidP="00DA2C6A">
      <w:pPr>
        <w:shd w:val="clear" w:color="auto" w:fill="FFFFFF"/>
        <w:spacing w:line="360" w:lineRule="auto"/>
        <w:rPr>
          <w:rFonts w:ascii="Arial" w:hAnsi="Arial" w:cs="Arial"/>
          <w:sz w:val="24"/>
          <w:szCs w:val="24"/>
        </w:rPr>
      </w:pPr>
    </w:p>
    <w:p w14:paraId="1639F19E" w14:textId="77777777" w:rsidR="007D3829" w:rsidRDefault="007D3829" w:rsidP="00DA2C6A">
      <w:pPr>
        <w:shd w:val="clear" w:color="auto" w:fill="FFFFFF"/>
        <w:spacing w:line="360" w:lineRule="auto"/>
        <w:rPr>
          <w:rFonts w:ascii="Arial" w:hAnsi="Arial" w:cs="Arial"/>
          <w:sz w:val="24"/>
          <w:szCs w:val="24"/>
        </w:rPr>
      </w:pPr>
    </w:p>
    <w:p w14:paraId="4CDFD3B1" w14:textId="78144F25" w:rsidR="009822D5" w:rsidRPr="009822D5" w:rsidRDefault="00CC46D2" w:rsidP="009822D5">
      <w:pPr>
        <w:pStyle w:val="NormalWeb"/>
      </w:pPr>
      <w:r w:rsidRPr="00245B7F">
        <w:rPr>
          <w:rFonts w:ascii="Arial" w:hAnsi="Arial" w:cs="Arial"/>
          <w:b/>
          <w:bCs/>
        </w:rPr>
        <w:t>Gross profit margin</w:t>
      </w:r>
      <w:r w:rsidRPr="00CC46D2">
        <w:rPr>
          <w:rFonts w:ascii="Arial" w:hAnsi="Arial" w:cs="Arial"/>
        </w:rPr>
        <w:t xml:space="preserve"> is a financial ratio that measures the profitability of a company</w:t>
      </w:r>
      <w:r w:rsidR="00D11AF1">
        <w:rPr>
          <w:rFonts w:ascii="Arial" w:hAnsi="Arial" w:cs="Arial"/>
        </w:rPr>
        <w:t>'</w:t>
      </w:r>
      <w:r w:rsidRPr="00CC46D2">
        <w:rPr>
          <w:rFonts w:ascii="Arial" w:hAnsi="Arial" w:cs="Arial"/>
        </w:rPr>
        <w:t xml:space="preserve">s sales after deducting the cost of goods sold (COGS). </w:t>
      </w:r>
    </w:p>
    <w:p w14:paraId="409EAD84" w14:textId="334C0F1A" w:rsidR="009822D5" w:rsidRPr="009822D5" w:rsidRDefault="009822D5" w:rsidP="009822D5">
      <w:pPr>
        <w:spacing w:before="100" w:beforeAutospacing="1" w:after="100" w:afterAutospacing="1" w:line="360" w:lineRule="auto"/>
        <w:rPr>
          <w:rFonts w:ascii="Arial" w:eastAsia="Times New Roman" w:hAnsi="Arial" w:cs="Arial"/>
          <w:sz w:val="24"/>
          <w:szCs w:val="24"/>
          <w:lang w:eastAsia="en-GB" w:bidi="ar-SA"/>
        </w:rPr>
      </w:pPr>
      <w:r w:rsidRPr="009822D5">
        <w:rPr>
          <w:rFonts w:ascii="Arial" w:eastAsia="Times New Roman" w:hAnsi="Arial" w:cs="Arial"/>
          <w:sz w:val="24"/>
          <w:szCs w:val="24"/>
          <w:lang w:eastAsia="en-GB" w:bidi="ar-SA"/>
        </w:rPr>
        <w:t>The gross profit margin for M&amp;S has been relatively stable over the years, ranging from 33.74% in 2020 to 37.83% in 2018. This indicates that M&amp;S has maintained consistent profitability in its sales.</w:t>
      </w:r>
    </w:p>
    <w:p w14:paraId="51958351" w14:textId="491D7EAB" w:rsidR="005B0EF8" w:rsidRDefault="009822D5" w:rsidP="009822D5">
      <w:pPr>
        <w:spacing w:before="100" w:beforeAutospacing="1" w:after="100" w:afterAutospacing="1" w:line="360" w:lineRule="auto"/>
        <w:rPr>
          <w:rFonts w:ascii="Arial" w:eastAsia="Times New Roman" w:hAnsi="Arial" w:cs="Arial"/>
          <w:sz w:val="24"/>
          <w:szCs w:val="24"/>
          <w:lang w:eastAsia="en-GB" w:bidi="ar-SA"/>
        </w:rPr>
      </w:pPr>
      <w:r w:rsidRPr="009822D5">
        <w:rPr>
          <w:rFonts w:ascii="Arial" w:eastAsia="Times New Roman" w:hAnsi="Arial" w:cs="Arial"/>
          <w:sz w:val="24"/>
          <w:szCs w:val="24"/>
          <w:lang w:eastAsia="en-GB" w:bidi="ar-SA"/>
        </w:rPr>
        <w:t xml:space="preserve">In 2022, Sainsbury's gross profit margin </w:t>
      </w:r>
      <w:r>
        <w:rPr>
          <w:rFonts w:ascii="Arial" w:eastAsia="Times New Roman" w:hAnsi="Arial" w:cs="Arial"/>
          <w:sz w:val="24"/>
          <w:szCs w:val="24"/>
          <w:lang w:eastAsia="en-GB" w:bidi="ar-SA"/>
        </w:rPr>
        <w:t>wa</w:t>
      </w:r>
      <w:r w:rsidRPr="009822D5">
        <w:rPr>
          <w:rFonts w:ascii="Arial" w:eastAsia="Times New Roman" w:hAnsi="Arial" w:cs="Arial"/>
          <w:sz w:val="24"/>
          <w:szCs w:val="24"/>
          <w:lang w:eastAsia="en-GB" w:bidi="ar-SA"/>
        </w:rPr>
        <w:t>s significantly lower at 7.89%</w:t>
      </w:r>
      <w:r w:rsidR="005B0EF8">
        <w:rPr>
          <w:rFonts w:ascii="Arial" w:eastAsia="Times New Roman" w:hAnsi="Arial" w:cs="Arial"/>
          <w:sz w:val="24"/>
          <w:szCs w:val="24"/>
          <w:lang w:eastAsia="en-GB" w:bidi="ar-SA"/>
        </w:rPr>
        <w:t xml:space="preserve"> than M&amp;S</w:t>
      </w:r>
      <w:r>
        <w:rPr>
          <w:rFonts w:ascii="Arial" w:eastAsia="Times New Roman" w:hAnsi="Arial" w:cs="Arial"/>
          <w:sz w:val="24"/>
          <w:szCs w:val="24"/>
          <w:lang w:eastAsia="en-GB" w:bidi="ar-SA"/>
        </w:rPr>
        <w:t xml:space="preserve">. </w:t>
      </w:r>
      <w:r w:rsidR="005B0EF8">
        <w:rPr>
          <w:rFonts w:ascii="Arial" w:eastAsia="Times New Roman" w:hAnsi="Arial" w:cs="Arial"/>
          <w:sz w:val="24"/>
          <w:szCs w:val="24"/>
          <w:lang w:eastAsia="en-GB" w:bidi="ar-SA"/>
        </w:rPr>
        <w:t>Though it</w:t>
      </w:r>
      <w:r>
        <w:rPr>
          <w:rFonts w:ascii="Arial" w:eastAsia="Times New Roman" w:hAnsi="Arial" w:cs="Arial"/>
          <w:sz w:val="24"/>
          <w:szCs w:val="24"/>
          <w:lang w:eastAsia="en-GB" w:bidi="ar-SA"/>
        </w:rPr>
        <w:t xml:space="preserve"> has remained steady since 2019. However, Considering the annual revenue, it has low operating expenses compared to M&amp;S over the years. In 2022, Sainsbury</w:t>
      </w:r>
      <w:r w:rsidR="008E7A4B">
        <w:rPr>
          <w:rFonts w:ascii="Arial" w:eastAsia="Times New Roman" w:hAnsi="Arial" w:cs="Arial"/>
          <w:sz w:val="24"/>
          <w:szCs w:val="24"/>
          <w:lang w:eastAsia="en-GB" w:bidi="ar-SA"/>
        </w:rPr>
        <w:t>'</w:t>
      </w:r>
      <w:r>
        <w:rPr>
          <w:rFonts w:ascii="Arial" w:eastAsia="Times New Roman" w:hAnsi="Arial" w:cs="Arial"/>
          <w:sz w:val="24"/>
          <w:szCs w:val="24"/>
          <w:lang w:eastAsia="en-GB" w:bidi="ar-SA"/>
        </w:rPr>
        <w:t>s operating expense was only 1</w:t>
      </w:r>
      <w:r w:rsidR="005B0EF8">
        <w:rPr>
          <w:rFonts w:ascii="Arial" w:eastAsia="Times New Roman" w:hAnsi="Arial" w:cs="Arial"/>
          <w:sz w:val="24"/>
          <w:szCs w:val="24"/>
          <w:lang w:eastAsia="en-GB" w:bidi="ar-SA"/>
        </w:rPr>
        <w:t>4.3</w:t>
      </w:r>
      <w:r>
        <w:rPr>
          <w:rFonts w:ascii="Arial" w:eastAsia="Times New Roman" w:hAnsi="Arial" w:cs="Arial"/>
          <w:sz w:val="24"/>
          <w:szCs w:val="24"/>
          <w:lang w:eastAsia="en-GB" w:bidi="ar-SA"/>
        </w:rPr>
        <w:t>b against a considerable revenue of 29.89b, just 4</w:t>
      </w:r>
      <w:r w:rsidR="005B0EF8">
        <w:rPr>
          <w:rFonts w:ascii="Arial" w:eastAsia="Times New Roman" w:hAnsi="Arial" w:cs="Arial"/>
          <w:sz w:val="24"/>
          <w:szCs w:val="24"/>
          <w:lang w:eastAsia="en-GB" w:bidi="ar-SA"/>
        </w:rPr>
        <w:t>.78</w:t>
      </w:r>
      <w:r>
        <w:rPr>
          <w:rFonts w:ascii="Arial" w:eastAsia="Times New Roman" w:hAnsi="Arial" w:cs="Arial"/>
          <w:sz w:val="24"/>
          <w:szCs w:val="24"/>
          <w:lang w:eastAsia="en-GB" w:bidi="ar-SA"/>
        </w:rPr>
        <w:t xml:space="preserve">%. </w:t>
      </w:r>
      <w:r w:rsidR="005B0EF8" w:rsidRPr="005B0EF8">
        <w:rPr>
          <w:rFonts w:ascii="Arial" w:eastAsia="Times New Roman" w:hAnsi="Arial" w:cs="Arial"/>
          <w:sz w:val="24"/>
          <w:szCs w:val="24"/>
          <w:lang w:eastAsia="en-GB" w:bidi="ar-SA"/>
        </w:rPr>
        <w:t xml:space="preserve">However, Marks and Spencer Group's operating expense has consistently been high; in 2022, it was 29.80% or 3.244b of revenue, </w:t>
      </w:r>
      <w:r w:rsidR="005B0EF8">
        <w:rPr>
          <w:rFonts w:ascii="Arial" w:eastAsia="Times New Roman" w:hAnsi="Arial" w:cs="Arial"/>
          <w:sz w:val="24"/>
          <w:szCs w:val="24"/>
          <w:lang w:eastAsia="en-GB" w:bidi="ar-SA"/>
        </w:rPr>
        <w:t>even though</w:t>
      </w:r>
      <w:r w:rsidR="005B0EF8" w:rsidRPr="005B0EF8">
        <w:rPr>
          <w:rFonts w:ascii="Arial" w:eastAsia="Times New Roman" w:hAnsi="Arial" w:cs="Arial"/>
          <w:sz w:val="24"/>
          <w:szCs w:val="24"/>
          <w:lang w:eastAsia="en-GB" w:bidi="ar-SA"/>
        </w:rPr>
        <w:t xml:space="preserve"> Sainsbury's cost of goods sold </w:t>
      </w:r>
      <w:r w:rsidR="005B0EF8" w:rsidRPr="005B0EF8">
        <w:rPr>
          <w:rFonts w:ascii="Arial" w:eastAsia="Times New Roman" w:hAnsi="Arial" w:cs="Arial"/>
          <w:sz w:val="24"/>
          <w:szCs w:val="24"/>
          <w:lang w:eastAsia="en-GB" w:bidi="ar-SA"/>
        </w:rPr>
        <w:lastRenderedPageBreak/>
        <w:t>was much higher</w:t>
      </w:r>
      <w:r w:rsidR="005B0EF8">
        <w:rPr>
          <w:rFonts w:ascii="Arial" w:eastAsia="Times New Roman" w:hAnsi="Arial" w:cs="Arial"/>
          <w:sz w:val="24"/>
          <w:szCs w:val="24"/>
          <w:lang w:eastAsia="en-GB" w:bidi="ar-SA"/>
        </w:rPr>
        <w:t xml:space="preserve"> of the revenue</w:t>
      </w:r>
      <w:r w:rsidR="005B0EF8" w:rsidRPr="005B0EF8">
        <w:rPr>
          <w:rFonts w:ascii="Arial" w:eastAsia="Times New Roman" w:hAnsi="Arial" w:cs="Arial"/>
          <w:sz w:val="24"/>
          <w:szCs w:val="24"/>
          <w:lang w:eastAsia="en-GB" w:bidi="ar-SA"/>
        </w:rPr>
        <w:t xml:space="preserve">, 92.11% than M&amp;S's, 65.50%. </w:t>
      </w:r>
      <w:r w:rsidR="005B0EF8">
        <w:rPr>
          <w:rFonts w:ascii="Arial" w:eastAsia="Times New Roman" w:hAnsi="Arial" w:cs="Arial"/>
          <w:sz w:val="24"/>
          <w:szCs w:val="24"/>
          <w:lang w:eastAsia="en-GB" w:bidi="ar-SA"/>
        </w:rPr>
        <w:t>Th</w:t>
      </w:r>
      <w:r w:rsidR="00215B00">
        <w:rPr>
          <w:rFonts w:ascii="Arial" w:eastAsia="Times New Roman" w:hAnsi="Arial" w:cs="Arial"/>
          <w:sz w:val="24"/>
          <w:szCs w:val="24"/>
          <w:lang w:eastAsia="en-GB" w:bidi="ar-SA"/>
        </w:rPr>
        <w:t>is</w:t>
      </w:r>
      <w:r w:rsidR="005B0EF8">
        <w:rPr>
          <w:rFonts w:ascii="Arial" w:eastAsia="Times New Roman" w:hAnsi="Arial" w:cs="Arial"/>
          <w:sz w:val="24"/>
          <w:szCs w:val="24"/>
          <w:lang w:eastAsia="en-GB" w:bidi="ar-SA"/>
        </w:rPr>
        <w:t xml:space="preserve"> </w:t>
      </w:r>
      <w:r w:rsidR="00215B00">
        <w:rPr>
          <w:rFonts w:ascii="Arial" w:eastAsia="Times New Roman" w:hAnsi="Arial" w:cs="Arial"/>
          <w:sz w:val="24"/>
          <w:szCs w:val="24"/>
          <w:lang w:eastAsia="en-GB" w:bidi="ar-SA"/>
        </w:rPr>
        <w:t>in</w:t>
      </w:r>
      <w:r w:rsidR="005B0EF8">
        <w:rPr>
          <w:rFonts w:ascii="Arial" w:eastAsia="Times New Roman" w:hAnsi="Arial" w:cs="Arial"/>
          <w:sz w:val="24"/>
          <w:szCs w:val="24"/>
          <w:lang w:eastAsia="en-GB" w:bidi="ar-SA"/>
        </w:rPr>
        <w:t xml:space="preserve">formation confirms that </w:t>
      </w:r>
      <w:r w:rsidR="005B0EF8" w:rsidRPr="005B0EF8">
        <w:rPr>
          <w:rFonts w:ascii="Arial" w:eastAsia="Times New Roman" w:hAnsi="Arial" w:cs="Arial"/>
          <w:sz w:val="24"/>
          <w:szCs w:val="24"/>
          <w:lang w:eastAsia="en-GB" w:bidi="ar-SA"/>
        </w:rPr>
        <w:t xml:space="preserve">These companies' pricing strategies are also different. </w:t>
      </w:r>
    </w:p>
    <w:p w14:paraId="4559D6FA" w14:textId="410756B0" w:rsidR="009822D5" w:rsidRPr="009822D5" w:rsidRDefault="009822D5" w:rsidP="009822D5">
      <w:pPr>
        <w:spacing w:before="100" w:beforeAutospacing="1" w:after="100" w:afterAutospacing="1" w:line="360" w:lineRule="auto"/>
        <w:rPr>
          <w:rFonts w:ascii="Arial" w:eastAsia="Times New Roman" w:hAnsi="Arial" w:cs="Arial"/>
          <w:b/>
          <w:bCs/>
          <w:sz w:val="24"/>
          <w:szCs w:val="24"/>
          <w:lang w:eastAsia="en-GB" w:bidi="ar-SA"/>
        </w:rPr>
      </w:pPr>
      <w:r w:rsidRPr="009822D5">
        <w:rPr>
          <w:rFonts w:ascii="Arial" w:eastAsia="Times New Roman" w:hAnsi="Arial" w:cs="Arial"/>
          <w:b/>
          <w:bCs/>
          <w:sz w:val="24"/>
          <w:szCs w:val="24"/>
          <w:lang w:eastAsia="en-GB" w:bidi="ar-SA"/>
        </w:rPr>
        <w:t>Operating Profit Margin:</w:t>
      </w:r>
    </w:p>
    <w:p w14:paraId="22990299" w14:textId="4D426C34" w:rsidR="009822D5" w:rsidRPr="009822D5" w:rsidRDefault="009822D5" w:rsidP="009822D5">
      <w:pPr>
        <w:spacing w:before="100" w:beforeAutospacing="1" w:after="100" w:afterAutospacing="1" w:line="360" w:lineRule="auto"/>
        <w:rPr>
          <w:rFonts w:ascii="Arial" w:eastAsia="Times New Roman" w:hAnsi="Arial" w:cs="Arial"/>
          <w:sz w:val="24"/>
          <w:szCs w:val="24"/>
          <w:lang w:eastAsia="en-GB" w:bidi="ar-SA"/>
        </w:rPr>
      </w:pPr>
      <w:r w:rsidRPr="009822D5">
        <w:rPr>
          <w:rFonts w:ascii="Arial" w:eastAsia="Times New Roman" w:hAnsi="Arial" w:cs="Arial"/>
          <w:sz w:val="24"/>
          <w:szCs w:val="24"/>
          <w:lang w:eastAsia="en-GB" w:bidi="ar-SA"/>
        </w:rPr>
        <w:t>The operating profit margin for M&amp;S has shown some fluctuations over the years, with a decline from 6.27% in 2018 to -0.33% in 2021. This indicates that M&amp;S faced challenges in generating profits from its core operations, potentially due to declining sales</w:t>
      </w:r>
      <w:r w:rsidR="005B0EF8">
        <w:rPr>
          <w:rFonts w:ascii="Arial" w:eastAsia="Times New Roman" w:hAnsi="Arial" w:cs="Arial"/>
          <w:sz w:val="24"/>
          <w:szCs w:val="24"/>
          <w:lang w:eastAsia="en-GB" w:bidi="ar-SA"/>
        </w:rPr>
        <w:t xml:space="preserve"> due to the global pandemic</w:t>
      </w:r>
      <w:r w:rsidRPr="009822D5">
        <w:rPr>
          <w:rFonts w:ascii="Arial" w:eastAsia="Times New Roman" w:hAnsi="Arial" w:cs="Arial"/>
          <w:sz w:val="24"/>
          <w:szCs w:val="24"/>
          <w:lang w:eastAsia="en-GB" w:bidi="ar-SA"/>
        </w:rPr>
        <w:t>.</w:t>
      </w:r>
    </w:p>
    <w:p w14:paraId="0EA77641" w14:textId="361F02DA" w:rsidR="00215B00" w:rsidRDefault="00215B00" w:rsidP="00215B00">
      <w:pPr>
        <w:pStyle w:val="Pa15"/>
        <w:spacing w:after="160" w:line="360" w:lineRule="auto"/>
        <w:rPr>
          <w:rFonts w:ascii="Arial" w:eastAsia="Times New Roman" w:hAnsi="Arial"/>
          <w:lang w:eastAsia="en-GB"/>
        </w:rPr>
      </w:pPr>
      <w:r w:rsidRPr="00215B00">
        <w:rPr>
          <w:rFonts w:ascii="Arial" w:eastAsia="Times New Roman" w:hAnsi="Arial"/>
          <w:lang w:eastAsia="en-GB"/>
        </w:rPr>
        <w:t xml:space="preserve">Similarly, </w:t>
      </w:r>
      <w:r w:rsidR="009822D5" w:rsidRPr="009822D5">
        <w:rPr>
          <w:rFonts w:ascii="Arial" w:eastAsia="Times New Roman" w:hAnsi="Arial"/>
          <w:lang w:eastAsia="en-GB"/>
        </w:rPr>
        <w:t xml:space="preserve">Sainsbury's operating profit margin in 2022 </w:t>
      </w:r>
      <w:r w:rsidRPr="00215B00">
        <w:rPr>
          <w:rFonts w:ascii="Arial" w:eastAsia="Times New Roman" w:hAnsi="Arial"/>
          <w:lang w:eastAsia="en-GB"/>
        </w:rPr>
        <w:t>was</w:t>
      </w:r>
      <w:r w:rsidR="009822D5" w:rsidRPr="009822D5">
        <w:rPr>
          <w:rFonts w:ascii="Arial" w:eastAsia="Times New Roman" w:hAnsi="Arial"/>
          <w:lang w:eastAsia="en-GB"/>
        </w:rPr>
        <w:t xml:space="preserve"> 3.8</w:t>
      </w:r>
      <w:r w:rsidRPr="00215B00">
        <w:rPr>
          <w:rFonts w:ascii="Arial" w:eastAsia="Times New Roman" w:hAnsi="Arial"/>
          <w:lang w:eastAsia="en-GB"/>
        </w:rPr>
        <w:t>7</w:t>
      </w:r>
      <w:r w:rsidR="009822D5" w:rsidRPr="009822D5">
        <w:rPr>
          <w:rFonts w:ascii="Arial" w:eastAsia="Times New Roman" w:hAnsi="Arial"/>
          <w:lang w:eastAsia="en-GB"/>
        </w:rPr>
        <w:t>%, a</w:t>
      </w:r>
      <w:r w:rsidRPr="00215B00">
        <w:rPr>
          <w:rFonts w:ascii="Arial" w:eastAsia="Times New Roman" w:hAnsi="Arial"/>
          <w:lang w:eastAsia="en-GB"/>
        </w:rPr>
        <w:t xml:space="preserve"> considerable</w:t>
      </w:r>
      <w:r w:rsidR="009822D5" w:rsidRPr="009822D5">
        <w:rPr>
          <w:rFonts w:ascii="Arial" w:eastAsia="Times New Roman" w:hAnsi="Arial"/>
          <w:lang w:eastAsia="en-GB"/>
        </w:rPr>
        <w:t xml:space="preserve"> improvement </w:t>
      </w:r>
      <w:r w:rsidRPr="00215B00">
        <w:rPr>
          <w:rFonts w:ascii="Arial" w:eastAsia="Times New Roman" w:hAnsi="Arial"/>
          <w:lang w:eastAsia="en-GB"/>
        </w:rPr>
        <w:t>from the previous year</w:t>
      </w:r>
      <w:r w:rsidR="008E7A4B">
        <w:rPr>
          <w:rFonts w:ascii="Arial" w:eastAsia="Times New Roman" w:hAnsi="Arial"/>
          <w:lang w:eastAsia="en-GB"/>
        </w:rPr>
        <w:t>'</w:t>
      </w:r>
      <w:r w:rsidRPr="00215B00">
        <w:rPr>
          <w:rFonts w:ascii="Arial" w:eastAsia="Times New Roman" w:hAnsi="Arial"/>
          <w:lang w:eastAsia="en-GB"/>
        </w:rPr>
        <w:t>s margin of 0.53%</w:t>
      </w:r>
      <w:r w:rsidR="009822D5" w:rsidRPr="009822D5">
        <w:rPr>
          <w:rFonts w:ascii="Arial" w:eastAsia="Times New Roman" w:hAnsi="Arial"/>
          <w:lang w:eastAsia="en-GB"/>
        </w:rPr>
        <w:t xml:space="preserve">. </w:t>
      </w:r>
      <w:r w:rsidRPr="00215B00">
        <w:rPr>
          <w:rFonts w:ascii="Arial" w:eastAsia="Times New Roman" w:hAnsi="Arial"/>
          <w:lang w:eastAsia="en-GB"/>
        </w:rPr>
        <w:t>Though both years had quite similar revenue (</w:t>
      </w:r>
      <w:r>
        <w:rPr>
          <w:rFonts w:ascii="Arial" w:eastAsia="Times New Roman" w:hAnsi="Arial"/>
          <w:lang w:eastAsia="en-GB"/>
        </w:rPr>
        <w:t xml:space="preserve">in </w:t>
      </w:r>
      <w:r w:rsidRPr="00215B00">
        <w:rPr>
          <w:rFonts w:ascii="Arial" w:eastAsia="Times New Roman" w:hAnsi="Arial"/>
          <w:lang w:eastAsia="en-GB"/>
        </w:rPr>
        <w:t>2022</w:t>
      </w:r>
      <w:r>
        <w:rPr>
          <w:rFonts w:ascii="Arial" w:eastAsia="Times New Roman" w:hAnsi="Arial"/>
          <w:lang w:eastAsia="en-GB"/>
        </w:rPr>
        <w:t>,</w:t>
      </w:r>
      <w:r w:rsidRPr="00215B00">
        <w:rPr>
          <w:rFonts w:ascii="Arial" w:eastAsia="Times New Roman" w:hAnsi="Arial"/>
          <w:lang w:eastAsia="en-GB"/>
        </w:rPr>
        <w:t xml:space="preserve"> </w:t>
      </w:r>
      <w:r w:rsidRPr="00215B00">
        <w:rPr>
          <w:rFonts w:ascii="Arial" w:hAnsi="Arial"/>
        </w:rPr>
        <w:t>29</w:t>
      </w:r>
      <w:r>
        <w:rPr>
          <w:rFonts w:ascii="Arial" w:hAnsi="Arial"/>
        </w:rPr>
        <w:t>.</w:t>
      </w:r>
      <w:r w:rsidRPr="00215B00">
        <w:rPr>
          <w:rFonts w:ascii="Arial" w:hAnsi="Arial"/>
        </w:rPr>
        <w:t>89b</w:t>
      </w:r>
      <w:r>
        <w:rPr>
          <w:rFonts w:ascii="Arial" w:hAnsi="Arial"/>
        </w:rPr>
        <w:t xml:space="preserve"> and 20</w:t>
      </w:r>
      <w:r w:rsidRPr="00215B00">
        <w:rPr>
          <w:rFonts w:ascii="Arial" w:hAnsi="Arial"/>
        </w:rPr>
        <w:t>21</w:t>
      </w:r>
      <w:r>
        <w:rPr>
          <w:rFonts w:ascii="Arial" w:hAnsi="Arial"/>
        </w:rPr>
        <w:t>,</w:t>
      </w:r>
      <w:r w:rsidRPr="00215B00">
        <w:rPr>
          <w:rFonts w:ascii="Arial" w:hAnsi="Arial"/>
        </w:rPr>
        <w:t xml:space="preserve"> 29.04b)</w:t>
      </w:r>
      <w:r w:rsidRPr="00215B00">
        <w:rPr>
          <w:rFonts w:ascii="Arial" w:eastAsia="Times New Roman" w:hAnsi="Arial"/>
          <w:lang w:eastAsia="en-GB"/>
        </w:rPr>
        <w:t xml:space="preserve"> and cost of sold goods (in 22</w:t>
      </w:r>
      <w:r>
        <w:rPr>
          <w:rFonts w:ascii="Arial" w:eastAsia="Times New Roman" w:hAnsi="Arial"/>
          <w:lang w:eastAsia="en-GB"/>
        </w:rPr>
        <w:t>,</w:t>
      </w:r>
      <w:r w:rsidRPr="00215B00">
        <w:rPr>
          <w:rFonts w:ascii="Arial" w:eastAsia="Times New Roman" w:hAnsi="Arial"/>
          <w:lang w:eastAsia="en-GB"/>
        </w:rPr>
        <w:t xml:space="preserve"> </w:t>
      </w:r>
      <w:r w:rsidRPr="00215B00">
        <w:rPr>
          <w:rFonts w:ascii="Arial" w:hAnsi="Arial"/>
          <w:b/>
          <w:bCs/>
          <w:color w:val="000000"/>
        </w:rPr>
        <w:t>27</w:t>
      </w:r>
      <w:r>
        <w:rPr>
          <w:rFonts w:ascii="Arial" w:hAnsi="Arial"/>
          <w:b/>
          <w:bCs/>
          <w:color w:val="000000"/>
        </w:rPr>
        <w:t>.</w:t>
      </w:r>
      <w:r w:rsidRPr="00215B00">
        <w:rPr>
          <w:rFonts w:ascii="Arial" w:hAnsi="Arial"/>
          <w:b/>
          <w:bCs/>
          <w:color w:val="000000"/>
        </w:rPr>
        <w:t>52</w:t>
      </w:r>
      <w:r>
        <w:rPr>
          <w:rFonts w:ascii="Arial" w:hAnsi="Arial"/>
          <w:b/>
          <w:bCs/>
          <w:color w:val="000000"/>
        </w:rPr>
        <w:t>b</w:t>
      </w:r>
      <w:r w:rsidRPr="00215B00">
        <w:rPr>
          <w:rFonts w:ascii="Arial" w:eastAsia="Times New Roman" w:hAnsi="Arial"/>
          <w:lang w:eastAsia="en-GB"/>
        </w:rPr>
        <w:t xml:space="preserve"> and 21</w:t>
      </w:r>
      <w:r>
        <w:rPr>
          <w:rFonts w:ascii="Arial" w:eastAsia="Times New Roman" w:hAnsi="Arial"/>
          <w:lang w:eastAsia="en-GB"/>
        </w:rPr>
        <w:t>,</w:t>
      </w:r>
      <w:r w:rsidRPr="00215B00">
        <w:rPr>
          <w:rFonts w:ascii="Arial" w:eastAsia="Times New Roman" w:hAnsi="Arial"/>
          <w:lang w:eastAsia="en-GB"/>
        </w:rPr>
        <w:t xml:space="preserve"> 27.20b)</w:t>
      </w:r>
      <w:r>
        <w:rPr>
          <w:rFonts w:ascii="Arial" w:eastAsia="Times New Roman" w:hAnsi="Arial"/>
          <w:lang w:eastAsia="en-GB"/>
        </w:rPr>
        <w:t>,</w:t>
      </w:r>
      <w:r w:rsidRPr="00215B00">
        <w:rPr>
          <w:rFonts w:ascii="Arial" w:eastAsia="Times New Roman" w:hAnsi="Arial"/>
          <w:lang w:eastAsia="en-GB"/>
        </w:rPr>
        <w:t xml:space="preserve"> </w:t>
      </w:r>
      <w:r>
        <w:rPr>
          <w:rFonts w:ascii="Arial" w:eastAsia="Times New Roman" w:hAnsi="Arial"/>
          <w:lang w:eastAsia="en-GB"/>
        </w:rPr>
        <w:t>T</w:t>
      </w:r>
      <w:r w:rsidRPr="00215B00">
        <w:rPr>
          <w:rFonts w:ascii="Arial" w:eastAsia="Times New Roman" w:hAnsi="Arial"/>
          <w:lang w:eastAsia="en-GB"/>
        </w:rPr>
        <w:t>he operating expense</w:t>
      </w:r>
      <w:r>
        <w:rPr>
          <w:rFonts w:ascii="Arial" w:eastAsia="Times New Roman" w:hAnsi="Arial"/>
          <w:lang w:eastAsia="en-GB"/>
        </w:rPr>
        <w:t xml:space="preserve"> in 2021</w:t>
      </w:r>
      <w:r w:rsidRPr="00215B00">
        <w:rPr>
          <w:rFonts w:ascii="Arial" w:eastAsia="Times New Roman" w:hAnsi="Arial"/>
          <w:lang w:eastAsia="en-GB"/>
        </w:rPr>
        <w:t xml:space="preserve"> made the margin low. In 2021, </w:t>
      </w:r>
      <w:r>
        <w:rPr>
          <w:rFonts w:ascii="Arial" w:eastAsia="Times New Roman" w:hAnsi="Arial"/>
          <w:lang w:eastAsia="en-GB"/>
        </w:rPr>
        <w:t>Sainsbury</w:t>
      </w:r>
      <w:r w:rsidR="008E7A4B">
        <w:rPr>
          <w:rFonts w:ascii="Arial" w:eastAsia="Times New Roman" w:hAnsi="Arial"/>
          <w:lang w:eastAsia="en-GB"/>
        </w:rPr>
        <w:t>'</w:t>
      </w:r>
      <w:r>
        <w:rPr>
          <w:rFonts w:ascii="Arial" w:eastAsia="Times New Roman" w:hAnsi="Arial"/>
          <w:lang w:eastAsia="en-GB"/>
        </w:rPr>
        <w:t xml:space="preserve">s operating expense was 17.02b, their highest ever. </w:t>
      </w:r>
    </w:p>
    <w:p w14:paraId="62A23C2B" w14:textId="073B7295" w:rsidR="009822D5" w:rsidRPr="009822D5" w:rsidRDefault="009822D5" w:rsidP="00215B00">
      <w:pPr>
        <w:pStyle w:val="Pa15"/>
        <w:spacing w:after="160" w:line="360" w:lineRule="auto"/>
        <w:rPr>
          <w:rFonts w:ascii="Arial" w:eastAsia="Times New Roman" w:hAnsi="Arial"/>
          <w:lang w:eastAsia="en-GB"/>
        </w:rPr>
      </w:pPr>
      <w:r w:rsidRPr="009822D5">
        <w:rPr>
          <w:rFonts w:ascii="Arial" w:eastAsia="Times New Roman" w:hAnsi="Arial"/>
          <w:lang w:eastAsia="en-GB"/>
        </w:rPr>
        <w:t>Net Profit Margin:</w:t>
      </w:r>
    </w:p>
    <w:p w14:paraId="04EB1C42" w14:textId="0A62D6E1" w:rsidR="009822D5" w:rsidRPr="009822D5" w:rsidRDefault="009822D5" w:rsidP="009D4850">
      <w:pPr>
        <w:spacing w:before="100" w:beforeAutospacing="1" w:after="100" w:afterAutospacing="1" w:line="360" w:lineRule="auto"/>
        <w:rPr>
          <w:rFonts w:ascii="Arial" w:eastAsia="Times New Roman" w:hAnsi="Arial" w:cs="Arial"/>
          <w:sz w:val="24"/>
          <w:szCs w:val="24"/>
          <w:lang w:eastAsia="en-GB" w:bidi="ar-SA"/>
        </w:rPr>
      </w:pPr>
      <w:r w:rsidRPr="009822D5">
        <w:rPr>
          <w:rFonts w:ascii="Arial" w:eastAsia="Times New Roman" w:hAnsi="Arial" w:cs="Arial"/>
          <w:sz w:val="24"/>
          <w:szCs w:val="24"/>
          <w:lang w:eastAsia="en-GB" w:bidi="ar-SA"/>
        </w:rPr>
        <w:t xml:space="preserve">The net profit margin for M&amp;S has been relatively low and volatile. It ranged from -2.20% in 2021 to 0.44% in 2019. The negative net profit margin in 2021 indicates that M&amp;S experienced a net loss during that period, </w:t>
      </w:r>
      <w:r w:rsidR="00F25FC5">
        <w:rPr>
          <w:rFonts w:ascii="Arial" w:eastAsia="Times New Roman" w:hAnsi="Arial" w:cs="Arial"/>
          <w:sz w:val="24"/>
          <w:szCs w:val="24"/>
          <w:lang w:eastAsia="en-GB" w:bidi="ar-SA"/>
        </w:rPr>
        <w:t xml:space="preserve">primarily </w:t>
      </w:r>
      <w:r w:rsidRPr="009822D5">
        <w:rPr>
          <w:rFonts w:ascii="Arial" w:eastAsia="Times New Roman" w:hAnsi="Arial" w:cs="Arial"/>
          <w:sz w:val="24"/>
          <w:szCs w:val="24"/>
          <w:lang w:eastAsia="en-GB" w:bidi="ar-SA"/>
        </w:rPr>
        <w:t>due</w:t>
      </w:r>
      <w:r w:rsidR="009D4850">
        <w:rPr>
          <w:rFonts w:ascii="Arial" w:eastAsia="Times New Roman" w:hAnsi="Arial" w:cs="Arial"/>
          <w:sz w:val="24"/>
          <w:szCs w:val="24"/>
          <w:lang w:eastAsia="en-GB" w:bidi="ar-SA"/>
        </w:rPr>
        <w:t xml:space="preserve"> to low revenue</w:t>
      </w:r>
      <w:r w:rsidRPr="009822D5">
        <w:rPr>
          <w:rFonts w:ascii="Arial" w:eastAsia="Times New Roman" w:hAnsi="Arial" w:cs="Arial"/>
          <w:sz w:val="24"/>
          <w:szCs w:val="24"/>
          <w:lang w:eastAsia="en-GB" w:bidi="ar-SA"/>
        </w:rPr>
        <w:t>.</w:t>
      </w:r>
      <w:r w:rsidR="009D4850">
        <w:rPr>
          <w:rFonts w:ascii="Arial" w:eastAsia="Times New Roman" w:hAnsi="Arial" w:cs="Arial"/>
          <w:sz w:val="24"/>
          <w:szCs w:val="24"/>
          <w:lang w:eastAsia="en-GB" w:bidi="ar-SA"/>
        </w:rPr>
        <w:t xml:space="preserve"> Net profit margin significantly improved in 2022 to </w:t>
      </w:r>
      <w:r w:rsidR="009D4850">
        <w:rPr>
          <w:rFonts w:ascii="Arial" w:hAnsi="Arial" w:cs="Arial"/>
          <w:sz w:val="24"/>
          <w:szCs w:val="24"/>
        </w:rPr>
        <w:t xml:space="preserve">2.84%, their highest in the last five years. </w:t>
      </w:r>
    </w:p>
    <w:p w14:paraId="4AA7D343" w14:textId="1D1C8E76" w:rsidR="009822D5" w:rsidRPr="009822D5" w:rsidRDefault="009D4850" w:rsidP="009D4850">
      <w:pPr>
        <w:spacing w:before="100" w:beforeAutospacing="1" w:after="100" w:afterAutospacing="1" w:line="360" w:lineRule="auto"/>
        <w:rPr>
          <w:rFonts w:ascii="Arial" w:eastAsia="Times New Roman" w:hAnsi="Arial" w:cs="Arial"/>
          <w:sz w:val="24"/>
          <w:szCs w:val="24"/>
          <w:lang w:eastAsia="en-GB" w:bidi="ar-SA"/>
        </w:rPr>
      </w:pPr>
      <w:r>
        <w:rPr>
          <w:rFonts w:ascii="Arial" w:eastAsia="Times New Roman" w:hAnsi="Arial" w:cs="Arial"/>
          <w:sz w:val="24"/>
          <w:szCs w:val="24"/>
          <w:lang w:eastAsia="en-GB" w:bidi="ar-SA"/>
        </w:rPr>
        <w:t>As Sainsbury</w:t>
      </w:r>
      <w:r w:rsidR="008E7A4B">
        <w:rPr>
          <w:rFonts w:ascii="Arial" w:eastAsia="Times New Roman" w:hAnsi="Arial" w:cs="Arial"/>
          <w:sz w:val="24"/>
          <w:szCs w:val="24"/>
          <w:lang w:eastAsia="en-GB" w:bidi="ar-SA"/>
        </w:rPr>
        <w:t>'</w:t>
      </w:r>
      <w:r>
        <w:rPr>
          <w:rFonts w:ascii="Arial" w:eastAsia="Times New Roman" w:hAnsi="Arial" w:cs="Arial"/>
          <w:sz w:val="24"/>
          <w:szCs w:val="24"/>
          <w:lang w:eastAsia="en-GB" w:bidi="ar-SA"/>
        </w:rPr>
        <w:t>s also made a net loss of £201m, their net profit margin was -</w:t>
      </w:r>
      <w:r w:rsidRPr="009D4850">
        <w:rPr>
          <w:rFonts w:ascii="Arial" w:eastAsia="Times New Roman" w:hAnsi="Arial" w:cs="Arial"/>
          <w:sz w:val="24"/>
          <w:szCs w:val="24"/>
          <w:lang w:eastAsia="en-GB" w:bidi="ar-SA"/>
        </w:rPr>
        <w:t>0.69</w:t>
      </w:r>
      <w:r>
        <w:rPr>
          <w:rFonts w:ascii="Arial" w:eastAsia="Times New Roman" w:hAnsi="Arial" w:cs="Arial"/>
          <w:sz w:val="24"/>
          <w:szCs w:val="24"/>
          <w:lang w:eastAsia="en-GB" w:bidi="ar-SA"/>
        </w:rPr>
        <w:t>% in 2021. I</w:t>
      </w:r>
      <w:r w:rsidR="009822D5" w:rsidRPr="009822D5">
        <w:rPr>
          <w:rFonts w:ascii="Arial" w:eastAsia="Times New Roman" w:hAnsi="Arial" w:cs="Arial"/>
          <w:sz w:val="24"/>
          <w:szCs w:val="24"/>
          <w:lang w:eastAsia="en-GB" w:bidi="ar-SA"/>
        </w:rPr>
        <w:t xml:space="preserve">n 2022 </w:t>
      </w:r>
      <w:r>
        <w:rPr>
          <w:rFonts w:ascii="Arial" w:eastAsia="Times New Roman" w:hAnsi="Arial" w:cs="Arial"/>
          <w:sz w:val="24"/>
          <w:szCs w:val="24"/>
          <w:lang w:eastAsia="en-GB" w:bidi="ar-SA"/>
        </w:rPr>
        <w:t>it was</w:t>
      </w:r>
      <w:r w:rsidR="009822D5" w:rsidRPr="009822D5">
        <w:rPr>
          <w:rFonts w:ascii="Arial" w:eastAsia="Times New Roman" w:hAnsi="Arial" w:cs="Arial"/>
          <w:sz w:val="24"/>
          <w:szCs w:val="24"/>
          <w:lang w:eastAsia="en-GB" w:bidi="ar-SA"/>
        </w:rPr>
        <w:t xml:space="preserve"> 1.93%, </w:t>
      </w:r>
      <w:r w:rsidR="009822D5">
        <w:rPr>
          <w:rFonts w:ascii="Arial" w:eastAsia="Times New Roman" w:hAnsi="Arial" w:cs="Arial"/>
          <w:sz w:val="24"/>
          <w:szCs w:val="24"/>
          <w:lang w:eastAsia="en-GB" w:bidi="ar-SA"/>
        </w:rPr>
        <w:t xml:space="preserve">reflecting a reasonable </w:t>
      </w:r>
      <w:r>
        <w:rPr>
          <w:rFonts w:ascii="Arial" w:eastAsia="Times New Roman" w:hAnsi="Arial" w:cs="Arial"/>
          <w:sz w:val="24"/>
          <w:szCs w:val="24"/>
          <w:lang w:eastAsia="en-GB" w:bidi="ar-SA"/>
        </w:rPr>
        <w:t xml:space="preserve">improvement in the </w:t>
      </w:r>
      <w:r w:rsidR="009822D5">
        <w:rPr>
          <w:rFonts w:ascii="Arial" w:eastAsia="Times New Roman" w:hAnsi="Arial" w:cs="Arial"/>
          <w:sz w:val="24"/>
          <w:szCs w:val="24"/>
          <w:lang w:eastAsia="en-GB" w:bidi="ar-SA"/>
        </w:rPr>
        <w:t>profitability level</w:t>
      </w:r>
      <w:r w:rsidR="009822D5" w:rsidRPr="009822D5">
        <w:rPr>
          <w:rFonts w:ascii="Arial" w:eastAsia="Times New Roman" w:hAnsi="Arial" w:cs="Arial"/>
          <w:sz w:val="24"/>
          <w:szCs w:val="24"/>
          <w:lang w:eastAsia="en-GB" w:bidi="ar-SA"/>
        </w:rPr>
        <w:t xml:space="preserve">. </w:t>
      </w:r>
    </w:p>
    <w:p w14:paraId="7E9BF243" w14:textId="77777777" w:rsidR="008E7A4B" w:rsidRPr="008E7A4B" w:rsidRDefault="008E7A4B" w:rsidP="008E7A4B">
      <w:pPr>
        <w:pStyle w:val="NormalWeb"/>
        <w:spacing w:line="360" w:lineRule="auto"/>
        <w:rPr>
          <w:rFonts w:ascii="Arial" w:hAnsi="Arial" w:cs="Arial"/>
        </w:rPr>
      </w:pPr>
      <w:r w:rsidRPr="008E7A4B">
        <w:rPr>
          <w:rFonts w:ascii="Arial" w:hAnsi="Arial" w:cs="Arial"/>
        </w:rPr>
        <w:t>Based on the provided information, here are some recommendations to improve the financial management of M&amp;S:</w:t>
      </w:r>
    </w:p>
    <w:p w14:paraId="3FA9E0B0" w14:textId="77777777"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Revenue Growth: M&amp;S has experienced fluctuating revenue growth in recent years. To improve financial management, M&amp;S should focus on strategies to enhance revenue generation. This can include expanding product offerings, entering new markets, improving marketing and promotional activities, and enhancing customer experience to attract and retain customers.</w:t>
      </w:r>
    </w:p>
    <w:p w14:paraId="731D8C96" w14:textId="71F7D380"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 xml:space="preserve">Gross Profit Margin: Although M&amp;S has maintained a relatively stable gross profit margin, there is room for improvement. </w:t>
      </w:r>
      <w:r w:rsidR="009C2BE2">
        <w:rPr>
          <w:rFonts w:ascii="Arial" w:hAnsi="Arial" w:cs="Arial"/>
        </w:rPr>
        <w:t>M&amp;S should focus on cost optimisation initiatives to enhance financial management</w:t>
      </w:r>
      <w:r w:rsidRPr="008E7A4B">
        <w:rPr>
          <w:rFonts w:ascii="Arial" w:hAnsi="Arial" w:cs="Arial"/>
        </w:rPr>
        <w:t>, such as negotiating favo</w:t>
      </w:r>
      <w:r w:rsidR="009C2BE2">
        <w:rPr>
          <w:rFonts w:ascii="Arial" w:hAnsi="Arial" w:cs="Arial"/>
        </w:rPr>
        <w:t>u</w:t>
      </w:r>
      <w:r w:rsidRPr="008E7A4B">
        <w:rPr>
          <w:rFonts w:ascii="Arial" w:hAnsi="Arial" w:cs="Arial"/>
        </w:rPr>
        <w:t xml:space="preserve">rable </w:t>
      </w:r>
      <w:r w:rsidRPr="008E7A4B">
        <w:rPr>
          <w:rFonts w:ascii="Arial" w:hAnsi="Arial" w:cs="Arial"/>
        </w:rPr>
        <w:lastRenderedPageBreak/>
        <w:t>supplier contracts, streamlining operations, and implementing efficient supply chain management practices. This can help improve the gross profit margin and overall profitability.</w:t>
      </w:r>
    </w:p>
    <w:p w14:paraId="4FA74FBA" w14:textId="6EAD76A6"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 xml:space="preserve">Operating Profit Margin: M&amp;S has experienced a decline in operating profit margin in recent years. </w:t>
      </w:r>
      <w:r w:rsidR="00F50409">
        <w:rPr>
          <w:rFonts w:ascii="Arial" w:hAnsi="Arial" w:cs="Arial"/>
        </w:rPr>
        <w:t>To address this, the company should focus on cost control measures, including monitoring and reducing operating expenses</w:t>
      </w:r>
      <w:r w:rsidRPr="008E7A4B">
        <w:rPr>
          <w:rFonts w:ascii="Arial" w:hAnsi="Arial" w:cs="Arial"/>
        </w:rPr>
        <w:t>. Implementing efficiency measures, optimi</w:t>
      </w:r>
      <w:r>
        <w:rPr>
          <w:rFonts w:ascii="Arial" w:hAnsi="Arial" w:cs="Arial"/>
        </w:rPr>
        <w:t>s</w:t>
      </w:r>
      <w:r w:rsidRPr="008E7A4B">
        <w:rPr>
          <w:rFonts w:ascii="Arial" w:hAnsi="Arial" w:cs="Arial"/>
        </w:rPr>
        <w:t xml:space="preserve">ing resource allocation, and identifying </w:t>
      </w:r>
      <w:r w:rsidR="009C2BE2">
        <w:rPr>
          <w:rFonts w:ascii="Arial" w:hAnsi="Arial" w:cs="Arial"/>
        </w:rPr>
        <w:t>cost savings areas can improve</w:t>
      </w:r>
      <w:r w:rsidRPr="008E7A4B">
        <w:rPr>
          <w:rFonts w:ascii="Arial" w:hAnsi="Arial" w:cs="Arial"/>
        </w:rPr>
        <w:t xml:space="preserve"> the operating profit margin.</w:t>
      </w:r>
    </w:p>
    <w:p w14:paraId="60AA6883" w14:textId="2DCFDBC6"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 xml:space="preserve">Net Profit Margin: M&amp;S faced a negative net profit margin in 2021 but showed improvement in 2022. </w:t>
      </w:r>
      <w:r w:rsidR="009C2BE2">
        <w:rPr>
          <w:rFonts w:ascii="Arial" w:hAnsi="Arial" w:cs="Arial"/>
        </w:rPr>
        <w:t>M&amp;S should continue implementing cost-reduction measures and focus on increasing revenue streams to sustain and further improve profitability</w:t>
      </w:r>
      <w:r w:rsidRPr="008E7A4B">
        <w:rPr>
          <w:rFonts w:ascii="Arial" w:hAnsi="Arial" w:cs="Arial"/>
        </w:rPr>
        <w:t>. This can involve reviewing pricing strategies, controlling overhead costs, and identifying opportunities for margin expansion.</w:t>
      </w:r>
    </w:p>
    <w:p w14:paraId="0478508C" w14:textId="0C5EE0B7"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 xml:space="preserve">Liquidity Ratios: M&amp;S's current ratio has shown improvement over the years, indicating better short-term liquidity. However, the quick </w:t>
      </w:r>
      <w:r>
        <w:rPr>
          <w:rFonts w:ascii="Arial" w:hAnsi="Arial" w:cs="Arial"/>
        </w:rPr>
        <w:t>and cash ratios</w:t>
      </w:r>
      <w:r w:rsidRPr="008E7A4B">
        <w:rPr>
          <w:rFonts w:ascii="Arial" w:hAnsi="Arial" w:cs="Arial"/>
        </w:rPr>
        <w:t xml:space="preserve"> are relatively low, indicating potential challenges in meeting immediate financial obligations. To improve liquidity management, M&amp;S should </w:t>
      </w:r>
      <w:r>
        <w:rPr>
          <w:rFonts w:ascii="Arial" w:hAnsi="Arial" w:cs="Arial"/>
        </w:rPr>
        <w:t>optimise working capital, improve cash flow conversion cycles, and ensure</w:t>
      </w:r>
      <w:r w:rsidRPr="008E7A4B">
        <w:rPr>
          <w:rFonts w:ascii="Arial" w:hAnsi="Arial" w:cs="Arial"/>
        </w:rPr>
        <w:t xml:space="preserve"> sufficient cash reserves for unforeseen circumstances.</w:t>
      </w:r>
    </w:p>
    <w:p w14:paraId="16B6AE01" w14:textId="6E083F49"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 xml:space="preserve">Debt Management: M&amp;S has experienced an increasing trend in the Debt-to-Equity Ratio and Debt to Capital Ratio, suggesting higher financial leverage. To improve financial management, M&amp;S should focus on debt reduction strategies, including debt refinancing, restructuring, and effective cash flow management to meet debt obligations. This will help </w:t>
      </w:r>
      <w:r>
        <w:rPr>
          <w:rFonts w:ascii="Arial" w:hAnsi="Arial" w:cs="Arial"/>
        </w:rPr>
        <w:t>reduce financial risk and improve</w:t>
      </w:r>
      <w:r w:rsidRPr="008E7A4B">
        <w:rPr>
          <w:rFonts w:ascii="Arial" w:hAnsi="Arial" w:cs="Arial"/>
        </w:rPr>
        <w:t xml:space="preserve"> the company's overall financial stability.</w:t>
      </w:r>
    </w:p>
    <w:p w14:paraId="793E171B" w14:textId="119092B9"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Profitability Analysis: Continuously monitor and analy</w:t>
      </w:r>
      <w:r>
        <w:rPr>
          <w:rFonts w:ascii="Arial" w:hAnsi="Arial" w:cs="Arial"/>
        </w:rPr>
        <w:t>s</w:t>
      </w:r>
      <w:r w:rsidRPr="008E7A4B">
        <w:rPr>
          <w:rFonts w:ascii="Arial" w:hAnsi="Arial" w:cs="Arial"/>
        </w:rPr>
        <w:t>e profitability metrics to identify areas for improvement. Conduct a comprehensive review of cost structures, operational inefficiencies, and revenue drivers. Implement targeted strategies to enhance profitability, such as product portfolio optimi</w:t>
      </w:r>
      <w:r>
        <w:rPr>
          <w:rFonts w:ascii="Arial" w:hAnsi="Arial" w:cs="Arial"/>
        </w:rPr>
        <w:t>s</w:t>
      </w:r>
      <w:r w:rsidRPr="008E7A4B">
        <w:rPr>
          <w:rFonts w:ascii="Arial" w:hAnsi="Arial" w:cs="Arial"/>
        </w:rPr>
        <w:t>ation, cost reduction initiatives, and strategic investments in high-profit areas.</w:t>
      </w:r>
    </w:p>
    <w:p w14:paraId="5E09503B" w14:textId="1A675EF8"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 xml:space="preserve">Strategic Investments and Diversification: Explore opportunities for strategic investments and diversification to strengthen M&amp;S's revenue streams. This can involve expanding into new markets, diversifying product offerings, and exploring partnerships or acquisitions that align with the company's strategic objectives. </w:t>
      </w:r>
      <w:r w:rsidRPr="008E7A4B">
        <w:rPr>
          <w:rFonts w:ascii="Arial" w:hAnsi="Arial" w:cs="Arial"/>
        </w:rPr>
        <w:lastRenderedPageBreak/>
        <w:t xml:space="preserve">Proper due diligence and financial analysis should be conducted to ensure </w:t>
      </w:r>
      <w:r w:rsidR="009C2BE2">
        <w:rPr>
          <w:rFonts w:ascii="Arial" w:hAnsi="Arial" w:cs="Arial"/>
        </w:rPr>
        <w:t>such investments' viability and potential return</w:t>
      </w:r>
      <w:r w:rsidRPr="008E7A4B">
        <w:rPr>
          <w:rFonts w:ascii="Arial" w:hAnsi="Arial" w:cs="Arial"/>
        </w:rPr>
        <w:t>s.</w:t>
      </w:r>
    </w:p>
    <w:p w14:paraId="2657D727" w14:textId="77777777"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Financial Reporting and Transparency: Ensure accurate and transparent financial reporting to provide stakeholders with a clear view of M&amp;S's financial performance. Maintain open communication with shareholders, regulators, and other stakeholders to enhance trust and confidence in the company's financial management. Comply with accounting standards and reporting requirements to ensure transparency and accountability.</w:t>
      </w:r>
    </w:p>
    <w:p w14:paraId="12E5C657" w14:textId="77777777" w:rsidR="008E7A4B" w:rsidRPr="008E7A4B" w:rsidRDefault="008E7A4B" w:rsidP="008E7A4B">
      <w:pPr>
        <w:pStyle w:val="NormalWeb"/>
        <w:numPr>
          <w:ilvl w:val="0"/>
          <w:numId w:val="13"/>
        </w:numPr>
        <w:spacing w:line="360" w:lineRule="auto"/>
        <w:rPr>
          <w:rFonts w:ascii="Arial" w:hAnsi="Arial" w:cs="Arial"/>
        </w:rPr>
      </w:pPr>
      <w:r w:rsidRPr="008E7A4B">
        <w:rPr>
          <w:rFonts w:ascii="Arial" w:hAnsi="Arial" w:cs="Arial"/>
        </w:rPr>
        <w:t>Continuous Monitoring and Adaptation: Establish a robust monitoring system to track key financial metrics, industry trends, and market conditions. Regularly assess the effectiveness of financial management strategies and adapt as necessary. Stay updated on industry best practices, regulatory changes, and emerging technologies to remain agile and responsive in the evolving business landscape.</w:t>
      </w:r>
    </w:p>
    <w:p w14:paraId="77E4AA04" w14:textId="23608F87" w:rsidR="00CC46D2" w:rsidRPr="00CC46D2" w:rsidRDefault="00CC46D2" w:rsidP="00DA2C6A">
      <w:pPr>
        <w:shd w:val="clear" w:color="auto" w:fill="FFFFFF"/>
        <w:spacing w:line="360" w:lineRule="auto"/>
        <w:rPr>
          <w:rFonts w:ascii="Arial" w:hAnsi="Arial" w:cs="Arial"/>
          <w:sz w:val="24"/>
          <w:szCs w:val="24"/>
        </w:rPr>
      </w:pPr>
    </w:p>
    <w:p w14:paraId="5CFD9EEC" w14:textId="77777777" w:rsidR="00EA4372" w:rsidRPr="00117532" w:rsidRDefault="00EA4372" w:rsidP="00EA4372">
      <w:pPr>
        <w:shd w:val="clear" w:color="auto" w:fill="FFFFFF"/>
        <w:rPr>
          <w:rFonts w:ascii="Arial" w:eastAsia="Times New Roman" w:hAnsi="Arial" w:cs="Arial"/>
          <w:color w:val="000000"/>
          <w:sz w:val="20"/>
          <w:szCs w:val="20"/>
          <w:lang w:eastAsia="en-GB" w:bidi="ar-SA"/>
        </w:rPr>
      </w:pPr>
    </w:p>
    <w:p w14:paraId="1E70D198" w14:textId="69257EEC" w:rsidR="0038138D" w:rsidRDefault="0038138D" w:rsidP="00C15161">
      <w:pPr>
        <w:pStyle w:val="NormalWeb"/>
        <w:spacing w:line="360" w:lineRule="auto"/>
        <w:rPr>
          <w:rFonts w:ascii="Arial" w:hAnsi="Arial" w:cs="Arial"/>
        </w:rPr>
      </w:pPr>
    </w:p>
    <w:p w14:paraId="7B04D145" w14:textId="6EF68457" w:rsidR="009C2BE2" w:rsidRPr="009C2BE2" w:rsidRDefault="0038138D" w:rsidP="009C2BE2">
      <w:pPr>
        <w:spacing w:before="100" w:beforeAutospacing="1" w:after="100" w:afterAutospacing="1" w:line="360" w:lineRule="auto"/>
        <w:rPr>
          <w:rFonts w:ascii="Arial" w:eastAsia="Times New Roman" w:hAnsi="Arial" w:cs="Arial"/>
          <w:b/>
          <w:bCs/>
          <w:sz w:val="24"/>
          <w:szCs w:val="24"/>
          <w:lang w:eastAsia="en-GB" w:bidi="ar-SA"/>
        </w:rPr>
      </w:pPr>
      <w:r w:rsidRPr="009C2BE2">
        <w:rPr>
          <w:rFonts w:ascii="Arial" w:eastAsia="Times New Roman" w:hAnsi="Arial" w:cs="Arial"/>
          <w:b/>
          <w:bCs/>
          <w:sz w:val="24"/>
          <w:szCs w:val="24"/>
          <w:lang w:eastAsia="en-GB" w:bidi="ar-SA"/>
        </w:rPr>
        <w:t>Project Evaluation:</w:t>
      </w:r>
    </w:p>
    <w:p w14:paraId="045823B4" w14:textId="28ED62C7" w:rsidR="009C2BE2" w:rsidRPr="009C2BE2" w:rsidRDefault="009C2BE2" w:rsidP="009C2BE2">
      <w:pPr>
        <w:shd w:val="clear" w:color="auto" w:fill="FFFFFF"/>
        <w:spacing w:line="360" w:lineRule="auto"/>
        <w:rPr>
          <w:rFonts w:ascii="Arial" w:eastAsia="Times New Roman" w:hAnsi="Arial" w:cs="Arial"/>
          <w:color w:val="000000"/>
          <w:sz w:val="24"/>
          <w:szCs w:val="24"/>
          <w:lang w:eastAsia="en-GB" w:bidi="ar-SA"/>
        </w:rPr>
      </w:pPr>
      <w:r w:rsidRPr="009C2BE2">
        <w:rPr>
          <w:rFonts w:ascii="Arial" w:eastAsia="Times New Roman" w:hAnsi="Arial" w:cs="Arial"/>
          <w:sz w:val="24"/>
          <w:szCs w:val="24"/>
          <w:lang w:eastAsia="en-GB" w:bidi="ar-SA"/>
        </w:rPr>
        <w:t>Investment appraisal is the evaluation of an investment's profitability over the life of an asset, in addition to its affordability and strategic alignment</w:t>
      </w:r>
      <w:r w:rsidRPr="009C2BE2">
        <w:rPr>
          <w:rFonts w:ascii="Arial" w:hAnsi="Arial" w:cs="Arial"/>
          <w:color w:val="000000"/>
        </w:rPr>
        <w:t xml:space="preserve"> </w:t>
      </w:r>
      <w:r w:rsidRPr="009C2BE2">
        <w:rPr>
          <w:rFonts w:ascii="Arial" w:eastAsia="Times New Roman" w:hAnsi="Arial" w:cs="Arial"/>
          <w:color w:val="000000"/>
          <w:sz w:val="24"/>
          <w:szCs w:val="24"/>
          <w:lang w:eastAsia="en-GB" w:bidi="ar-SA"/>
        </w:rPr>
        <w:t>(APM, 2019)</w:t>
      </w:r>
      <w:r w:rsidRPr="009C2BE2">
        <w:rPr>
          <w:rFonts w:ascii="Arial" w:eastAsia="Times New Roman" w:hAnsi="Arial" w:cs="Arial"/>
          <w:sz w:val="24"/>
          <w:szCs w:val="24"/>
          <w:lang w:eastAsia="en-GB" w:bidi="ar-SA"/>
        </w:rPr>
        <w:t xml:space="preserve">. According to </w:t>
      </w:r>
      <w:r w:rsidRPr="009C2BE2">
        <w:rPr>
          <w:rFonts w:ascii="Arial" w:eastAsia="Times New Roman" w:hAnsi="Arial" w:cs="Arial"/>
          <w:color w:val="000000"/>
          <w:sz w:val="24"/>
          <w:szCs w:val="24"/>
          <w:lang w:eastAsia="en-GB" w:bidi="ar-SA"/>
        </w:rPr>
        <w:t xml:space="preserve">Arnold and Lewis (2019), three investment appraisal techniques are </w:t>
      </w:r>
      <w:proofErr w:type="gramStart"/>
      <w:r w:rsidRPr="009C2BE2">
        <w:rPr>
          <w:rFonts w:ascii="Arial" w:eastAsia="Times New Roman" w:hAnsi="Arial" w:cs="Arial"/>
          <w:color w:val="000000"/>
          <w:sz w:val="24"/>
          <w:szCs w:val="24"/>
          <w:lang w:eastAsia="en-GB" w:bidi="ar-SA"/>
        </w:rPr>
        <w:t>most commonly used</w:t>
      </w:r>
      <w:proofErr w:type="gramEnd"/>
      <w:r w:rsidRPr="009C2BE2">
        <w:rPr>
          <w:rFonts w:ascii="Arial" w:eastAsia="Times New Roman" w:hAnsi="Arial" w:cs="Arial"/>
          <w:color w:val="000000"/>
          <w:sz w:val="24"/>
          <w:szCs w:val="24"/>
          <w:lang w:eastAsia="en-GB" w:bidi="ar-SA"/>
        </w:rPr>
        <w:t>. These are:</w:t>
      </w:r>
    </w:p>
    <w:p w14:paraId="74B028FE" w14:textId="77777777" w:rsidR="009C2BE2" w:rsidRPr="009C2BE2" w:rsidRDefault="009C2BE2" w:rsidP="009C2BE2">
      <w:pPr>
        <w:pStyle w:val="ListParagraph"/>
        <w:numPr>
          <w:ilvl w:val="0"/>
          <w:numId w:val="18"/>
        </w:numPr>
        <w:shd w:val="clear" w:color="auto" w:fill="FFFFFF"/>
        <w:spacing w:line="360" w:lineRule="auto"/>
        <w:rPr>
          <w:rFonts w:ascii="Arial" w:eastAsia="Times New Roman" w:hAnsi="Arial" w:cs="Arial"/>
          <w:b/>
          <w:bCs/>
          <w:color w:val="000000"/>
          <w:sz w:val="24"/>
          <w:szCs w:val="24"/>
          <w:lang w:eastAsia="en-GB" w:bidi="ar-SA"/>
        </w:rPr>
      </w:pPr>
      <w:r w:rsidRPr="009C2BE2">
        <w:rPr>
          <w:rFonts w:ascii="Arial" w:eastAsia="Times New Roman" w:hAnsi="Arial" w:cs="Arial"/>
          <w:b/>
          <w:bCs/>
          <w:color w:val="000000"/>
          <w:sz w:val="24"/>
          <w:szCs w:val="24"/>
          <w:lang w:eastAsia="en-GB" w:bidi="ar-SA"/>
        </w:rPr>
        <w:t>Payback period</w:t>
      </w:r>
    </w:p>
    <w:p w14:paraId="25827219" w14:textId="653ABFFF" w:rsidR="009C2BE2" w:rsidRPr="009C2BE2" w:rsidRDefault="009C2BE2" w:rsidP="009C2BE2">
      <w:pPr>
        <w:pStyle w:val="ListParagraph"/>
        <w:numPr>
          <w:ilvl w:val="0"/>
          <w:numId w:val="18"/>
        </w:numPr>
        <w:shd w:val="clear" w:color="auto" w:fill="FFFFFF"/>
        <w:spacing w:line="360" w:lineRule="auto"/>
        <w:rPr>
          <w:rFonts w:ascii="Arial" w:eastAsia="Times New Roman" w:hAnsi="Arial" w:cs="Arial"/>
          <w:b/>
          <w:bCs/>
          <w:color w:val="000000"/>
          <w:sz w:val="24"/>
          <w:szCs w:val="24"/>
          <w:lang w:eastAsia="en-GB" w:bidi="ar-SA"/>
        </w:rPr>
      </w:pPr>
      <w:r w:rsidRPr="009C2BE2">
        <w:rPr>
          <w:rFonts w:ascii="Arial" w:eastAsia="Times New Roman" w:hAnsi="Arial" w:cs="Arial"/>
          <w:b/>
          <w:bCs/>
          <w:color w:val="000000"/>
          <w:sz w:val="24"/>
          <w:szCs w:val="24"/>
          <w:lang w:eastAsia="en-GB" w:bidi="ar-SA"/>
        </w:rPr>
        <w:t>Accounting rate of return</w:t>
      </w:r>
    </w:p>
    <w:p w14:paraId="227453CB" w14:textId="489EFB6B" w:rsidR="009C2BE2" w:rsidRPr="009C2BE2" w:rsidRDefault="009C2BE2" w:rsidP="009C2BE2">
      <w:pPr>
        <w:pStyle w:val="ListParagraph"/>
        <w:numPr>
          <w:ilvl w:val="0"/>
          <w:numId w:val="18"/>
        </w:numPr>
        <w:shd w:val="clear" w:color="auto" w:fill="FFFFFF"/>
        <w:spacing w:line="360" w:lineRule="auto"/>
        <w:rPr>
          <w:rFonts w:ascii="Arial" w:eastAsia="Times New Roman" w:hAnsi="Arial" w:cs="Arial"/>
          <w:b/>
          <w:bCs/>
          <w:color w:val="000000"/>
          <w:sz w:val="24"/>
          <w:szCs w:val="24"/>
          <w:lang w:eastAsia="en-GB" w:bidi="ar-SA"/>
        </w:rPr>
      </w:pPr>
      <w:r w:rsidRPr="009C2BE2">
        <w:rPr>
          <w:rFonts w:ascii="Arial" w:eastAsia="Times New Roman" w:hAnsi="Arial" w:cs="Arial"/>
          <w:b/>
          <w:bCs/>
          <w:color w:val="000000"/>
          <w:sz w:val="24"/>
          <w:szCs w:val="24"/>
          <w:lang w:eastAsia="en-GB" w:bidi="ar-SA"/>
        </w:rPr>
        <w:t>Discounted cash flow</w:t>
      </w:r>
    </w:p>
    <w:p w14:paraId="123BE7A0" w14:textId="77777777" w:rsid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To evaluate the two projects (A and B) for Marks and Spencer Group Plc in the following section, the Payback Period (PBP), Accounting Rate of Return (ARR), and Net Present Value (NPV) will be computed assuming a cost of capital of 9.75% and disregarding taxation and inflation.</w:t>
      </w:r>
    </w:p>
    <w:p w14:paraId="5460F3B4" w14:textId="360FD88B" w:rsidR="009C2BE2" w:rsidRDefault="009C2BE2" w:rsidP="009C2BE2">
      <w:pPr>
        <w:spacing w:before="100" w:beforeAutospacing="1" w:after="100" w:afterAutospacing="1" w:line="360" w:lineRule="auto"/>
        <w:rPr>
          <w:rFonts w:ascii="Arial" w:eastAsia="Times New Roman" w:hAnsi="Arial" w:cs="Arial"/>
          <w:b/>
          <w:bCs/>
          <w:sz w:val="24"/>
          <w:szCs w:val="24"/>
          <w:lang w:eastAsia="en-GB" w:bidi="ar-SA"/>
        </w:rPr>
      </w:pPr>
      <w:r w:rsidRPr="009C2BE2">
        <w:rPr>
          <w:rFonts w:ascii="Arial" w:eastAsia="Times New Roman" w:hAnsi="Arial" w:cs="Arial"/>
          <w:b/>
          <w:bCs/>
          <w:sz w:val="24"/>
          <w:szCs w:val="24"/>
          <w:lang w:eastAsia="en-GB" w:bidi="ar-SA"/>
        </w:rPr>
        <w:lastRenderedPageBreak/>
        <w:t>Payback Period (PBP):</w:t>
      </w:r>
    </w:p>
    <w:p w14:paraId="737D63B9" w14:textId="18F32E48" w:rsidR="00A3657C" w:rsidRDefault="00A3657C" w:rsidP="00A3657C">
      <w:pPr>
        <w:shd w:val="clear" w:color="auto" w:fill="FFFFFF"/>
        <w:spacing w:line="360" w:lineRule="auto"/>
        <w:rPr>
          <w:rFonts w:ascii="Arial" w:eastAsia="Times New Roman" w:hAnsi="Arial" w:cs="Arial"/>
          <w:color w:val="000000"/>
          <w:sz w:val="24"/>
          <w:szCs w:val="24"/>
          <w:lang w:eastAsia="en-GB" w:bidi="ar-SA"/>
        </w:rPr>
      </w:pPr>
      <w:r w:rsidRPr="00A3657C">
        <w:rPr>
          <w:rFonts w:ascii="Arial" w:eastAsia="Times New Roman" w:hAnsi="Arial" w:cs="Arial"/>
          <w:sz w:val="24"/>
          <w:szCs w:val="24"/>
          <w:lang w:eastAsia="en-GB" w:bidi="ar-SA"/>
        </w:rPr>
        <w:t>The repayment period is "the time needed for the anticipated net cash flows of the suggested investment project to equal the initial capital investment."</w:t>
      </w:r>
      <w:r w:rsidRPr="00A3657C">
        <w:rPr>
          <w:rFonts w:ascii="Arial" w:hAnsi="Arial" w:cs="Arial"/>
          <w:color w:val="000000"/>
        </w:rPr>
        <w:t xml:space="preserve"> </w:t>
      </w:r>
      <w:r w:rsidRPr="00A3657C">
        <w:rPr>
          <w:rFonts w:ascii="Arial" w:eastAsia="Times New Roman" w:hAnsi="Arial" w:cs="Arial"/>
          <w:color w:val="000000"/>
          <w:sz w:val="24"/>
          <w:szCs w:val="24"/>
          <w:lang w:eastAsia="en-GB" w:bidi="ar-SA"/>
        </w:rPr>
        <w:t>(Castiglione and Alfieri, 2020)</w:t>
      </w:r>
    </w:p>
    <w:p w14:paraId="3C5D707E" w14:textId="05331534" w:rsidR="00A3657C" w:rsidRPr="00DF1524" w:rsidRDefault="00A3657C" w:rsidP="00DF1524">
      <w:pPr>
        <w:shd w:val="clear" w:color="auto" w:fill="FFFFFF"/>
        <w:rPr>
          <w:rFonts w:ascii="Times New Roman" w:eastAsia="Times New Roman" w:hAnsi="Times New Roman" w:cs="Times New Roman"/>
          <w:color w:val="000000"/>
          <w:sz w:val="24"/>
          <w:szCs w:val="24"/>
          <w:lang w:eastAsia="en-GB" w:bidi="ar-SA"/>
        </w:rPr>
      </w:pPr>
      <w:r w:rsidRPr="009C2BE2">
        <w:rPr>
          <w:rFonts w:ascii="Arial" w:eastAsia="Times New Roman" w:hAnsi="Arial" w:cs="Arial"/>
          <w:b/>
          <w:bCs/>
          <w:sz w:val="24"/>
          <w:szCs w:val="24"/>
          <w:lang w:eastAsia="en-GB" w:bidi="ar-SA"/>
        </w:rPr>
        <w:t>Calculation</w:t>
      </w:r>
      <w:r>
        <w:rPr>
          <w:rFonts w:ascii="Arial" w:eastAsia="Times New Roman" w:hAnsi="Arial" w:cs="Arial"/>
          <w:b/>
          <w:bCs/>
          <w:sz w:val="24"/>
          <w:szCs w:val="24"/>
          <w:lang w:eastAsia="en-GB" w:bidi="ar-SA"/>
        </w:rPr>
        <w:t xml:space="preserve"> of PBP: </w:t>
      </w:r>
      <w:r w:rsidRPr="00A3657C">
        <w:rPr>
          <w:rFonts w:ascii="Arial" w:eastAsia="Times New Roman" w:hAnsi="Arial" w:cs="Arial"/>
          <w:sz w:val="24"/>
          <w:szCs w:val="24"/>
          <w:lang w:eastAsia="en-GB" w:bidi="ar-SA"/>
        </w:rPr>
        <w:t xml:space="preserve">It is determined by dividing the investment amount by the yearly cash flow. Account and fund managers consider the payback time while deciding whether to </w:t>
      </w:r>
      <w:r>
        <w:rPr>
          <w:rFonts w:ascii="Arial" w:eastAsia="Times New Roman" w:hAnsi="Arial" w:cs="Arial"/>
          <w:sz w:val="24"/>
          <w:szCs w:val="24"/>
          <w:lang w:eastAsia="en-GB" w:bidi="ar-SA"/>
        </w:rPr>
        <w:t>inves</w:t>
      </w:r>
      <w:r w:rsidRPr="00A3657C">
        <w:rPr>
          <w:rFonts w:ascii="Arial" w:eastAsia="Times New Roman" w:hAnsi="Arial" w:cs="Arial"/>
          <w:sz w:val="24"/>
          <w:szCs w:val="24"/>
          <w:lang w:eastAsia="en-GB" w:bidi="ar-SA"/>
        </w:rPr>
        <w:t>t.</w:t>
      </w:r>
      <w:r w:rsidR="00DF1524">
        <w:rPr>
          <w:rFonts w:ascii="Arial" w:eastAsia="Times New Roman" w:hAnsi="Arial" w:cs="Arial"/>
          <w:sz w:val="24"/>
          <w:szCs w:val="24"/>
          <w:lang w:eastAsia="en-GB" w:bidi="ar-SA"/>
        </w:rPr>
        <w:t xml:space="preserve"> For regular annual cashflow the following formula can be used to get payback period</w:t>
      </w:r>
      <w:r w:rsidR="00DF1524" w:rsidRPr="00DF1524">
        <w:rPr>
          <w:color w:val="000000"/>
        </w:rPr>
        <w:t xml:space="preserve"> </w:t>
      </w:r>
      <w:r w:rsidR="00DF1524" w:rsidRPr="00DF1524">
        <w:rPr>
          <w:rFonts w:ascii="Times New Roman" w:eastAsia="Times New Roman" w:hAnsi="Times New Roman" w:cs="Times New Roman"/>
          <w:color w:val="000000"/>
          <w:sz w:val="24"/>
          <w:szCs w:val="24"/>
          <w:lang w:eastAsia="en-GB" w:bidi="ar-SA"/>
        </w:rPr>
        <w:t>(Kagan, 2022)</w:t>
      </w:r>
      <w:r w:rsidR="00DF1524">
        <w:rPr>
          <w:rFonts w:ascii="Arial" w:eastAsia="Times New Roman" w:hAnsi="Arial" w:cs="Arial"/>
          <w:sz w:val="24"/>
          <w:szCs w:val="24"/>
          <w:lang w:eastAsia="en-GB" w:bidi="ar-SA"/>
        </w:rPr>
        <w:t xml:space="preserve">: </w:t>
      </w:r>
    </w:p>
    <w:p w14:paraId="72B6D10F" w14:textId="32E11911" w:rsidR="00A3657C" w:rsidRPr="00A3657C" w:rsidRDefault="00A3657C" w:rsidP="00A3657C">
      <w:pPr>
        <w:shd w:val="clear" w:color="auto" w:fill="EAF1DD" w:themeFill="accent3" w:themeFillTint="33"/>
        <w:spacing w:line="360" w:lineRule="auto"/>
        <w:rPr>
          <w:rFonts w:ascii="Arial" w:eastAsia="Times New Roman" w:hAnsi="Arial" w:cs="Arial"/>
          <w:sz w:val="24"/>
          <w:szCs w:val="24"/>
          <w:lang w:eastAsia="en-GB" w:bidi="ar-SA"/>
        </w:rPr>
      </w:pPr>
      <m:oMathPara>
        <m:oMath>
          <m:r>
            <m:rPr>
              <m:sty m:val="b"/>
            </m:rPr>
            <w:rPr>
              <w:rFonts w:ascii="Cambria Math" w:eastAsia="Times New Roman" w:hAnsi="Cambria Math" w:cs="Arial"/>
              <w:color w:val="000000"/>
              <w:sz w:val="24"/>
              <w:szCs w:val="24"/>
              <w:lang w:eastAsia="en-GB" w:bidi="ar-SA"/>
            </w:rPr>
            <m:t>Payback Period=</m:t>
          </m:r>
          <m:f>
            <m:fPr>
              <m:ctrlPr>
                <w:rPr>
                  <w:rFonts w:ascii="Cambria Math" w:eastAsia="Times New Roman" w:hAnsi="Cambria Math" w:cs="Arial"/>
                  <w:b/>
                  <w:iCs/>
                  <w:color w:val="000000"/>
                  <w:sz w:val="24"/>
                  <w:szCs w:val="24"/>
                  <w:lang w:eastAsia="en-GB" w:bidi="ar-SA"/>
                </w:rPr>
              </m:ctrlPr>
            </m:fPr>
            <m:num>
              <m:r>
                <m:rPr>
                  <m:sty m:val="b"/>
                </m:rPr>
                <w:rPr>
                  <w:rStyle w:val="mord"/>
                  <w:rFonts w:ascii="Cambria Math" w:hAnsi="Cambria Math"/>
                  <w:sz w:val="24"/>
                  <w:szCs w:val="24"/>
                </w:rPr>
                <m:t>Cost of Investment</m:t>
              </m:r>
            </m:num>
            <m:den>
              <m:r>
                <m:rPr>
                  <m:sty m:val="b"/>
                </m:rPr>
                <w:rPr>
                  <w:rFonts w:ascii="Cambria Math" w:eastAsia="Times New Roman" w:hAnsi="Cambria Math" w:cs="Arial"/>
                  <w:color w:val="000000"/>
                  <w:sz w:val="24"/>
                  <w:szCs w:val="24"/>
                  <w:lang w:eastAsia="en-GB" w:bidi="ar-SA"/>
                </w:rPr>
                <m:t>Annual Cash Flow</m:t>
              </m:r>
            </m:den>
          </m:f>
        </m:oMath>
      </m:oMathPara>
    </w:p>
    <w:p w14:paraId="12182BCB" w14:textId="6D5794CA" w:rsidR="0027398E" w:rsidRDefault="0027398E" w:rsidP="009C2BE2">
      <w:pPr>
        <w:spacing w:before="100" w:beforeAutospacing="1" w:after="100" w:afterAutospacing="1" w:line="360" w:lineRule="auto"/>
        <w:rPr>
          <w:rFonts w:ascii="Arial" w:eastAsia="Times New Roman" w:hAnsi="Arial" w:cs="Arial"/>
          <w:sz w:val="24"/>
          <w:szCs w:val="24"/>
          <w:lang w:eastAsia="en-GB" w:bidi="ar-SA"/>
        </w:rPr>
      </w:pPr>
      <w:r>
        <w:rPr>
          <w:rFonts w:ascii="Arial" w:eastAsia="Times New Roman" w:hAnsi="Arial" w:cs="Arial"/>
          <w:sz w:val="24"/>
          <w:szCs w:val="24"/>
          <w:lang w:eastAsia="en-GB" w:bidi="ar-SA"/>
        </w:rPr>
        <w:t xml:space="preserve">Using the formula above, the </w:t>
      </w:r>
      <w:r w:rsidR="009C2BE2" w:rsidRPr="009C2BE2">
        <w:rPr>
          <w:rFonts w:ascii="Arial" w:eastAsia="Times New Roman" w:hAnsi="Arial" w:cs="Arial"/>
          <w:sz w:val="24"/>
          <w:szCs w:val="24"/>
          <w:lang w:eastAsia="en-GB" w:bidi="ar-SA"/>
        </w:rPr>
        <w:t>Cumulative Cash Flows</w:t>
      </w:r>
      <w:r>
        <w:rPr>
          <w:rFonts w:ascii="Arial" w:eastAsia="Times New Roman" w:hAnsi="Arial" w:cs="Arial"/>
          <w:sz w:val="24"/>
          <w:szCs w:val="24"/>
          <w:lang w:eastAsia="en-GB" w:bidi="ar-SA"/>
        </w:rPr>
        <w:t xml:space="preserve"> for project A</w:t>
      </w:r>
      <w:r w:rsidR="009C2BE2" w:rsidRPr="009C2BE2">
        <w:rPr>
          <w:rFonts w:ascii="Arial" w:eastAsia="Times New Roman" w:hAnsi="Arial" w:cs="Arial"/>
          <w:sz w:val="24"/>
          <w:szCs w:val="24"/>
          <w:lang w:eastAsia="en-GB" w:bidi="ar-SA"/>
        </w:rPr>
        <w:t xml:space="preserve">: </w:t>
      </w:r>
    </w:p>
    <w:tbl>
      <w:tblPr>
        <w:tblStyle w:val="TableGrid"/>
        <w:tblW w:w="0" w:type="auto"/>
        <w:tblLook w:val="04A0" w:firstRow="1" w:lastRow="0" w:firstColumn="1" w:lastColumn="0" w:noHBand="0" w:noVBand="1"/>
      </w:tblPr>
      <w:tblGrid>
        <w:gridCol w:w="4757"/>
        <w:gridCol w:w="4758"/>
      </w:tblGrid>
      <w:tr w:rsidR="0027398E" w14:paraId="1E6C5EFA" w14:textId="77777777" w:rsidTr="0027398E">
        <w:tc>
          <w:tcPr>
            <w:tcW w:w="4757" w:type="dxa"/>
          </w:tcPr>
          <w:p w14:paraId="55FAA7E4" w14:textId="43DA8847"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Year</w:t>
            </w:r>
          </w:p>
        </w:tc>
        <w:tc>
          <w:tcPr>
            <w:tcW w:w="4758" w:type="dxa"/>
          </w:tcPr>
          <w:p w14:paraId="0C07B30B" w14:textId="2C66D6AD"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Cumulative Cash Flows</w:t>
            </w:r>
            <w:r>
              <w:rPr>
                <w:rFonts w:ascii="Arial" w:eastAsia="Times New Roman" w:hAnsi="Arial" w:cs="Arial"/>
                <w:sz w:val="24"/>
                <w:szCs w:val="24"/>
                <w:lang w:eastAsia="en-GB" w:bidi="ar-SA"/>
              </w:rPr>
              <w:t xml:space="preserve"> (In Millions)</w:t>
            </w:r>
          </w:p>
        </w:tc>
      </w:tr>
      <w:tr w:rsidR="0027398E" w14:paraId="076E61E9" w14:textId="77777777" w:rsidTr="0027398E">
        <w:tc>
          <w:tcPr>
            <w:tcW w:w="4757" w:type="dxa"/>
          </w:tcPr>
          <w:p w14:paraId="3E845637" w14:textId="29B6C422"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0</w:t>
            </w:r>
          </w:p>
        </w:tc>
        <w:tc>
          <w:tcPr>
            <w:tcW w:w="4758" w:type="dxa"/>
          </w:tcPr>
          <w:p w14:paraId="75EC5B10" w14:textId="5DE3A517"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-80</w:t>
            </w:r>
          </w:p>
        </w:tc>
      </w:tr>
      <w:tr w:rsidR="0027398E" w14:paraId="2008C0FA" w14:textId="77777777" w:rsidTr="0027398E">
        <w:tc>
          <w:tcPr>
            <w:tcW w:w="4757" w:type="dxa"/>
          </w:tcPr>
          <w:p w14:paraId="30AEED1B" w14:textId="638F0CDD"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1</w:t>
            </w:r>
          </w:p>
        </w:tc>
        <w:tc>
          <w:tcPr>
            <w:tcW w:w="4758" w:type="dxa"/>
          </w:tcPr>
          <w:p w14:paraId="41CAE6E5" w14:textId="0498CB3D"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-55</w:t>
            </w:r>
          </w:p>
        </w:tc>
      </w:tr>
      <w:tr w:rsidR="0027398E" w14:paraId="06184E41" w14:textId="77777777" w:rsidTr="0027398E">
        <w:tc>
          <w:tcPr>
            <w:tcW w:w="4757" w:type="dxa"/>
          </w:tcPr>
          <w:p w14:paraId="0ADFEBE0" w14:textId="01ED7193"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2</w:t>
            </w:r>
          </w:p>
        </w:tc>
        <w:tc>
          <w:tcPr>
            <w:tcW w:w="4758" w:type="dxa"/>
          </w:tcPr>
          <w:p w14:paraId="4B689491" w14:textId="1A772EB1"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-30</w:t>
            </w:r>
          </w:p>
        </w:tc>
      </w:tr>
      <w:tr w:rsidR="0027398E" w14:paraId="133E281C" w14:textId="77777777" w:rsidTr="0027398E">
        <w:tc>
          <w:tcPr>
            <w:tcW w:w="4757" w:type="dxa"/>
          </w:tcPr>
          <w:p w14:paraId="301016E8" w14:textId="162B0DD7"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3</w:t>
            </w:r>
          </w:p>
        </w:tc>
        <w:tc>
          <w:tcPr>
            <w:tcW w:w="4758" w:type="dxa"/>
          </w:tcPr>
          <w:p w14:paraId="744B991F" w14:textId="35D86D2B"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-10</w:t>
            </w:r>
          </w:p>
        </w:tc>
      </w:tr>
      <w:tr w:rsidR="0027398E" w14:paraId="182D1FD6" w14:textId="77777777" w:rsidTr="0027398E">
        <w:tc>
          <w:tcPr>
            <w:tcW w:w="4757" w:type="dxa"/>
          </w:tcPr>
          <w:p w14:paraId="4CAA6A07" w14:textId="0CBEB452"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4</w:t>
            </w:r>
          </w:p>
        </w:tc>
        <w:tc>
          <w:tcPr>
            <w:tcW w:w="4758" w:type="dxa"/>
          </w:tcPr>
          <w:p w14:paraId="40B26DDA" w14:textId="2CD80083"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45</w:t>
            </w:r>
          </w:p>
        </w:tc>
      </w:tr>
    </w:tbl>
    <w:p w14:paraId="17094ECD" w14:textId="77777777" w:rsidR="00DF1524" w:rsidRDefault="00DF1524" w:rsidP="00DF1524">
      <w:pPr>
        <w:shd w:val="clear" w:color="auto" w:fill="FFFFFF"/>
        <w:spacing w:line="360" w:lineRule="auto"/>
        <w:rPr>
          <w:rFonts w:ascii="Arial" w:eastAsia="Times New Roman" w:hAnsi="Arial" w:cs="Arial"/>
          <w:sz w:val="24"/>
          <w:szCs w:val="24"/>
          <w:lang w:eastAsia="en-GB" w:bidi="ar-SA"/>
        </w:rPr>
      </w:pPr>
    </w:p>
    <w:p w14:paraId="14DC3C91" w14:textId="15E5415D" w:rsidR="00DF1524" w:rsidRPr="009C2BE2" w:rsidRDefault="00877FA2" w:rsidP="00DF1524">
      <w:pPr>
        <w:shd w:val="clear" w:color="auto" w:fill="FFFFFF"/>
        <w:spacing w:line="360" w:lineRule="auto"/>
        <w:rPr>
          <w:rFonts w:ascii="Arial" w:eastAsia="Times New Roman" w:hAnsi="Arial" w:cs="Arial"/>
          <w:color w:val="000000"/>
          <w:sz w:val="24"/>
          <w:szCs w:val="24"/>
          <w:lang w:eastAsia="en-GB" w:bidi="ar-SA"/>
        </w:rPr>
      </w:pPr>
      <w:r w:rsidRPr="00DF1524">
        <w:rPr>
          <w:rFonts w:ascii="Arial" w:eastAsia="Times New Roman" w:hAnsi="Arial" w:cs="Arial"/>
          <w:sz w:val="24"/>
          <w:szCs w:val="24"/>
          <w:lang w:eastAsia="en-GB" w:bidi="ar-SA"/>
        </w:rPr>
        <w:t xml:space="preserve">The payback time is between 3 and 4 years, when the net cash flow goes from negative to positive. </w:t>
      </w:r>
      <w:r w:rsidR="00DF1524" w:rsidRPr="00DF1524">
        <w:rPr>
          <w:rFonts w:ascii="Arial" w:eastAsia="Times New Roman" w:hAnsi="Arial" w:cs="Arial"/>
          <w:sz w:val="24"/>
          <w:szCs w:val="24"/>
          <w:lang w:eastAsia="en-GB" w:bidi="ar-SA"/>
        </w:rPr>
        <w:t>As these projects have irregular annual cash flows, the following formula has been used to get cash back period</w:t>
      </w:r>
      <w:r w:rsidR="00DF1524" w:rsidRPr="00DF1524">
        <w:rPr>
          <w:rFonts w:ascii="Arial" w:hAnsi="Arial" w:cs="Arial"/>
          <w:color w:val="000000"/>
        </w:rPr>
        <w:t xml:space="preserve"> </w:t>
      </w:r>
      <w:r w:rsidR="00DF1524" w:rsidRPr="00DF1524">
        <w:rPr>
          <w:rFonts w:ascii="Arial" w:eastAsia="Times New Roman" w:hAnsi="Arial" w:cs="Arial"/>
          <w:color w:val="000000"/>
          <w:sz w:val="24"/>
          <w:szCs w:val="24"/>
          <w:lang w:eastAsia="en-GB" w:bidi="ar-SA"/>
        </w:rPr>
        <w:t>(Arnold and Lewis, 2019)</w:t>
      </w:r>
      <w:r w:rsidR="00DF1524" w:rsidRPr="00DF1524">
        <w:rPr>
          <w:rFonts w:ascii="Arial" w:eastAsia="Times New Roman" w:hAnsi="Arial" w:cs="Arial"/>
          <w:sz w:val="24"/>
          <w:szCs w:val="24"/>
          <w:lang w:eastAsia="en-GB" w:bidi="ar-SA"/>
        </w:rPr>
        <w:t xml:space="preserve">: </w:t>
      </w:r>
    </w:p>
    <w:p w14:paraId="61D6D961" w14:textId="4D071C4C" w:rsidR="00877FA2" w:rsidRDefault="00877FA2" w:rsidP="009C2BE2">
      <w:pPr>
        <w:spacing w:before="100" w:beforeAutospacing="1" w:after="100" w:afterAutospacing="1" w:line="360" w:lineRule="auto"/>
        <w:rPr>
          <w:rFonts w:ascii="Arial" w:eastAsia="Times New Roman" w:hAnsi="Arial" w:cs="Arial"/>
          <w:sz w:val="24"/>
          <w:szCs w:val="24"/>
          <w:lang w:eastAsia="en-GB" w:bidi="ar-SA"/>
        </w:rPr>
      </w:pPr>
      <m:oMathPara>
        <m:oMath>
          <m:r>
            <w:rPr>
              <w:rFonts w:ascii="Cambria Math" w:eastAsia="Times New Roman" w:hAnsi="Cambria Math" w:cs="Arial"/>
              <w:sz w:val="24"/>
              <w:szCs w:val="24"/>
              <w:lang w:eastAsia="en-GB" w:bidi="ar-SA"/>
            </w:rPr>
            <m:t xml:space="preserve">3 Years+ </m:t>
          </m:r>
          <m:f>
            <m:fPr>
              <m:ctrlPr>
                <w:rPr>
                  <w:rFonts w:ascii="Cambria Math" w:eastAsia="Times New Roman" w:hAnsi="Cambria Math" w:cs="Arial"/>
                  <w:i/>
                  <w:sz w:val="24"/>
                  <w:szCs w:val="24"/>
                  <w:lang w:eastAsia="en-GB" w:bidi="ar-SA"/>
                </w:rPr>
              </m:ctrlPr>
            </m:fPr>
            <m:num>
              <m:r>
                <w:rPr>
                  <w:rFonts w:ascii="Cambria Math" w:eastAsia="Times New Roman" w:hAnsi="Cambria Math" w:cs="Arial"/>
                  <w:sz w:val="24"/>
                  <w:szCs w:val="24"/>
                  <w:lang w:eastAsia="en-GB" w:bidi="ar-SA"/>
                </w:rPr>
                <m:t>Deficit 10</m:t>
              </m:r>
            </m:num>
            <m:den>
              <m:r>
                <w:rPr>
                  <w:rFonts w:ascii="Cambria Math" w:eastAsia="Times New Roman" w:hAnsi="Cambria Math" w:cs="Arial"/>
                  <w:sz w:val="24"/>
                  <w:szCs w:val="24"/>
                  <w:lang w:eastAsia="en-GB" w:bidi="ar-SA"/>
                </w:rPr>
                <m:t xml:space="preserve">Deficit 10 +Surplus 45 </m:t>
              </m:r>
            </m:den>
          </m:f>
          <m:r>
            <w:rPr>
              <w:rFonts w:ascii="Cambria Math" w:eastAsia="Times New Roman" w:hAnsi="Cambria Math" w:cs="Arial"/>
              <w:sz w:val="24"/>
              <w:szCs w:val="24"/>
              <w:lang w:eastAsia="en-GB" w:bidi="ar-SA"/>
            </w:rPr>
            <m:t>=</m:t>
          </m:r>
          <m:f>
            <m:fPr>
              <m:ctrlPr>
                <w:rPr>
                  <w:rFonts w:ascii="Cambria Math" w:eastAsia="Times New Roman" w:hAnsi="Cambria Math" w:cs="Arial"/>
                  <w:i/>
                  <w:sz w:val="24"/>
                  <w:szCs w:val="24"/>
                  <w:lang w:eastAsia="en-GB" w:bidi="ar-SA"/>
                </w:rPr>
              </m:ctrlPr>
            </m:fPr>
            <m:num>
              <m:r>
                <w:rPr>
                  <w:rFonts w:ascii="Cambria Math" w:eastAsia="Times New Roman" w:hAnsi="Cambria Math" w:cs="Arial"/>
                  <w:sz w:val="24"/>
                  <w:szCs w:val="24"/>
                  <w:lang w:eastAsia="en-GB" w:bidi="ar-SA"/>
                </w:rPr>
                <m:t>10</m:t>
              </m:r>
            </m:num>
            <m:den>
              <m:r>
                <w:rPr>
                  <w:rFonts w:ascii="Cambria Math" w:eastAsia="Times New Roman" w:hAnsi="Cambria Math" w:cs="Arial"/>
                  <w:sz w:val="24"/>
                  <w:szCs w:val="24"/>
                  <w:lang w:eastAsia="en-GB" w:bidi="ar-SA"/>
                </w:rPr>
                <m:t>55</m:t>
              </m:r>
            </m:den>
          </m:f>
          <m:r>
            <w:rPr>
              <w:rFonts w:ascii="Cambria Math" w:eastAsia="Times New Roman" w:hAnsi="Cambria Math" w:cs="Arial"/>
              <w:sz w:val="24"/>
              <w:szCs w:val="24"/>
              <w:lang w:eastAsia="en-GB" w:bidi="ar-SA"/>
            </w:rPr>
            <m:t>=0.18</m:t>
          </m:r>
        </m:oMath>
      </m:oMathPara>
    </w:p>
    <w:p w14:paraId="15575535" w14:textId="7D634A69" w:rsidR="009C2BE2" w:rsidRPr="009C2BE2" w:rsidRDefault="0027398E" w:rsidP="009C2BE2">
      <w:pPr>
        <w:spacing w:before="100" w:beforeAutospacing="1" w:after="100" w:afterAutospacing="1" w:line="360" w:lineRule="auto"/>
        <w:rPr>
          <w:rFonts w:ascii="Arial" w:eastAsia="Times New Roman" w:hAnsi="Arial" w:cs="Arial"/>
          <w:sz w:val="24"/>
          <w:szCs w:val="24"/>
          <w:lang w:eastAsia="en-GB" w:bidi="ar-SA"/>
        </w:rPr>
      </w:pPr>
      <w:r>
        <w:rPr>
          <w:rFonts w:ascii="Arial" w:eastAsia="Times New Roman" w:hAnsi="Arial" w:cs="Arial"/>
          <w:sz w:val="24"/>
          <w:szCs w:val="24"/>
          <w:lang w:eastAsia="en-GB" w:bidi="ar-SA"/>
        </w:rPr>
        <w:t>Therefore, t</w:t>
      </w:r>
      <w:r w:rsidR="009C2BE2" w:rsidRPr="009C2BE2">
        <w:rPr>
          <w:rFonts w:ascii="Arial" w:eastAsia="Times New Roman" w:hAnsi="Arial" w:cs="Arial"/>
          <w:sz w:val="24"/>
          <w:szCs w:val="24"/>
          <w:lang w:eastAsia="en-GB" w:bidi="ar-SA"/>
        </w:rPr>
        <w:t>he Payback Period for Project A is 3</w:t>
      </w:r>
      <w:r w:rsidR="00877FA2">
        <w:rPr>
          <w:rFonts w:ascii="Arial" w:eastAsia="Times New Roman" w:hAnsi="Arial" w:cs="Arial"/>
          <w:sz w:val="24"/>
          <w:szCs w:val="24"/>
          <w:lang w:eastAsia="en-GB" w:bidi="ar-SA"/>
        </w:rPr>
        <w:t>.181</w:t>
      </w:r>
      <w:r w:rsidR="009C2BE2" w:rsidRPr="009C2BE2">
        <w:rPr>
          <w:rFonts w:ascii="Arial" w:eastAsia="Times New Roman" w:hAnsi="Arial" w:cs="Arial"/>
          <w:sz w:val="24"/>
          <w:szCs w:val="24"/>
          <w:lang w:eastAsia="en-GB" w:bidi="ar-SA"/>
        </w:rPr>
        <w:t xml:space="preserve"> years</w:t>
      </w:r>
      <w:r w:rsidR="00877FA2">
        <w:rPr>
          <w:rFonts w:ascii="Arial" w:eastAsia="Times New Roman" w:hAnsi="Arial" w:cs="Arial"/>
          <w:sz w:val="24"/>
          <w:szCs w:val="24"/>
          <w:lang w:eastAsia="en-GB" w:bidi="ar-SA"/>
        </w:rPr>
        <w:t xml:space="preserve"> or 3 Years, </w:t>
      </w:r>
      <w:r w:rsidR="003026C0">
        <w:rPr>
          <w:rFonts w:ascii="Arial" w:eastAsia="Times New Roman" w:hAnsi="Arial" w:cs="Arial"/>
          <w:sz w:val="24"/>
          <w:szCs w:val="24"/>
          <w:lang w:eastAsia="en-GB" w:bidi="ar-SA"/>
        </w:rPr>
        <w:t>1</w:t>
      </w:r>
      <w:r w:rsidR="00877FA2">
        <w:rPr>
          <w:rFonts w:ascii="Arial" w:eastAsia="Times New Roman" w:hAnsi="Arial" w:cs="Arial"/>
          <w:sz w:val="24"/>
          <w:szCs w:val="24"/>
          <w:lang w:eastAsia="en-GB" w:bidi="ar-SA"/>
        </w:rPr>
        <w:t xml:space="preserve"> month</w:t>
      </w:r>
      <w:r w:rsidR="003026C0">
        <w:rPr>
          <w:rFonts w:ascii="Arial" w:eastAsia="Times New Roman" w:hAnsi="Arial" w:cs="Arial"/>
          <w:sz w:val="24"/>
          <w:szCs w:val="24"/>
          <w:lang w:eastAsia="en-GB" w:bidi="ar-SA"/>
        </w:rPr>
        <w:t>,</w:t>
      </w:r>
      <w:r w:rsidR="00877FA2">
        <w:rPr>
          <w:rFonts w:ascii="Arial" w:eastAsia="Times New Roman" w:hAnsi="Arial" w:cs="Arial"/>
          <w:sz w:val="24"/>
          <w:szCs w:val="24"/>
          <w:lang w:eastAsia="en-GB" w:bidi="ar-SA"/>
        </w:rPr>
        <w:t xml:space="preserve"> 15 days (Approximately).</w:t>
      </w:r>
    </w:p>
    <w:p w14:paraId="059590FC" w14:textId="1F2736D8" w:rsidR="0027398E" w:rsidRDefault="0027398E" w:rsidP="009C2BE2">
      <w:pPr>
        <w:spacing w:before="100" w:beforeAutospacing="1" w:after="100" w:afterAutospacing="1" w:line="360" w:lineRule="auto"/>
        <w:rPr>
          <w:rFonts w:ascii="Arial" w:eastAsia="Times New Roman" w:hAnsi="Arial" w:cs="Arial"/>
          <w:sz w:val="24"/>
          <w:szCs w:val="24"/>
          <w:lang w:eastAsia="en-GB" w:bidi="ar-SA"/>
        </w:rPr>
      </w:pPr>
      <w:r>
        <w:rPr>
          <w:rFonts w:ascii="Arial" w:eastAsia="Times New Roman" w:hAnsi="Arial" w:cs="Arial"/>
          <w:sz w:val="24"/>
          <w:szCs w:val="24"/>
          <w:lang w:eastAsia="en-GB" w:bidi="ar-SA"/>
        </w:rPr>
        <w:t xml:space="preserve">The Cumulative Cash </w:t>
      </w:r>
      <w:r w:rsidR="00877FA2">
        <w:rPr>
          <w:rFonts w:ascii="Arial" w:eastAsia="Times New Roman" w:hAnsi="Arial" w:cs="Arial"/>
          <w:sz w:val="24"/>
          <w:szCs w:val="24"/>
          <w:lang w:eastAsia="en-GB" w:bidi="ar-SA"/>
        </w:rPr>
        <w:t>F</w:t>
      </w:r>
      <w:r>
        <w:rPr>
          <w:rFonts w:ascii="Arial" w:eastAsia="Times New Roman" w:hAnsi="Arial" w:cs="Arial"/>
          <w:sz w:val="24"/>
          <w:szCs w:val="24"/>
          <w:lang w:eastAsia="en-GB" w:bidi="ar-SA"/>
        </w:rPr>
        <w:t xml:space="preserve">lows for Project B: </w:t>
      </w:r>
    </w:p>
    <w:tbl>
      <w:tblPr>
        <w:tblStyle w:val="TableGrid"/>
        <w:tblW w:w="0" w:type="auto"/>
        <w:tblLook w:val="04A0" w:firstRow="1" w:lastRow="0" w:firstColumn="1" w:lastColumn="0" w:noHBand="0" w:noVBand="1"/>
      </w:tblPr>
      <w:tblGrid>
        <w:gridCol w:w="4757"/>
        <w:gridCol w:w="4758"/>
      </w:tblGrid>
      <w:tr w:rsidR="0027398E" w14:paraId="6FA77F6A" w14:textId="77777777" w:rsidTr="0027398E">
        <w:tc>
          <w:tcPr>
            <w:tcW w:w="4757" w:type="dxa"/>
          </w:tcPr>
          <w:p w14:paraId="22962FB2" w14:textId="702418B6"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Year</w:t>
            </w:r>
          </w:p>
        </w:tc>
        <w:tc>
          <w:tcPr>
            <w:tcW w:w="4758" w:type="dxa"/>
          </w:tcPr>
          <w:p w14:paraId="76B09741" w14:textId="16728BF2"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Cumulative Cash Flows</w:t>
            </w:r>
            <w:r>
              <w:rPr>
                <w:rFonts w:ascii="Arial" w:eastAsia="Times New Roman" w:hAnsi="Arial" w:cs="Arial"/>
                <w:sz w:val="24"/>
                <w:szCs w:val="24"/>
                <w:lang w:eastAsia="en-GB" w:bidi="ar-SA"/>
              </w:rPr>
              <w:t xml:space="preserve"> (In Millions)</w:t>
            </w:r>
          </w:p>
        </w:tc>
      </w:tr>
      <w:tr w:rsidR="0027398E" w14:paraId="560E2AD0" w14:textId="77777777" w:rsidTr="0027398E">
        <w:tc>
          <w:tcPr>
            <w:tcW w:w="4757" w:type="dxa"/>
          </w:tcPr>
          <w:p w14:paraId="07CFE771" w14:textId="39EE6F8A"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0</w:t>
            </w:r>
          </w:p>
        </w:tc>
        <w:tc>
          <w:tcPr>
            <w:tcW w:w="4758" w:type="dxa"/>
          </w:tcPr>
          <w:p w14:paraId="4DEE9D1C" w14:textId="79EB5E4B"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-75</w:t>
            </w:r>
          </w:p>
        </w:tc>
      </w:tr>
      <w:tr w:rsidR="0027398E" w14:paraId="3A1627AA" w14:textId="77777777" w:rsidTr="0027398E">
        <w:tc>
          <w:tcPr>
            <w:tcW w:w="4757" w:type="dxa"/>
          </w:tcPr>
          <w:p w14:paraId="788D6020" w14:textId="0B39CD43"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1</w:t>
            </w:r>
          </w:p>
        </w:tc>
        <w:tc>
          <w:tcPr>
            <w:tcW w:w="4758" w:type="dxa"/>
          </w:tcPr>
          <w:p w14:paraId="62ADA169" w14:textId="3DB12DAD"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-25</w:t>
            </w:r>
          </w:p>
        </w:tc>
      </w:tr>
      <w:tr w:rsidR="0027398E" w14:paraId="3B6AF290" w14:textId="77777777" w:rsidTr="0027398E">
        <w:tc>
          <w:tcPr>
            <w:tcW w:w="4757" w:type="dxa"/>
          </w:tcPr>
          <w:p w14:paraId="7EFC7B85" w14:textId="7092E6E2"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lastRenderedPageBreak/>
              <w:t>2</w:t>
            </w:r>
          </w:p>
        </w:tc>
        <w:tc>
          <w:tcPr>
            <w:tcW w:w="4758" w:type="dxa"/>
          </w:tcPr>
          <w:p w14:paraId="371BAA8F" w14:textId="41E830BA"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-5</w:t>
            </w:r>
          </w:p>
        </w:tc>
      </w:tr>
      <w:tr w:rsidR="0027398E" w14:paraId="29FF1DB1" w14:textId="77777777" w:rsidTr="0027398E">
        <w:tc>
          <w:tcPr>
            <w:tcW w:w="4757" w:type="dxa"/>
          </w:tcPr>
          <w:p w14:paraId="10E84426" w14:textId="455C9D63"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3</w:t>
            </w:r>
          </w:p>
        </w:tc>
        <w:tc>
          <w:tcPr>
            <w:tcW w:w="4758" w:type="dxa"/>
          </w:tcPr>
          <w:p w14:paraId="398B245F" w14:textId="1E2925A1"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15</w:t>
            </w:r>
          </w:p>
        </w:tc>
      </w:tr>
      <w:tr w:rsidR="0027398E" w14:paraId="740C6D16" w14:textId="77777777" w:rsidTr="0027398E">
        <w:tc>
          <w:tcPr>
            <w:tcW w:w="4757" w:type="dxa"/>
          </w:tcPr>
          <w:p w14:paraId="3B22C639" w14:textId="0D0EB55C"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4</w:t>
            </w:r>
          </w:p>
        </w:tc>
        <w:tc>
          <w:tcPr>
            <w:tcW w:w="4758" w:type="dxa"/>
          </w:tcPr>
          <w:p w14:paraId="401B5804" w14:textId="0F2DF437" w:rsidR="0027398E" w:rsidRDefault="0027398E" w:rsidP="0027398E">
            <w:pPr>
              <w:spacing w:before="100" w:beforeAutospacing="1" w:after="100" w:afterAutospacing="1" w:line="360" w:lineRule="auto"/>
              <w:jc w:val="center"/>
              <w:rPr>
                <w:rFonts w:ascii="Arial" w:eastAsia="Times New Roman" w:hAnsi="Arial" w:cs="Arial"/>
                <w:sz w:val="24"/>
                <w:szCs w:val="24"/>
                <w:lang w:eastAsia="en-GB" w:bidi="ar-SA"/>
              </w:rPr>
            </w:pPr>
            <w:r>
              <w:rPr>
                <w:rFonts w:ascii="Arial" w:eastAsia="Times New Roman" w:hAnsi="Arial" w:cs="Arial"/>
                <w:sz w:val="24"/>
                <w:szCs w:val="24"/>
                <w:lang w:eastAsia="en-GB" w:bidi="ar-SA"/>
              </w:rPr>
              <w:t>35</w:t>
            </w:r>
          </w:p>
        </w:tc>
      </w:tr>
    </w:tbl>
    <w:p w14:paraId="03506578" w14:textId="652A9128" w:rsidR="00E517A2" w:rsidRDefault="00E517A2" w:rsidP="00E517A2">
      <w:pPr>
        <w:spacing w:before="100" w:beforeAutospacing="1" w:after="100" w:afterAutospacing="1" w:line="360" w:lineRule="auto"/>
        <w:rPr>
          <w:rFonts w:ascii="Arial" w:eastAsia="Times New Roman" w:hAnsi="Arial" w:cs="Arial"/>
          <w:sz w:val="24"/>
          <w:szCs w:val="24"/>
          <w:lang w:eastAsia="en-GB" w:bidi="ar-SA"/>
        </w:rPr>
      </w:pPr>
      <w:r>
        <w:rPr>
          <w:rFonts w:ascii="Arial" w:eastAsia="Times New Roman" w:hAnsi="Arial" w:cs="Arial"/>
          <w:sz w:val="24"/>
          <w:szCs w:val="24"/>
          <w:lang w:eastAsia="en-GB" w:bidi="ar-SA"/>
        </w:rPr>
        <w:t xml:space="preserve">If project B is accepted, the </w:t>
      </w:r>
      <w:r w:rsidRPr="00877FA2">
        <w:rPr>
          <w:rFonts w:ascii="Arial" w:eastAsia="Times New Roman" w:hAnsi="Arial" w:cs="Arial"/>
          <w:sz w:val="24"/>
          <w:szCs w:val="24"/>
          <w:lang w:eastAsia="en-GB" w:bidi="ar-SA"/>
        </w:rPr>
        <w:t xml:space="preserve">payback time is between </w:t>
      </w:r>
      <w:r>
        <w:rPr>
          <w:rFonts w:ascii="Arial" w:eastAsia="Times New Roman" w:hAnsi="Arial" w:cs="Arial"/>
          <w:sz w:val="24"/>
          <w:szCs w:val="24"/>
          <w:lang w:eastAsia="en-GB" w:bidi="ar-SA"/>
        </w:rPr>
        <w:t>2</w:t>
      </w:r>
      <w:r w:rsidRPr="00877FA2">
        <w:rPr>
          <w:rFonts w:ascii="Arial" w:eastAsia="Times New Roman" w:hAnsi="Arial" w:cs="Arial"/>
          <w:sz w:val="24"/>
          <w:szCs w:val="24"/>
          <w:lang w:eastAsia="en-GB" w:bidi="ar-SA"/>
        </w:rPr>
        <w:t xml:space="preserve"> and </w:t>
      </w:r>
      <w:r>
        <w:rPr>
          <w:rFonts w:ascii="Arial" w:eastAsia="Times New Roman" w:hAnsi="Arial" w:cs="Arial"/>
          <w:sz w:val="24"/>
          <w:szCs w:val="24"/>
          <w:lang w:eastAsia="en-GB" w:bidi="ar-SA"/>
        </w:rPr>
        <w:t>3</w:t>
      </w:r>
      <w:r w:rsidRPr="00877FA2">
        <w:rPr>
          <w:rFonts w:ascii="Arial" w:eastAsia="Times New Roman" w:hAnsi="Arial" w:cs="Arial"/>
          <w:sz w:val="24"/>
          <w:szCs w:val="24"/>
          <w:lang w:eastAsia="en-GB" w:bidi="ar-SA"/>
        </w:rPr>
        <w:t xml:space="preserve"> years, when the net cash flow goes from negative to positive</w:t>
      </w:r>
      <w:r>
        <w:rPr>
          <w:rFonts w:ascii="Arial" w:eastAsia="Times New Roman" w:hAnsi="Arial" w:cs="Arial"/>
          <w:sz w:val="24"/>
          <w:szCs w:val="24"/>
          <w:lang w:eastAsia="en-GB" w:bidi="ar-SA"/>
        </w:rPr>
        <w:t>.</w:t>
      </w:r>
    </w:p>
    <w:p w14:paraId="3E515A60" w14:textId="3E1E35E8" w:rsidR="00E517A2" w:rsidRDefault="00E517A2" w:rsidP="00E517A2">
      <w:pPr>
        <w:spacing w:before="100" w:beforeAutospacing="1" w:after="100" w:afterAutospacing="1" w:line="360" w:lineRule="auto"/>
        <w:rPr>
          <w:rFonts w:ascii="Arial" w:eastAsia="Times New Roman" w:hAnsi="Arial" w:cs="Arial"/>
          <w:sz w:val="24"/>
          <w:szCs w:val="24"/>
          <w:lang w:eastAsia="en-GB" w:bidi="ar-SA"/>
        </w:rPr>
      </w:pPr>
      <m:oMathPara>
        <m:oMath>
          <m:r>
            <w:rPr>
              <w:rFonts w:ascii="Cambria Math" w:eastAsia="Times New Roman" w:hAnsi="Cambria Math" w:cs="Arial"/>
              <w:sz w:val="24"/>
              <w:szCs w:val="24"/>
              <w:lang w:eastAsia="en-GB" w:bidi="ar-SA"/>
            </w:rPr>
            <m:t xml:space="preserve">2 Years+ </m:t>
          </m:r>
          <m:f>
            <m:fPr>
              <m:ctrlPr>
                <w:rPr>
                  <w:rFonts w:ascii="Cambria Math" w:eastAsia="Times New Roman" w:hAnsi="Cambria Math" w:cs="Arial"/>
                  <w:i/>
                  <w:sz w:val="24"/>
                  <w:szCs w:val="24"/>
                  <w:lang w:eastAsia="en-GB" w:bidi="ar-SA"/>
                </w:rPr>
              </m:ctrlPr>
            </m:fPr>
            <m:num>
              <m:r>
                <w:rPr>
                  <w:rFonts w:ascii="Cambria Math" w:eastAsia="Times New Roman" w:hAnsi="Cambria Math" w:cs="Arial"/>
                  <w:sz w:val="24"/>
                  <w:szCs w:val="24"/>
                  <w:lang w:eastAsia="en-GB" w:bidi="ar-SA"/>
                </w:rPr>
                <m:t>Deficit 5</m:t>
              </m:r>
            </m:num>
            <m:den>
              <m:r>
                <w:rPr>
                  <w:rFonts w:ascii="Cambria Math" w:eastAsia="Times New Roman" w:hAnsi="Cambria Math" w:cs="Arial"/>
                  <w:sz w:val="24"/>
                  <w:szCs w:val="24"/>
                  <w:lang w:eastAsia="en-GB" w:bidi="ar-SA"/>
                </w:rPr>
                <m:t xml:space="preserve">Deficit 5 +Surplus 15 </m:t>
              </m:r>
            </m:den>
          </m:f>
          <m:r>
            <w:rPr>
              <w:rFonts w:ascii="Cambria Math" w:eastAsia="Times New Roman" w:hAnsi="Cambria Math" w:cs="Arial"/>
              <w:sz w:val="24"/>
              <w:szCs w:val="24"/>
              <w:lang w:eastAsia="en-GB" w:bidi="ar-SA"/>
            </w:rPr>
            <m:t>=</m:t>
          </m:r>
          <m:f>
            <m:fPr>
              <m:ctrlPr>
                <w:rPr>
                  <w:rFonts w:ascii="Cambria Math" w:eastAsia="Times New Roman" w:hAnsi="Cambria Math" w:cs="Arial"/>
                  <w:i/>
                  <w:sz w:val="24"/>
                  <w:szCs w:val="24"/>
                  <w:lang w:eastAsia="en-GB" w:bidi="ar-SA"/>
                </w:rPr>
              </m:ctrlPr>
            </m:fPr>
            <m:num>
              <m:r>
                <w:rPr>
                  <w:rFonts w:ascii="Cambria Math" w:eastAsia="Times New Roman" w:hAnsi="Cambria Math" w:cs="Arial"/>
                  <w:sz w:val="24"/>
                  <w:szCs w:val="24"/>
                  <w:lang w:eastAsia="en-GB" w:bidi="ar-SA"/>
                </w:rPr>
                <m:t>5</m:t>
              </m:r>
            </m:num>
            <m:den>
              <m:r>
                <w:rPr>
                  <w:rFonts w:ascii="Cambria Math" w:eastAsia="Times New Roman" w:hAnsi="Cambria Math" w:cs="Arial"/>
                  <w:sz w:val="24"/>
                  <w:szCs w:val="24"/>
                  <w:lang w:eastAsia="en-GB" w:bidi="ar-SA"/>
                </w:rPr>
                <m:t>20</m:t>
              </m:r>
            </m:den>
          </m:f>
          <m:r>
            <w:rPr>
              <w:rFonts w:ascii="Cambria Math" w:eastAsia="Times New Roman" w:hAnsi="Cambria Math" w:cs="Arial"/>
              <w:sz w:val="24"/>
              <w:szCs w:val="24"/>
              <w:lang w:eastAsia="en-GB" w:bidi="ar-SA"/>
            </w:rPr>
            <m:t>=0.25</m:t>
          </m:r>
        </m:oMath>
      </m:oMathPara>
    </w:p>
    <w:p w14:paraId="2A6410D0" w14:textId="73C85F57" w:rsidR="009C2BE2" w:rsidRDefault="009C2BE2" w:rsidP="006B7198">
      <w:pPr>
        <w:spacing w:before="100" w:beforeAutospacing="1" w:after="100" w:afterAutospacing="1" w:line="360" w:lineRule="auto"/>
        <w:rPr>
          <w:rFonts w:ascii="Arial" w:hAnsi="Arial" w:cs="Arial"/>
          <w:sz w:val="24"/>
          <w:szCs w:val="24"/>
        </w:rPr>
      </w:pPr>
      <w:r w:rsidRPr="009C2BE2">
        <w:rPr>
          <w:rFonts w:ascii="Arial" w:eastAsia="Times New Roman" w:hAnsi="Arial" w:cs="Arial"/>
          <w:sz w:val="24"/>
          <w:szCs w:val="24"/>
          <w:lang w:eastAsia="en-GB" w:bidi="ar-SA"/>
        </w:rPr>
        <w:t xml:space="preserve">The Payback Period for Project B is </w:t>
      </w:r>
      <w:r w:rsidR="00E517A2" w:rsidRPr="006B7198">
        <w:rPr>
          <w:rFonts w:ascii="Arial" w:eastAsia="Times New Roman" w:hAnsi="Arial" w:cs="Arial"/>
          <w:sz w:val="24"/>
          <w:szCs w:val="24"/>
          <w:lang w:eastAsia="en-GB" w:bidi="ar-SA"/>
        </w:rPr>
        <w:t>2.25</w:t>
      </w:r>
      <w:r w:rsidRPr="009C2BE2">
        <w:rPr>
          <w:rFonts w:ascii="Arial" w:eastAsia="Times New Roman" w:hAnsi="Arial" w:cs="Arial"/>
          <w:sz w:val="24"/>
          <w:szCs w:val="24"/>
          <w:lang w:eastAsia="en-GB" w:bidi="ar-SA"/>
        </w:rPr>
        <w:t xml:space="preserve"> years</w:t>
      </w:r>
      <w:r w:rsidR="00E517A2" w:rsidRPr="006B7198">
        <w:rPr>
          <w:rFonts w:ascii="Arial" w:eastAsia="Times New Roman" w:hAnsi="Arial" w:cs="Arial"/>
          <w:sz w:val="24"/>
          <w:szCs w:val="24"/>
          <w:lang w:eastAsia="en-GB" w:bidi="ar-SA"/>
        </w:rPr>
        <w:t xml:space="preserve"> or 2 Years and 3 months.</w:t>
      </w:r>
      <w:r w:rsidR="006B7198" w:rsidRPr="006B7198">
        <w:rPr>
          <w:rFonts w:ascii="Arial" w:eastAsia="Times New Roman" w:hAnsi="Arial" w:cs="Arial"/>
          <w:sz w:val="24"/>
          <w:szCs w:val="24"/>
          <w:lang w:eastAsia="en-GB" w:bidi="ar-SA"/>
        </w:rPr>
        <w:t xml:space="preserve"> </w:t>
      </w:r>
      <w:r w:rsidR="006B7198" w:rsidRPr="006B7198">
        <w:rPr>
          <w:rFonts w:ascii="Arial" w:hAnsi="Arial" w:cs="Arial"/>
          <w:sz w:val="24"/>
          <w:szCs w:val="24"/>
        </w:rPr>
        <w:t xml:space="preserve">Therefore, based on the payback period alone, Project B appears more favourable as it recovers the </w:t>
      </w:r>
      <w:r w:rsidR="00FB5635">
        <w:rPr>
          <w:rFonts w:ascii="Arial" w:hAnsi="Arial" w:cs="Arial"/>
          <w:sz w:val="24"/>
          <w:szCs w:val="24"/>
        </w:rPr>
        <w:t>I</w:t>
      </w:r>
      <w:r w:rsidR="006B7198" w:rsidRPr="006B7198">
        <w:rPr>
          <w:rFonts w:ascii="Arial" w:hAnsi="Arial" w:cs="Arial"/>
          <w:sz w:val="24"/>
          <w:szCs w:val="24"/>
        </w:rPr>
        <w:t>nvestment earlier.</w:t>
      </w:r>
    </w:p>
    <w:p w14:paraId="23D4CC0B" w14:textId="088F3166" w:rsidR="006B7198" w:rsidRDefault="006B7198" w:rsidP="006B7198">
      <w:pPr>
        <w:spacing w:before="100" w:beforeAutospacing="1" w:after="100" w:afterAutospacing="1" w:line="360" w:lineRule="auto"/>
        <w:rPr>
          <w:rFonts w:ascii="Arial" w:hAnsi="Arial" w:cs="Arial"/>
          <w:sz w:val="24"/>
          <w:szCs w:val="24"/>
        </w:rPr>
      </w:pPr>
      <w:r w:rsidRPr="006B7198">
        <w:rPr>
          <w:rFonts w:ascii="Arial" w:hAnsi="Arial" w:cs="Arial"/>
          <w:sz w:val="24"/>
          <w:szCs w:val="24"/>
        </w:rPr>
        <w:t xml:space="preserve">For </w:t>
      </w:r>
      <w:r>
        <w:rPr>
          <w:rFonts w:ascii="Arial" w:hAnsi="Arial" w:cs="Arial"/>
          <w:sz w:val="24"/>
          <w:szCs w:val="24"/>
        </w:rPr>
        <w:t>various</w:t>
      </w:r>
      <w:r w:rsidRPr="006B7198">
        <w:rPr>
          <w:rFonts w:ascii="Arial" w:hAnsi="Arial" w:cs="Arial"/>
          <w:sz w:val="24"/>
          <w:szCs w:val="24"/>
        </w:rPr>
        <w:t xml:space="preserve"> reasons, the PBP approach is extensively employed in firms to evaluate capital budgeting initiatives.</w:t>
      </w:r>
      <w:r>
        <w:rPr>
          <w:rFonts w:ascii="Arial" w:hAnsi="Arial" w:cs="Arial"/>
          <w:sz w:val="24"/>
          <w:szCs w:val="24"/>
        </w:rPr>
        <w:t xml:space="preserve"> T</w:t>
      </w:r>
      <w:r w:rsidRPr="006B7198">
        <w:rPr>
          <w:rFonts w:ascii="Arial" w:hAnsi="Arial" w:cs="Arial"/>
          <w:sz w:val="24"/>
          <w:szCs w:val="24"/>
        </w:rPr>
        <w:t>he approach is simple to execute and comprehend.</w:t>
      </w:r>
      <w:r>
        <w:rPr>
          <w:rFonts w:ascii="Arial" w:hAnsi="Arial" w:cs="Arial"/>
          <w:sz w:val="24"/>
          <w:szCs w:val="24"/>
        </w:rPr>
        <w:t xml:space="preserve"> </w:t>
      </w:r>
      <w:r w:rsidRPr="006B7198">
        <w:rPr>
          <w:rFonts w:ascii="Arial" w:hAnsi="Arial" w:cs="Arial"/>
          <w:sz w:val="24"/>
          <w:szCs w:val="24"/>
        </w:rPr>
        <w:t xml:space="preserve">Second, the approach allows the management to assess the risk of an investment by determining how long it will take to recoup the cost of the </w:t>
      </w:r>
      <w:r w:rsidR="00FB5635">
        <w:rPr>
          <w:rFonts w:ascii="Arial" w:hAnsi="Arial" w:cs="Arial"/>
          <w:sz w:val="24"/>
          <w:szCs w:val="24"/>
        </w:rPr>
        <w:t>I</w:t>
      </w:r>
      <w:r w:rsidRPr="006B7198">
        <w:rPr>
          <w:rFonts w:ascii="Arial" w:hAnsi="Arial" w:cs="Arial"/>
          <w:sz w:val="24"/>
          <w:szCs w:val="24"/>
        </w:rPr>
        <w:t xml:space="preserve">nvestment. Third, it is at ease with the manager's objective to generate liquidity. This problem is related to </w:t>
      </w:r>
      <w:r>
        <w:rPr>
          <w:rFonts w:ascii="Arial" w:hAnsi="Arial" w:cs="Arial"/>
          <w:sz w:val="24"/>
          <w:szCs w:val="24"/>
        </w:rPr>
        <w:t xml:space="preserve">the </w:t>
      </w:r>
      <w:r w:rsidRPr="006B7198">
        <w:rPr>
          <w:rFonts w:ascii="Arial" w:hAnsi="Arial" w:cs="Arial"/>
          <w:sz w:val="24"/>
          <w:szCs w:val="24"/>
        </w:rPr>
        <w:t xml:space="preserve">pecking-order theory, in which managers want to adopt approaches that provide instant liquidity. Fourth, the approach is employed by small and medium-sized enterprises since it is straightforward </w:t>
      </w:r>
      <w:r>
        <w:rPr>
          <w:rFonts w:ascii="Arial" w:hAnsi="Arial" w:cs="Arial"/>
          <w:sz w:val="24"/>
          <w:szCs w:val="24"/>
        </w:rPr>
        <w:t xml:space="preserve">and easy </w:t>
      </w:r>
      <w:r w:rsidRPr="006B7198">
        <w:rPr>
          <w:rFonts w:ascii="Arial" w:hAnsi="Arial" w:cs="Arial"/>
          <w:sz w:val="24"/>
          <w:szCs w:val="24"/>
        </w:rPr>
        <w:t>to grasp by the owners of these businesses, who often do not participate in long-term planning.</w:t>
      </w:r>
    </w:p>
    <w:p w14:paraId="3AE4B62A" w14:textId="4C0C7DFA" w:rsidR="006B7198" w:rsidRPr="006B7198" w:rsidRDefault="006B7198" w:rsidP="006B7198">
      <w:pPr>
        <w:shd w:val="clear" w:color="auto" w:fill="FFFFFF"/>
        <w:spacing w:line="360" w:lineRule="auto"/>
        <w:rPr>
          <w:rFonts w:ascii="Arial" w:eastAsia="Times New Roman" w:hAnsi="Arial" w:cs="Arial"/>
          <w:color w:val="000000"/>
          <w:sz w:val="24"/>
          <w:szCs w:val="24"/>
          <w:lang w:eastAsia="en-GB" w:bidi="ar-SA"/>
        </w:rPr>
      </w:pPr>
      <w:r>
        <w:rPr>
          <w:rFonts w:ascii="Arial" w:hAnsi="Arial" w:cs="Arial"/>
          <w:sz w:val="24"/>
          <w:szCs w:val="24"/>
        </w:rPr>
        <w:t>The advantages of PBP as an investment appraisal technique are</w:t>
      </w:r>
      <w:r w:rsidRPr="006B7198">
        <w:rPr>
          <w:rFonts w:ascii="Arial" w:hAnsi="Arial" w:cs="Arial"/>
          <w:color w:val="000000"/>
        </w:rPr>
        <w:t xml:space="preserve"> </w:t>
      </w:r>
      <w:r w:rsidRPr="006B7198">
        <w:rPr>
          <w:rFonts w:ascii="Arial" w:eastAsia="Times New Roman" w:hAnsi="Arial" w:cs="Arial"/>
          <w:color w:val="000000"/>
          <w:sz w:val="24"/>
          <w:szCs w:val="24"/>
          <w:lang w:eastAsia="en-GB" w:bidi="ar-SA"/>
        </w:rPr>
        <w:t>(</w:t>
      </w:r>
      <w:proofErr w:type="spellStart"/>
      <w:r w:rsidRPr="006B7198">
        <w:rPr>
          <w:rFonts w:ascii="Arial" w:eastAsia="Times New Roman" w:hAnsi="Arial" w:cs="Arial"/>
          <w:color w:val="000000"/>
          <w:sz w:val="24"/>
          <w:szCs w:val="24"/>
          <w:lang w:eastAsia="en-GB" w:bidi="ar-SA"/>
        </w:rPr>
        <w:t>Mawih</w:t>
      </w:r>
      <w:proofErr w:type="spellEnd"/>
      <w:r w:rsidRPr="006B7198">
        <w:rPr>
          <w:rFonts w:ascii="Arial" w:eastAsia="Times New Roman" w:hAnsi="Arial" w:cs="Arial"/>
          <w:color w:val="000000"/>
          <w:sz w:val="24"/>
          <w:szCs w:val="24"/>
          <w:lang w:eastAsia="en-GB" w:bidi="ar-SA"/>
        </w:rPr>
        <w:t xml:space="preserve"> and </w:t>
      </w:r>
      <w:proofErr w:type="gramStart"/>
      <w:r w:rsidRPr="006B7198">
        <w:rPr>
          <w:rFonts w:ascii="Arial" w:eastAsia="Times New Roman" w:hAnsi="Arial" w:cs="Arial"/>
          <w:color w:val="000000"/>
          <w:sz w:val="24"/>
          <w:szCs w:val="24"/>
          <w:lang w:eastAsia="en-GB" w:bidi="ar-SA"/>
        </w:rPr>
        <w:t>Al-Ani</w:t>
      </w:r>
      <w:proofErr w:type="gramEnd"/>
      <w:r w:rsidRPr="006B7198">
        <w:rPr>
          <w:rFonts w:ascii="Arial" w:eastAsia="Times New Roman" w:hAnsi="Arial" w:cs="Arial"/>
          <w:color w:val="000000"/>
          <w:sz w:val="24"/>
          <w:szCs w:val="24"/>
          <w:lang w:eastAsia="en-GB" w:bidi="ar-SA"/>
        </w:rPr>
        <w:t>, 2015)</w:t>
      </w:r>
      <w:r>
        <w:rPr>
          <w:rFonts w:ascii="Arial" w:hAnsi="Arial" w:cs="Arial"/>
          <w:sz w:val="24"/>
          <w:szCs w:val="24"/>
        </w:rPr>
        <w:t>:</w:t>
      </w:r>
    </w:p>
    <w:p w14:paraId="33F63DCB" w14:textId="77777777" w:rsidR="006B7198" w:rsidRPr="0038138D" w:rsidRDefault="006B7198" w:rsidP="006B7198">
      <w:pPr>
        <w:numPr>
          <w:ilvl w:val="0"/>
          <w:numId w:val="4"/>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is easy to calculate and understand.</w:t>
      </w:r>
    </w:p>
    <w:p w14:paraId="08AD5351" w14:textId="199EDFF8" w:rsidR="006B7198" w:rsidRPr="0038138D" w:rsidRDefault="006B7198" w:rsidP="006B7198">
      <w:pPr>
        <w:numPr>
          <w:ilvl w:val="0"/>
          <w:numId w:val="4"/>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 xml:space="preserve">It helps in assessing the liquidity of the </w:t>
      </w:r>
      <w:r w:rsidR="00FB5635">
        <w:rPr>
          <w:rFonts w:ascii="Arial" w:eastAsia="Times New Roman" w:hAnsi="Arial" w:cs="Arial"/>
          <w:sz w:val="24"/>
          <w:szCs w:val="24"/>
          <w:lang w:eastAsia="en-GB" w:bidi="ar-SA"/>
        </w:rPr>
        <w:t>I</w:t>
      </w:r>
      <w:r w:rsidRPr="0038138D">
        <w:rPr>
          <w:rFonts w:ascii="Arial" w:eastAsia="Times New Roman" w:hAnsi="Arial" w:cs="Arial"/>
          <w:sz w:val="24"/>
          <w:szCs w:val="24"/>
          <w:lang w:eastAsia="en-GB" w:bidi="ar-SA"/>
        </w:rPr>
        <w:t>nvestment.</w:t>
      </w:r>
    </w:p>
    <w:p w14:paraId="7C61F13C" w14:textId="77777777" w:rsidR="006B7198" w:rsidRPr="0038138D" w:rsidRDefault="006B7198" w:rsidP="006B7198">
      <w:pPr>
        <w:numPr>
          <w:ilvl w:val="0"/>
          <w:numId w:val="4"/>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is helpful for short-term projects.</w:t>
      </w:r>
    </w:p>
    <w:p w14:paraId="7D158ACB" w14:textId="4AB88F91" w:rsidR="006B7198" w:rsidRPr="006B7198" w:rsidRDefault="006B7198" w:rsidP="006B7198">
      <w:pPr>
        <w:shd w:val="clear" w:color="auto" w:fill="FFFFFF"/>
        <w:spacing w:line="360" w:lineRule="auto"/>
        <w:rPr>
          <w:rFonts w:ascii="Arial" w:eastAsia="Times New Roman" w:hAnsi="Arial" w:cs="Arial"/>
          <w:sz w:val="24"/>
          <w:szCs w:val="24"/>
          <w:lang w:eastAsia="en-GB" w:bidi="ar-SA"/>
        </w:rPr>
      </w:pPr>
      <w:r w:rsidRPr="006B7198">
        <w:rPr>
          <w:rFonts w:ascii="Arial" w:eastAsia="Times New Roman" w:hAnsi="Arial" w:cs="Arial"/>
          <w:sz w:val="24"/>
          <w:szCs w:val="24"/>
          <w:lang w:eastAsia="en-GB" w:bidi="ar-SA"/>
        </w:rPr>
        <w:t xml:space="preserve">However, </w:t>
      </w:r>
      <w:proofErr w:type="gramStart"/>
      <w:r w:rsidRPr="006B7198">
        <w:rPr>
          <w:rFonts w:ascii="Arial" w:eastAsia="Times New Roman" w:hAnsi="Arial" w:cs="Arial"/>
          <w:sz w:val="24"/>
          <w:szCs w:val="24"/>
          <w:lang w:eastAsia="en-GB" w:bidi="ar-SA"/>
        </w:rPr>
        <w:t>It</w:t>
      </w:r>
      <w:proofErr w:type="gramEnd"/>
      <w:r w:rsidRPr="006B7198">
        <w:rPr>
          <w:rFonts w:ascii="Arial" w:eastAsia="Times New Roman" w:hAnsi="Arial" w:cs="Arial"/>
          <w:sz w:val="24"/>
          <w:szCs w:val="24"/>
          <w:lang w:eastAsia="en-GB" w:bidi="ar-SA"/>
        </w:rPr>
        <w:t xml:space="preserve"> excludes cash flows beyond the payback time, which might cause the rejection of profitable initiatives with more extended recovery periods. Second, the PBP calculates cash flows without considering the time value of money. Discounted PBP may overcome this deficit </w:t>
      </w:r>
      <w:r w:rsidRPr="006B7198">
        <w:rPr>
          <w:rFonts w:ascii="Arial" w:eastAsia="Times New Roman" w:hAnsi="Arial" w:cs="Arial"/>
          <w:color w:val="000000"/>
          <w:sz w:val="24"/>
          <w:szCs w:val="24"/>
          <w:lang w:eastAsia="en-GB" w:bidi="ar-SA"/>
        </w:rPr>
        <w:t>(Afonso and Cunha, 2014).</w:t>
      </w:r>
      <w:r w:rsidRPr="006B7198">
        <w:rPr>
          <w:rFonts w:ascii="Arial" w:eastAsia="Times New Roman" w:hAnsi="Arial" w:cs="Arial"/>
          <w:sz w:val="24"/>
          <w:szCs w:val="24"/>
          <w:lang w:eastAsia="en-GB" w:bidi="ar-SA"/>
        </w:rPr>
        <w:t xml:space="preserve"> Bhandari (2009) claims that the PBP approach only evaluates liquidity, not profitability. PBP</w:t>
      </w:r>
      <w:r w:rsidR="00C26BDE">
        <w:rPr>
          <w:rFonts w:ascii="Arial" w:eastAsia="Times New Roman" w:hAnsi="Arial" w:cs="Arial"/>
          <w:sz w:val="24"/>
          <w:szCs w:val="24"/>
          <w:lang w:eastAsia="en-GB" w:bidi="ar-SA"/>
        </w:rPr>
        <w:t xml:space="preserve"> is often described as</w:t>
      </w:r>
      <w:r w:rsidRPr="006B7198">
        <w:rPr>
          <w:rFonts w:ascii="Arial" w:eastAsia="Times New Roman" w:hAnsi="Arial" w:cs="Arial"/>
          <w:sz w:val="24"/>
          <w:szCs w:val="24"/>
          <w:lang w:eastAsia="en-GB" w:bidi="ar-SA"/>
        </w:rPr>
        <w:t xml:space="preserve"> a "blunt </w:t>
      </w:r>
      <w:r w:rsidRPr="006B7198">
        <w:rPr>
          <w:rFonts w:ascii="Arial" w:eastAsia="Times New Roman" w:hAnsi="Arial" w:cs="Arial"/>
          <w:sz w:val="24"/>
          <w:szCs w:val="24"/>
          <w:lang w:eastAsia="en-GB" w:bidi="ar-SA"/>
        </w:rPr>
        <w:lastRenderedPageBreak/>
        <w:t>instrument" since it emphasises fast investment recovery</w:t>
      </w:r>
      <w:r w:rsidR="00326143">
        <w:rPr>
          <w:rFonts w:ascii="Arial" w:eastAsia="Times New Roman" w:hAnsi="Arial" w:cs="Arial"/>
          <w:sz w:val="24"/>
          <w:szCs w:val="24"/>
          <w:lang w:eastAsia="en-GB" w:bidi="ar-SA"/>
        </w:rPr>
        <w:t xml:space="preserve"> and</w:t>
      </w:r>
      <w:r w:rsidRPr="006B7198">
        <w:rPr>
          <w:rFonts w:ascii="Arial" w:eastAsia="Times New Roman" w:hAnsi="Arial" w:cs="Arial"/>
          <w:sz w:val="24"/>
          <w:szCs w:val="24"/>
          <w:lang w:eastAsia="en-GB" w:bidi="ar-SA"/>
        </w:rPr>
        <w:t xml:space="preserve"> </w:t>
      </w:r>
      <w:r w:rsidR="00326143">
        <w:rPr>
          <w:rFonts w:ascii="Arial" w:eastAsia="Times New Roman" w:hAnsi="Arial" w:cs="Arial"/>
          <w:sz w:val="24"/>
          <w:szCs w:val="24"/>
          <w:lang w:eastAsia="en-GB" w:bidi="ar-SA"/>
        </w:rPr>
        <w:t xml:space="preserve">does not consider money's time value </w:t>
      </w:r>
      <w:r w:rsidR="00326143" w:rsidRPr="006B7198">
        <w:rPr>
          <w:rFonts w:ascii="Arial" w:eastAsia="Times New Roman" w:hAnsi="Arial" w:cs="Arial"/>
          <w:color w:val="000000"/>
          <w:sz w:val="24"/>
          <w:szCs w:val="24"/>
          <w:lang w:eastAsia="en-GB" w:bidi="ar-SA"/>
        </w:rPr>
        <w:t>(</w:t>
      </w:r>
      <w:proofErr w:type="spellStart"/>
      <w:r w:rsidR="00326143" w:rsidRPr="006B7198">
        <w:rPr>
          <w:rFonts w:ascii="Arial" w:eastAsia="Times New Roman" w:hAnsi="Arial" w:cs="Arial"/>
          <w:color w:val="000000"/>
          <w:sz w:val="24"/>
          <w:szCs w:val="24"/>
          <w:lang w:eastAsia="en-GB" w:bidi="ar-SA"/>
        </w:rPr>
        <w:t>Mawih</w:t>
      </w:r>
      <w:proofErr w:type="spellEnd"/>
      <w:r w:rsidR="00326143" w:rsidRPr="006B7198">
        <w:rPr>
          <w:rFonts w:ascii="Arial" w:eastAsia="Times New Roman" w:hAnsi="Arial" w:cs="Arial"/>
          <w:color w:val="000000"/>
          <w:sz w:val="24"/>
          <w:szCs w:val="24"/>
          <w:lang w:eastAsia="en-GB" w:bidi="ar-SA"/>
        </w:rPr>
        <w:t xml:space="preserve"> and </w:t>
      </w:r>
      <w:proofErr w:type="gramStart"/>
      <w:r w:rsidR="00326143" w:rsidRPr="006B7198">
        <w:rPr>
          <w:rFonts w:ascii="Arial" w:eastAsia="Times New Roman" w:hAnsi="Arial" w:cs="Arial"/>
          <w:color w:val="000000"/>
          <w:sz w:val="24"/>
          <w:szCs w:val="24"/>
          <w:lang w:eastAsia="en-GB" w:bidi="ar-SA"/>
        </w:rPr>
        <w:t>Al-Ani</w:t>
      </w:r>
      <w:proofErr w:type="gramEnd"/>
      <w:r w:rsidR="00326143" w:rsidRPr="006B7198">
        <w:rPr>
          <w:rFonts w:ascii="Arial" w:eastAsia="Times New Roman" w:hAnsi="Arial" w:cs="Arial"/>
          <w:color w:val="000000"/>
          <w:sz w:val="24"/>
          <w:szCs w:val="24"/>
          <w:lang w:eastAsia="en-GB" w:bidi="ar-SA"/>
        </w:rPr>
        <w:t>, 2015)</w:t>
      </w:r>
      <w:r w:rsidR="00326143">
        <w:rPr>
          <w:rFonts w:ascii="Arial" w:eastAsia="Times New Roman" w:hAnsi="Arial" w:cs="Arial"/>
          <w:color w:val="000000"/>
          <w:sz w:val="24"/>
          <w:szCs w:val="24"/>
          <w:lang w:eastAsia="en-GB" w:bidi="ar-SA"/>
        </w:rPr>
        <w:t>.</w:t>
      </w:r>
    </w:p>
    <w:p w14:paraId="3E7A96B7" w14:textId="77777777" w:rsidR="006B7198" w:rsidRPr="0038138D" w:rsidRDefault="006B7198" w:rsidP="006B7198">
      <w:pPr>
        <w:numPr>
          <w:ilvl w:val="0"/>
          <w:numId w:val="5"/>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ignores the cash flows beyond the payback period.</w:t>
      </w:r>
    </w:p>
    <w:p w14:paraId="7FF4C5D1" w14:textId="77777777" w:rsidR="006B7198" w:rsidRPr="0038138D" w:rsidRDefault="006B7198" w:rsidP="006B7198">
      <w:pPr>
        <w:numPr>
          <w:ilvl w:val="0"/>
          <w:numId w:val="5"/>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does not provide a measure of profitability.</w:t>
      </w:r>
    </w:p>
    <w:p w14:paraId="489CC58B" w14:textId="77777777" w:rsidR="006B7198" w:rsidRDefault="006B7198" w:rsidP="009C2BE2">
      <w:pPr>
        <w:spacing w:before="100" w:beforeAutospacing="1" w:after="100" w:afterAutospacing="1" w:line="360" w:lineRule="auto"/>
        <w:rPr>
          <w:rFonts w:ascii="Arial" w:eastAsia="Times New Roman" w:hAnsi="Arial" w:cs="Arial"/>
          <w:sz w:val="24"/>
          <w:szCs w:val="24"/>
          <w:lang w:eastAsia="en-GB" w:bidi="ar-SA"/>
        </w:rPr>
      </w:pPr>
    </w:p>
    <w:p w14:paraId="5BE5B794" w14:textId="31418CD5" w:rsidR="009C2BE2" w:rsidRPr="009C2BE2" w:rsidRDefault="009C2BE2" w:rsidP="009A4F50">
      <w:pPr>
        <w:spacing w:before="100" w:beforeAutospacing="1" w:after="100" w:afterAutospacing="1" w:line="360" w:lineRule="auto"/>
        <w:rPr>
          <w:rFonts w:ascii="Arial" w:eastAsia="Times New Roman" w:hAnsi="Arial" w:cs="Arial"/>
          <w:b/>
          <w:bCs/>
          <w:sz w:val="24"/>
          <w:szCs w:val="24"/>
          <w:lang w:eastAsia="en-GB" w:bidi="ar-SA"/>
        </w:rPr>
      </w:pPr>
      <w:r w:rsidRPr="009C2BE2">
        <w:rPr>
          <w:rFonts w:ascii="Arial" w:eastAsia="Times New Roman" w:hAnsi="Arial" w:cs="Arial"/>
          <w:b/>
          <w:bCs/>
          <w:sz w:val="24"/>
          <w:szCs w:val="24"/>
          <w:lang w:eastAsia="en-GB" w:bidi="ar-SA"/>
        </w:rPr>
        <w:t>Accounting Rate of Return (ARR):</w:t>
      </w:r>
    </w:p>
    <w:p w14:paraId="301D9612" w14:textId="3127FB24" w:rsidR="009A4F50" w:rsidRPr="009A4F50" w:rsidRDefault="009A4F50" w:rsidP="009A4F50">
      <w:pPr>
        <w:shd w:val="clear" w:color="auto" w:fill="FFFFFF"/>
        <w:spacing w:line="360" w:lineRule="auto"/>
        <w:rPr>
          <w:rFonts w:ascii="Arial" w:eastAsia="Times New Roman" w:hAnsi="Arial" w:cs="Arial"/>
          <w:color w:val="000000"/>
          <w:sz w:val="24"/>
          <w:szCs w:val="24"/>
          <w:lang w:eastAsia="en-GB" w:bidi="ar-SA"/>
        </w:rPr>
      </w:pPr>
      <w:r w:rsidRPr="009A4F50">
        <w:rPr>
          <w:rFonts w:ascii="Arial" w:hAnsi="Arial" w:cs="Arial"/>
          <w:sz w:val="24"/>
          <w:szCs w:val="24"/>
        </w:rPr>
        <w:t>Accounting Rate of Return (ARR) is a financial metric used to evaluate the profitability of an investment or project. It calculates the average annual profit generated by an investment as a percentage of the initial investment cost. ARR is also known as the Average Rate of Return or the Return on Investment (ROI) ratio</w:t>
      </w:r>
      <w:r w:rsidRPr="009A4F50">
        <w:rPr>
          <w:rFonts w:ascii="Arial" w:hAnsi="Arial" w:cs="Arial"/>
          <w:color w:val="000000"/>
        </w:rPr>
        <w:t xml:space="preserve"> </w:t>
      </w:r>
      <w:r w:rsidRPr="009A4F50">
        <w:rPr>
          <w:rFonts w:ascii="Arial" w:eastAsia="Times New Roman" w:hAnsi="Arial" w:cs="Arial"/>
          <w:color w:val="000000"/>
          <w:sz w:val="24"/>
          <w:szCs w:val="24"/>
          <w:lang w:eastAsia="en-GB" w:bidi="ar-SA"/>
        </w:rPr>
        <w:t>(Murphy, 2022)</w:t>
      </w:r>
      <w:r w:rsidRPr="009A4F50">
        <w:rPr>
          <w:rFonts w:ascii="Arial" w:hAnsi="Arial" w:cs="Arial"/>
          <w:sz w:val="24"/>
          <w:szCs w:val="24"/>
        </w:rPr>
        <w:t>.</w:t>
      </w:r>
      <w:r w:rsidRPr="009A4F50">
        <w:rPr>
          <w:rFonts w:ascii="Arial" w:eastAsia="Times New Roman" w:hAnsi="Arial" w:cs="Arial"/>
          <w:sz w:val="24"/>
          <w:szCs w:val="24"/>
          <w:lang w:eastAsia="en-GB" w:bidi="ar-SA"/>
        </w:rPr>
        <w:t xml:space="preserve"> </w:t>
      </w:r>
    </w:p>
    <w:p w14:paraId="43184FBC" w14:textId="0B35C7A6" w:rsidR="009A4F50" w:rsidRDefault="009A4F50" w:rsidP="009A4F50">
      <w:pPr>
        <w:shd w:val="clear" w:color="auto" w:fill="FFFFFF"/>
        <w:spacing w:line="360" w:lineRule="auto"/>
        <w:rPr>
          <w:rFonts w:ascii="Arial" w:eastAsia="Times New Roman" w:hAnsi="Arial" w:cs="Arial"/>
          <w:sz w:val="24"/>
          <w:szCs w:val="24"/>
          <w:lang w:eastAsia="en-GB" w:bidi="ar-SA"/>
        </w:rPr>
      </w:pPr>
      <w:r w:rsidRPr="009A4F50">
        <w:rPr>
          <w:rFonts w:ascii="Arial" w:eastAsia="Times New Roman" w:hAnsi="Arial" w:cs="Arial"/>
          <w:sz w:val="24"/>
          <w:szCs w:val="24"/>
          <w:lang w:eastAsia="en-GB" w:bidi="ar-SA"/>
        </w:rPr>
        <w:t>ARR is the yearly percentage of the average net income generated by an asset divided by its average capital cost. The ARR is a capital budgeting decision-making mechanism. It is used when a company selects whether to invest in an asset based on the predicted future net profits compared to the capital cost</w:t>
      </w:r>
      <w:r w:rsidRPr="009A4F50">
        <w:rPr>
          <w:rFonts w:ascii="Arial" w:hAnsi="Arial" w:cs="Arial"/>
          <w:color w:val="000000"/>
        </w:rPr>
        <w:t xml:space="preserve"> </w:t>
      </w:r>
      <w:r w:rsidRPr="009A4F50">
        <w:rPr>
          <w:rFonts w:ascii="Arial" w:eastAsia="Times New Roman" w:hAnsi="Arial" w:cs="Arial"/>
          <w:color w:val="000000"/>
          <w:sz w:val="24"/>
          <w:szCs w:val="24"/>
          <w:lang w:eastAsia="en-GB" w:bidi="ar-SA"/>
        </w:rPr>
        <w:t>(CFI, 2023)</w:t>
      </w:r>
      <w:r w:rsidRPr="009A4F50">
        <w:rPr>
          <w:rFonts w:ascii="Arial" w:eastAsia="Times New Roman" w:hAnsi="Arial" w:cs="Arial"/>
          <w:sz w:val="24"/>
          <w:szCs w:val="24"/>
          <w:lang w:eastAsia="en-GB" w:bidi="ar-SA"/>
        </w:rPr>
        <w:t>.</w:t>
      </w:r>
    </w:p>
    <w:p w14:paraId="16C09590" w14:textId="2F8D2EC2" w:rsidR="009C2BE2" w:rsidRPr="009A4F50" w:rsidRDefault="009C2BE2" w:rsidP="009A4F50">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 xml:space="preserve">ARR is calculated by dividing the average annual profit by the average </w:t>
      </w:r>
      <w:r w:rsidR="00FB5635">
        <w:rPr>
          <w:rFonts w:ascii="Arial" w:eastAsia="Times New Roman" w:hAnsi="Arial" w:cs="Arial"/>
          <w:sz w:val="24"/>
          <w:szCs w:val="24"/>
          <w:lang w:eastAsia="en-GB" w:bidi="ar-SA"/>
        </w:rPr>
        <w:t>I</w:t>
      </w:r>
      <w:r w:rsidRPr="009C2BE2">
        <w:rPr>
          <w:rFonts w:ascii="Arial" w:eastAsia="Times New Roman" w:hAnsi="Arial" w:cs="Arial"/>
          <w:sz w:val="24"/>
          <w:szCs w:val="24"/>
          <w:lang w:eastAsia="en-GB" w:bidi="ar-SA"/>
        </w:rPr>
        <w:t>nvestment.</w:t>
      </w:r>
      <w:r w:rsidR="009A4F50" w:rsidRPr="009A4F50">
        <w:rPr>
          <w:rFonts w:ascii="Arial" w:eastAsia="Times New Roman" w:hAnsi="Arial" w:cs="Arial"/>
          <w:sz w:val="24"/>
          <w:szCs w:val="24"/>
          <w:lang w:eastAsia="en-GB" w:bidi="ar-SA"/>
        </w:rPr>
        <w:t xml:space="preserve"> </w:t>
      </w:r>
      <w:proofErr w:type="gramStart"/>
      <w:r w:rsidR="009A4F50" w:rsidRPr="009A4F50">
        <w:rPr>
          <w:rFonts w:ascii="Arial" w:hAnsi="Arial" w:cs="Arial"/>
          <w:sz w:val="24"/>
          <w:szCs w:val="24"/>
        </w:rPr>
        <w:t>The  ARR</w:t>
      </w:r>
      <w:proofErr w:type="gramEnd"/>
      <w:r w:rsidR="009A4F50" w:rsidRPr="009A4F50">
        <w:rPr>
          <w:rFonts w:ascii="Arial" w:hAnsi="Arial" w:cs="Arial"/>
          <w:sz w:val="24"/>
          <w:szCs w:val="24"/>
        </w:rPr>
        <w:t xml:space="preserve"> formula is</w:t>
      </w:r>
      <w:r w:rsidR="009A4F50">
        <w:rPr>
          <w:rFonts w:ascii="Arial" w:hAnsi="Arial" w:cs="Arial"/>
          <w:sz w:val="24"/>
          <w:szCs w:val="24"/>
        </w:rPr>
        <w:t xml:space="preserve"> </w:t>
      </w:r>
      <w:r w:rsidR="009A4F50" w:rsidRPr="009A4F50">
        <w:rPr>
          <w:rFonts w:ascii="Arial" w:eastAsia="Times New Roman" w:hAnsi="Arial" w:cs="Arial"/>
          <w:color w:val="000000"/>
          <w:sz w:val="24"/>
          <w:szCs w:val="24"/>
          <w:lang w:eastAsia="en-GB" w:bidi="ar-SA"/>
        </w:rPr>
        <w:t>(CFI, 2023)</w:t>
      </w:r>
      <w:r w:rsidR="009A4F50" w:rsidRPr="009A4F50">
        <w:rPr>
          <w:rFonts w:ascii="Arial" w:hAnsi="Arial" w:cs="Arial"/>
          <w:sz w:val="24"/>
          <w:szCs w:val="24"/>
        </w:rPr>
        <w:t>:</w:t>
      </w:r>
    </w:p>
    <w:p w14:paraId="74798943" w14:textId="79995A9A" w:rsidR="009A4F50" w:rsidRPr="009C2BE2" w:rsidRDefault="009A4F50" w:rsidP="00FB5635">
      <w:pPr>
        <w:shd w:val="clear" w:color="auto" w:fill="FABF8F" w:themeFill="accent6" w:themeFillTint="99"/>
        <w:spacing w:before="100" w:beforeAutospacing="1" w:after="100" w:afterAutospacing="1" w:line="360" w:lineRule="auto"/>
        <w:rPr>
          <w:rFonts w:ascii="Arial" w:eastAsia="Times New Roman" w:hAnsi="Arial" w:cs="Arial"/>
          <w:b/>
          <w:bCs/>
          <w:sz w:val="24"/>
          <w:szCs w:val="24"/>
          <w:lang w:eastAsia="en-GB" w:bidi="ar-SA"/>
        </w:rPr>
      </w:pPr>
      <m:oMathPara>
        <m:oMath>
          <m:r>
            <m:rPr>
              <m:sty m:val="bi"/>
            </m:rPr>
            <w:rPr>
              <w:rFonts w:ascii="Cambria Math" w:eastAsia="Times New Roman" w:hAnsi="Cambria Math" w:cs="Arial"/>
              <w:sz w:val="24"/>
              <w:szCs w:val="24"/>
              <w:lang w:eastAsia="en-GB" w:bidi="ar-SA"/>
            </w:rPr>
            <m:t>APR=</m:t>
          </m:r>
          <m:f>
            <m:fPr>
              <m:ctrlPr>
                <w:rPr>
                  <w:rFonts w:ascii="Cambria Math" w:eastAsia="Times New Roman" w:hAnsi="Cambria Math" w:cs="Arial"/>
                  <w:i/>
                  <w:sz w:val="24"/>
                  <w:szCs w:val="24"/>
                  <w:lang w:eastAsia="en-GB" w:bidi="ar-SA"/>
                </w:rPr>
              </m:ctrlPr>
            </m:fPr>
            <m:num>
              <m:r>
                <m:rPr>
                  <m:sty m:val="b"/>
                </m:rPr>
                <w:rPr>
                  <w:rStyle w:val="Strong"/>
                  <w:rFonts w:ascii="Cambria Math" w:hAnsi="Cambria Math"/>
                  <w:sz w:val="24"/>
                  <w:szCs w:val="24"/>
                </w:rPr>
                <m:t>Average</m:t>
              </m:r>
              <m:r>
                <m:rPr>
                  <m:sty m:val="p"/>
                </m:rPr>
                <w:rPr>
                  <w:rStyle w:val="Strong"/>
                  <w:rFonts w:ascii="Cambria Math" w:hAnsi="Cambria Math"/>
                  <w:sz w:val="24"/>
                  <w:szCs w:val="24"/>
                </w:rPr>
                <m:t xml:space="preserve"> </m:t>
              </m:r>
              <m:r>
                <m:rPr>
                  <m:sty m:val="b"/>
                </m:rPr>
                <w:rPr>
                  <w:rStyle w:val="Strong"/>
                  <w:rFonts w:ascii="Cambria Math" w:hAnsi="Cambria Math"/>
                  <w:sz w:val="24"/>
                  <w:szCs w:val="24"/>
                </w:rPr>
                <m:t>Annual</m:t>
              </m:r>
              <m:r>
                <m:rPr>
                  <m:sty m:val="p"/>
                </m:rPr>
                <w:rPr>
                  <w:rStyle w:val="Strong"/>
                  <w:rFonts w:ascii="Cambria Math" w:hAnsi="Cambria Math"/>
                  <w:sz w:val="24"/>
                  <w:szCs w:val="24"/>
                </w:rPr>
                <m:t xml:space="preserve"> </m:t>
              </m:r>
              <m:r>
                <m:rPr>
                  <m:sty m:val="b"/>
                </m:rPr>
                <w:rPr>
                  <w:rStyle w:val="Strong"/>
                  <w:rFonts w:ascii="Cambria Math" w:hAnsi="Cambria Math"/>
                  <w:sz w:val="24"/>
                  <w:szCs w:val="24"/>
                </w:rPr>
                <m:t>Profit</m:t>
              </m:r>
            </m:num>
            <m:den>
              <m:r>
                <m:rPr>
                  <m:sty m:val="b"/>
                </m:rPr>
                <w:rPr>
                  <w:rStyle w:val="Strong"/>
                  <w:rFonts w:ascii="Cambria Math" w:hAnsi="Cambria Math"/>
                  <w:sz w:val="24"/>
                  <w:szCs w:val="24"/>
                </w:rPr>
                <m:t>Average</m:t>
              </m:r>
              <m:r>
                <m:rPr>
                  <m:sty m:val="p"/>
                </m:rPr>
                <w:rPr>
                  <w:rStyle w:val="Strong"/>
                  <w:rFonts w:ascii="Cambria Math" w:hAnsi="Cambria Math"/>
                  <w:sz w:val="24"/>
                  <w:szCs w:val="24"/>
                </w:rPr>
                <m:t xml:space="preserve"> </m:t>
              </m:r>
              <m:r>
                <m:rPr>
                  <m:sty m:val="b"/>
                </m:rPr>
                <w:rPr>
                  <w:rStyle w:val="Strong"/>
                  <w:rFonts w:ascii="Cambria Math" w:hAnsi="Cambria Math"/>
                  <w:sz w:val="24"/>
                  <w:szCs w:val="24"/>
                </w:rPr>
                <m:t>Investment</m:t>
              </m:r>
            </m:den>
          </m:f>
        </m:oMath>
      </m:oMathPara>
    </w:p>
    <w:p w14:paraId="05AA18F0" w14:textId="77777777" w:rsidR="009A4F50"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b/>
          <w:bCs/>
          <w:sz w:val="24"/>
          <w:szCs w:val="24"/>
          <w:lang w:eastAsia="en-GB" w:bidi="ar-SA"/>
        </w:rPr>
        <w:t>Project A</w:t>
      </w:r>
      <w:r w:rsidRPr="009C2BE2">
        <w:rPr>
          <w:rFonts w:ascii="Arial" w:eastAsia="Times New Roman" w:hAnsi="Arial" w:cs="Arial"/>
          <w:sz w:val="24"/>
          <w:szCs w:val="24"/>
          <w:lang w:eastAsia="en-GB" w:bidi="ar-SA"/>
        </w:rPr>
        <w:t xml:space="preserve">: </w:t>
      </w:r>
    </w:p>
    <w:p w14:paraId="1048E0E2" w14:textId="3FAFC608" w:rsidR="009A4F50" w:rsidRPr="009A4F50" w:rsidRDefault="009A4F50" w:rsidP="00FB5635">
      <w:pPr>
        <w:shd w:val="clear" w:color="auto" w:fill="EAF1DD" w:themeFill="accent3" w:themeFillTint="33"/>
        <w:spacing w:before="100" w:beforeAutospacing="1" w:after="100" w:afterAutospacing="1" w:line="360" w:lineRule="auto"/>
        <w:rPr>
          <w:rFonts w:ascii="Arial" w:eastAsia="Times New Roman" w:hAnsi="Arial" w:cs="Arial"/>
          <w:b/>
          <w:bCs/>
          <w:sz w:val="24"/>
          <w:szCs w:val="24"/>
          <w:lang w:eastAsia="en-GB" w:bidi="ar-SA"/>
        </w:rPr>
      </w:pPr>
      <m:oMathPara>
        <m:oMath>
          <m:r>
            <m:rPr>
              <m:sty m:val="b"/>
            </m:rPr>
            <w:rPr>
              <w:rFonts w:ascii="Cambria Math" w:eastAsia="Times New Roman" w:hAnsi="Cambria Math" w:cs="Arial"/>
              <w:sz w:val="24"/>
              <w:szCs w:val="24"/>
              <w:lang w:eastAsia="en-GB" w:bidi="ar-SA"/>
            </w:rPr>
            <m:t>Average Annual Profit=</m:t>
          </m:r>
          <m:f>
            <m:fPr>
              <m:ctrlPr>
                <w:rPr>
                  <w:rFonts w:ascii="Cambria Math" w:eastAsia="Times New Roman" w:hAnsi="Cambria Math" w:cs="Arial"/>
                  <w:b/>
                  <w:bCs/>
                  <w:sz w:val="24"/>
                  <w:szCs w:val="24"/>
                  <w:lang w:eastAsia="en-GB" w:bidi="ar-SA"/>
                </w:rPr>
              </m:ctrlPr>
            </m:fPr>
            <m:num>
              <m:r>
                <m:rPr>
                  <m:sty m:val="b"/>
                </m:rPr>
                <w:rPr>
                  <w:rFonts w:ascii="Cambria Math" w:eastAsia="Times New Roman" w:hAnsi="Cambria Math" w:cs="Arial"/>
                  <w:sz w:val="24"/>
                  <w:szCs w:val="24"/>
                  <w:lang w:eastAsia="en-GB" w:bidi="ar-SA"/>
                </w:rPr>
                <m:t xml:space="preserve">(25 + 25 + 20 + 55) </m:t>
              </m:r>
            </m:num>
            <m:den>
              <m:r>
                <m:rPr>
                  <m:sty m:val="bi"/>
                </m:rPr>
                <w:rPr>
                  <w:rFonts w:ascii="Cambria Math" w:eastAsia="Times New Roman" w:hAnsi="Cambria Math" w:cs="Arial"/>
                  <w:sz w:val="24"/>
                  <w:szCs w:val="24"/>
                  <w:lang w:eastAsia="en-GB" w:bidi="ar-SA"/>
                </w:rPr>
                <m:t>4</m:t>
              </m:r>
            </m:den>
          </m:f>
          <m:r>
            <m:rPr>
              <m:sty m:val="bi"/>
            </m:rPr>
            <w:rPr>
              <w:rFonts w:ascii="Cambria Math" w:eastAsia="Times New Roman" w:hAnsi="Cambria Math" w:cs="Arial"/>
              <w:sz w:val="24"/>
              <w:szCs w:val="24"/>
              <w:lang w:eastAsia="en-GB" w:bidi="ar-SA"/>
            </w:rPr>
            <m:t>=</m:t>
          </m:r>
          <m:f>
            <m:fPr>
              <m:ctrlPr>
                <w:rPr>
                  <w:rFonts w:ascii="Cambria Math" w:eastAsia="Times New Roman" w:hAnsi="Cambria Math" w:cs="Arial"/>
                  <w:b/>
                  <w:bCs/>
                  <w:i/>
                  <w:sz w:val="24"/>
                  <w:szCs w:val="24"/>
                  <w:lang w:eastAsia="en-GB" w:bidi="ar-SA"/>
                </w:rPr>
              </m:ctrlPr>
            </m:fPr>
            <m:num>
              <m:r>
                <m:rPr>
                  <m:sty m:val="bi"/>
                </m:rPr>
                <w:rPr>
                  <w:rFonts w:ascii="Cambria Math" w:eastAsia="Times New Roman" w:hAnsi="Cambria Math" w:cs="Arial"/>
                  <w:sz w:val="24"/>
                  <w:szCs w:val="24"/>
                  <w:lang w:eastAsia="en-GB" w:bidi="ar-SA"/>
                </w:rPr>
                <m:t>125</m:t>
              </m:r>
            </m:num>
            <m:den>
              <m:r>
                <m:rPr>
                  <m:sty m:val="bi"/>
                </m:rPr>
                <w:rPr>
                  <w:rFonts w:ascii="Cambria Math" w:eastAsia="Times New Roman" w:hAnsi="Cambria Math" w:cs="Arial"/>
                  <w:sz w:val="24"/>
                  <w:szCs w:val="24"/>
                  <w:lang w:eastAsia="en-GB" w:bidi="ar-SA"/>
                </w:rPr>
                <m:t>4</m:t>
              </m:r>
            </m:den>
          </m:f>
          <m:r>
            <m:rPr>
              <m:sty m:val="bi"/>
            </m:rPr>
            <w:rPr>
              <w:rFonts w:ascii="Cambria Math" w:eastAsia="Times New Roman" w:hAnsi="Cambria Math" w:cs="Arial"/>
              <w:sz w:val="24"/>
              <w:szCs w:val="24"/>
              <w:lang w:eastAsia="en-GB" w:bidi="ar-SA"/>
            </w:rPr>
            <m:t>=31.25</m:t>
          </m:r>
        </m:oMath>
      </m:oMathPara>
    </w:p>
    <w:p w14:paraId="1BAA06C0" w14:textId="6EC79D97" w:rsidR="009A4F50" w:rsidRDefault="009A4F50" w:rsidP="009C2BE2">
      <w:pPr>
        <w:spacing w:before="100" w:beforeAutospacing="1" w:after="100" w:afterAutospacing="1" w:line="360" w:lineRule="auto"/>
        <w:rPr>
          <w:rFonts w:ascii="Arial" w:eastAsia="Times New Roman" w:hAnsi="Arial" w:cs="Arial"/>
          <w:sz w:val="24"/>
          <w:szCs w:val="24"/>
          <w:lang w:eastAsia="en-GB" w:bidi="ar-SA"/>
        </w:rPr>
      </w:pPr>
    </w:p>
    <w:p w14:paraId="7AF5AEA0" w14:textId="2A3654D6" w:rsidR="00FB5635" w:rsidRPr="00FB5635" w:rsidRDefault="00FB5635" w:rsidP="00FB5635">
      <w:pPr>
        <w:shd w:val="clear" w:color="auto" w:fill="D6E3BC" w:themeFill="accent3" w:themeFillTint="66"/>
        <w:spacing w:before="100" w:beforeAutospacing="1" w:after="100" w:afterAutospacing="1" w:line="360" w:lineRule="auto"/>
        <w:rPr>
          <w:rFonts w:ascii="Arial" w:eastAsia="Times New Roman" w:hAnsi="Arial" w:cs="Arial"/>
          <w:b/>
          <w:bCs/>
          <w:sz w:val="24"/>
          <w:szCs w:val="24"/>
          <w:lang w:eastAsia="en-GB" w:bidi="ar-SA"/>
        </w:rPr>
      </w:pPr>
      <m:oMathPara>
        <m:oMath>
          <m:r>
            <m:rPr>
              <m:sty m:val="b"/>
            </m:rPr>
            <w:rPr>
              <w:rFonts w:ascii="Cambria Math" w:eastAsia="Times New Roman" w:hAnsi="Cambria Math" w:cs="Arial"/>
              <w:sz w:val="24"/>
              <w:szCs w:val="24"/>
              <w:lang w:eastAsia="en-GB" w:bidi="ar-SA"/>
            </w:rPr>
            <m:t>Average Investment=</m:t>
          </m:r>
          <m:f>
            <m:fPr>
              <m:ctrlPr>
                <w:rPr>
                  <w:rFonts w:ascii="Cambria Math" w:eastAsia="Times New Roman" w:hAnsi="Cambria Math" w:cs="Arial"/>
                  <w:b/>
                  <w:bCs/>
                  <w:sz w:val="24"/>
                  <w:szCs w:val="24"/>
                  <w:lang w:eastAsia="en-GB" w:bidi="ar-SA"/>
                </w:rPr>
              </m:ctrlPr>
            </m:fPr>
            <m:num>
              <m:r>
                <m:rPr>
                  <m:sty m:val="b"/>
                </m:rPr>
                <w:rPr>
                  <w:rFonts w:ascii="Cambria Math" w:hAnsi="Cambria Math"/>
                  <w:sz w:val="24"/>
                  <w:szCs w:val="24"/>
                </w:rPr>
                <m:t>Initial Investment + Final Investment</m:t>
              </m:r>
              <m:r>
                <m:rPr>
                  <m:sty m:val="b"/>
                </m:rPr>
                <w:rPr>
                  <w:rFonts w:ascii="Cambria Math"/>
                  <w:sz w:val="24"/>
                  <w:szCs w:val="24"/>
                </w:rPr>
                <m:t xml:space="preserve"> </m:t>
              </m:r>
            </m:num>
            <m:den>
              <m:r>
                <m:rPr>
                  <m:sty m:val="bi"/>
                </m:rPr>
                <w:rPr>
                  <w:rFonts w:ascii="Cambria Math" w:eastAsia="Times New Roman" w:hAnsi="Cambria Math" w:cs="Arial"/>
                  <w:sz w:val="24"/>
                  <w:szCs w:val="24"/>
                  <w:lang w:eastAsia="en-GB" w:bidi="ar-SA"/>
                </w:rPr>
                <m:t>2</m:t>
              </m:r>
            </m:den>
          </m:f>
          <m:r>
            <m:rPr>
              <m:sty m:val="bi"/>
            </m:rPr>
            <w:rPr>
              <w:rFonts w:ascii="Cambria Math" w:eastAsia="Times New Roman" w:hAnsi="Cambria Math" w:cs="Arial"/>
              <w:sz w:val="24"/>
              <w:szCs w:val="24"/>
              <w:lang w:eastAsia="en-GB" w:bidi="ar-SA"/>
            </w:rPr>
            <m:t>=</m:t>
          </m:r>
          <m:f>
            <m:fPr>
              <m:ctrlPr>
                <w:rPr>
                  <w:rFonts w:ascii="Cambria Math" w:eastAsia="Times New Roman" w:hAnsi="Cambria Math" w:cs="Arial"/>
                  <w:b/>
                  <w:bCs/>
                  <w:i/>
                  <w:sz w:val="24"/>
                  <w:szCs w:val="24"/>
                  <w:lang w:eastAsia="en-GB" w:bidi="ar-SA"/>
                </w:rPr>
              </m:ctrlPr>
            </m:fPr>
            <m:num>
              <m:r>
                <m:rPr>
                  <m:sty m:val="bi"/>
                </m:rPr>
                <w:rPr>
                  <w:rFonts w:ascii="Cambria Math" w:eastAsia="Times New Roman" w:hAnsi="Cambria Math" w:cs="Arial"/>
                  <w:sz w:val="24"/>
                  <w:szCs w:val="24"/>
                  <w:lang w:eastAsia="en-GB" w:bidi="ar-SA"/>
                </w:rPr>
                <m:t>80+0</m:t>
              </m:r>
            </m:num>
            <m:den>
              <m:r>
                <m:rPr>
                  <m:sty m:val="bi"/>
                </m:rPr>
                <w:rPr>
                  <w:rFonts w:ascii="Cambria Math" w:eastAsia="Times New Roman" w:hAnsi="Cambria Math" w:cs="Arial"/>
                  <w:sz w:val="24"/>
                  <w:szCs w:val="24"/>
                  <w:lang w:eastAsia="en-GB" w:bidi="ar-SA"/>
                </w:rPr>
                <m:t>2</m:t>
              </m:r>
            </m:den>
          </m:f>
          <m:r>
            <m:rPr>
              <m:sty m:val="bi"/>
            </m:rPr>
            <w:rPr>
              <w:rFonts w:ascii="Cambria Math" w:eastAsia="Times New Roman" w:hAnsi="Cambria Math" w:cs="Arial"/>
              <w:sz w:val="24"/>
              <w:szCs w:val="24"/>
              <w:lang w:eastAsia="en-GB" w:bidi="ar-SA"/>
            </w:rPr>
            <m:t>=</m:t>
          </m:r>
          <m:f>
            <m:fPr>
              <m:ctrlPr>
                <w:rPr>
                  <w:rFonts w:ascii="Cambria Math" w:eastAsia="Times New Roman" w:hAnsi="Cambria Math" w:cs="Arial"/>
                  <w:b/>
                  <w:bCs/>
                  <w:i/>
                  <w:sz w:val="24"/>
                  <w:szCs w:val="24"/>
                  <w:lang w:eastAsia="en-GB" w:bidi="ar-SA"/>
                </w:rPr>
              </m:ctrlPr>
            </m:fPr>
            <m:num>
              <m:r>
                <m:rPr>
                  <m:sty m:val="bi"/>
                </m:rPr>
                <w:rPr>
                  <w:rFonts w:ascii="Cambria Math" w:eastAsia="Times New Roman" w:hAnsi="Cambria Math" w:cs="Arial"/>
                  <w:sz w:val="24"/>
                  <w:szCs w:val="24"/>
                  <w:lang w:eastAsia="en-GB" w:bidi="ar-SA"/>
                </w:rPr>
                <m:t>80</m:t>
              </m:r>
            </m:num>
            <m:den>
              <m:r>
                <m:rPr>
                  <m:sty m:val="bi"/>
                </m:rPr>
                <w:rPr>
                  <w:rFonts w:ascii="Cambria Math" w:eastAsia="Times New Roman" w:hAnsi="Cambria Math" w:cs="Arial"/>
                  <w:sz w:val="24"/>
                  <w:szCs w:val="24"/>
                  <w:lang w:eastAsia="en-GB" w:bidi="ar-SA"/>
                </w:rPr>
                <m:t>2</m:t>
              </m:r>
            </m:den>
          </m:f>
          <m:r>
            <m:rPr>
              <m:sty m:val="bi"/>
            </m:rPr>
            <w:rPr>
              <w:rFonts w:ascii="Cambria Math" w:eastAsia="Times New Roman" w:hAnsi="Cambria Math" w:cs="Arial"/>
              <w:sz w:val="24"/>
              <w:szCs w:val="24"/>
              <w:lang w:eastAsia="en-GB" w:bidi="ar-SA"/>
            </w:rPr>
            <m:t>= 40</m:t>
          </m:r>
        </m:oMath>
      </m:oMathPara>
    </w:p>
    <w:p w14:paraId="01615549" w14:textId="77777777" w:rsidR="00FB5635" w:rsidRPr="00FB5635" w:rsidRDefault="00FB5635" w:rsidP="009C2BE2">
      <w:pPr>
        <w:spacing w:before="100" w:beforeAutospacing="1" w:after="100" w:afterAutospacing="1" w:line="360" w:lineRule="auto"/>
        <w:rPr>
          <w:rFonts w:ascii="Arial" w:eastAsia="Times New Roman" w:hAnsi="Arial" w:cs="Arial"/>
          <w:b/>
          <w:bCs/>
          <w:sz w:val="24"/>
          <w:szCs w:val="24"/>
          <w:lang w:eastAsia="en-GB" w:bidi="ar-SA"/>
        </w:rPr>
      </w:pPr>
    </w:p>
    <w:p w14:paraId="6FEF7804" w14:textId="4902D7C1" w:rsidR="009A4F50" w:rsidRPr="009C2BE2" w:rsidRDefault="00FB5635" w:rsidP="00FB5635">
      <w:pPr>
        <w:shd w:val="clear" w:color="auto" w:fill="C2D69B" w:themeFill="accent3" w:themeFillTint="99"/>
        <w:spacing w:before="100" w:beforeAutospacing="1" w:after="100" w:afterAutospacing="1" w:line="360" w:lineRule="auto"/>
        <w:rPr>
          <w:rFonts w:ascii="Arial" w:eastAsia="Times New Roman" w:hAnsi="Arial" w:cs="Arial"/>
          <w:b/>
          <w:bCs/>
          <w:sz w:val="24"/>
          <w:szCs w:val="24"/>
          <w:lang w:eastAsia="en-GB" w:bidi="ar-SA"/>
        </w:rPr>
      </w:pPr>
      <m:oMathPara>
        <m:oMath>
          <m:r>
            <m:rPr>
              <m:sty m:val="bi"/>
            </m:rPr>
            <w:rPr>
              <w:rFonts w:ascii="Cambria Math" w:eastAsia="Times New Roman" w:hAnsi="Cambria Math" w:cs="Arial"/>
              <w:sz w:val="24"/>
              <w:szCs w:val="24"/>
              <w:lang w:eastAsia="en-GB" w:bidi="ar-SA"/>
            </w:rPr>
            <m:t>APR=</m:t>
          </m:r>
          <m:f>
            <m:fPr>
              <m:ctrlPr>
                <w:rPr>
                  <w:rFonts w:ascii="Cambria Math" w:eastAsia="Times New Roman" w:hAnsi="Cambria Math" w:cs="Arial"/>
                  <w:b/>
                  <w:bCs/>
                  <w:i/>
                  <w:sz w:val="24"/>
                  <w:szCs w:val="24"/>
                  <w:lang w:eastAsia="en-GB" w:bidi="ar-SA"/>
                </w:rPr>
              </m:ctrlPr>
            </m:fPr>
            <m:num>
              <m:r>
                <m:rPr>
                  <m:sty m:val="bi"/>
                </m:rPr>
                <w:rPr>
                  <w:rFonts w:ascii="Cambria Math" w:eastAsia="Times New Roman" w:hAnsi="Cambria Math" w:cs="Arial"/>
                  <w:sz w:val="24"/>
                  <w:szCs w:val="24"/>
                  <w:lang w:eastAsia="en-GB" w:bidi="ar-SA"/>
                </w:rPr>
                <m:t>31.25</m:t>
              </m:r>
            </m:num>
            <m:den>
              <m:r>
                <m:rPr>
                  <m:sty m:val="bi"/>
                </m:rPr>
                <w:rPr>
                  <w:rFonts w:ascii="Cambria Math" w:eastAsia="Times New Roman" w:hAnsi="Cambria Math" w:cs="Arial"/>
                  <w:sz w:val="24"/>
                  <w:szCs w:val="24"/>
                  <w:lang w:eastAsia="en-GB" w:bidi="ar-SA"/>
                </w:rPr>
                <m:t>40</m:t>
              </m:r>
            </m:den>
          </m:f>
          <m:r>
            <m:rPr>
              <m:sty m:val="bi"/>
            </m:rPr>
            <w:rPr>
              <w:rFonts w:ascii="Cambria Math" w:eastAsia="Times New Roman" w:hAnsi="Cambria Math" w:cs="Arial"/>
              <w:sz w:val="24"/>
              <w:szCs w:val="24"/>
              <w:lang w:eastAsia="en-GB" w:bidi="ar-SA"/>
            </w:rPr>
            <m:t>×100=78.125</m:t>
          </m:r>
        </m:oMath>
      </m:oMathPara>
    </w:p>
    <w:p w14:paraId="47A32DE9" w14:textId="3431CB53" w:rsidR="009C2BE2" w:rsidRP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lastRenderedPageBreak/>
        <w:t xml:space="preserve">ARR for Project A </w:t>
      </w:r>
      <w:r w:rsidR="00FB5635">
        <w:rPr>
          <w:rFonts w:ascii="Arial" w:eastAsia="Times New Roman" w:hAnsi="Arial" w:cs="Arial"/>
          <w:sz w:val="24"/>
          <w:szCs w:val="24"/>
          <w:lang w:eastAsia="en-GB" w:bidi="ar-SA"/>
        </w:rPr>
        <w:t>is</w:t>
      </w:r>
      <w:r w:rsidRPr="009C2BE2">
        <w:rPr>
          <w:rFonts w:ascii="Arial" w:eastAsia="Times New Roman" w:hAnsi="Arial" w:cs="Arial"/>
          <w:sz w:val="24"/>
          <w:szCs w:val="24"/>
          <w:lang w:eastAsia="en-GB" w:bidi="ar-SA"/>
        </w:rPr>
        <w:t xml:space="preserve"> 78.125%</w:t>
      </w:r>
    </w:p>
    <w:p w14:paraId="304265F1" w14:textId="5405AB31" w:rsidR="00F252A8"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b/>
          <w:bCs/>
          <w:sz w:val="24"/>
          <w:szCs w:val="24"/>
          <w:lang w:eastAsia="en-GB" w:bidi="ar-SA"/>
        </w:rPr>
        <w:t>Project B:</w:t>
      </w:r>
      <w:r w:rsidRPr="009C2BE2">
        <w:rPr>
          <w:rFonts w:ascii="Arial" w:eastAsia="Times New Roman" w:hAnsi="Arial" w:cs="Arial"/>
          <w:sz w:val="24"/>
          <w:szCs w:val="24"/>
          <w:lang w:eastAsia="en-GB" w:bidi="ar-SA"/>
        </w:rPr>
        <w:t xml:space="preserve"> </w:t>
      </w:r>
    </w:p>
    <w:p w14:paraId="31058C20" w14:textId="77777777" w:rsidR="00F252A8" w:rsidRDefault="00F252A8" w:rsidP="00F252A8">
      <w:pPr>
        <w:spacing w:before="100" w:beforeAutospacing="1" w:after="100" w:afterAutospacing="1" w:line="360" w:lineRule="auto"/>
        <w:rPr>
          <w:rFonts w:ascii="Arial" w:eastAsia="Times New Roman" w:hAnsi="Arial" w:cs="Arial"/>
          <w:sz w:val="24"/>
          <w:szCs w:val="24"/>
          <w:lang w:eastAsia="en-GB" w:bidi="ar-SA"/>
        </w:rPr>
      </w:pPr>
    </w:p>
    <w:p w14:paraId="3CDD7ADF" w14:textId="0A41A5FE" w:rsidR="00F252A8" w:rsidRPr="009A4F50" w:rsidRDefault="00F252A8" w:rsidP="00F252A8">
      <w:pPr>
        <w:shd w:val="clear" w:color="auto" w:fill="DAEEF3" w:themeFill="accent5" w:themeFillTint="33"/>
        <w:spacing w:before="100" w:beforeAutospacing="1" w:after="100" w:afterAutospacing="1" w:line="360" w:lineRule="auto"/>
        <w:rPr>
          <w:rFonts w:ascii="Arial" w:eastAsia="Times New Roman" w:hAnsi="Arial" w:cs="Arial"/>
          <w:b/>
          <w:bCs/>
          <w:sz w:val="24"/>
          <w:szCs w:val="24"/>
          <w:lang w:eastAsia="en-GB" w:bidi="ar-SA"/>
        </w:rPr>
      </w:pPr>
      <m:oMathPara>
        <m:oMath>
          <m:r>
            <m:rPr>
              <m:sty m:val="b"/>
            </m:rPr>
            <w:rPr>
              <w:rFonts w:ascii="Cambria Math" w:eastAsia="Times New Roman" w:hAnsi="Cambria Math" w:cs="Arial"/>
              <w:sz w:val="24"/>
              <w:szCs w:val="24"/>
              <w:lang w:eastAsia="en-GB" w:bidi="ar-SA"/>
            </w:rPr>
            <m:t>Average Annual Profit=</m:t>
          </m:r>
          <m:f>
            <m:fPr>
              <m:ctrlPr>
                <w:rPr>
                  <w:rFonts w:ascii="Cambria Math" w:eastAsia="Times New Roman" w:hAnsi="Cambria Math" w:cs="Arial"/>
                  <w:b/>
                  <w:bCs/>
                  <w:sz w:val="24"/>
                  <w:szCs w:val="24"/>
                  <w:lang w:eastAsia="en-GB" w:bidi="ar-SA"/>
                </w:rPr>
              </m:ctrlPr>
            </m:fPr>
            <m:num>
              <m:r>
                <m:rPr>
                  <m:sty m:val="b"/>
                </m:rPr>
                <w:rPr>
                  <w:rFonts w:ascii="Cambria Math" w:eastAsia="Times New Roman" w:hAnsi="Cambria Math" w:cs="Arial"/>
                  <w:sz w:val="24"/>
                  <w:szCs w:val="24"/>
                  <w:lang w:eastAsia="en-GB" w:bidi="ar-SA"/>
                </w:rPr>
                <m:t xml:space="preserve">(50 + 20 + 20 + 20) </m:t>
              </m:r>
            </m:num>
            <m:den>
              <m:r>
                <m:rPr>
                  <m:sty m:val="bi"/>
                </m:rPr>
                <w:rPr>
                  <w:rFonts w:ascii="Cambria Math" w:eastAsia="Times New Roman" w:hAnsi="Cambria Math" w:cs="Arial"/>
                  <w:sz w:val="24"/>
                  <w:szCs w:val="24"/>
                  <w:lang w:eastAsia="en-GB" w:bidi="ar-SA"/>
                </w:rPr>
                <m:t>4</m:t>
              </m:r>
            </m:den>
          </m:f>
          <m:r>
            <m:rPr>
              <m:sty m:val="bi"/>
            </m:rPr>
            <w:rPr>
              <w:rFonts w:ascii="Cambria Math" w:eastAsia="Times New Roman" w:hAnsi="Cambria Math" w:cs="Arial"/>
              <w:sz w:val="24"/>
              <w:szCs w:val="24"/>
              <w:lang w:eastAsia="en-GB" w:bidi="ar-SA"/>
            </w:rPr>
            <m:t>=</m:t>
          </m:r>
          <m:f>
            <m:fPr>
              <m:ctrlPr>
                <w:rPr>
                  <w:rFonts w:ascii="Cambria Math" w:eastAsia="Times New Roman" w:hAnsi="Cambria Math" w:cs="Arial"/>
                  <w:b/>
                  <w:bCs/>
                  <w:i/>
                  <w:sz w:val="24"/>
                  <w:szCs w:val="24"/>
                  <w:lang w:eastAsia="en-GB" w:bidi="ar-SA"/>
                </w:rPr>
              </m:ctrlPr>
            </m:fPr>
            <m:num>
              <m:r>
                <m:rPr>
                  <m:sty m:val="bi"/>
                </m:rPr>
                <w:rPr>
                  <w:rFonts w:ascii="Cambria Math" w:eastAsia="Times New Roman" w:hAnsi="Cambria Math" w:cs="Arial"/>
                  <w:sz w:val="24"/>
                  <w:szCs w:val="24"/>
                  <w:lang w:eastAsia="en-GB" w:bidi="ar-SA"/>
                </w:rPr>
                <m:t>110</m:t>
              </m:r>
            </m:num>
            <m:den>
              <m:r>
                <m:rPr>
                  <m:sty m:val="bi"/>
                </m:rPr>
                <w:rPr>
                  <w:rFonts w:ascii="Cambria Math" w:eastAsia="Times New Roman" w:hAnsi="Cambria Math" w:cs="Arial"/>
                  <w:sz w:val="24"/>
                  <w:szCs w:val="24"/>
                  <w:lang w:eastAsia="en-GB" w:bidi="ar-SA"/>
                </w:rPr>
                <m:t>4</m:t>
              </m:r>
            </m:den>
          </m:f>
          <m:r>
            <m:rPr>
              <m:sty m:val="bi"/>
            </m:rPr>
            <w:rPr>
              <w:rFonts w:ascii="Cambria Math" w:eastAsia="Times New Roman" w:hAnsi="Cambria Math" w:cs="Arial"/>
              <w:sz w:val="24"/>
              <w:szCs w:val="24"/>
              <w:lang w:eastAsia="en-GB" w:bidi="ar-SA"/>
            </w:rPr>
            <m:t>=27.5</m:t>
          </m:r>
        </m:oMath>
      </m:oMathPara>
    </w:p>
    <w:p w14:paraId="17BF8F49" w14:textId="77777777" w:rsidR="00F252A8" w:rsidRDefault="00F252A8" w:rsidP="00F252A8">
      <w:pPr>
        <w:spacing w:before="100" w:beforeAutospacing="1" w:after="100" w:afterAutospacing="1" w:line="360" w:lineRule="auto"/>
        <w:rPr>
          <w:rFonts w:ascii="Arial" w:eastAsia="Times New Roman" w:hAnsi="Arial" w:cs="Arial"/>
          <w:sz w:val="24"/>
          <w:szCs w:val="24"/>
          <w:lang w:eastAsia="en-GB" w:bidi="ar-SA"/>
        </w:rPr>
      </w:pPr>
    </w:p>
    <w:p w14:paraId="2AE8A7EE" w14:textId="670A1E84" w:rsidR="00F252A8" w:rsidRPr="00FB5635" w:rsidRDefault="00F252A8" w:rsidP="00F252A8">
      <w:pPr>
        <w:shd w:val="clear" w:color="auto" w:fill="B6DDE8" w:themeFill="accent5" w:themeFillTint="66"/>
        <w:spacing w:before="100" w:beforeAutospacing="1" w:after="100" w:afterAutospacing="1" w:line="360" w:lineRule="auto"/>
        <w:rPr>
          <w:rFonts w:ascii="Arial" w:eastAsia="Times New Roman" w:hAnsi="Arial" w:cs="Arial"/>
          <w:b/>
          <w:bCs/>
          <w:sz w:val="24"/>
          <w:szCs w:val="24"/>
          <w:lang w:eastAsia="en-GB" w:bidi="ar-SA"/>
        </w:rPr>
      </w:pPr>
      <m:oMathPara>
        <m:oMath>
          <m:r>
            <m:rPr>
              <m:sty m:val="b"/>
            </m:rPr>
            <w:rPr>
              <w:rFonts w:ascii="Cambria Math" w:eastAsia="Times New Roman" w:hAnsi="Cambria Math" w:cs="Arial"/>
              <w:sz w:val="24"/>
              <w:szCs w:val="24"/>
              <w:lang w:eastAsia="en-GB" w:bidi="ar-SA"/>
            </w:rPr>
            <m:t>Average Investment=</m:t>
          </m:r>
          <m:f>
            <m:fPr>
              <m:ctrlPr>
                <w:rPr>
                  <w:rFonts w:ascii="Cambria Math" w:eastAsia="Times New Roman" w:hAnsi="Cambria Math" w:cs="Arial"/>
                  <w:b/>
                  <w:bCs/>
                  <w:sz w:val="24"/>
                  <w:szCs w:val="24"/>
                  <w:lang w:eastAsia="en-GB" w:bidi="ar-SA"/>
                </w:rPr>
              </m:ctrlPr>
            </m:fPr>
            <m:num>
              <m:r>
                <m:rPr>
                  <m:sty m:val="b"/>
                </m:rPr>
                <w:rPr>
                  <w:rFonts w:ascii="Cambria Math" w:hAnsi="Cambria Math"/>
                  <w:sz w:val="24"/>
                  <w:szCs w:val="24"/>
                </w:rPr>
                <m:t>Initial Investment + Final Investment</m:t>
              </m:r>
              <m:r>
                <m:rPr>
                  <m:sty m:val="b"/>
                </m:rPr>
                <w:rPr>
                  <w:rFonts w:ascii="Cambria Math"/>
                  <w:sz w:val="24"/>
                  <w:szCs w:val="24"/>
                </w:rPr>
                <m:t xml:space="preserve"> </m:t>
              </m:r>
            </m:num>
            <m:den>
              <m:r>
                <m:rPr>
                  <m:sty m:val="bi"/>
                </m:rPr>
                <w:rPr>
                  <w:rFonts w:ascii="Cambria Math" w:eastAsia="Times New Roman" w:hAnsi="Cambria Math" w:cs="Arial"/>
                  <w:sz w:val="24"/>
                  <w:szCs w:val="24"/>
                  <w:lang w:eastAsia="en-GB" w:bidi="ar-SA"/>
                </w:rPr>
                <m:t>2</m:t>
              </m:r>
            </m:den>
          </m:f>
          <m:r>
            <m:rPr>
              <m:sty m:val="bi"/>
            </m:rPr>
            <w:rPr>
              <w:rFonts w:ascii="Cambria Math" w:eastAsia="Times New Roman" w:hAnsi="Cambria Math" w:cs="Arial"/>
              <w:sz w:val="24"/>
              <w:szCs w:val="24"/>
              <w:lang w:eastAsia="en-GB" w:bidi="ar-SA"/>
            </w:rPr>
            <m:t>=</m:t>
          </m:r>
          <m:f>
            <m:fPr>
              <m:ctrlPr>
                <w:rPr>
                  <w:rFonts w:ascii="Cambria Math" w:eastAsia="Times New Roman" w:hAnsi="Cambria Math" w:cs="Arial"/>
                  <w:b/>
                  <w:bCs/>
                  <w:i/>
                  <w:sz w:val="24"/>
                  <w:szCs w:val="24"/>
                  <w:lang w:eastAsia="en-GB" w:bidi="ar-SA"/>
                </w:rPr>
              </m:ctrlPr>
            </m:fPr>
            <m:num>
              <m:r>
                <m:rPr>
                  <m:sty m:val="bi"/>
                </m:rPr>
                <w:rPr>
                  <w:rFonts w:ascii="Cambria Math" w:eastAsia="Times New Roman" w:hAnsi="Cambria Math" w:cs="Arial"/>
                  <w:sz w:val="24"/>
                  <w:szCs w:val="24"/>
                  <w:lang w:eastAsia="en-GB" w:bidi="ar-SA"/>
                </w:rPr>
                <m:t>75+0</m:t>
              </m:r>
            </m:num>
            <m:den>
              <m:r>
                <m:rPr>
                  <m:sty m:val="bi"/>
                </m:rPr>
                <w:rPr>
                  <w:rFonts w:ascii="Cambria Math" w:eastAsia="Times New Roman" w:hAnsi="Cambria Math" w:cs="Arial"/>
                  <w:sz w:val="24"/>
                  <w:szCs w:val="24"/>
                  <w:lang w:eastAsia="en-GB" w:bidi="ar-SA"/>
                </w:rPr>
                <m:t>2</m:t>
              </m:r>
            </m:den>
          </m:f>
          <m:r>
            <m:rPr>
              <m:sty m:val="bi"/>
            </m:rPr>
            <w:rPr>
              <w:rFonts w:ascii="Cambria Math" w:eastAsia="Times New Roman" w:hAnsi="Cambria Math" w:cs="Arial"/>
              <w:sz w:val="24"/>
              <w:szCs w:val="24"/>
              <w:lang w:eastAsia="en-GB" w:bidi="ar-SA"/>
            </w:rPr>
            <m:t>=</m:t>
          </m:r>
          <m:f>
            <m:fPr>
              <m:ctrlPr>
                <w:rPr>
                  <w:rFonts w:ascii="Cambria Math" w:eastAsia="Times New Roman" w:hAnsi="Cambria Math" w:cs="Arial"/>
                  <w:b/>
                  <w:bCs/>
                  <w:i/>
                  <w:sz w:val="24"/>
                  <w:szCs w:val="24"/>
                  <w:lang w:eastAsia="en-GB" w:bidi="ar-SA"/>
                </w:rPr>
              </m:ctrlPr>
            </m:fPr>
            <m:num>
              <m:r>
                <m:rPr>
                  <m:sty m:val="bi"/>
                </m:rPr>
                <w:rPr>
                  <w:rFonts w:ascii="Cambria Math" w:eastAsia="Times New Roman" w:hAnsi="Cambria Math" w:cs="Arial"/>
                  <w:sz w:val="24"/>
                  <w:szCs w:val="24"/>
                  <w:lang w:eastAsia="en-GB" w:bidi="ar-SA"/>
                </w:rPr>
                <m:t>75</m:t>
              </m:r>
            </m:num>
            <m:den>
              <m:r>
                <m:rPr>
                  <m:sty m:val="bi"/>
                </m:rPr>
                <w:rPr>
                  <w:rFonts w:ascii="Cambria Math" w:eastAsia="Times New Roman" w:hAnsi="Cambria Math" w:cs="Arial"/>
                  <w:sz w:val="24"/>
                  <w:szCs w:val="24"/>
                  <w:lang w:eastAsia="en-GB" w:bidi="ar-SA"/>
                </w:rPr>
                <m:t>2</m:t>
              </m:r>
            </m:den>
          </m:f>
          <m:r>
            <m:rPr>
              <m:sty m:val="bi"/>
            </m:rPr>
            <w:rPr>
              <w:rFonts w:ascii="Cambria Math" w:eastAsia="Times New Roman" w:hAnsi="Cambria Math" w:cs="Arial"/>
              <w:sz w:val="24"/>
              <w:szCs w:val="24"/>
              <w:lang w:eastAsia="en-GB" w:bidi="ar-SA"/>
            </w:rPr>
            <m:t>= 37.5</m:t>
          </m:r>
        </m:oMath>
      </m:oMathPara>
    </w:p>
    <w:p w14:paraId="3A7F2915" w14:textId="77777777" w:rsidR="00F252A8" w:rsidRPr="00FB5635" w:rsidRDefault="00F252A8" w:rsidP="00F252A8">
      <w:pPr>
        <w:spacing w:before="100" w:beforeAutospacing="1" w:after="100" w:afterAutospacing="1" w:line="360" w:lineRule="auto"/>
        <w:rPr>
          <w:rFonts w:ascii="Arial" w:eastAsia="Times New Roman" w:hAnsi="Arial" w:cs="Arial"/>
          <w:b/>
          <w:bCs/>
          <w:sz w:val="24"/>
          <w:szCs w:val="24"/>
          <w:lang w:eastAsia="en-GB" w:bidi="ar-SA"/>
        </w:rPr>
      </w:pPr>
    </w:p>
    <w:p w14:paraId="3B57D961" w14:textId="473D1CB4" w:rsidR="00F252A8" w:rsidRPr="009C2BE2" w:rsidRDefault="00F252A8" w:rsidP="00F252A8">
      <w:pPr>
        <w:shd w:val="clear" w:color="auto" w:fill="92CDDC" w:themeFill="accent5" w:themeFillTint="99"/>
        <w:spacing w:before="100" w:beforeAutospacing="1" w:after="100" w:afterAutospacing="1" w:line="360" w:lineRule="auto"/>
        <w:rPr>
          <w:rFonts w:ascii="Arial" w:eastAsia="Times New Roman" w:hAnsi="Arial" w:cs="Arial"/>
          <w:b/>
          <w:bCs/>
          <w:sz w:val="24"/>
          <w:szCs w:val="24"/>
          <w:lang w:eastAsia="en-GB" w:bidi="ar-SA"/>
        </w:rPr>
      </w:pPr>
      <m:oMathPara>
        <m:oMath>
          <m:r>
            <m:rPr>
              <m:sty m:val="bi"/>
            </m:rPr>
            <w:rPr>
              <w:rFonts w:ascii="Cambria Math" w:eastAsia="Times New Roman" w:hAnsi="Cambria Math" w:cs="Arial"/>
              <w:sz w:val="24"/>
              <w:szCs w:val="24"/>
              <w:lang w:eastAsia="en-GB" w:bidi="ar-SA"/>
            </w:rPr>
            <m:t>APR=</m:t>
          </m:r>
          <m:f>
            <m:fPr>
              <m:ctrlPr>
                <w:rPr>
                  <w:rFonts w:ascii="Cambria Math" w:eastAsia="Times New Roman" w:hAnsi="Cambria Math" w:cs="Arial"/>
                  <w:b/>
                  <w:bCs/>
                  <w:i/>
                  <w:sz w:val="24"/>
                  <w:szCs w:val="24"/>
                  <w:lang w:eastAsia="en-GB" w:bidi="ar-SA"/>
                </w:rPr>
              </m:ctrlPr>
            </m:fPr>
            <m:num>
              <m:r>
                <m:rPr>
                  <m:sty m:val="bi"/>
                </m:rPr>
                <w:rPr>
                  <w:rFonts w:ascii="Cambria Math" w:eastAsia="Times New Roman" w:hAnsi="Cambria Math" w:cs="Arial"/>
                  <w:sz w:val="24"/>
                  <w:szCs w:val="24"/>
                  <w:lang w:eastAsia="en-GB" w:bidi="ar-SA"/>
                </w:rPr>
                <m:t>27.5</m:t>
              </m:r>
            </m:num>
            <m:den>
              <m:r>
                <m:rPr>
                  <m:sty m:val="bi"/>
                </m:rPr>
                <w:rPr>
                  <w:rFonts w:ascii="Cambria Math" w:eastAsia="Times New Roman" w:hAnsi="Cambria Math" w:cs="Arial"/>
                  <w:sz w:val="24"/>
                  <w:szCs w:val="24"/>
                  <w:lang w:eastAsia="en-GB" w:bidi="ar-SA"/>
                </w:rPr>
                <m:t>37.5</m:t>
              </m:r>
            </m:den>
          </m:f>
          <m:r>
            <m:rPr>
              <m:sty m:val="bi"/>
            </m:rPr>
            <w:rPr>
              <w:rFonts w:ascii="Cambria Math" w:eastAsia="Times New Roman" w:hAnsi="Cambria Math" w:cs="Arial"/>
              <w:sz w:val="24"/>
              <w:szCs w:val="24"/>
              <w:lang w:eastAsia="en-GB" w:bidi="ar-SA"/>
            </w:rPr>
            <m:t>×100=73.33</m:t>
          </m:r>
        </m:oMath>
      </m:oMathPara>
    </w:p>
    <w:p w14:paraId="78856877" w14:textId="77777777" w:rsidR="00F252A8" w:rsidRDefault="00F252A8" w:rsidP="009C2BE2">
      <w:pPr>
        <w:spacing w:before="100" w:beforeAutospacing="1" w:after="100" w:afterAutospacing="1" w:line="360" w:lineRule="auto"/>
        <w:rPr>
          <w:rFonts w:ascii="Arial" w:eastAsia="Times New Roman" w:hAnsi="Arial" w:cs="Arial"/>
          <w:sz w:val="24"/>
          <w:szCs w:val="24"/>
          <w:lang w:eastAsia="en-GB" w:bidi="ar-SA"/>
        </w:rPr>
      </w:pPr>
    </w:p>
    <w:p w14:paraId="5DE5E456" w14:textId="300F8073" w:rsid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 xml:space="preserve">ARR for Project </w:t>
      </w:r>
      <w:proofErr w:type="gramStart"/>
      <w:r w:rsidRPr="009C2BE2">
        <w:rPr>
          <w:rFonts w:ascii="Arial" w:eastAsia="Times New Roman" w:hAnsi="Arial" w:cs="Arial"/>
          <w:sz w:val="24"/>
          <w:szCs w:val="24"/>
          <w:lang w:eastAsia="en-GB" w:bidi="ar-SA"/>
        </w:rPr>
        <w:t xml:space="preserve">B </w:t>
      </w:r>
      <w:r w:rsidR="00D80B1F">
        <w:rPr>
          <w:rFonts w:ascii="Arial" w:eastAsia="Times New Roman" w:hAnsi="Arial" w:cs="Arial"/>
          <w:sz w:val="24"/>
          <w:szCs w:val="24"/>
          <w:lang w:eastAsia="en-GB" w:bidi="ar-SA"/>
        </w:rPr>
        <w:t xml:space="preserve"> is</w:t>
      </w:r>
      <w:proofErr w:type="gramEnd"/>
      <w:r w:rsidR="00D80B1F">
        <w:rPr>
          <w:rFonts w:ascii="Arial" w:eastAsia="Times New Roman" w:hAnsi="Arial" w:cs="Arial"/>
          <w:sz w:val="24"/>
          <w:szCs w:val="24"/>
          <w:lang w:eastAsia="en-GB" w:bidi="ar-SA"/>
        </w:rPr>
        <w:t xml:space="preserve"> </w:t>
      </w:r>
      <w:r w:rsidRPr="009C2BE2">
        <w:rPr>
          <w:rFonts w:ascii="Arial" w:eastAsia="Times New Roman" w:hAnsi="Arial" w:cs="Arial"/>
          <w:sz w:val="24"/>
          <w:szCs w:val="24"/>
          <w:lang w:eastAsia="en-GB" w:bidi="ar-SA"/>
        </w:rPr>
        <w:t>73.333%</w:t>
      </w:r>
      <w:r w:rsidR="00D80B1F">
        <w:rPr>
          <w:rFonts w:ascii="Arial" w:eastAsia="Times New Roman" w:hAnsi="Arial" w:cs="Arial"/>
          <w:sz w:val="24"/>
          <w:szCs w:val="24"/>
          <w:lang w:eastAsia="en-GB" w:bidi="ar-SA"/>
        </w:rPr>
        <w:t>.</w:t>
      </w:r>
    </w:p>
    <w:p w14:paraId="5DBF910C" w14:textId="010D3C43" w:rsidR="00D91FA1" w:rsidRDefault="00D91FA1" w:rsidP="00D91FA1">
      <w:pPr>
        <w:spacing w:before="100" w:beforeAutospacing="1" w:after="100" w:afterAutospacing="1" w:line="360" w:lineRule="auto"/>
        <w:rPr>
          <w:rFonts w:ascii="Arial" w:hAnsi="Arial" w:cs="Arial"/>
          <w:sz w:val="24"/>
          <w:szCs w:val="24"/>
        </w:rPr>
      </w:pPr>
      <w:r w:rsidRPr="00D91FA1">
        <w:rPr>
          <w:rFonts w:ascii="Arial" w:hAnsi="Arial" w:cs="Arial"/>
          <w:sz w:val="24"/>
          <w:szCs w:val="24"/>
        </w:rPr>
        <w:t xml:space="preserve">When comparing the ARR values, a higher percentage indicates a relatively higher average annual profit </w:t>
      </w:r>
      <w:r>
        <w:rPr>
          <w:rFonts w:ascii="Arial" w:hAnsi="Arial" w:cs="Arial"/>
          <w:sz w:val="24"/>
          <w:szCs w:val="24"/>
        </w:rPr>
        <w:t>from</w:t>
      </w:r>
      <w:r w:rsidRPr="00D91FA1">
        <w:rPr>
          <w:rFonts w:ascii="Arial" w:hAnsi="Arial" w:cs="Arial"/>
          <w:sz w:val="24"/>
          <w:szCs w:val="24"/>
        </w:rPr>
        <w:t xml:space="preserve"> the investment </w:t>
      </w:r>
      <w:r>
        <w:rPr>
          <w:rFonts w:ascii="Arial" w:hAnsi="Arial" w:cs="Arial"/>
          <w:sz w:val="24"/>
          <w:szCs w:val="24"/>
        </w:rPr>
        <w:t>concerning</w:t>
      </w:r>
      <w:r w:rsidRPr="00D91FA1">
        <w:rPr>
          <w:rFonts w:ascii="Arial" w:hAnsi="Arial" w:cs="Arial"/>
          <w:sz w:val="24"/>
          <w:szCs w:val="24"/>
        </w:rPr>
        <w:t xml:space="preserve"> the average investment cost. Therefore, based on the ARR metric alone, Project A</w:t>
      </w:r>
      <w:r>
        <w:rPr>
          <w:rFonts w:ascii="Arial" w:hAnsi="Arial" w:cs="Arial"/>
          <w:sz w:val="24"/>
          <w:szCs w:val="24"/>
        </w:rPr>
        <w:t>,</w:t>
      </w:r>
      <w:r w:rsidRPr="00D91FA1">
        <w:rPr>
          <w:rFonts w:ascii="Arial" w:hAnsi="Arial" w:cs="Arial"/>
          <w:sz w:val="24"/>
          <w:szCs w:val="24"/>
        </w:rPr>
        <w:t xml:space="preserve"> with an ARR of 78.125%</w:t>
      </w:r>
      <w:r>
        <w:rPr>
          <w:rFonts w:ascii="Arial" w:hAnsi="Arial" w:cs="Arial"/>
          <w:sz w:val="24"/>
          <w:szCs w:val="24"/>
        </w:rPr>
        <w:t>,</w:t>
      </w:r>
      <w:r w:rsidRPr="00D91FA1">
        <w:rPr>
          <w:rFonts w:ascii="Arial" w:hAnsi="Arial" w:cs="Arial"/>
          <w:sz w:val="24"/>
          <w:szCs w:val="24"/>
        </w:rPr>
        <w:t xml:space="preserve"> appears to have a higher profit potential </w:t>
      </w:r>
      <w:r>
        <w:rPr>
          <w:rFonts w:ascii="Arial" w:hAnsi="Arial" w:cs="Arial"/>
          <w:sz w:val="24"/>
          <w:szCs w:val="24"/>
        </w:rPr>
        <w:t>than</w:t>
      </w:r>
      <w:r w:rsidRPr="00D91FA1">
        <w:rPr>
          <w:rFonts w:ascii="Arial" w:hAnsi="Arial" w:cs="Arial"/>
          <w:sz w:val="24"/>
          <w:szCs w:val="24"/>
        </w:rPr>
        <w:t xml:space="preserve"> Project B</w:t>
      </w:r>
      <w:r>
        <w:rPr>
          <w:rFonts w:ascii="Arial" w:hAnsi="Arial" w:cs="Arial"/>
          <w:sz w:val="24"/>
          <w:szCs w:val="24"/>
        </w:rPr>
        <w:t>,</w:t>
      </w:r>
      <w:r w:rsidRPr="00D91FA1">
        <w:rPr>
          <w:rFonts w:ascii="Arial" w:hAnsi="Arial" w:cs="Arial"/>
          <w:sz w:val="24"/>
          <w:szCs w:val="24"/>
        </w:rPr>
        <w:t xml:space="preserve"> with an ARR of 73.333%.</w:t>
      </w:r>
    </w:p>
    <w:p w14:paraId="2E6F3123" w14:textId="26686D71" w:rsidR="00D91FA1" w:rsidRPr="00011676" w:rsidRDefault="00D91FA1" w:rsidP="00D91FA1">
      <w:pPr>
        <w:spacing w:before="100" w:beforeAutospacing="1" w:after="100" w:afterAutospacing="1" w:line="360" w:lineRule="auto"/>
        <w:rPr>
          <w:rFonts w:ascii="Arial" w:eastAsia="Times New Roman" w:hAnsi="Arial" w:cs="Arial"/>
          <w:b/>
          <w:bCs/>
          <w:sz w:val="24"/>
          <w:szCs w:val="24"/>
          <w:lang w:eastAsia="en-GB" w:bidi="ar-SA"/>
        </w:rPr>
      </w:pPr>
      <w:r w:rsidRPr="00011676">
        <w:rPr>
          <w:rFonts w:ascii="Arial" w:eastAsia="Times New Roman" w:hAnsi="Arial" w:cs="Arial"/>
          <w:b/>
          <w:bCs/>
          <w:sz w:val="24"/>
          <w:szCs w:val="24"/>
          <w:lang w:eastAsia="en-GB" w:bidi="ar-SA"/>
        </w:rPr>
        <w:t>Accounting Rate of Return (ARR) Advantages:</w:t>
      </w:r>
    </w:p>
    <w:p w14:paraId="267B4C3B" w14:textId="4B84028A" w:rsidR="00013FA5" w:rsidRDefault="00D91FA1" w:rsidP="00013FA5">
      <w:pPr>
        <w:shd w:val="clear" w:color="auto" w:fill="FFFFFF"/>
        <w:spacing w:line="360" w:lineRule="auto"/>
        <w:rPr>
          <w:rFonts w:ascii="Arial" w:eastAsia="Times New Roman" w:hAnsi="Arial" w:cs="Arial"/>
          <w:color w:val="000000"/>
          <w:sz w:val="24"/>
          <w:szCs w:val="24"/>
          <w:lang w:eastAsia="en-GB" w:bidi="ar-SA"/>
        </w:rPr>
      </w:pPr>
      <w:r w:rsidRPr="00013FA5">
        <w:rPr>
          <w:rFonts w:ascii="Arial" w:eastAsia="Times New Roman" w:hAnsi="Arial" w:cs="Arial"/>
          <w:sz w:val="24"/>
          <w:szCs w:val="24"/>
          <w:lang w:eastAsia="en-GB" w:bidi="ar-SA"/>
        </w:rPr>
        <w:t>This financial metric is an easy and familiar method to evaluate investment projects as it focuses on profitability by comparing th</w:t>
      </w:r>
      <w:r w:rsidR="00545274">
        <w:rPr>
          <w:rFonts w:ascii="Arial" w:eastAsia="Times New Roman" w:hAnsi="Arial" w:cs="Arial"/>
          <w:sz w:val="24"/>
          <w:szCs w:val="24"/>
          <w:lang w:eastAsia="en-GB" w:bidi="ar-SA"/>
        </w:rPr>
        <w:t>e</w:t>
      </w:r>
      <w:r w:rsidRPr="00013FA5">
        <w:rPr>
          <w:rFonts w:ascii="Arial" w:eastAsia="Times New Roman" w:hAnsi="Arial" w:cs="Arial"/>
          <w:sz w:val="24"/>
          <w:szCs w:val="24"/>
          <w:lang w:eastAsia="en-GB" w:bidi="ar-SA"/>
        </w:rPr>
        <w:t xml:space="preserve"> average annual profit to the average investment cost. It is expressed as a percentage, making it easier to interpret and compare with other investment opportunities. APR is helpful as an initial screening tool to assess the viability of investment projects quickly, and it integrates financial data from the accounting system, which is easy to calculate and understand, making it useful for accounting-based decision-making</w:t>
      </w:r>
      <w:r w:rsidR="00013FA5" w:rsidRPr="00013FA5">
        <w:rPr>
          <w:rFonts w:ascii="Arial" w:hAnsi="Arial" w:cs="Arial"/>
          <w:color w:val="000000"/>
        </w:rPr>
        <w:t xml:space="preserve"> </w:t>
      </w:r>
      <w:r w:rsidR="00013FA5" w:rsidRPr="00013FA5">
        <w:rPr>
          <w:rFonts w:ascii="Arial" w:eastAsia="Times New Roman" w:hAnsi="Arial" w:cs="Arial"/>
          <w:color w:val="000000"/>
          <w:sz w:val="24"/>
          <w:szCs w:val="24"/>
          <w:lang w:eastAsia="en-GB" w:bidi="ar-SA"/>
        </w:rPr>
        <w:t>(Arnold, 2013, p.568)</w:t>
      </w:r>
      <w:r w:rsidR="00545274">
        <w:rPr>
          <w:rFonts w:ascii="Arial" w:eastAsia="Times New Roman" w:hAnsi="Arial" w:cs="Arial"/>
          <w:color w:val="000000"/>
          <w:sz w:val="24"/>
          <w:szCs w:val="24"/>
          <w:lang w:eastAsia="en-GB" w:bidi="ar-SA"/>
        </w:rPr>
        <w:t>.</w:t>
      </w:r>
    </w:p>
    <w:p w14:paraId="08A59C1B" w14:textId="4E2FBAEE" w:rsidR="00545274" w:rsidRPr="00011676" w:rsidRDefault="00011676" w:rsidP="00013FA5">
      <w:pPr>
        <w:shd w:val="clear" w:color="auto" w:fill="FFFFFF"/>
        <w:spacing w:line="360" w:lineRule="auto"/>
        <w:rPr>
          <w:rFonts w:ascii="Arial" w:eastAsia="Times New Roman" w:hAnsi="Arial" w:cs="Arial"/>
          <w:b/>
          <w:bCs/>
          <w:color w:val="000000"/>
          <w:sz w:val="24"/>
          <w:szCs w:val="24"/>
          <w:lang w:eastAsia="en-GB" w:bidi="ar-SA"/>
        </w:rPr>
      </w:pPr>
      <w:r w:rsidRPr="00011676">
        <w:rPr>
          <w:rFonts w:ascii="Arial" w:eastAsia="Times New Roman" w:hAnsi="Arial" w:cs="Arial"/>
          <w:b/>
          <w:bCs/>
          <w:color w:val="000000"/>
          <w:sz w:val="24"/>
          <w:szCs w:val="24"/>
          <w:lang w:eastAsia="en-GB" w:bidi="ar-SA"/>
        </w:rPr>
        <w:t>Disadvantages of APR:</w:t>
      </w:r>
    </w:p>
    <w:p w14:paraId="29C821FF" w14:textId="138F30D5" w:rsidR="00D91FA1" w:rsidRPr="00D6265E" w:rsidRDefault="002F3D57" w:rsidP="00D6265E">
      <w:pPr>
        <w:shd w:val="clear" w:color="auto" w:fill="FFFFFF"/>
        <w:spacing w:line="360" w:lineRule="auto"/>
        <w:rPr>
          <w:rFonts w:ascii="Arial" w:eastAsia="Times New Roman" w:hAnsi="Arial" w:cs="Arial"/>
          <w:color w:val="000000"/>
          <w:sz w:val="24"/>
          <w:szCs w:val="24"/>
          <w:lang w:eastAsia="en-GB" w:bidi="ar-SA"/>
        </w:rPr>
      </w:pPr>
      <w:r w:rsidRPr="002F3D57">
        <w:rPr>
          <w:rFonts w:ascii="Arial" w:hAnsi="Arial" w:cs="Arial"/>
          <w:sz w:val="24"/>
          <w:szCs w:val="24"/>
        </w:rPr>
        <w:lastRenderedPageBreak/>
        <w:t>Accounting Rate of Return (ARR) in investment evaluations has certain drawbacks. Subjective estimates and assumptions involved in calculating average profit and average investment can introduce bias and inconsistency when comparing different projects (Baker &amp; Powell, 2005). Brigham &amp; Ehrhardt</w:t>
      </w:r>
      <w:r>
        <w:rPr>
          <w:rFonts w:ascii="Arial" w:hAnsi="Arial" w:cs="Arial"/>
          <w:sz w:val="24"/>
          <w:szCs w:val="24"/>
        </w:rPr>
        <w:t xml:space="preserve"> (</w:t>
      </w:r>
      <w:r w:rsidRPr="002F3D57">
        <w:rPr>
          <w:rFonts w:ascii="Arial" w:hAnsi="Arial" w:cs="Arial"/>
          <w:sz w:val="24"/>
          <w:szCs w:val="24"/>
        </w:rPr>
        <w:t>2019)</w:t>
      </w:r>
      <w:r>
        <w:rPr>
          <w:rFonts w:ascii="Arial" w:hAnsi="Arial" w:cs="Arial"/>
          <w:sz w:val="24"/>
          <w:szCs w:val="24"/>
        </w:rPr>
        <w:t xml:space="preserve"> argued that </w:t>
      </w:r>
      <w:r w:rsidRPr="002F3D57">
        <w:rPr>
          <w:rFonts w:ascii="Arial" w:hAnsi="Arial" w:cs="Arial"/>
          <w:sz w:val="24"/>
          <w:szCs w:val="24"/>
        </w:rPr>
        <w:t>ARR overlooks the time value of money, leading to distorted investment decisions</w:t>
      </w:r>
      <w:r>
        <w:rPr>
          <w:rFonts w:ascii="Arial" w:hAnsi="Arial" w:cs="Arial"/>
          <w:sz w:val="24"/>
          <w:szCs w:val="24"/>
        </w:rPr>
        <w:t>.</w:t>
      </w:r>
      <w:r w:rsidRPr="002F3D57">
        <w:rPr>
          <w:rFonts w:ascii="Arial" w:hAnsi="Arial" w:cs="Arial"/>
          <w:sz w:val="24"/>
          <w:szCs w:val="24"/>
        </w:rPr>
        <w:t xml:space="preserve"> It also ignores cash flow timing and treats all cash flows equally, potentially miscalculating project profitability (Dayananda et al., 2002). Using accounting profit instead of cash flows can cause discrepancies between reported profitability and actual financial impact (Drury, 2017). Furthermore, ARR assumes equal project durations, which may not be accurate, impacting project duration comparisons (Damodaran, 2012). Considering these limitations, it is advisable to supplement ARR with other evaluation techniques for a more comprehensive analysis of investment projects.</w:t>
      </w:r>
    </w:p>
    <w:p w14:paraId="5775A59C" w14:textId="65640381" w:rsidR="009C2BE2" w:rsidRDefault="009C2BE2" w:rsidP="00D6265E">
      <w:pPr>
        <w:spacing w:before="100" w:beforeAutospacing="1" w:after="100" w:afterAutospacing="1" w:line="360" w:lineRule="auto"/>
        <w:rPr>
          <w:rFonts w:ascii="Arial" w:eastAsia="Times New Roman" w:hAnsi="Arial" w:cs="Arial"/>
          <w:b/>
          <w:bCs/>
          <w:sz w:val="24"/>
          <w:szCs w:val="24"/>
          <w:lang w:eastAsia="en-GB" w:bidi="ar-SA"/>
        </w:rPr>
      </w:pPr>
      <w:r w:rsidRPr="009C2BE2">
        <w:rPr>
          <w:rFonts w:ascii="Arial" w:eastAsia="Times New Roman" w:hAnsi="Arial" w:cs="Arial"/>
          <w:b/>
          <w:bCs/>
          <w:sz w:val="24"/>
          <w:szCs w:val="24"/>
          <w:lang w:eastAsia="en-GB" w:bidi="ar-SA"/>
        </w:rPr>
        <w:t>Net Present Value (NPV)</w:t>
      </w:r>
    </w:p>
    <w:p w14:paraId="48E7677F" w14:textId="3AE781CA" w:rsidR="00D6265E" w:rsidRPr="009C2BE2" w:rsidRDefault="00D6265E" w:rsidP="00D6265E">
      <w:pPr>
        <w:shd w:val="clear" w:color="auto" w:fill="FFFFFF"/>
        <w:spacing w:line="360" w:lineRule="auto"/>
        <w:rPr>
          <w:rFonts w:ascii="Arial" w:eastAsia="Times New Roman" w:hAnsi="Arial" w:cs="Arial"/>
          <w:color w:val="000000"/>
          <w:sz w:val="24"/>
          <w:szCs w:val="24"/>
          <w:lang w:eastAsia="en-GB" w:bidi="ar-SA"/>
        </w:rPr>
      </w:pPr>
      <w:r w:rsidRPr="00D6265E">
        <w:rPr>
          <w:rFonts w:ascii="Arial" w:hAnsi="Arial" w:cs="Arial"/>
          <w:sz w:val="24"/>
          <w:szCs w:val="24"/>
        </w:rPr>
        <w:t>Net Present Value (NPV) is a financial metric used to evaluate the profitability of an investment or project by comparing the present value of cash inflows with the present value of cash outflows. It considers the time value of money, recognising that a dollar received in the future is worth less than a dollar received today</w:t>
      </w:r>
      <w:r w:rsidRPr="00D6265E">
        <w:rPr>
          <w:rFonts w:ascii="Arial" w:hAnsi="Arial" w:cs="Arial"/>
          <w:color w:val="000000"/>
        </w:rPr>
        <w:t xml:space="preserve"> </w:t>
      </w:r>
      <w:r w:rsidRPr="00D6265E">
        <w:rPr>
          <w:rFonts w:ascii="Arial" w:eastAsia="Times New Roman" w:hAnsi="Arial" w:cs="Arial"/>
          <w:color w:val="000000"/>
          <w:sz w:val="24"/>
          <w:szCs w:val="24"/>
          <w:lang w:eastAsia="en-GB" w:bidi="ar-SA"/>
        </w:rPr>
        <w:t xml:space="preserve">(Berk and </w:t>
      </w:r>
      <w:proofErr w:type="spellStart"/>
      <w:r w:rsidRPr="00D6265E">
        <w:rPr>
          <w:rFonts w:ascii="Arial" w:eastAsia="Times New Roman" w:hAnsi="Arial" w:cs="Arial"/>
          <w:color w:val="000000"/>
          <w:sz w:val="24"/>
          <w:szCs w:val="24"/>
          <w:lang w:eastAsia="en-GB" w:bidi="ar-SA"/>
        </w:rPr>
        <w:t>Demarzo</w:t>
      </w:r>
      <w:proofErr w:type="spellEnd"/>
      <w:r w:rsidRPr="00D6265E">
        <w:rPr>
          <w:rFonts w:ascii="Arial" w:eastAsia="Times New Roman" w:hAnsi="Arial" w:cs="Arial"/>
          <w:color w:val="000000"/>
          <w:sz w:val="24"/>
          <w:szCs w:val="24"/>
          <w:lang w:eastAsia="en-GB" w:bidi="ar-SA"/>
        </w:rPr>
        <w:t>, 2019)</w:t>
      </w:r>
      <w:r w:rsidRPr="00D6265E">
        <w:rPr>
          <w:rFonts w:ascii="Arial" w:hAnsi="Arial" w:cs="Arial"/>
          <w:sz w:val="24"/>
          <w:szCs w:val="24"/>
        </w:rPr>
        <w:t>.</w:t>
      </w:r>
    </w:p>
    <w:p w14:paraId="575F40DD" w14:textId="77777777" w:rsidR="009C2BE2" w:rsidRP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NPV is calculated by discounting the cash flows using the cost of capital and summing them up.</w:t>
      </w:r>
    </w:p>
    <w:p w14:paraId="7C484D67" w14:textId="77777777" w:rsidR="009C2BE2" w:rsidRP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 xml:space="preserve">Discounted Cash Flows for Project A: Year 0: -80 / (1 + </w:t>
      </w:r>
      <w:proofErr w:type="gramStart"/>
      <w:r w:rsidRPr="009C2BE2">
        <w:rPr>
          <w:rFonts w:ascii="Arial" w:eastAsia="Times New Roman" w:hAnsi="Arial" w:cs="Arial"/>
          <w:sz w:val="24"/>
          <w:szCs w:val="24"/>
          <w:lang w:eastAsia="en-GB" w:bidi="ar-SA"/>
        </w:rPr>
        <w:t>0.0975)^</w:t>
      </w:r>
      <w:proofErr w:type="gramEnd"/>
      <w:r w:rsidRPr="009C2BE2">
        <w:rPr>
          <w:rFonts w:ascii="Arial" w:eastAsia="Times New Roman" w:hAnsi="Arial" w:cs="Arial"/>
          <w:sz w:val="24"/>
          <w:szCs w:val="24"/>
          <w:lang w:eastAsia="en-GB" w:bidi="ar-SA"/>
        </w:rPr>
        <w:t>0 = -80 Year 1: 25 / (1 + 0.0975)^1 = 22.77 Year 2: 25 / (1 + 0.0975)^2 = 20.76 Year 3: 20 / (1 + 0.0975)^3 = 16.34 Year 4: 55 / (1 + 0.0975)^4 = 40.15</w:t>
      </w:r>
    </w:p>
    <w:p w14:paraId="7CCE5091" w14:textId="77777777" w:rsidR="009C2BE2" w:rsidRP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NPV for Project A = -80 + 22.77 + 20.76 + 16.34 + 40.15 = 20.02</w:t>
      </w:r>
    </w:p>
    <w:p w14:paraId="11F5B71A" w14:textId="77777777" w:rsidR="009C2BE2" w:rsidRP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 xml:space="preserve">Discounted Cash Flows for Project B: Year 0: -75 / (1 + </w:t>
      </w:r>
      <w:proofErr w:type="gramStart"/>
      <w:r w:rsidRPr="009C2BE2">
        <w:rPr>
          <w:rFonts w:ascii="Arial" w:eastAsia="Times New Roman" w:hAnsi="Arial" w:cs="Arial"/>
          <w:sz w:val="24"/>
          <w:szCs w:val="24"/>
          <w:lang w:eastAsia="en-GB" w:bidi="ar-SA"/>
        </w:rPr>
        <w:t>0.0975)^</w:t>
      </w:r>
      <w:proofErr w:type="gramEnd"/>
      <w:r w:rsidRPr="009C2BE2">
        <w:rPr>
          <w:rFonts w:ascii="Arial" w:eastAsia="Times New Roman" w:hAnsi="Arial" w:cs="Arial"/>
          <w:sz w:val="24"/>
          <w:szCs w:val="24"/>
          <w:lang w:eastAsia="en-GB" w:bidi="ar-SA"/>
        </w:rPr>
        <w:t>0 = -75 Year 1: 50 / (1 + 0.0975)^1 = 45.74 Year 2: 20 / (1 + 0.0975)^2 = 17.43 Year 3: 20 / (1 + 0.0975)^3 = 15.30 Year 4: 20 / (1 + 0.0975)^4 = 13.42</w:t>
      </w:r>
    </w:p>
    <w:p w14:paraId="1A7E0DA1" w14:textId="77777777" w:rsidR="009C2BE2" w:rsidRP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NPV for Project B = -75 + 45.74 + 17.43 + 15.30 + 13.42 = 16.89</w:t>
      </w:r>
    </w:p>
    <w:p w14:paraId="70DDA144" w14:textId="77777777" w:rsidR="009C2BE2" w:rsidRP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Evaluation and Recommendation:</w:t>
      </w:r>
    </w:p>
    <w:p w14:paraId="0180AE5C" w14:textId="41095C57" w:rsidR="009C2BE2" w:rsidRPr="009C2BE2" w:rsidRDefault="009C2BE2" w:rsidP="009C2BE2">
      <w:pPr>
        <w:numPr>
          <w:ilvl w:val="0"/>
          <w:numId w:val="17"/>
        </w:num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lastRenderedPageBreak/>
        <w:t xml:space="preserve">Payback Period (PBP): Both projects have a payback period of 3 years, indicating that the initial </w:t>
      </w:r>
      <w:r w:rsidR="00D91FA1">
        <w:rPr>
          <w:rFonts w:ascii="Arial" w:eastAsia="Times New Roman" w:hAnsi="Arial" w:cs="Arial"/>
          <w:sz w:val="24"/>
          <w:szCs w:val="24"/>
          <w:lang w:eastAsia="en-GB" w:bidi="ar-SA"/>
        </w:rPr>
        <w:t>i</w:t>
      </w:r>
      <w:r w:rsidRPr="009C2BE2">
        <w:rPr>
          <w:rFonts w:ascii="Arial" w:eastAsia="Times New Roman" w:hAnsi="Arial" w:cs="Arial"/>
          <w:sz w:val="24"/>
          <w:szCs w:val="24"/>
          <w:lang w:eastAsia="en-GB" w:bidi="ar-SA"/>
        </w:rPr>
        <w:t>nvestment is recovered within the same time frame. Therefore, from a payback perspective, both projects are equal.</w:t>
      </w:r>
    </w:p>
    <w:p w14:paraId="40ADAE41" w14:textId="6439BC28" w:rsidR="009C2BE2" w:rsidRPr="009C2BE2" w:rsidRDefault="009C2BE2" w:rsidP="009C2BE2">
      <w:pPr>
        <w:numPr>
          <w:ilvl w:val="0"/>
          <w:numId w:val="17"/>
        </w:num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 xml:space="preserve">Accounting Rate of Return (ARR): Project A has a higher ARR of 78.125% compared to Project B's ARR of 73.333%. This indicates that Project A generates </w:t>
      </w:r>
      <w:r>
        <w:rPr>
          <w:rFonts w:ascii="Arial" w:eastAsia="Times New Roman" w:hAnsi="Arial" w:cs="Arial"/>
          <w:sz w:val="24"/>
          <w:szCs w:val="24"/>
          <w:lang w:eastAsia="en-GB" w:bidi="ar-SA"/>
        </w:rPr>
        <w:t xml:space="preserve">a </w:t>
      </w:r>
      <w:r w:rsidRPr="009C2BE2">
        <w:rPr>
          <w:rFonts w:ascii="Arial" w:eastAsia="Times New Roman" w:hAnsi="Arial" w:cs="Arial"/>
          <w:sz w:val="24"/>
          <w:szCs w:val="24"/>
          <w:lang w:eastAsia="en-GB" w:bidi="ar-SA"/>
        </w:rPr>
        <w:t xml:space="preserve">higher average annual profit </w:t>
      </w:r>
      <w:r>
        <w:rPr>
          <w:rFonts w:ascii="Arial" w:eastAsia="Times New Roman" w:hAnsi="Arial" w:cs="Arial"/>
          <w:sz w:val="24"/>
          <w:szCs w:val="24"/>
          <w:lang w:eastAsia="en-GB" w:bidi="ar-SA"/>
        </w:rPr>
        <w:t>than</w:t>
      </w:r>
      <w:r w:rsidRPr="009C2BE2">
        <w:rPr>
          <w:rFonts w:ascii="Arial" w:eastAsia="Times New Roman" w:hAnsi="Arial" w:cs="Arial"/>
          <w:sz w:val="24"/>
          <w:szCs w:val="24"/>
          <w:lang w:eastAsia="en-GB" w:bidi="ar-SA"/>
        </w:rPr>
        <w:t xml:space="preserve"> the average </w:t>
      </w:r>
      <w:r w:rsidR="00FB5635">
        <w:rPr>
          <w:rFonts w:ascii="Arial" w:eastAsia="Times New Roman" w:hAnsi="Arial" w:cs="Arial"/>
          <w:sz w:val="24"/>
          <w:szCs w:val="24"/>
          <w:lang w:eastAsia="en-GB" w:bidi="ar-SA"/>
        </w:rPr>
        <w:t>I</w:t>
      </w:r>
      <w:r w:rsidRPr="009C2BE2">
        <w:rPr>
          <w:rFonts w:ascii="Arial" w:eastAsia="Times New Roman" w:hAnsi="Arial" w:cs="Arial"/>
          <w:sz w:val="24"/>
          <w:szCs w:val="24"/>
          <w:lang w:eastAsia="en-GB" w:bidi="ar-SA"/>
        </w:rPr>
        <w:t>nvestment. Therefore, based on ARR, Project A appears more favo</w:t>
      </w:r>
      <w:r>
        <w:rPr>
          <w:rFonts w:ascii="Arial" w:eastAsia="Times New Roman" w:hAnsi="Arial" w:cs="Arial"/>
          <w:sz w:val="24"/>
          <w:szCs w:val="24"/>
          <w:lang w:eastAsia="en-GB" w:bidi="ar-SA"/>
        </w:rPr>
        <w:t>u</w:t>
      </w:r>
      <w:r w:rsidRPr="009C2BE2">
        <w:rPr>
          <w:rFonts w:ascii="Arial" w:eastAsia="Times New Roman" w:hAnsi="Arial" w:cs="Arial"/>
          <w:sz w:val="24"/>
          <w:szCs w:val="24"/>
          <w:lang w:eastAsia="en-GB" w:bidi="ar-SA"/>
        </w:rPr>
        <w:t>rable.</w:t>
      </w:r>
    </w:p>
    <w:p w14:paraId="6202BB3F" w14:textId="77777777" w:rsidR="009C2BE2" w:rsidRPr="009C2BE2" w:rsidRDefault="009C2BE2" w:rsidP="009C2BE2">
      <w:pPr>
        <w:numPr>
          <w:ilvl w:val="0"/>
          <w:numId w:val="17"/>
        </w:num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Net Present Value (NPV): Project A has an NPV of 20.02, while Project B has an NPV of 16.89. Positive NPV values indicate that the projects are expected to generate returns greater than the cost of capital. Based on NPV, Project A has a higher value, suggesting it may be more financially attractive.</w:t>
      </w:r>
    </w:p>
    <w:p w14:paraId="1DD637B5" w14:textId="2047B989" w:rsidR="009C2BE2" w:rsidRPr="009C2BE2" w:rsidRDefault="009C2BE2" w:rsidP="009C2BE2">
      <w:pPr>
        <w:spacing w:before="100" w:beforeAutospacing="1" w:after="100" w:afterAutospacing="1" w:line="360" w:lineRule="auto"/>
        <w:rPr>
          <w:rFonts w:ascii="Arial" w:eastAsia="Times New Roman" w:hAnsi="Arial" w:cs="Arial"/>
          <w:sz w:val="24"/>
          <w:szCs w:val="24"/>
          <w:lang w:eastAsia="en-GB" w:bidi="ar-SA"/>
        </w:rPr>
      </w:pPr>
      <w:r w:rsidRPr="009C2BE2">
        <w:rPr>
          <w:rFonts w:ascii="Arial" w:eastAsia="Times New Roman" w:hAnsi="Arial" w:cs="Arial"/>
          <w:sz w:val="24"/>
          <w:szCs w:val="24"/>
          <w:lang w:eastAsia="en-GB" w:bidi="ar-SA"/>
        </w:rPr>
        <w:t>Considering the calculations and evaluation, Project A seems to be the more favo</w:t>
      </w:r>
      <w:r>
        <w:rPr>
          <w:rFonts w:ascii="Arial" w:eastAsia="Times New Roman" w:hAnsi="Arial" w:cs="Arial"/>
          <w:sz w:val="24"/>
          <w:szCs w:val="24"/>
          <w:lang w:eastAsia="en-GB" w:bidi="ar-SA"/>
        </w:rPr>
        <w:t>u</w:t>
      </w:r>
      <w:r w:rsidRPr="009C2BE2">
        <w:rPr>
          <w:rFonts w:ascii="Arial" w:eastAsia="Times New Roman" w:hAnsi="Arial" w:cs="Arial"/>
          <w:sz w:val="24"/>
          <w:szCs w:val="24"/>
          <w:lang w:eastAsia="en-GB" w:bidi="ar-SA"/>
        </w:rPr>
        <w:t>rable investment choice based on the Accounting Rate of Return (ARR) and Net Present Value (NPV). However, it</w:t>
      </w:r>
      <w:r>
        <w:rPr>
          <w:rFonts w:ascii="Arial" w:eastAsia="Times New Roman" w:hAnsi="Arial" w:cs="Arial"/>
          <w:sz w:val="24"/>
          <w:szCs w:val="24"/>
          <w:lang w:eastAsia="en-GB" w:bidi="ar-SA"/>
        </w:rPr>
        <w:t xml:space="preserve"> i</w:t>
      </w:r>
      <w:r w:rsidRPr="009C2BE2">
        <w:rPr>
          <w:rFonts w:ascii="Arial" w:eastAsia="Times New Roman" w:hAnsi="Arial" w:cs="Arial"/>
          <w:sz w:val="24"/>
          <w:szCs w:val="24"/>
          <w:lang w:eastAsia="en-GB" w:bidi="ar-SA"/>
        </w:rPr>
        <w:t xml:space="preserve">s </w:t>
      </w:r>
      <w:r>
        <w:rPr>
          <w:rFonts w:ascii="Arial" w:eastAsia="Times New Roman" w:hAnsi="Arial" w:cs="Arial"/>
          <w:sz w:val="24"/>
          <w:szCs w:val="24"/>
          <w:lang w:eastAsia="en-GB" w:bidi="ar-SA"/>
        </w:rPr>
        <w:t>essential</w:t>
      </w:r>
      <w:r w:rsidRPr="009C2BE2">
        <w:rPr>
          <w:rFonts w:ascii="Arial" w:eastAsia="Times New Roman" w:hAnsi="Arial" w:cs="Arial"/>
          <w:sz w:val="24"/>
          <w:szCs w:val="24"/>
          <w:lang w:eastAsia="en-GB" w:bidi="ar-SA"/>
        </w:rPr>
        <w:t xml:space="preserve"> to consider other factors</w:t>
      </w:r>
      <w:r>
        <w:rPr>
          <w:rFonts w:ascii="Arial" w:eastAsia="Times New Roman" w:hAnsi="Arial" w:cs="Arial"/>
          <w:sz w:val="24"/>
          <w:szCs w:val="24"/>
          <w:lang w:eastAsia="en-GB" w:bidi="ar-SA"/>
        </w:rPr>
        <w:t>,</w:t>
      </w:r>
      <w:r w:rsidRPr="009C2BE2">
        <w:rPr>
          <w:rFonts w:ascii="Arial" w:eastAsia="Times New Roman" w:hAnsi="Arial" w:cs="Arial"/>
          <w:sz w:val="24"/>
          <w:szCs w:val="24"/>
          <w:lang w:eastAsia="en-GB" w:bidi="ar-SA"/>
        </w:rPr>
        <w:t xml:space="preserve"> such as strategic alignment, risk assessment, and non-financial factors (e.g., market demand, competition, </w:t>
      </w:r>
      <w:r>
        <w:rPr>
          <w:rFonts w:ascii="Arial" w:eastAsia="Times New Roman" w:hAnsi="Arial" w:cs="Arial"/>
          <w:sz w:val="24"/>
          <w:szCs w:val="24"/>
          <w:lang w:eastAsia="en-GB" w:bidi="ar-SA"/>
        </w:rPr>
        <w:t xml:space="preserve">and </w:t>
      </w:r>
      <w:r w:rsidRPr="009C2BE2">
        <w:rPr>
          <w:rFonts w:ascii="Arial" w:eastAsia="Times New Roman" w:hAnsi="Arial" w:cs="Arial"/>
          <w:sz w:val="24"/>
          <w:szCs w:val="24"/>
          <w:lang w:eastAsia="en-GB" w:bidi="ar-SA"/>
        </w:rPr>
        <w:t>environmental impact)</w:t>
      </w:r>
      <w:r>
        <w:rPr>
          <w:rFonts w:ascii="Arial" w:eastAsia="Times New Roman" w:hAnsi="Arial" w:cs="Arial"/>
          <w:sz w:val="24"/>
          <w:szCs w:val="24"/>
          <w:lang w:eastAsia="en-GB" w:bidi="ar-SA"/>
        </w:rPr>
        <w:t>,</w:t>
      </w:r>
      <w:r w:rsidRPr="009C2BE2">
        <w:rPr>
          <w:rFonts w:ascii="Arial" w:eastAsia="Times New Roman" w:hAnsi="Arial" w:cs="Arial"/>
          <w:sz w:val="24"/>
          <w:szCs w:val="24"/>
          <w:lang w:eastAsia="en-GB" w:bidi="ar-SA"/>
        </w:rPr>
        <w:t xml:space="preserve"> before making a final decision.</w:t>
      </w:r>
    </w:p>
    <w:p w14:paraId="6C633F49" w14:textId="77777777" w:rsidR="0038138D" w:rsidRPr="0038138D" w:rsidRDefault="0038138D" w:rsidP="0038138D">
      <w:pPr>
        <w:numPr>
          <w:ilvl w:val="0"/>
          <w:numId w:val="3"/>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Advantages and Shortcomings of PBP, ARR, and NPV Techniques:</w:t>
      </w:r>
    </w:p>
    <w:p w14:paraId="52F332D1" w14:textId="69BD0302" w:rsidR="0038138D" w:rsidRPr="0038138D" w:rsidRDefault="0038138D" w:rsidP="006B7198">
      <w:p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 xml:space="preserve">a) </w:t>
      </w:r>
    </w:p>
    <w:p w14:paraId="56F1523E" w14:textId="77777777" w:rsidR="0038138D" w:rsidRPr="0038138D" w:rsidRDefault="0038138D" w:rsidP="0038138D">
      <w:p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b) Accounting Rate of Return (ARR): Advantages:</w:t>
      </w:r>
    </w:p>
    <w:p w14:paraId="02ECF7F5" w14:textId="77777777" w:rsidR="0038138D" w:rsidRPr="0038138D" w:rsidRDefault="0038138D" w:rsidP="0038138D">
      <w:pPr>
        <w:numPr>
          <w:ilvl w:val="0"/>
          <w:numId w:val="6"/>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is easy to calculate and understand.</w:t>
      </w:r>
    </w:p>
    <w:p w14:paraId="57F126E7" w14:textId="77777777" w:rsidR="0038138D" w:rsidRPr="0038138D" w:rsidRDefault="0038138D" w:rsidP="0038138D">
      <w:pPr>
        <w:numPr>
          <w:ilvl w:val="0"/>
          <w:numId w:val="6"/>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considers the entire project life.</w:t>
      </w:r>
    </w:p>
    <w:p w14:paraId="596E4EE6" w14:textId="77777777" w:rsidR="0038138D" w:rsidRPr="0038138D" w:rsidRDefault="0038138D" w:rsidP="0038138D">
      <w:pPr>
        <w:numPr>
          <w:ilvl w:val="0"/>
          <w:numId w:val="6"/>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provides a percentage return, which is easy to compare across projects.</w:t>
      </w:r>
    </w:p>
    <w:p w14:paraId="77D5BC5F" w14:textId="77777777" w:rsidR="0038138D" w:rsidRPr="0038138D" w:rsidRDefault="0038138D" w:rsidP="0038138D">
      <w:p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Shortcomings:</w:t>
      </w:r>
    </w:p>
    <w:p w14:paraId="5DA87B27" w14:textId="77777777" w:rsidR="0038138D" w:rsidRPr="0038138D" w:rsidRDefault="0038138D" w:rsidP="0038138D">
      <w:pPr>
        <w:numPr>
          <w:ilvl w:val="0"/>
          <w:numId w:val="7"/>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ignores the time value of money.</w:t>
      </w:r>
    </w:p>
    <w:p w14:paraId="23895DB6" w14:textId="77777777" w:rsidR="0038138D" w:rsidRPr="0038138D" w:rsidRDefault="0038138D" w:rsidP="0038138D">
      <w:pPr>
        <w:numPr>
          <w:ilvl w:val="0"/>
          <w:numId w:val="7"/>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assumes that the cash flows are uniform over the project life.</w:t>
      </w:r>
    </w:p>
    <w:p w14:paraId="67DCE116" w14:textId="567F7001" w:rsidR="0038138D" w:rsidRPr="0038138D" w:rsidRDefault="0038138D" w:rsidP="0038138D">
      <w:pPr>
        <w:numPr>
          <w:ilvl w:val="0"/>
          <w:numId w:val="7"/>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 xml:space="preserve">It does not consider the initial </w:t>
      </w:r>
      <w:r w:rsidR="00FB5635">
        <w:rPr>
          <w:rFonts w:ascii="Arial" w:eastAsia="Times New Roman" w:hAnsi="Arial" w:cs="Arial"/>
          <w:sz w:val="24"/>
          <w:szCs w:val="24"/>
          <w:lang w:eastAsia="en-GB" w:bidi="ar-SA"/>
        </w:rPr>
        <w:t>I</w:t>
      </w:r>
      <w:r w:rsidRPr="0038138D">
        <w:rPr>
          <w:rFonts w:ascii="Arial" w:eastAsia="Times New Roman" w:hAnsi="Arial" w:cs="Arial"/>
          <w:sz w:val="24"/>
          <w:szCs w:val="24"/>
          <w:lang w:eastAsia="en-GB" w:bidi="ar-SA"/>
        </w:rPr>
        <w:t>nvestment.</w:t>
      </w:r>
    </w:p>
    <w:p w14:paraId="1FB3FE42" w14:textId="77777777" w:rsidR="0038138D" w:rsidRPr="0038138D" w:rsidRDefault="0038138D" w:rsidP="0038138D">
      <w:p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c) Net Present Value (NPV): Advantages:</w:t>
      </w:r>
    </w:p>
    <w:p w14:paraId="572DE7B7" w14:textId="77777777" w:rsidR="0038138D" w:rsidRPr="0038138D" w:rsidRDefault="0038138D" w:rsidP="0038138D">
      <w:pPr>
        <w:numPr>
          <w:ilvl w:val="0"/>
          <w:numId w:val="8"/>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considers the time value of money.</w:t>
      </w:r>
    </w:p>
    <w:p w14:paraId="171F4B19" w14:textId="77777777" w:rsidR="0038138D" w:rsidRPr="0038138D" w:rsidRDefault="0038138D" w:rsidP="0038138D">
      <w:pPr>
        <w:numPr>
          <w:ilvl w:val="0"/>
          <w:numId w:val="8"/>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lastRenderedPageBreak/>
        <w:t>It considers all cash flows over the project life.</w:t>
      </w:r>
    </w:p>
    <w:p w14:paraId="2690BBFA" w14:textId="77777777" w:rsidR="0038138D" w:rsidRPr="0038138D" w:rsidRDefault="0038138D" w:rsidP="0038138D">
      <w:pPr>
        <w:numPr>
          <w:ilvl w:val="0"/>
          <w:numId w:val="8"/>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provides a measure of profitability.</w:t>
      </w:r>
    </w:p>
    <w:p w14:paraId="19881AA6" w14:textId="77777777" w:rsidR="0038138D" w:rsidRPr="0038138D" w:rsidRDefault="0038138D" w:rsidP="0038138D">
      <w:p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Shortcomings:</w:t>
      </w:r>
    </w:p>
    <w:p w14:paraId="157307F5" w14:textId="474B278A" w:rsidR="0038138D" w:rsidRPr="0038138D" w:rsidRDefault="0038138D" w:rsidP="0038138D">
      <w:pPr>
        <w:numPr>
          <w:ilvl w:val="0"/>
          <w:numId w:val="9"/>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is not easy to calculate and understand.</w:t>
      </w:r>
    </w:p>
    <w:p w14:paraId="7904F793" w14:textId="77777777" w:rsidR="0038138D" w:rsidRPr="0038138D" w:rsidRDefault="0038138D" w:rsidP="0038138D">
      <w:pPr>
        <w:numPr>
          <w:ilvl w:val="0"/>
          <w:numId w:val="9"/>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requires an estimate of the cost of capital.</w:t>
      </w:r>
    </w:p>
    <w:p w14:paraId="4E9ABDBC" w14:textId="77777777" w:rsidR="0038138D" w:rsidRPr="0038138D" w:rsidRDefault="0038138D" w:rsidP="0038138D">
      <w:pPr>
        <w:numPr>
          <w:ilvl w:val="0"/>
          <w:numId w:val="9"/>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It assumes that the cash flows are known with certainty.</w:t>
      </w:r>
    </w:p>
    <w:p w14:paraId="216DAE8A" w14:textId="7FFA4355" w:rsidR="0038138D" w:rsidRPr="0038138D" w:rsidRDefault="0038138D" w:rsidP="0038138D">
      <w:p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Non-Financial Factors: Apart from financial factors, several non-financial factors must be considered while evaluating investment projects. These include:</w:t>
      </w:r>
    </w:p>
    <w:p w14:paraId="07CDA46D" w14:textId="535FA874" w:rsidR="0038138D" w:rsidRPr="0038138D" w:rsidRDefault="0038138D" w:rsidP="0038138D">
      <w:pPr>
        <w:numPr>
          <w:ilvl w:val="0"/>
          <w:numId w:val="10"/>
        </w:numPr>
        <w:spacing w:before="100" w:beforeAutospacing="1" w:after="100" w:afterAutospacing="1" w:line="360" w:lineRule="auto"/>
        <w:rPr>
          <w:rFonts w:ascii="Arial" w:eastAsia="Times New Roman" w:hAnsi="Arial" w:cs="Arial"/>
          <w:sz w:val="24"/>
          <w:szCs w:val="24"/>
          <w:lang w:eastAsia="en-GB" w:bidi="ar-SA"/>
        </w:rPr>
      </w:pPr>
      <w:r w:rsidRPr="0038138D">
        <w:rPr>
          <w:rFonts w:ascii="Arial" w:eastAsia="Times New Roman" w:hAnsi="Arial" w:cs="Arial"/>
          <w:sz w:val="24"/>
          <w:szCs w:val="24"/>
          <w:lang w:eastAsia="en-GB" w:bidi="ar-SA"/>
        </w:rPr>
        <w:t>Market Conditions and Competition</w:t>
      </w:r>
    </w:p>
    <w:p w14:paraId="7729973A" w14:textId="77777777" w:rsidR="0038138D" w:rsidRPr="0038138D" w:rsidRDefault="0038138D" w:rsidP="0038138D">
      <w:pPr>
        <w:numPr>
          <w:ilvl w:val="0"/>
          <w:numId w:val="10"/>
        </w:numPr>
        <w:spacing w:before="100" w:beforeAutospacing="1" w:after="100" w:afterAutospacing="1" w:line="360" w:lineRule="auto"/>
        <w:rPr>
          <w:rFonts w:ascii="Times New Roman" w:eastAsia="Times New Roman" w:hAnsi="Times New Roman" w:cs="Times New Roman"/>
          <w:sz w:val="24"/>
          <w:szCs w:val="24"/>
          <w:lang w:eastAsia="en-GB" w:bidi="ar-SA"/>
        </w:rPr>
      </w:pPr>
      <w:r w:rsidRPr="0038138D">
        <w:rPr>
          <w:rFonts w:ascii="Times New Roman" w:eastAsia="Times New Roman" w:hAnsi="Times New Roman" w:cs="Times New Roman"/>
          <w:sz w:val="24"/>
          <w:szCs w:val="24"/>
          <w:lang w:eastAsia="en-GB" w:bidi="ar-SA"/>
        </w:rPr>
        <w:t>Technological advancements</w:t>
      </w:r>
    </w:p>
    <w:p w14:paraId="119B7DAA" w14:textId="77777777" w:rsidR="0038138D" w:rsidRPr="0038138D" w:rsidRDefault="0038138D" w:rsidP="0038138D">
      <w:pPr>
        <w:numPr>
          <w:ilvl w:val="0"/>
          <w:numId w:val="10"/>
        </w:numPr>
        <w:spacing w:before="100" w:beforeAutospacing="1" w:after="100" w:afterAutospacing="1" w:line="360" w:lineRule="auto"/>
        <w:rPr>
          <w:rFonts w:ascii="Times New Roman" w:eastAsia="Times New Roman" w:hAnsi="Times New Roman" w:cs="Times New Roman"/>
          <w:sz w:val="24"/>
          <w:szCs w:val="24"/>
          <w:lang w:eastAsia="en-GB" w:bidi="ar-SA"/>
        </w:rPr>
      </w:pPr>
      <w:r w:rsidRPr="0038138D">
        <w:rPr>
          <w:rFonts w:ascii="Times New Roman" w:eastAsia="Times New Roman" w:hAnsi="Times New Roman" w:cs="Times New Roman"/>
          <w:sz w:val="24"/>
          <w:szCs w:val="24"/>
          <w:lang w:eastAsia="en-GB" w:bidi="ar-SA"/>
        </w:rPr>
        <w:t>Legal and regulatory issues</w:t>
      </w:r>
    </w:p>
    <w:p w14:paraId="1530A453" w14:textId="77777777" w:rsidR="0038138D" w:rsidRPr="0038138D" w:rsidRDefault="0038138D" w:rsidP="0038138D">
      <w:pPr>
        <w:numPr>
          <w:ilvl w:val="0"/>
          <w:numId w:val="10"/>
        </w:numPr>
        <w:spacing w:before="100" w:beforeAutospacing="1" w:after="100" w:afterAutospacing="1" w:line="360" w:lineRule="auto"/>
        <w:rPr>
          <w:rFonts w:ascii="Times New Roman" w:eastAsia="Times New Roman" w:hAnsi="Times New Roman" w:cs="Times New Roman"/>
          <w:sz w:val="24"/>
          <w:szCs w:val="24"/>
          <w:lang w:eastAsia="en-GB" w:bidi="ar-SA"/>
        </w:rPr>
      </w:pPr>
      <w:r w:rsidRPr="0038138D">
        <w:rPr>
          <w:rFonts w:ascii="Times New Roman" w:eastAsia="Times New Roman" w:hAnsi="Times New Roman" w:cs="Times New Roman"/>
          <w:sz w:val="24"/>
          <w:szCs w:val="24"/>
          <w:lang w:eastAsia="en-GB" w:bidi="ar-SA"/>
        </w:rPr>
        <w:t>Social and environmental factors</w:t>
      </w:r>
    </w:p>
    <w:p w14:paraId="061CB529" w14:textId="30CF7FB8" w:rsidR="0038138D" w:rsidRPr="0038138D" w:rsidRDefault="0038138D" w:rsidP="0038138D">
      <w:pPr>
        <w:numPr>
          <w:ilvl w:val="0"/>
          <w:numId w:val="10"/>
        </w:numPr>
        <w:spacing w:before="100" w:beforeAutospacing="1" w:after="100" w:afterAutospacing="1" w:line="360" w:lineRule="auto"/>
        <w:rPr>
          <w:rFonts w:ascii="Times New Roman" w:eastAsia="Times New Roman" w:hAnsi="Times New Roman" w:cs="Times New Roman"/>
          <w:sz w:val="24"/>
          <w:szCs w:val="24"/>
          <w:lang w:eastAsia="en-GB" w:bidi="ar-SA"/>
        </w:rPr>
      </w:pPr>
      <w:r w:rsidRPr="0038138D">
        <w:rPr>
          <w:rFonts w:ascii="Times New Roman" w:eastAsia="Times New Roman" w:hAnsi="Times New Roman" w:cs="Times New Roman"/>
          <w:sz w:val="24"/>
          <w:szCs w:val="24"/>
          <w:lang w:eastAsia="en-GB" w:bidi="ar-SA"/>
        </w:rPr>
        <w:t>Organi</w:t>
      </w:r>
      <w:r w:rsidR="00BD337D">
        <w:rPr>
          <w:rFonts w:ascii="Times New Roman" w:eastAsia="Times New Roman" w:hAnsi="Times New Roman" w:cs="Times New Roman"/>
          <w:sz w:val="24"/>
          <w:szCs w:val="24"/>
          <w:lang w:eastAsia="en-GB" w:bidi="ar-SA"/>
        </w:rPr>
        <w:t>s</w:t>
      </w:r>
      <w:r w:rsidRPr="0038138D">
        <w:rPr>
          <w:rFonts w:ascii="Times New Roman" w:eastAsia="Times New Roman" w:hAnsi="Times New Roman" w:cs="Times New Roman"/>
          <w:sz w:val="24"/>
          <w:szCs w:val="24"/>
          <w:lang w:eastAsia="en-GB" w:bidi="ar-SA"/>
        </w:rPr>
        <w:t>ational goals and objectives</w:t>
      </w:r>
    </w:p>
    <w:p w14:paraId="165E916E" w14:textId="77777777" w:rsidR="0038138D" w:rsidRPr="0038138D" w:rsidRDefault="0038138D" w:rsidP="0038138D">
      <w:pPr>
        <w:numPr>
          <w:ilvl w:val="0"/>
          <w:numId w:val="10"/>
        </w:numPr>
        <w:spacing w:before="100" w:beforeAutospacing="1" w:after="100" w:afterAutospacing="1" w:line="360" w:lineRule="auto"/>
        <w:rPr>
          <w:rFonts w:ascii="Times New Roman" w:eastAsia="Times New Roman" w:hAnsi="Times New Roman" w:cs="Times New Roman"/>
          <w:sz w:val="24"/>
          <w:szCs w:val="24"/>
          <w:lang w:eastAsia="en-GB" w:bidi="ar-SA"/>
        </w:rPr>
      </w:pPr>
      <w:r w:rsidRPr="0038138D">
        <w:rPr>
          <w:rFonts w:ascii="Times New Roman" w:eastAsia="Times New Roman" w:hAnsi="Times New Roman" w:cs="Times New Roman"/>
          <w:sz w:val="24"/>
          <w:szCs w:val="24"/>
          <w:lang w:eastAsia="en-GB" w:bidi="ar-SA"/>
        </w:rPr>
        <w:t>Management expertise and experience</w:t>
      </w:r>
    </w:p>
    <w:p w14:paraId="44FDF0E4" w14:textId="77478669" w:rsidR="0038138D" w:rsidRPr="0038138D" w:rsidRDefault="0038138D" w:rsidP="0038138D">
      <w:pPr>
        <w:spacing w:before="100" w:beforeAutospacing="1" w:after="100" w:afterAutospacing="1" w:line="360" w:lineRule="auto"/>
        <w:rPr>
          <w:rFonts w:ascii="Times New Roman" w:eastAsia="Times New Roman" w:hAnsi="Times New Roman" w:cs="Times New Roman"/>
          <w:sz w:val="24"/>
          <w:szCs w:val="24"/>
          <w:lang w:eastAsia="en-GB" w:bidi="ar-SA"/>
        </w:rPr>
      </w:pPr>
      <w:r w:rsidRPr="0038138D">
        <w:rPr>
          <w:rFonts w:ascii="Times New Roman" w:eastAsia="Times New Roman" w:hAnsi="Times New Roman" w:cs="Times New Roman"/>
          <w:sz w:val="24"/>
          <w:szCs w:val="24"/>
          <w:lang w:eastAsia="en-GB" w:bidi="ar-SA"/>
        </w:rPr>
        <w:t>Recommendation: Based on the investment appraisal techniques, Project A has a higher ARR and NPV, while Project B has a shorter payback period. However, it is recommended that Project A should be adopted as it generates higher profitability and value for the company over the project life. Additionally, the company should consider non-financial factors while evaluating investment projects to make an informed decision.</w:t>
      </w:r>
    </w:p>
    <w:p w14:paraId="7BB7CC9E" w14:textId="64137DE1" w:rsidR="00E64E7A" w:rsidRPr="004C0FAC" w:rsidRDefault="00E64E7A" w:rsidP="00E64E7A">
      <w:pPr>
        <w:shd w:val="clear" w:color="auto" w:fill="FFFFFF"/>
        <w:spacing w:line="360" w:lineRule="auto"/>
        <w:rPr>
          <w:rFonts w:ascii="Arial" w:eastAsia="Times New Roman" w:hAnsi="Arial" w:cs="Arial"/>
          <w:color w:val="000000"/>
          <w:sz w:val="24"/>
          <w:szCs w:val="24"/>
          <w:lang w:eastAsia="en-GB" w:bidi="ar-SA"/>
        </w:rPr>
      </w:pPr>
      <w:r>
        <w:rPr>
          <w:rFonts w:ascii="Arial" w:eastAsia="Times New Roman" w:hAnsi="Arial" w:cs="Arial"/>
          <w:color w:val="000000"/>
          <w:sz w:val="24"/>
          <w:szCs w:val="24"/>
          <w:lang w:eastAsia="en-GB" w:bidi="ar-SA"/>
        </w:rPr>
        <w:t xml:space="preserve"> </w:t>
      </w:r>
    </w:p>
    <w:p w14:paraId="5E83013E" w14:textId="77777777" w:rsidR="0038138D" w:rsidRPr="00C15161" w:rsidRDefault="0038138D" w:rsidP="00C15161">
      <w:pPr>
        <w:pStyle w:val="NormalWeb"/>
        <w:spacing w:line="360" w:lineRule="auto"/>
        <w:rPr>
          <w:rFonts w:ascii="Arial" w:hAnsi="Arial" w:cs="Arial"/>
        </w:rPr>
      </w:pPr>
    </w:p>
    <w:p w14:paraId="29C45816" w14:textId="3B9161ED" w:rsidR="00CA6160" w:rsidRPr="00974189" w:rsidRDefault="00CA6160" w:rsidP="00CA6160">
      <w:pPr>
        <w:pStyle w:val="NormalWeb"/>
        <w:spacing w:line="360" w:lineRule="auto"/>
        <w:rPr>
          <w:rFonts w:ascii="Arial" w:hAnsi="Arial" w:cs="Arial"/>
        </w:rPr>
      </w:pPr>
      <w:r>
        <w:rPr>
          <w:rFonts w:ascii="Arial" w:hAnsi="Arial" w:cs="Arial"/>
        </w:rPr>
        <w:t>F</w:t>
      </w:r>
      <w:r w:rsidRPr="00974189">
        <w:rPr>
          <w:rFonts w:ascii="Arial" w:hAnsi="Arial" w:cs="Arial"/>
        </w:rPr>
        <w:t xml:space="preserve">inancial analysis </w:t>
      </w:r>
      <w:r>
        <w:rPr>
          <w:rFonts w:ascii="Arial" w:hAnsi="Arial" w:cs="Arial"/>
        </w:rPr>
        <w:t>means</w:t>
      </w:r>
      <w:r w:rsidRPr="00974189">
        <w:rPr>
          <w:rFonts w:ascii="Arial" w:hAnsi="Arial" w:cs="Arial"/>
        </w:rPr>
        <w:t xml:space="preserve"> evaluating a company</w:t>
      </w:r>
      <w:r w:rsidR="00D11AF1">
        <w:rPr>
          <w:rFonts w:ascii="Arial" w:hAnsi="Arial" w:cs="Arial"/>
        </w:rPr>
        <w:t>'</w:t>
      </w:r>
      <w:r w:rsidRPr="00974189">
        <w:rPr>
          <w:rFonts w:ascii="Arial" w:hAnsi="Arial" w:cs="Arial"/>
        </w:rPr>
        <w:t xml:space="preserve">s financial health and performance by examining its financial statements and other relevant financial data. </w:t>
      </w:r>
      <w:r>
        <w:rPr>
          <w:rFonts w:ascii="Arial" w:hAnsi="Arial" w:cs="Arial"/>
        </w:rPr>
        <w:t>The financial analysis aim</w:t>
      </w:r>
      <w:r w:rsidRPr="00974189">
        <w:rPr>
          <w:rFonts w:ascii="Arial" w:hAnsi="Arial" w:cs="Arial"/>
        </w:rPr>
        <w:t>s to gain a deeper understanding of a company</w:t>
      </w:r>
      <w:r w:rsidR="00D11AF1">
        <w:rPr>
          <w:rFonts w:ascii="Arial" w:hAnsi="Arial" w:cs="Arial"/>
        </w:rPr>
        <w:t>'</w:t>
      </w:r>
      <w:r w:rsidRPr="00974189">
        <w:rPr>
          <w:rFonts w:ascii="Arial" w:hAnsi="Arial" w:cs="Arial"/>
        </w:rPr>
        <w:t>s financial position, profitability, liquidity, and solvency and to use this information to make informed decisions about investing, lending, or other financial activities.</w:t>
      </w:r>
    </w:p>
    <w:p w14:paraId="506ABC3D" w14:textId="77777777" w:rsidR="00CA6160" w:rsidRPr="00D20956" w:rsidRDefault="00CA6160" w:rsidP="00CA6160">
      <w:pPr>
        <w:pStyle w:val="NormalWeb"/>
        <w:spacing w:line="360" w:lineRule="auto"/>
        <w:rPr>
          <w:rFonts w:ascii="Arial" w:hAnsi="Arial" w:cs="Arial"/>
        </w:rPr>
      </w:pPr>
    </w:p>
    <w:p w14:paraId="3800C337" w14:textId="77777777" w:rsidR="00CA6160" w:rsidRPr="00C15161" w:rsidRDefault="00CA6160" w:rsidP="00F55EB2">
      <w:pPr>
        <w:spacing w:line="360" w:lineRule="auto"/>
      </w:pPr>
    </w:p>
    <w:sectPr w:rsidR="00CA6160" w:rsidRPr="00C15161" w:rsidSect="00422025">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134" w:left="1247" w:header="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2671B" w14:textId="77777777" w:rsidR="0008761F" w:rsidRDefault="0008761F" w:rsidP="00422025">
      <w:pPr>
        <w:spacing w:after="0" w:line="240" w:lineRule="auto"/>
      </w:pPr>
      <w:r>
        <w:separator/>
      </w:r>
    </w:p>
  </w:endnote>
  <w:endnote w:type="continuationSeparator" w:id="0">
    <w:p w14:paraId="05CCFBEB" w14:textId="77777777" w:rsidR="0008761F" w:rsidRDefault="0008761F" w:rsidP="00422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ary Ann ExtraBold">
    <w:altName w:val="Cambria"/>
    <w:panose1 w:val="020B0604020202020204"/>
    <w:charset w:val="00"/>
    <w:family w:val="roman"/>
    <w:notTrueType/>
    <w:pitch w:val="default"/>
    <w:sig w:usb0="00000003" w:usb1="00000000" w:usb2="00000000" w:usb3="00000000" w:csb0="00000001" w:csb1="00000000"/>
  </w:font>
  <w:font w:name="Bodoni MT Black">
    <w:panose1 w:val="02070A03080606020203"/>
    <w:charset w:val="4D"/>
    <w:family w:val="roman"/>
    <w:pitch w:val="variable"/>
    <w:sig w:usb0="00000003" w:usb1="00000000" w:usb2="00000000" w:usb3="00000000" w:csb0="00000001" w:csb1="00000000"/>
  </w:font>
  <w:font w:name="PT Sans Caption">
    <w:panose1 w:val="020B0603020203020204"/>
    <w:charset w:val="4D"/>
    <w:family w:val="swiss"/>
    <w:pitch w:val="variable"/>
    <w:sig w:usb0="A00002EF" w:usb1="5000204B" w:usb2="00000000" w:usb3="00000000" w:csb0="00000097" w:csb1="00000000"/>
  </w:font>
  <w:font w:name="Cambria Math">
    <w:panose1 w:val="02040503050406030204"/>
    <w:charset w:val="00"/>
    <w:family w:val="roman"/>
    <w:pitch w:val="variable"/>
    <w:sig w:usb0="E00002FF" w:usb1="420024FF" w:usb2="00000000" w:usb3="00000000" w:csb0="0000019F" w:csb1="00000000"/>
  </w:font>
  <w:font w:name="M&amp;SLondon-Bold">
    <w:altName w:val="Calibri"/>
    <w:panose1 w:val="020B0604020202020204"/>
    <w:charset w:val="00"/>
    <w:family w:val="swiss"/>
    <w:notTrueType/>
    <w:pitch w:val="default"/>
    <w:sig w:usb0="00000003" w:usb1="00000000" w:usb2="00000000" w:usb3="00000000" w:csb0="00000001" w:csb1="00000000"/>
  </w:font>
  <w:font w:name="BurberryStyrene-Medium">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B1F5A" w14:textId="77777777" w:rsidR="00422025" w:rsidRDefault="004220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348095"/>
      <w:docPartObj>
        <w:docPartGallery w:val="Page Numbers (Bottom of Page)"/>
        <w:docPartUnique/>
      </w:docPartObj>
    </w:sdtPr>
    <w:sdtEndPr>
      <w:rPr>
        <w:noProof/>
      </w:rPr>
    </w:sdtEndPr>
    <w:sdtContent>
      <w:p w14:paraId="1F56FF4E" w14:textId="10C946E4" w:rsidR="004C0FAC" w:rsidRDefault="004C0F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379E8C" w14:textId="77777777" w:rsidR="00422025" w:rsidRDefault="004220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485F0" w14:textId="77777777" w:rsidR="00422025" w:rsidRDefault="00422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E5FB3" w14:textId="77777777" w:rsidR="0008761F" w:rsidRDefault="0008761F" w:rsidP="00422025">
      <w:pPr>
        <w:spacing w:after="0" w:line="240" w:lineRule="auto"/>
      </w:pPr>
      <w:r>
        <w:separator/>
      </w:r>
    </w:p>
  </w:footnote>
  <w:footnote w:type="continuationSeparator" w:id="0">
    <w:p w14:paraId="5787A18F" w14:textId="77777777" w:rsidR="0008761F" w:rsidRDefault="0008761F" w:rsidP="004220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80D7E" w14:textId="77777777" w:rsidR="00422025" w:rsidRDefault="004220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C9F65" w14:textId="7D4F64CE" w:rsidR="00422025" w:rsidRDefault="00422025" w:rsidP="00422025">
    <w:pPr>
      <w:pStyle w:val="Header"/>
      <w:jc w:val="right"/>
    </w:pPr>
    <w:r>
      <w:rPr>
        <w:noProof/>
      </w:rPr>
      <w:drawing>
        <wp:inline distT="0" distB="0" distL="0" distR="0" wp14:anchorId="23D0A598" wp14:editId="50C5E29F">
          <wp:extent cx="658800" cy="370800"/>
          <wp:effectExtent l="0" t="0" r="8255" b="0"/>
          <wp:docPr id="3" name="Picture 3" descr="A picture containing font, graphics, screenshot, black&#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A picture containing font, graphics, screenshot, black&#10;&#10;Description automatically generated"/>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658800" cy="370800"/>
                  </a:xfrm>
                  <a:prstGeom prst="rect">
                    <a:avLst/>
                  </a:prstGeom>
                </pic:spPr>
              </pic:pic>
            </a:graphicData>
          </a:graphic>
        </wp:inline>
      </w:drawing>
    </w:r>
  </w:p>
  <w:p w14:paraId="595DAF84" w14:textId="77777777" w:rsidR="00422025" w:rsidRDefault="004220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577AA" w14:textId="77777777" w:rsidR="00422025" w:rsidRDefault="004220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A4797"/>
    <w:multiLevelType w:val="multilevel"/>
    <w:tmpl w:val="62CC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B35A1"/>
    <w:multiLevelType w:val="multilevel"/>
    <w:tmpl w:val="1F7A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B05F4"/>
    <w:multiLevelType w:val="multilevel"/>
    <w:tmpl w:val="2EB06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C26076"/>
    <w:multiLevelType w:val="multilevel"/>
    <w:tmpl w:val="9B32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A36F9"/>
    <w:multiLevelType w:val="multilevel"/>
    <w:tmpl w:val="37C2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C5FEA"/>
    <w:multiLevelType w:val="multilevel"/>
    <w:tmpl w:val="DD78F5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E75DC7"/>
    <w:multiLevelType w:val="multilevel"/>
    <w:tmpl w:val="E884D702"/>
    <w:lvl w:ilvl="0">
      <w:start w:val="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16B0E09"/>
    <w:multiLevelType w:val="multilevel"/>
    <w:tmpl w:val="63040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BF6939"/>
    <w:multiLevelType w:val="multilevel"/>
    <w:tmpl w:val="0DCE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BA1C05"/>
    <w:multiLevelType w:val="hybridMultilevel"/>
    <w:tmpl w:val="D6668B94"/>
    <w:lvl w:ilvl="0" w:tplc="460C8F16">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5F5BC2"/>
    <w:multiLevelType w:val="multilevel"/>
    <w:tmpl w:val="FCA85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C12098"/>
    <w:multiLevelType w:val="multilevel"/>
    <w:tmpl w:val="441AF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C3595C"/>
    <w:multiLevelType w:val="hybridMultilevel"/>
    <w:tmpl w:val="BB6E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6F6AC2"/>
    <w:multiLevelType w:val="multilevel"/>
    <w:tmpl w:val="BE84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C22545"/>
    <w:multiLevelType w:val="hybridMultilevel"/>
    <w:tmpl w:val="06343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7A4801"/>
    <w:multiLevelType w:val="multilevel"/>
    <w:tmpl w:val="3642D6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FB5FA9"/>
    <w:multiLevelType w:val="multilevel"/>
    <w:tmpl w:val="3AA439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FB5555"/>
    <w:multiLevelType w:val="multilevel"/>
    <w:tmpl w:val="C0D4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B03170"/>
    <w:multiLevelType w:val="multilevel"/>
    <w:tmpl w:val="95C8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F66DEE"/>
    <w:multiLevelType w:val="multilevel"/>
    <w:tmpl w:val="2B8285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964033">
    <w:abstractNumId w:val="6"/>
  </w:num>
  <w:num w:numId="2" w16cid:durableId="1038581074">
    <w:abstractNumId w:val="2"/>
  </w:num>
  <w:num w:numId="3" w16cid:durableId="1773087560">
    <w:abstractNumId w:val="15"/>
  </w:num>
  <w:num w:numId="4" w16cid:durableId="771163756">
    <w:abstractNumId w:val="0"/>
  </w:num>
  <w:num w:numId="5" w16cid:durableId="2139760115">
    <w:abstractNumId w:val="4"/>
  </w:num>
  <w:num w:numId="6" w16cid:durableId="298264609">
    <w:abstractNumId w:val="3"/>
  </w:num>
  <w:num w:numId="7" w16cid:durableId="947276894">
    <w:abstractNumId w:val="1"/>
  </w:num>
  <w:num w:numId="8" w16cid:durableId="1698964389">
    <w:abstractNumId w:val="17"/>
  </w:num>
  <w:num w:numId="9" w16cid:durableId="848561589">
    <w:abstractNumId w:val="13"/>
  </w:num>
  <w:num w:numId="10" w16cid:durableId="282467667">
    <w:abstractNumId w:val="18"/>
  </w:num>
  <w:num w:numId="11" w16cid:durableId="1887713538">
    <w:abstractNumId w:val="5"/>
  </w:num>
  <w:num w:numId="12" w16cid:durableId="2113939899">
    <w:abstractNumId w:val="10"/>
  </w:num>
  <w:num w:numId="13" w16cid:durableId="419451838">
    <w:abstractNumId w:val="7"/>
  </w:num>
  <w:num w:numId="14" w16cid:durableId="934481181">
    <w:abstractNumId w:val="11"/>
  </w:num>
  <w:num w:numId="15" w16cid:durableId="1229221407">
    <w:abstractNumId w:val="16"/>
  </w:num>
  <w:num w:numId="16" w16cid:durableId="1817842429">
    <w:abstractNumId w:val="19"/>
  </w:num>
  <w:num w:numId="17" w16cid:durableId="555973243">
    <w:abstractNumId w:val="8"/>
  </w:num>
  <w:num w:numId="18" w16cid:durableId="2129740272">
    <w:abstractNumId w:val="12"/>
  </w:num>
  <w:num w:numId="19" w16cid:durableId="692003005">
    <w:abstractNumId w:val="9"/>
  </w:num>
  <w:num w:numId="20" w16cid:durableId="13486781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cwMDIxt7AwtLQwNjVT0lEKTi0uzszPAykwNKkFAFWI178tAAAA"/>
  </w:docVars>
  <w:rsids>
    <w:rsidRoot w:val="00C15161"/>
    <w:rsid w:val="00000472"/>
    <w:rsid w:val="0000261D"/>
    <w:rsid w:val="00011676"/>
    <w:rsid w:val="00013FA5"/>
    <w:rsid w:val="00025841"/>
    <w:rsid w:val="000313D4"/>
    <w:rsid w:val="000429B8"/>
    <w:rsid w:val="000562F8"/>
    <w:rsid w:val="00056F4A"/>
    <w:rsid w:val="00067783"/>
    <w:rsid w:val="00081086"/>
    <w:rsid w:val="00081D8F"/>
    <w:rsid w:val="0008498F"/>
    <w:rsid w:val="00085185"/>
    <w:rsid w:val="00085DA4"/>
    <w:rsid w:val="0008761F"/>
    <w:rsid w:val="00090053"/>
    <w:rsid w:val="0009371B"/>
    <w:rsid w:val="000A618F"/>
    <w:rsid w:val="000D217B"/>
    <w:rsid w:val="000E5B3B"/>
    <w:rsid w:val="000F7839"/>
    <w:rsid w:val="00103BA8"/>
    <w:rsid w:val="00111D1A"/>
    <w:rsid w:val="00114520"/>
    <w:rsid w:val="00117532"/>
    <w:rsid w:val="00126C91"/>
    <w:rsid w:val="00134797"/>
    <w:rsid w:val="00163859"/>
    <w:rsid w:val="001648FE"/>
    <w:rsid w:val="00184D80"/>
    <w:rsid w:val="001856EC"/>
    <w:rsid w:val="001A5B7D"/>
    <w:rsid w:val="001A6295"/>
    <w:rsid w:val="001B7E4C"/>
    <w:rsid w:val="001D768A"/>
    <w:rsid w:val="00202291"/>
    <w:rsid w:val="00214ECE"/>
    <w:rsid w:val="00215B00"/>
    <w:rsid w:val="00232757"/>
    <w:rsid w:val="00245B7F"/>
    <w:rsid w:val="00262D09"/>
    <w:rsid w:val="00266A6A"/>
    <w:rsid w:val="00267A7E"/>
    <w:rsid w:val="0027398E"/>
    <w:rsid w:val="0028103B"/>
    <w:rsid w:val="00291F34"/>
    <w:rsid w:val="002955F8"/>
    <w:rsid w:val="002A1CA7"/>
    <w:rsid w:val="002B7436"/>
    <w:rsid w:val="002E1349"/>
    <w:rsid w:val="002F3D57"/>
    <w:rsid w:val="003026C0"/>
    <w:rsid w:val="00314FBF"/>
    <w:rsid w:val="0032273E"/>
    <w:rsid w:val="00326143"/>
    <w:rsid w:val="0033653B"/>
    <w:rsid w:val="00343AAE"/>
    <w:rsid w:val="00344B8A"/>
    <w:rsid w:val="00344CED"/>
    <w:rsid w:val="00366A42"/>
    <w:rsid w:val="0038138D"/>
    <w:rsid w:val="00384276"/>
    <w:rsid w:val="003A3E5E"/>
    <w:rsid w:val="003E378C"/>
    <w:rsid w:val="004005E6"/>
    <w:rsid w:val="00412F53"/>
    <w:rsid w:val="00414402"/>
    <w:rsid w:val="00422025"/>
    <w:rsid w:val="00426B51"/>
    <w:rsid w:val="00472019"/>
    <w:rsid w:val="004800D3"/>
    <w:rsid w:val="00494D63"/>
    <w:rsid w:val="004A0721"/>
    <w:rsid w:val="004B7A06"/>
    <w:rsid w:val="004C0FAC"/>
    <w:rsid w:val="004C2ED2"/>
    <w:rsid w:val="004C6B85"/>
    <w:rsid w:val="004C74E4"/>
    <w:rsid w:val="004F0AD5"/>
    <w:rsid w:val="004F47A2"/>
    <w:rsid w:val="004F69F8"/>
    <w:rsid w:val="00545274"/>
    <w:rsid w:val="0055556A"/>
    <w:rsid w:val="00590ED0"/>
    <w:rsid w:val="00596731"/>
    <w:rsid w:val="005B0EF8"/>
    <w:rsid w:val="005B28D4"/>
    <w:rsid w:val="005B4FB6"/>
    <w:rsid w:val="005C5DF7"/>
    <w:rsid w:val="005D08DE"/>
    <w:rsid w:val="005E2125"/>
    <w:rsid w:val="005E245F"/>
    <w:rsid w:val="005F01D0"/>
    <w:rsid w:val="005F40BD"/>
    <w:rsid w:val="006139B9"/>
    <w:rsid w:val="006403B4"/>
    <w:rsid w:val="0065783C"/>
    <w:rsid w:val="00663398"/>
    <w:rsid w:val="00665EAD"/>
    <w:rsid w:val="006822B7"/>
    <w:rsid w:val="00691AB9"/>
    <w:rsid w:val="006B7198"/>
    <w:rsid w:val="006C2A12"/>
    <w:rsid w:val="006D2457"/>
    <w:rsid w:val="006D6D43"/>
    <w:rsid w:val="006E1A59"/>
    <w:rsid w:val="006E1B82"/>
    <w:rsid w:val="006E319E"/>
    <w:rsid w:val="006F52B7"/>
    <w:rsid w:val="0071141A"/>
    <w:rsid w:val="0071158D"/>
    <w:rsid w:val="00714C58"/>
    <w:rsid w:val="0071589E"/>
    <w:rsid w:val="007324F7"/>
    <w:rsid w:val="00733DC7"/>
    <w:rsid w:val="00740B57"/>
    <w:rsid w:val="00752E9D"/>
    <w:rsid w:val="0076027E"/>
    <w:rsid w:val="00774F2A"/>
    <w:rsid w:val="00777013"/>
    <w:rsid w:val="007850D9"/>
    <w:rsid w:val="0079215E"/>
    <w:rsid w:val="007961BC"/>
    <w:rsid w:val="007A1702"/>
    <w:rsid w:val="007B0E82"/>
    <w:rsid w:val="007B23EF"/>
    <w:rsid w:val="007B4A96"/>
    <w:rsid w:val="007D3829"/>
    <w:rsid w:val="007E52C9"/>
    <w:rsid w:val="007E73C0"/>
    <w:rsid w:val="0084155D"/>
    <w:rsid w:val="00850B9E"/>
    <w:rsid w:val="00866153"/>
    <w:rsid w:val="00875A5B"/>
    <w:rsid w:val="00877FA2"/>
    <w:rsid w:val="008B59F7"/>
    <w:rsid w:val="008C5D2C"/>
    <w:rsid w:val="008D3B68"/>
    <w:rsid w:val="008E7A4B"/>
    <w:rsid w:val="008F6105"/>
    <w:rsid w:val="008F673B"/>
    <w:rsid w:val="00903960"/>
    <w:rsid w:val="00907785"/>
    <w:rsid w:val="00967A95"/>
    <w:rsid w:val="00971967"/>
    <w:rsid w:val="00974189"/>
    <w:rsid w:val="009764A0"/>
    <w:rsid w:val="009822D5"/>
    <w:rsid w:val="009A4F50"/>
    <w:rsid w:val="009C2BE2"/>
    <w:rsid w:val="009C6BBB"/>
    <w:rsid w:val="009D4850"/>
    <w:rsid w:val="00A11C95"/>
    <w:rsid w:val="00A2290C"/>
    <w:rsid w:val="00A3657C"/>
    <w:rsid w:val="00A551AA"/>
    <w:rsid w:val="00A553BE"/>
    <w:rsid w:val="00A930EE"/>
    <w:rsid w:val="00A9367E"/>
    <w:rsid w:val="00AA0C52"/>
    <w:rsid w:val="00AB0D2D"/>
    <w:rsid w:val="00AC39B9"/>
    <w:rsid w:val="00AC4DE2"/>
    <w:rsid w:val="00B14F15"/>
    <w:rsid w:val="00B16EA0"/>
    <w:rsid w:val="00B23475"/>
    <w:rsid w:val="00B6446D"/>
    <w:rsid w:val="00B71621"/>
    <w:rsid w:val="00B72EDA"/>
    <w:rsid w:val="00B76BED"/>
    <w:rsid w:val="00B827DC"/>
    <w:rsid w:val="00B86D89"/>
    <w:rsid w:val="00B86E66"/>
    <w:rsid w:val="00B948D0"/>
    <w:rsid w:val="00BA169F"/>
    <w:rsid w:val="00BB114D"/>
    <w:rsid w:val="00BD337D"/>
    <w:rsid w:val="00BE33D9"/>
    <w:rsid w:val="00BF1655"/>
    <w:rsid w:val="00BF1CBF"/>
    <w:rsid w:val="00BF220B"/>
    <w:rsid w:val="00C15161"/>
    <w:rsid w:val="00C26BDE"/>
    <w:rsid w:val="00C32623"/>
    <w:rsid w:val="00C42410"/>
    <w:rsid w:val="00C615B9"/>
    <w:rsid w:val="00C91DBF"/>
    <w:rsid w:val="00CA6160"/>
    <w:rsid w:val="00CC46D2"/>
    <w:rsid w:val="00CE0DAB"/>
    <w:rsid w:val="00CE27E8"/>
    <w:rsid w:val="00CE3A24"/>
    <w:rsid w:val="00CF6F50"/>
    <w:rsid w:val="00D11AF1"/>
    <w:rsid w:val="00D204ED"/>
    <w:rsid w:val="00D20956"/>
    <w:rsid w:val="00D279ED"/>
    <w:rsid w:val="00D4622D"/>
    <w:rsid w:val="00D54AFD"/>
    <w:rsid w:val="00D6265E"/>
    <w:rsid w:val="00D80B1F"/>
    <w:rsid w:val="00D91FA1"/>
    <w:rsid w:val="00D97BED"/>
    <w:rsid w:val="00DA2C6A"/>
    <w:rsid w:val="00DB38FA"/>
    <w:rsid w:val="00DC705D"/>
    <w:rsid w:val="00DD24B5"/>
    <w:rsid w:val="00DF1524"/>
    <w:rsid w:val="00E05071"/>
    <w:rsid w:val="00E057B1"/>
    <w:rsid w:val="00E11A46"/>
    <w:rsid w:val="00E24965"/>
    <w:rsid w:val="00E36CAC"/>
    <w:rsid w:val="00E42FC9"/>
    <w:rsid w:val="00E517A2"/>
    <w:rsid w:val="00E51D62"/>
    <w:rsid w:val="00E63FAE"/>
    <w:rsid w:val="00E6401F"/>
    <w:rsid w:val="00E64E7A"/>
    <w:rsid w:val="00E65539"/>
    <w:rsid w:val="00E859C8"/>
    <w:rsid w:val="00EA4372"/>
    <w:rsid w:val="00EA7476"/>
    <w:rsid w:val="00EE1771"/>
    <w:rsid w:val="00F0085B"/>
    <w:rsid w:val="00F022C2"/>
    <w:rsid w:val="00F252A8"/>
    <w:rsid w:val="00F25FC5"/>
    <w:rsid w:val="00F26E32"/>
    <w:rsid w:val="00F30E8C"/>
    <w:rsid w:val="00F31BA8"/>
    <w:rsid w:val="00F429AD"/>
    <w:rsid w:val="00F50409"/>
    <w:rsid w:val="00F55EB2"/>
    <w:rsid w:val="00F621C2"/>
    <w:rsid w:val="00F6281A"/>
    <w:rsid w:val="00F76997"/>
    <w:rsid w:val="00F80A34"/>
    <w:rsid w:val="00F81F02"/>
    <w:rsid w:val="00F93016"/>
    <w:rsid w:val="00FB5635"/>
    <w:rsid w:val="00FE019D"/>
    <w:rsid w:val="00FF687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063D1"/>
  <w15:chartTrackingRefBased/>
  <w15:docId w15:val="{A46BF71B-245C-4B36-A891-18DD7578E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FA1"/>
    <w:rPr>
      <w:rFonts w:asciiTheme="minorHAnsi" w:hAnsiTheme="minorHAnsi" w:cstheme="minorBidi"/>
      <w:sz w:val="22"/>
      <w:szCs w:val="28"/>
    </w:rPr>
  </w:style>
  <w:style w:type="paragraph" w:styleId="Heading1">
    <w:name w:val="heading 1"/>
    <w:basedOn w:val="Normal"/>
    <w:next w:val="Normal"/>
    <w:link w:val="Heading1Char"/>
    <w:uiPriority w:val="9"/>
    <w:qFormat/>
    <w:rsid w:val="00C15161"/>
    <w:pPr>
      <w:keepNext/>
      <w:keepLines/>
      <w:spacing w:before="240" w:after="0"/>
      <w:outlineLvl w:val="0"/>
    </w:pPr>
    <w:rPr>
      <w:rFonts w:asciiTheme="majorHAnsi" w:eastAsiaTheme="majorEastAsia" w:hAnsiTheme="majorHAnsi" w:cstheme="majorBidi"/>
      <w:color w:val="365F91" w:themeColor="accent1" w:themeShade="BF"/>
      <w:sz w:val="32"/>
      <w:szCs w:val="40"/>
    </w:rPr>
  </w:style>
  <w:style w:type="paragraph" w:styleId="Heading2">
    <w:name w:val="heading 2"/>
    <w:basedOn w:val="Normal"/>
    <w:next w:val="Normal"/>
    <w:link w:val="Heading2Char"/>
    <w:uiPriority w:val="9"/>
    <w:unhideWhenUsed/>
    <w:qFormat/>
    <w:rsid w:val="006E1A59"/>
    <w:pPr>
      <w:keepNext/>
      <w:keepLines/>
      <w:spacing w:before="40" w:after="0"/>
      <w:outlineLvl w:val="1"/>
    </w:pPr>
    <w:rPr>
      <w:rFonts w:asciiTheme="majorHAnsi" w:eastAsiaTheme="majorEastAsia" w:hAnsiTheme="majorHAnsi" w:cstheme="majorBidi"/>
      <w:color w:val="365F91"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C15161"/>
  </w:style>
  <w:style w:type="paragraph" w:styleId="Title">
    <w:name w:val="Title"/>
    <w:basedOn w:val="Normal"/>
    <w:next w:val="Normal"/>
    <w:link w:val="TitleChar"/>
    <w:uiPriority w:val="10"/>
    <w:qFormat/>
    <w:rsid w:val="00C15161"/>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C15161"/>
    <w:rPr>
      <w:rFonts w:asciiTheme="majorHAnsi" w:eastAsiaTheme="majorEastAsia" w:hAnsiTheme="majorHAnsi" w:cstheme="majorBidi"/>
      <w:spacing w:val="-10"/>
      <w:kern w:val="28"/>
      <w:sz w:val="56"/>
      <w:szCs w:val="71"/>
    </w:rPr>
  </w:style>
  <w:style w:type="character" w:customStyle="1" w:styleId="Heading1Char">
    <w:name w:val="Heading 1 Char"/>
    <w:basedOn w:val="DefaultParagraphFont"/>
    <w:link w:val="Heading1"/>
    <w:uiPriority w:val="9"/>
    <w:rsid w:val="00C15161"/>
    <w:rPr>
      <w:rFonts w:asciiTheme="majorHAnsi" w:eastAsiaTheme="majorEastAsia" w:hAnsiTheme="majorHAnsi" w:cstheme="majorBidi"/>
      <w:color w:val="365F91" w:themeColor="accent1" w:themeShade="BF"/>
      <w:sz w:val="32"/>
      <w:szCs w:val="40"/>
    </w:rPr>
  </w:style>
  <w:style w:type="paragraph" w:styleId="NormalWeb">
    <w:name w:val="Normal (Web)"/>
    <w:basedOn w:val="Normal"/>
    <w:uiPriority w:val="99"/>
    <w:unhideWhenUsed/>
    <w:rsid w:val="00C15161"/>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paragraph" w:customStyle="1" w:styleId="Default">
    <w:name w:val="Default"/>
    <w:rsid w:val="00866153"/>
    <w:pPr>
      <w:autoSpaceDE w:val="0"/>
      <w:autoSpaceDN w:val="0"/>
      <w:adjustRightInd w:val="0"/>
      <w:spacing w:after="0" w:line="240" w:lineRule="auto"/>
    </w:pPr>
    <w:rPr>
      <w:color w:val="000000"/>
      <w:lang w:bidi="ar-SA"/>
    </w:rPr>
  </w:style>
  <w:style w:type="character" w:styleId="PlaceholderText">
    <w:name w:val="Placeholder Text"/>
    <w:basedOn w:val="DefaultParagraphFont"/>
    <w:uiPriority w:val="99"/>
    <w:semiHidden/>
    <w:rsid w:val="007B4A96"/>
    <w:rPr>
      <w:color w:val="808080"/>
    </w:rPr>
  </w:style>
  <w:style w:type="table" w:styleId="TableGrid">
    <w:name w:val="Table Grid"/>
    <w:basedOn w:val="TableNormal"/>
    <w:uiPriority w:val="59"/>
    <w:rsid w:val="00084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D768A"/>
    <w:pPr>
      <w:widowControl w:val="0"/>
      <w:autoSpaceDE w:val="0"/>
      <w:autoSpaceDN w:val="0"/>
      <w:spacing w:before="118" w:after="0" w:line="240" w:lineRule="auto"/>
      <w:ind w:left="165"/>
    </w:pPr>
    <w:rPr>
      <w:rFonts w:ascii="Arial" w:eastAsia="Arial" w:hAnsi="Arial" w:cs="Arial"/>
      <w:szCs w:val="22"/>
      <w:lang w:val="en-US" w:bidi="ar-SA"/>
    </w:rPr>
  </w:style>
  <w:style w:type="paragraph" w:styleId="Header">
    <w:name w:val="header"/>
    <w:basedOn w:val="Normal"/>
    <w:link w:val="HeaderChar"/>
    <w:uiPriority w:val="99"/>
    <w:unhideWhenUsed/>
    <w:rsid w:val="00422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025"/>
    <w:rPr>
      <w:rFonts w:asciiTheme="minorHAnsi" w:hAnsiTheme="minorHAnsi" w:cstheme="minorBidi"/>
      <w:sz w:val="22"/>
      <w:szCs w:val="28"/>
    </w:rPr>
  </w:style>
  <w:style w:type="paragraph" w:styleId="Footer">
    <w:name w:val="footer"/>
    <w:basedOn w:val="Normal"/>
    <w:link w:val="FooterChar"/>
    <w:uiPriority w:val="99"/>
    <w:unhideWhenUsed/>
    <w:rsid w:val="00422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025"/>
    <w:rPr>
      <w:rFonts w:asciiTheme="minorHAnsi" w:hAnsiTheme="minorHAnsi" w:cstheme="minorBidi"/>
      <w:sz w:val="22"/>
      <w:szCs w:val="28"/>
    </w:rPr>
  </w:style>
  <w:style w:type="character" w:customStyle="1" w:styleId="price-tag">
    <w:name w:val="price-tag"/>
    <w:basedOn w:val="DefaultParagraphFont"/>
    <w:rsid w:val="00E64E7A"/>
  </w:style>
  <w:style w:type="character" w:customStyle="1" w:styleId="Heading2Char">
    <w:name w:val="Heading 2 Char"/>
    <w:basedOn w:val="DefaultParagraphFont"/>
    <w:link w:val="Heading2"/>
    <w:uiPriority w:val="9"/>
    <w:rsid w:val="006E1A59"/>
    <w:rPr>
      <w:rFonts w:asciiTheme="majorHAnsi" w:eastAsiaTheme="majorEastAsia" w:hAnsiTheme="majorHAnsi" w:cstheme="majorBidi"/>
      <w:color w:val="365F91" w:themeColor="accent1" w:themeShade="BF"/>
      <w:sz w:val="26"/>
      <w:szCs w:val="33"/>
    </w:rPr>
  </w:style>
  <w:style w:type="paragraph" w:styleId="ListParagraph">
    <w:name w:val="List Paragraph"/>
    <w:basedOn w:val="Normal"/>
    <w:uiPriority w:val="34"/>
    <w:qFormat/>
    <w:rsid w:val="005E245F"/>
    <w:pPr>
      <w:ind w:left="720"/>
      <w:contextualSpacing/>
    </w:pPr>
  </w:style>
  <w:style w:type="paragraph" w:customStyle="1" w:styleId="Pa15">
    <w:name w:val="Pa15"/>
    <w:basedOn w:val="Default"/>
    <w:next w:val="Default"/>
    <w:uiPriority w:val="99"/>
    <w:rsid w:val="00215B00"/>
    <w:pPr>
      <w:spacing w:line="171" w:lineRule="atLeast"/>
    </w:pPr>
    <w:rPr>
      <w:rFonts w:ascii="Mary Ann ExtraBold" w:hAnsi="Mary Ann ExtraBold"/>
      <w:color w:val="auto"/>
    </w:rPr>
  </w:style>
  <w:style w:type="character" w:customStyle="1" w:styleId="mord">
    <w:name w:val="mord"/>
    <w:basedOn w:val="DefaultParagraphFont"/>
    <w:rsid w:val="00A3657C"/>
  </w:style>
  <w:style w:type="character" w:customStyle="1" w:styleId="mrel">
    <w:name w:val="mrel"/>
    <w:basedOn w:val="DefaultParagraphFont"/>
    <w:rsid w:val="00A3657C"/>
  </w:style>
  <w:style w:type="character" w:customStyle="1" w:styleId="vlist-s">
    <w:name w:val="vlist-s"/>
    <w:basedOn w:val="DefaultParagraphFont"/>
    <w:rsid w:val="00A3657C"/>
  </w:style>
  <w:style w:type="character" w:styleId="Strong">
    <w:name w:val="Strong"/>
    <w:basedOn w:val="DefaultParagraphFont"/>
    <w:uiPriority w:val="22"/>
    <w:qFormat/>
    <w:rsid w:val="009A4F50"/>
    <w:rPr>
      <w:b/>
      <w:bCs/>
    </w:rPr>
  </w:style>
  <w:style w:type="paragraph" w:styleId="TOCHeading">
    <w:name w:val="TOC Heading"/>
    <w:basedOn w:val="Heading1"/>
    <w:next w:val="Normal"/>
    <w:uiPriority w:val="39"/>
    <w:unhideWhenUsed/>
    <w:qFormat/>
    <w:rsid w:val="00DD24B5"/>
    <w:pPr>
      <w:spacing w:before="480"/>
      <w:outlineLvl w:val="9"/>
    </w:pPr>
    <w:rPr>
      <w:b/>
      <w:bCs/>
      <w:sz w:val="28"/>
      <w:szCs w:val="28"/>
      <w:lang w:val="en-US" w:bidi="ar-SA"/>
    </w:rPr>
  </w:style>
  <w:style w:type="paragraph" w:styleId="TOC1">
    <w:name w:val="toc 1"/>
    <w:basedOn w:val="Normal"/>
    <w:next w:val="Normal"/>
    <w:autoRedefine/>
    <w:uiPriority w:val="39"/>
    <w:unhideWhenUsed/>
    <w:rsid w:val="00DD24B5"/>
    <w:pPr>
      <w:spacing w:before="120" w:after="0"/>
    </w:pPr>
    <w:rPr>
      <w:rFonts w:cstheme="minorHAnsi"/>
      <w:b/>
      <w:bCs/>
      <w:i/>
      <w:iCs/>
      <w:sz w:val="24"/>
      <w:szCs w:val="24"/>
    </w:rPr>
  </w:style>
  <w:style w:type="paragraph" w:styleId="TOC2">
    <w:name w:val="toc 2"/>
    <w:basedOn w:val="Normal"/>
    <w:next w:val="Normal"/>
    <w:autoRedefine/>
    <w:uiPriority w:val="39"/>
    <w:unhideWhenUsed/>
    <w:rsid w:val="00DD24B5"/>
    <w:pPr>
      <w:spacing w:before="120" w:after="0"/>
      <w:ind w:left="220"/>
    </w:pPr>
    <w:rPr>
      <w:rFonts w:cstheme="minorHAnsi"/>
      <w:b/>
      <w:bCs/>
      <w:szCs w:val="22"/>
    </w:rPr>
  </w:style>
  <w:style w:type="character" w:styleId="Hyperlink">
    <w:name w:val="Hyperlink"/>
    <w:basedOn w:val="DefaultParagraphFont"/>
    <w:uiPriority w:val="99"/>
    <w:unhideWhenUsed/>
    <w:rsid w:val="00DD24B5"/>
    <w:rPr>
      <w:color w:val="0000FF" w:themeColor="hyperlink"/>
      <w:u w:val="single"/>
    </w:rPr>
  </w:style>
  <w:style w:type="paragraph" w:styleId="TOC3">
    <w:name w:val="toc 3"/>
    <w:basedOn w:val="Normal"/>
    <w:next w:val="Normal"/>
    <w:autoRedefine/>
    <w:uiPriority w:val="39"/>
    <w:semiHidden/>
    <w:unhideWhenUsed/>
    <w:rsid w:val="00DD24B5"/>
    <w:pPr>
      <w:spacing w:after="0"/>
      <w:ind w:left="440"/>
    </w:pPr>
    <w:rPr>
      <w:rFonts w:cstheme="minorHAnsi"/>
      <w:sz w:val="20"/>
      <w:szCs w:val="20"/>
    </w:rPr>
  </w:style>
  <w:style w:type="paragraph" w:styleId="TOC4">
    <w:name w:val="toc 4"/>
    <w:basedOn w:val="Normal"/>
    <w:next w:val="Normal"/>
    <w:autoRedefine/>
    <w:uiPriority w:val="39"/>
    <w:semiHidden/>
    <w:unhideWhenUsed/>
    <w:rsid w:val="00DD24B5"/>
    <w:pPr>
      <w:spacing w:after="0"/>
      <w:ind w:left="660"/>
    </w:pPr>
    <w:rPr>
      <w:rFonts w:cstheme="minorHAnsi"/>
      <w:sz w:val="20"/>
      <w:szCs w:val="20"/>
    </w:rPr>
  </w:style>
  <w:style w:type="paragraph" w:styleId="TOC5">
    <w:name w:val="toc 5"/>
    <w:basedOn w:val="Normal"/>
    <w:next w:val="Normal"/>
    <w:autoRedefine/>
    <w:uiPriority w:val="39"/>
    <w:semiHidden/>
    <w:unhideWhenUsed/>
    <w:rsid w:val="00DD24B5"/>
    <w:pPr>
      <w:spacing w:after="0"/>
      <w:ind w:left="880"/>
    </w:pPr>
    <w:rPr>
      <w:rFonts w:cstheme="minorHAnsi"/>
      <w:sz w:val="20"/>
      <w:szCs w:val="20"/>
    </w:rPr>
  </w:style>
  <w:style w:type="paragraph" w:styleId="TOC6">
    <w:name w:val="toc 6"/>
    <w:basedOn w:val="Normal"/>
    <w:next w:val="Normal"/>
    <w:autoRedefine/>
    <w:uiPriority w:val="39"/>
    <w:semiHidden/>
    <w:unhideWhenUsed/>
    <w:rsid w:val="00DD24B5"/>
    <w:pPr>
      <w:spacing w:after="0"/>
      <w:ind w:left="1100"/>
    </w:pPr>
    <w:rPr>
      <w:rFonts w:cstheme="minorHAnsi"/>
      <w:sz w:val="20"/>
      <w:szCs w:val="20"/>
    </w:rPr>
  </w:style>
  <w:style w:type="paragraph" w:styleId="TOC7">
    <w:name w:val="toc 7"/>
    <w:basedOn w:val="Normal"/>
    <w:next w:val="Normal"/>
    <w:autoRedefine/>
    <w:uiPriority w:val="39"/>
    <w:semiHidden/>
    <w:unhideWhenUsed/>
    <w:rsid w:val="00DD24B5"/>
    <w:pPr>
      <w:spacing w:after="0"/>
      <w:ind w:left="1320"/>
    </w:pPr>
    <w:rPr>
      <w:rFonts w:cstheme="minorHAnsi"/>
      <w:sz w:val="20"/>
      <w:szCs w:val="20"/>
    </w:rPr>
  </w:style>
  <w:style w:type="paragraph" w:styleId="TOC8">
    <w:name w:val="toc 8"/>
    <w:basedOn w:val="Normal"/>
    <w:next w:val="Normal"/>
    <w:autoRedefine/>
    <w:uiPriority w:val="39"/>
    <w:semiHidden/>
    <w:unhideWhenUsed/>
    <w:rsid w:val="00DD24B5"/>
    <w:pPr>
      <w:spacing w:after="0"/>
      <w:ind w:left="1540"/>
    </w:pPr>
    <w:rPr>
      <w:rFonts w:cstheme="minorHAnsi"/>
      <w:sz w:val="20"/>
      <w:szCs w:val="20"/>
    </w:rPr>
  </w:style>
  <w:style w:type="paragraph" w:styleId="TOC9">
    <w:name w:val="toc 9"/>
    <w:basedOn w:val="Normal"/>
    <w:next w:val="Normal"/>
    <w:autoRedefine/>
    <w:uiPriority w:val="39"/>
    <w:semiHidden/>
    <w:unhideWhenUsed/>
    <w:rsid w:val="00DD24B5"/>
    <w:pPr>
      <w:spacing w:after="0"/>
      <w:ind w:left="1760"/>
    </w:pPr>
    <w:rPr>
      <w:rFonts w:cstheme="minorHAnsi"/>
      <w:sz w:val="20"/>
      <w:szCs w:val="20"/>
    </w:rPr>
  </w:style>
  <w:style w:type="character" w:styleId="UnresolvedMention">
    <w:name w:val="Unresolved Mention"/>
    <w:basedOn w:val="DefaultParagraphFont"/>
    <w:uiPriority w:val="99"/>
    <w:semiHidden/>
    <w:unhideWhenUsed/>
    <w:rsid w:val="008B5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2982">
      <w:bodyDiv w:val="1"/>
      <w:marLeft w:val="0"/>
      <w:marRight w:val="0"/>
      <w:marTop w:val="0"/>
      <w:marBottom w:val="0"/>
      <w:divBdr>
        <w:top w:val="none" w:sz="0" w:space="0" w:color="auto"/>
        <w:left w:val="none" w:sz="0" w:space="0" w:color="auto"/>
        <w:bottom w:val="none" w:sz="0" w:space="0" w:color="auto"/>
        <w:right w:val="none" w:sz="0" w:space="0" w:color="auto"/>
      </w:divBdr>
      <w:divsChild>
        <w:div w:id="706836355">
          <w:marLeft w:val="0"/>
          <w:marRight w:val="0"/>
          <w:marTop w:val="0"/>
          <w:marBottom w:val="0"/>
          <w:divBdr>
            <w:top w:val="none" w:sz="0" w:space="0" w:color="auto"/>
            <w:left w:val="none" w:sz="0" w:space="0" w:color="auto"/>
            <w:bottom w:val="none" w:sz="0" w:space="0" w:color="auto"/>
            <w:right w:val="none" w:sz="0" w:space="0" w:color="auto"/>
          </w:divBdr>
        </w:div>
      </w:divsChild>
    </w:div>
    <w:div w:id="7872534">
      <w:bodyDiv w:val="1"/>
      <w:marLeft w:val="0"/>
      <w:marRight w:val="0"/>
      <w:marTop w:val="0"/>
      <w:marBottom w:val="0"/>
      <w:divBdr>
        <w:top w:val="none" w:sz="0" w:space="0" w:color="auto"/>
        <w:left w:val="none" w:sz="0" w:space="0" w:color="auto"/>
        <w:bottom w:val="none" w:sz="0" w:space="0" w:color="auto"/>
        <w:right w:val="none" w:sz="0" w:space="0" w:color="auto"/>
      </w:divBdr>
      <w:divsChild>
        <w:div w:id="1175806786">
          <w:marLeft w:val="0"/>
          <w:marRight w:val="0"/>
          <w:marTop w:val="0"/>
          <w:marBottom w:val="0"/>
          <w:divBdr>
            <w:top w:val="none" w:sz="0" w:space="0" w:color="auto"/>
            <w:left w:val="none" w:sz="0" w:space="0" w:color="auto"/>
            <w:bottom w:val="none" w:sz="0" w:space="0" w:color="auto"/>
            <w:right w:val="none" w:sz="0" w:space="0" w:color="auto"/>
          </w:divBdr>
          <w:divsChild>
            <w:div w:id="1291666325">
              <w:marLeft w:val="0"/>
              <w:marRight w:val="0"/>
              <w:marTop w:val="0"/>
              <w:marBottom w:val="0"/>
              <w:divBdr>
                <w:top w:val="none" w:sz="0" w:space="0" w:color="auto"/>
                <w:left w:val="none" w:sz="0" w:space="0" w:color="auto"/>
                <w:bottom w:val="none" w:sz="0" w:space="0" w:color="auto"/>
                <w:right w:val="none" w:sz="0" w:space="0" w:color="auto"/>
              </w:divBdr>
              <w:divsChild>
                <w:div w:id="76607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37283">
      <w:bodyDiv w:val="1"/>
      <w:marLeft w:val="0"/>
      <w:marRight w:val="0"/>
      <w:marTop w:val="0"/>
      <w:marBottom w:val="0"/>
      <w:divBdr>
        <w:top w:val="none" w:sz="0" w:space="0" w:color="auto"/>
        <w:left w:val="none" w:sz="0" w:space="0" w:color="auto"/>
        <w:bottom w:val="none" w:sz="0" w:space="0" w:color="auto"/>
        <w:right w:val="none" w:sz="0" w:space="0" w:color="auto"/>
      </w:divBdr>
      <w:divsChild>
        <w:div w:id="988053426">
          <w:marLeft w:val="0"/>
          <w:marRight w:val="0"/>
          <w:marTop w:val="0"/>
          <w:marBottom w:val="0"/>
          <w:divBdr>
            <w:top w:val="none" w:sz="0" w:space="0" w:color="auto"/>
            <w:left w:val="none" w:sz="0" w:space="0" w:color="auto"/>
            <w:bottom w:val="none" w:sz="0" w:space="0" w:color="auto"/>
            <w:right w:val="none" w:sz="0" w:space="0" w:color="auto"/>
          </w:divBdr>
        </w:div>
      </w:divsChild>
    </w:div>
    <w:div w:id="73821629">
      <w:bodyDiv w:val="1"/>
      <w:marLeft w:val="0"/>
      <w:marRight w:val="0"/>
      <w:marTop w:val="0"/>
      <w:marBottom w:val="0"/>
      <w:divBdr>
        <w:top w:val="none" w:sz="0" w:space="0" w:color="auto"/>
        <w:left w:val="none" w:sz="0" w:space="0" w:color="auto"/>
        <w:bottom w:val="none" w:sz="0" w:space="0" w:color="auto"/>
        <w:right w:val="none" w:sz="0" w:space="0" w:color="auto"/>
      </w:divBdr>
      <w:divsChild>
        <w:div w:id="1101804728">
          <w:marLeft w:val="0"/>
          <w:marRight w:val="0"/>
          <w:marTop w:val="0"/>
          <w:marBottom w:val="0"/>
          <w:divBdr>
            <w:top w:val="none" w:sz="0" w:space="0" w:color="auto"/>
            <w:left w:val="none" w:sz="0" w:space="0" w:color="auto"/>
            <w:bottom w:val="none" w:sz="0" w:space="0" w:color="auto"/>
            <w:right w:val="none" w:sz="0" w:space="0" w:color="auto"/>
          </w:divBdr>
        </w:div>
      </w:divsChild>
    </w:div>
    <w:div w:id="92752288">
      <w:bodyDiv w:val="1"/>
      <w:marLeft w:val="0"/>
      <w:marRight w:val="0"/>
      <w:marTop w:val="0"/>
      <w:marBottom w:val="0"/>
      <w:divBdr>
        <w:top w:val="none" w:sz="0" w:space="0" w:color="auto"/>
        <w:left w:val="none" w:sz="0" w:space="0" w:color="auto"/>
        <w:bottom w:val="none" w:sz="0" w:space="0" w:color="auto"/>
        <w:right w:val="none" w:sz="0" w:space="0" w:color="auto"/>
      </w:divBdr>
      <w:divsChild>
        <w:div w:id="1545485783">
          <w:marLeft w:val="0"/>
          <w:marRight w:val="0"/>
          <w:marTop w:val="0"/>
          <w:marBottom w:val="0"/>
          <w:divBdr>
            <w:top w:val="none" w:sz="0" w:space="0" w:color="auto"/>
            <w:left w:val="none" w:sz="0" w:space="0" w:color="auto"/>
            <w:bottom w:val="none" w:sz="0" w:space="0" w:color="auto"/>
            <w:right w:val="none" w:sz="0" w:space="0" w:color="auto"/>
          </w:divBdr>
        </w:div>
      </w:divsChild>
    </w:div>
    <w:div w:id="130636576">
      <w:bodyDiv w:val="1"/>
      <w:marLeft w:val="0"/>
      <w:marRight w:val="0"/>
      <w:marTop w:val="0"/>
      <w:marBottom w:val="0"/>
      <w:divBdr>
        <w:top w:val="none" w:sz="0" w:space="0" w:color="auto"/>
        <w:left w:val="none" w:sz="0" w:space="0" w:color="auto"/>
        <w:bottom w:val="none" w:sz="0" w:space="0" w:color="auto"/>
        <w:right w:val="none" w:sz="0" w:space="0" w:color="auto"/>
      </w:divBdr>
      <w:divsChild>
        <w:div w:id="400368616">
          <w:marLeft w:val="0"/>
          <w:marRight w:val="0"/>
          <w:marTop w:val="0"/>
          <w:marBottom w:val="0"/>
          <w:divBdr>
            <w:top w:val="none" w:sz="0" w:space="0" w:color="auto"/>
            <w:left w:val="none" w:sz="0" w:space="0" w:color="auto"/>
            <w:bottom w:val="none" w:sz="0" w:space="0" w:color="auto"/>
            <w:right w:val="none" w:sz="0" w:space="0" w:color="auto"/>
          </w:divBdr>
        </w:div>
      </w:divsChild>
    </w:div>
    <w:div w:id="133716530">
      <w:bodyDiv w:val="1"/>
      <w:marLeft w:val="0"/>
      <w:marRight w:val="0"/>
      <w:marTop w:val="0"/>
      <w:marBottom w:val="0"/>
      <w:divBdr>
        <w:top w:val="none" w:sz="0" w:space="0" w:color="auto"/>
        <w:left w:val="none" w:sz="0" w:space="0" w:color="auto"/>
        <w:bottom w:val="none" w:sz="0" w:space="0" w:color="auto"/>
        <w:right w:val="none" w:sz="0" w:space="0" w:color="auto"/>
      </w:divBdr>
      <w:divsChild>
        <w:div w:id="378745646">
          <w:marLeft w:val="0"/>
          <w:marRight w:val="0"/>
          <w:marTop w:val="0"/>
          <w:marBottom w:val="0"/>
          <w:divBdr>
            <w:top w:val="none" w:sz="0" w:space="0" w:color="auto"/>
            <w:left w:val="none" w:sz="0" w:space="0" w:color="auto"/>
            <w:bottom w:val="none" w:sz="0" w:space="0" w:color="auto"/>
            <w:right w:val="none" w:sz="0" w:space="0" w:color="auto"/>
          </w:divBdr>
        </w:div>
      </w:divsChild>
    </w:div>
    <w:div w:id="171452122">
      <w:bodyDiv w:val="1"/>
      <w:marLeft w:val="0"/>
      <w:marRight w:val="0"/>
      <w:marTop w:val="0"/>
      <w:marBottom w:val="0"/>
      <w:divBdr>
        <w:top w:val="none" w:sz="0" w:space="0" w:color="auto"/>
        <w:left w:val="none" w:sz="0" w:space="0" w:color="auto"/>
        <w:bottom w:val="none" w:sz="0" w:space="0" w:color="auto"/>
        <w:right w:val="none" w:sz="0" w:space="0" w:color="auto"/>
      </w:divBdr>
      <w:divsChild>
        <w:div w:id="422068465">
          <w:marLeft w:val="0"/>
          <w:marRight w:val="0"/>
          <w:marTop w:val="0"/>
          <w:marBottom w:val="0"/>
          <w:divBdr>
            <w:top w:val="none" w:sz="0" w:space="0" w:color="auto"/>
            <w:left w:val="none" w:sz="0" w:space="0" w:color="auto"/>
            <w:bottom w:val="none" w:sz="0" w:space="0" w:color="auto"/>
            <w:right w:val="none" w:sz="0" w:space="0" w:color="auto"/>
          </w:divBdr>
        </w:div>
      </w:divsChild>
    </w:div>
    <w:div w:id="220214717">
      <w:bodyDiv w:val="1"/>
      <w:marLeft w:val="0"/>
      <w:marRight w:val="0"/>
      <w:marTop w:val="0"/>
      <w:marBottom w:val="0"/>
      <w:divBdr>
        <w:top w:val="none" w:sz="0" w:space="0" w:color="auto"/>
        <w:left w:val="none" w:sz="0" w:space="0" w:color="auto"/>
        <w:bottom w:val="none" w:sz="0" w:space="0" w:color="auto"/>
        <w:right w:val="none" w:sz="0" w:space="0" w:color="auto"/>
      </w:divBdr>
      <w:divsChild>
        <w:div w:id="1310943173">
          <w:marLeft w:val="0"/>
          <w:marRight w:val="0"/>
          <w:marTop w:val="0"/>
          <w:marBottom w:val="0"/>
          <w:divBdr>
            <w:top w:val="none" w:sz="0" w:space="0" w:color="auto"/>
            <w:left w:val="none" w:sz="0" w:space="0" w:color="auto"/>
            <w:bottom w:val="none" w:sz="0" w:space="0" w:color="auto"/>
            <w:right w:val="none" w:sz="0" w:space="0" w:color="auto"/>
          </w:divBdr>
        </w:div>
      </w:divsChild>
    </w:div>
    <w:div w:id="246159169">
      <w:bodyDiv w:val="1"/>
      <w:marLeft w:val="0"/>
      <w:marRight w:val="0"/>
      <w:marTop w:val="0"/>
      <w:marBottom w:val="0"/>
      <w:divBdr>
        <w:top w:val="none" w:sz="0" w:space="0" w:color="auto"/>
        <w:left w:val="none" w:sz="0" w:space="0" w:color="auto"/>
        <w:bottom w:val="none" w:sz="0" w:space="0" w:color="auto"/>
        <w:right w:val="none" w:sz="0" w:space="0" w:color="auto"/>
      </w:divBdr>
    </w:div>
    <w:div w:id="259993956">
      <w:bodyDiv w:val="1"/>
      <w:marLeft w:val="0"/>
      <w:marRight w:val="0"/>
      <w:marTop w:val="0"/>
      <w:marBottom w:val="0"/>
      <w:divBdr>
        <w:top w:val="none" w:sz="0" w:space="0" w:color="auto"/>
        <w:left w:val="none" w:sz="0" w:space="0" w:color="auto"/>
        <w:bottom w:val="none" w:sz="0" w:space="0" w:color="auto"/>
        <w:right w:val="none" w:sz="0" w:space="0" w:color="auto"/>
      </w:divBdr>
      <w:divsChild>
        <w:div w:id="156310897">
          <w:marLeft w:val="0"/>
          <w:marRight w:val="0"/>
          <w:marTop w:val="0"/>
          <w:marBottom w:val="0"/>
          <w:divBdr>
            <w:top w:val="none" w:sz="0" w:space="0" w:color="auto"/>
            <w:left w:val="none" w:sz="0" w:space="0" w:color="auto"/>
            <w:bottom w:val="none" w:sz="0" w:space="0" w:color="auto"/>
            <w:right w:val="none" w:sz="0" w:space="0" w:color="auto"/>
          </w:divBdr>
        </w:div>
      </w:divsChild>
    </w:div>
    <w:div w:id="269165518">
      <w:bodyDiv w:val="1"/>
      <w:marLeft w:val="0"/>
      <w:marRight w:val="0"/>
      <w:marTop w:val="0"/>
      <w:marBottom w:val="0"/>
      <w:divBdr>
        <w:top w:val="none" w:sz="0" w:space="0" w:color="auto"/>
        <w:left w:val="none" w:sz="0" w:space="0" w:color="auto"/>
        <w:bottom w:val="none" w:sz="0" w:space="0" w:color="auto"/>
        <w:right w:val="none" w:sz="0" w:space="0" w:color="auto"/>
      </w:divBdr>
    </w:div>
    <w:div w:id="270821034">
      <w:bodyDiv w:val="1"/>
      <w:marLeft w:val="0"/>
      <w:marRight w:val="0"/>
      <w:marTop w:val="0"/>
      <w:marBottom w:val="0"/>
      <w:divBdr>
        <w:top w:val="none" w:sz="0" w:space="0" w:color="auto"/>
        <w:left w:val="none" w:sz="0" w:space="0" w:color="auto"/>
        <w:bottom w:val="none" w:sz="0" w:space="0" w:color="auto"/>
        <w:right w:val="none" w:sz="0" w:space="0" w:color="auto"/>
      </w:divBdr>
    </w:div>
    <w:div w:id="276184056">
      <w:bodyDiv w:val="1"/>
      <w:marLeft w:val="0"/>
      <w:marRight w:val="0"/>
      <w:marTop w:val="0"/>
      <w:marBottom w:val="0"/>
      <w:divBdr>
        <w:top w:val="none" w:sz="0" w:space="0" w:color="auto"/>
        <w:left w:val="none" w:sz="0" w:space="0" w:color="auto"/>
        <w:bottom w:val="none" w:sz="0" w:space="0" w:color="auto"/>
        <w:right w:val="none" w:sz="0" w:space="0" w:color="auto"/>
      </w:divBdr>
      <w:divsChild>
        <w:div w:id="1058632415">
          <w:marLeft w:val="0"/>
          <w:marRight w:val="0"/>
          <w:marTop w:val="0"/>
          <w:marBottom w:val="0"/>
          <w:divBdr>
            <w:top w:val="none" w:sz="0" w:space="0" w:color="auto"/>
            <w:left w:val="none" w:sz="0" w:space="0" w:color="auto"/>
            <w:bottom w:val="none" w:sz="0" w:space="0" w:color="auto"/>
            <w:right w:val="none" w:sz="0" w:space="0" w:color="auto"/>
          </w:divBdr>
        </w:div>
      </w:divsChild>
    </w:div>
    <w:div w:id="278491777">
      <w:bodyDiv w:val="1"/>
      <w:marLeft w:val="0"/>
      <w:marRight w:val="0"/>
      <w:marTop w:val="0"/>
      <w:marBottom w:val="0"/>
      <w:divBdr>
        <w:top w:val="none" w:sz="0" w:space="0" w:color="auto"/>
        <w:left w:val="none" w:sz="0" w:space="0" w:color="auto"/>
        <w:bottom w:val="none" w:sz="0" w:space="0" w:color="auto"/>
        <w:right w:val="none" w:sz="0" w:space="0" w:color="auto"/>
      </w:divBdr>
      <w:divsChild>
        <w:div w:id="1158424469">
          <w:marLeft w:val="0"/>
          <w:marRight w:val="0"/>
          <w:marTop w:val="0"/>
          <w:marBottom w:val="0"/>
          <w:divBdr>
            <w:top w:val="none" w:sz="0" w:space="0" w:color="auto"/>
            <w:left w:val="none" w:sz="0" w:space="0" w:color="auto"/>
            <w:bottom w:val="none" w:sz="0" w:space="0" w:color="auto"/>
            <w:right w:val="none" w:sz="0" w:space="0" w:color="auto"/>
          </w:divBdr>
        </w:div>
      </w:divsChild>
    </w:div>
    <w:div w:id="294212955">
      <w:bodyDiv w:val="1"/>
      <w:marLeft w:val="0"/>
      <w:marRight w:val="0"/>
      <w:marTop w:val="0"/>
      <w:marBottom w:val="0"/>
      <w:divBdr>
        <w:top w:val="none" w:sz="0" w:space="0" w:color="auto"/>
        <w:left w:val="none" w:sz="0" w:space="0" w:color="auto"/>
        <w:bottom w:val="none" w:sz="0" w:space="0" w:color="auto"/>
        <w:right w:val="none" w:sz="0" w:space="0" w:color="auto"/>
      </w:divBdr>
      <w:divsChild>
        <w:div w:id="570116478">
          <w:marLeft w:val="0"/>
          <w:marRight w:val="0"/>
          <w:marTop w:val="0"/>
          <w:marBottom w:val="0"/>
          <w:divBdr>
            <w:top w:val="none" w:sz="0" w:space="0" w:color="auto"/>
            <w:left w:val="none" w:sz="0" w:space="0" w:color="auto"/>
            <w:bottom w:val="none" w:sz="0" w:space="0" w:color="auto"/>
            <w:right w:val="none" w:sz="0" w:space="0" w:color="auto"/>
          </w:divBdr>
        </w:div>
      </w:divsChild>
    </w:div>
    <w:div w:id="309944112">
      <w:bodyDiv w:val="1"/>
      <w:marLeft w:val="0"/>
      <w:marRight w:val="0"/>
      <w:marTop w:val="0"/>
      <w:marBottom w:val="0"/>
      <w:divBdr>
        <w:top w:val="none" w:sz="0" w:space="0" w:color="auto"/>
        <w:left w:val="none" w:sz="0" w:space="0" w:color="auto"/>
        <w:bottom w:val="none" w:sz="0" w:space="0" w:color="auto"/>
        <w:right w:val="none" w:sz="0" w:space="0" w:color="auto"/>
      </w:divBdr>
    </w:div>
    <w:div w:id="346715452">
      <w:bodyDiv w:val="1"/>
      <w:marLeft w:val="0"/>
      <w:marRight w:val="0"/>
      <w:marTop w:val="0"/>
      <w:marBottom w:val="0"/>
      <w:divBdr>
        <w:top w:val="none" w:sz="0" w:space="0" w:color="auto"/>
        <w:left w:val="none" w:sz="0" w:space="0" w:color="auto"/>
        <w:bottom w:val="none" w:sz="0" w:space="0" w:color="auto"/>
        <w:right w:val="none" w:sz="0" w:space="0" w:color="auto"/>
      </w:divBdr>
      <w:divsChild>
        <w:div w:id="1200781661">
          <w:marLeft w:val="0"/>
          <w:marRight w:val="0"/>
          <w:marTop w:val="0"/>
          <w:marBottom w:val="0"/>
          <w:divBdr>
            <w:top w:val="none" w:sz="0" w:space="0" w:color="auto"/>
            <w:left w:val="none" w:sz="0" w:space="0" w:color="auto"/>
            <w:bottom w:val="none" w:sz="0" w:space="0" w:color="auto"/>
            <w:right w:val="none" w:sz="0" w:space="0" w:color="auto"/>
          </w:divBdr>
        </w:div>
      </w:divsChild>
    </w:div>
    <w:div w:id="353270733">
      <w:bodyDiv w:val="1"/>
      <w:marLeft w:val="0"/>
      <w:marRight w:val="0"/>
      <w:marTop w:val="0"/>
      <w:marBottom w:val="0"/>
      <w:divBdr>
        <w:top w:val="none" w:sz="0" w:space="0" w:color="auto"/>
        <w:left w:val="none" w:sz="0" w:space="0" w:color="auto"/>
        <w:bottom w:val="none" w:sz="0" w:space="0" w:color="auto"/>
        <w:right w:val="none" w:sz="0" w:space="0" w:color="auto"/>
      </w:divBdr>
      <w:divsChild>
        <w:div w:id="1679381884">
          <w:marLeft w:val="0"/>
          <w:marRight w:val="0"/>
          <w:marTop w:val="0"/>
          <w:marBottom w:val="0"/>
          <w:divBdr>
            <w:top w:val="none" w:sz="0" w:space="0" w:color="auto"/>
            <w:left w:val="none" w:sz="0" w:space="0" w:color="auto"/>
            <w:bottom w:val="none" w:sz="0" w:space="0" w:color="auto"/>
            <w:right w:val="none" w:sz="0" w:space="0" w:color="auto"/>
          </w:divBdr>
        </w:div>
      </w:divsChild>
    </w:div>
    <w:div w:id="384835025">
      <w:bodyDiv w:val="1"/>
      <w:marLeft w:val="0"/>
      <w:marRight w:val="0"/>
      <w:marTop w:val="0"/>
      <w:marBottom w:val="0"/>
      <w:divBdr>
        <w:top w:val="none" w:sz="0" w:space="0" w:color="auto"/>
        <w:left w:val="none" w:sz="0" w:space="0" w:color="auto"/>
        <w:bottom w:val="none" w:sz="0" w:space="0" w:color="auto"/>
        <w:right w:val="none" w:sz="0" w:space="0" w:color="auto"/>
      </w:divBdr>
      <w:divsChild>
        <w:div w:id="1920942485">
          <w:marLeft w:val="0"/>
          <w:marRight w:val="0"/>
          <w:marTop w:val="0"/>
          <w:marBottom w:val="0"/>
          <w:divBdr>
            <w:top w:val="none" w:sz="0" w:space="0" w:color="auto"/>
            <w:left w:val="none" w:sz="0" w:space="0" w:color="auto"/>
            <w:bottom w:val="none" w:sz="0" w:space="0" w:color="auto"/>
            <w:right w:val="none" w:sz="0" w:space="0" w:color="auto"/>
          </w:divBdr>
        </w:div>
      </w:divsChild>
    </w:div>
    <w:div w:id="394671222">
      <w:bodyDiv w:val="1"/>
      <w:marLeft w:val="0"/>
      <w:marRight w:val="0"/>
      <w:marTop w:val="0"/>
      <w:marBottom w:val="0"/>
      <w:divBdr>
        <w:top w:val="none" w:sz="0" w:space="0" w:color="auto"/>
        <w:left w:val="none" w:sz="0" w:space="0" w:color="auto"/>
        <w:bottom w:val="none" w:sz="0" w:space="0" w:color="auto"/>
        <w:right w:val="none" w:sz="0" w:space="0" w:color="auto"/>
      </w:divBdr>
    </w:div>
    <w:div w:id="436683796">
      <w:bodyDiv w:val="1"/>
      <w:marLeft w:val="0"/>
      <w:marRight w:val="0"/>
      <w:marTop w:val="0"/>
      <w:marBottom w:val="0"/>
      <w:divBdr>
        <w:top w:val="none" w:sz="0" w:space="0" w:color="auto"/>
        <w:left w:val="none" w:sz="0" w:space="0" w:color="auto"/>
        <w:bottom w:val="none" w:sz="0" w:space="0" w:color="auto"/>
        <w:right w:val="none" w:sz="0" w:space="0" w:color="auto"/>
      </w:divBdr>
      <w:divsChild>
        <w:div w:id="1043285268">
          <w:marLeft w:val="0"/>
          <w:marRight w:val="0"/>
          <w:marTop w:val="0"/>
          <w:marBottom w:val="0"/>
          <w:divBdr>
            <w:top w:val="none" w:sz="0" w:space="0" w:color="auto"/>
            <w:left w:val="none" w:sz="0" w:space="0" w:color="auto"/>
            <w:bottom w:val="none" w:sz="0" w:space="0" w:color="auto"/>
            <w:right w:val="none" w:sz="0" w:space="0" w:color="auto"/>
          </w:divBdr>
        </w:div>
      </w:divsChild>
    </w:div>
    <w:div w:id="484786082">
      <w:bodyDiv w:val="1"/>
      <w:marLeft w:val="0"/>
      <w:marRight w:val="0"/>
      <w:marTop w:val="0"/>
      <w:marBottom w:val="0"/>
      <w:divBdr>
        <w:top w:val="none" w:sz="0" w:space="0" w:color="auto"/>
        <w:left w:val="none" w:sz="0" w:space="0" w:color="auto"/>
        <w:bottom w:val="none" w:sz="0" w:space="0" w:color="auto"/>
        <w:right w:val="none" w:sz="0" w:space="0" w:color="auto"/>
      </w:divBdr>
    </w:div>
    <w:div w:id="490147926">
      <w:bodyDiv w:val="1"/>
      <w:marLeft w:val="0"/>
      <w:marRight w:val="0"/>
      <w:marTop w:val="0"/>
      <w:marBottom w:val="0"/>
      <w:divBdr>
        <w:top w:val="none" w:sz="0" w:space="0" w:color="auto"/>
        <w:left w:val="none" w:sz="0" w:space="0" w:color="auto"/>
        <w:bottom w:val="none" w:sz="0" w:space="0" w:color="auto"/>
        <w:right w:val="none" w:sz="0" w:space="0" w:color="auto"/>
      </w:divBdr>
      <w:divsChild>
        <w:div w:id="1269897375">
          <w:marLeft w:val="0"/>
          <w:marRight w:val="0"/>
          <w:marTop w:val="0"/>
          <w:marBottom w:val="0"/>
          <w:divBdr>
            <w:top w:val="none" w:sz="0" w:space="0" w:color="auto"/>
            <w:left w:val="none" w:sz="0" w:space="0" w:color="auto"/>
            <w:bottom w:val="none" w:sz="0" w:space="0" w:color="auto"/>
            <w:right w:val="none" w:sz="0" w:space="0" w:color="auto"/>
          </w:divBdr>
        </w:div>
      </w:divsChild>
    </w:div>
    <w:div w:id="493378883">
      <w:bodyDiv w:val="1"/>
      <w:marLeft w:val="0"/>
      <w:marRight w:val="0"/>
      <w:marTop w:val="0"/>
      <w:marBottom w:val="0"/>
      <w:divBdr>
        <w:top w:val="none" w:sz="0" w:space="0" w:color="auto"/>
        <w:left w:val="none" w:sz="0" w:space="0" w:color="auto"/>
        <w:bottom w:val="none" w:sz="0" w:space="0" w:color="auto"/>
        <w:right w:val="none" w:sz="0" w:space="0" w:color="auto"/>
      </w:divBdr>
      <w:divsChild>
        <w:div w:id="1145975532">
          <w:marLeft w:val="0"/>
          <w:marRight w:val="0"/>
          <w:marTop w:val="0"/>
          <w:marBottom w:val="0"/>
          <w:divBdr>
            <w:top w:val="none" w:sz="0" w:space="0" w:color="auto"/>
            <w:left w:val="none" w:sz="0" w:space="0" w:color="auto"/>
            <w:bottom w:val="none" w:sz="0" w:space="0" w:color="auto"/>
            <w:right w:val="none" w:sz="0" w:space="0" w:color="auto"/>
          </w:divBdr>
        </w:div>
      </w:divsChild>
    </w:div>
    <w:div w:id="520778946">
      <w:bodyDiv w:val="1"/>
      <w:marLeft w:val="0"/>
      <w:marRight w:val="0"/>
      <w:marTop w:val="0"/>
      <w:marBottom w:val="0"/>
      <w:divBdr>
        <w:top w:val="none" w:sz="0" w:space="0" w:color="auto"/>
        <w:left w:val="none" w:sz="0" w:space="0" w:color="auto"/>
        <w:bottom w:val="none" w:sz="0" w:space="0" w:color="auto"/>
        <w:right w:val="none" w:sz="0" w:space="0" w:color="auto"/>
      </w:divBdr>
      <w:divsChild>
        <w:div w:id="1268729972">
          <w:marLeft w:val="0"/>
          <w:marRight w:val="0"/>
          <w:marTop w:val="0"/>
          <w:marBottom w:val="0"/>
          <w:divBdr>
            <w:top w:val="none" w:sz="0" w:space="0" w:color="auto"/>
            <w:left w:val="none" w:sz="0" w:space="0" w:color="auto"/>
            <w:bottom w:val="none" w:sz="0" w:space="0" w:color="auto"/>
            <w:right w:val="none" w:sz="0" w:space="0" w:color="auto"/>
          </w:divBdr>
        </w:div>
      </w:divsChild>
    </w:div>
    <w:div w:id="530607242">
      <w:bodyDiv w:val="1"/>
      <w:marLeft w:val="0"/>
      <w:marRight w:val="0"/>
      <w:marTop w:val="0"/>
      <w:marBottom w:val="0"/>
      <w:divBdr>
        <w:top w:val="none" w:sz="0" w:space="0" w:color="auto"/>
        <w:left w:val="none" w:sz="0" w:space="0" w:color="auto"/>
        <w:bottom w:val="none" w:sz="0" w:space="0" w:color="auto"/>
        <w:right w:val="none" w:sz="0" w:space="0" w:color="auto"/>
      </w:divBdr>
      <w:divsChild>
        <w:div w:id="1383870048">
          <w:marLeft w:val="0"/>
          <w:marRight w:val="0"/>
          <w:marTop w:val="0"/>
          <w:marBottom w:val="0"/>
          <w:divBdr>
            <w:top w:val="none" w:sz="0" w:space="0" w:color="auto"/>
            <w:left w:val="none" w:sz="0" w:space="0" w:color="auto"/>
            <w:bottom w:val="none" w:sz="0" w:space="0" w:color="auto"/>
            <w:right w:val="none" w:sz="0" w:space="0" w:color="auto"/>
          </w:divBdr>
        </w:div>
      </w:divsChild>
    </w:div>
    <w:div w:id="536354443">
      <w:bodyDiv w:val="1"/>
      <w:marLeft w:val="0"/>
      <w:marRight w:val="0"/>
      <w:marTop w:val="0"/>
      <w:marBottom w:val="0"/>
      <w:divBdr>
        <w:top w:val="none" w:sz="0" w:space="0" w:color="auto"/>
        <w:left w:val="none" w:sz="0" w:space="0" w:color="auto"/>
        <w:bottom w:val="none" w:sz="0" w:space="0" w:color="auto"/>
        <w:right w:val="none" w:sz="0" w:space="0" w:color="auto"/>
      </w:divBdr>
      <w:divsChild>
        <w:div w:id="129834180">
          <w:marLeft w:val="0"/>
          <w:marRight w:val="0"/>
          <w:marTop w:val="0"/>
          <w:marBottom w:val="0"/>
          <w:divBdr>
            <w:top w:val="none" w:sz="0" w:space="0" w:color="auto"/>
            <w:left w:val="none" w:sz="0" w:space="0" w:color="auto"/>
            <w:bottom w:val="none" w:sz="0" w:space="0" w:color="auto"/>
            <w:right w:val="none" w:sz="0" w:space="0" w:color="auto"/>
          </w:divBdr>
        </w:div>
      </w:divsChild>
    </w:div>
    <w:div w:id="544413924">
      <w:bodyDiv w:val="1"/>
      <w:marLeft w:val="0"/>
      <w:marRight w:val="0"/>
      <w:marTop w:val="0"/>
      <w:marBottom w:val="0"/>
      <w:divBdr>
        <w:top w:val="none" w:sz="0" w:space="0" w:color="auto"/>
        <w:left w:val="none" w:sz="0" w:space="0" w:color="auto"/>
        <w:bottom w:val="none" w:sz="0" w:space="0" w:color="auto"/>
        <w:right w:val="none" w:sz="0" w:space="0" w:color="auto"/>
      </w:divBdr>
      <w:divsChild>
        <w:div w:id="953440440">
          <w:marLeft w:val="0"/>
          <w:marRight w:val="0"/>
          <w:marTop w:val="0"/>
          <w:marBottom w:val="0"/>
          <w:divBdr>
            <w:top w:val="none" w:sz="0" w:space="0" w:color="auto"/>
            <w:left w:val="none" w:sz="0" w:space="0" w:color="auto"/>
            <w:bottom w:val="none" w:sz="0" w:space="0" w:color="auto"/>
            <w:right w:val="none" w:sz="0" w:space="0" w:color="auto"/>
          </w:divBdr>
        </w:div>
      </w:divsChild>
    </w:div>
    <w:div w:id="572928950">
      <w:bodyDiv w:val="1"/>
      <w:marLeft w:val="0"/>
      <w:marRight w:val="0"/>
      <w:marTop w:val="0"/>
      <w:marBottom w:val="0"/>
      <w:divBdr>
        <w:top w:val="none" w:sz="0" w:space="0" w:color="auto"/>
        <w:left w:val="none" w:sz="0" w:space="0" w:color="auto"/>
        <w:bottom w:val="none" w:sz="0" w:space="0" w:color="auto"/>
        <w:right w:val="none" w:sz="0" w:space="0" w:color="auto"/>
      </w:divBdr>
      <w:divsChild>
        <w:div w:id="905381759">
          <w:marLeft w:val="0"/>
          <w:marRight w:val="0"/>
          <w:marTop w:val="0"/>
          <w:marBottom w:val="0"/>
          <w:divBdr>
            <w:top w:val="none" w:sz="0" w:space="0" w:color="auto"/>
            <w:left w:val="none" w:sz="0" w:space="0" w:color="auto"/>
            <w:bottom w:val="none" w:sz="0" w:space="0" w:color="auto"/>
            <w:right w:val="none" w:sz="0" w:space="0" w:color="auto"/>
          </w:divBdr>
        </w:div>
      </w:divsChild>
    </w:div>
    <w:div w:id="595017369">
      <w:bodyDiv w:val="1"/>
      <w:marLeft w:val="0"/>
      <w:marRight w:val="0"/>
      <w:marTop w:val="0"/>
      <w:marBottom w:val="0"/>
      <w:divBdr>
        <w:top w:val="none" w:sz="0" w:space="0" w:color="auto"/>
        <w:left w:val="none" w:sz="0" w:space="0" w:color="auto"/>
        <w:bottom w:val="none" w:sz="0" w:space="0" w:color="auto"/>
        <w:right w:val="none" w:sz="0" w:space="0" w:color="auto"/>
      </w:divBdr>
      <w:divsChild>
        <w:div w:id="556169319">
          <w:marLeft w:val="0"/>
          <w:marRight w:val="0"/>
          <w:marTop w:val="0"/>
          <w:marBottom w:val="0"/>
          <w:divBdr>
            <w:top w:val="none" w:sz="0" w:space="0" w:color="auto"/>
            <w:left w:val="none" w:sz="0" w:space="0" w:color="auto"/>
            <w:bottom w:val="none" w:sz="0" w:space="0" w:color="auto"/>
            <w:right w:val="none" w:sz="0" w:space="0" w:color="auto"/>
          </w:divBdr>
        </w:div>
      </w:divsChild>
    </w:div>
    <w:div w:id="596449260">
      <w:bodyDiv w:val="1"/>
      <w:marLeft w:val="0"/>
      <w:marRight w:val="0"/>
      <w:marTop w:val="0"/>
      <w:marBottom w:val="0"/>
      <w:divBdr>
        <w:top w:val="none" w:sz="0" w:space="0" w:color="auto"/>
        <w:left w:val="none" w:sz="0" w:space="0" w:color="auto"/>
        <w:bottom w:val="none" w:sz="0" w:space="0" w:color="auto"/>
        <w:right w:val="none" w:sz="0" w:space="0" w:color="auto"/>
      </w:divBdr>
      <w:divsChild>
        <w:div w:id="146098892">
          <w:marLeft w:val="0"/>
          <w:marRight w:val="0"/>
          <w:marTop w:val="0"/>
          <w:marBottom w:val="0"/>
          <w:divBdr>
            <w:top w:val="none" w:sz="0" w:space="0" w:color="auto"/>
            <w:left w:val="none" w:sz="0" w:space="0" w:color="auto"/>
            <w:bottom w:val="none" w:sz="0" w:space="0" w:color="auto"/>
            <w:right w:val="none" w:sz="0" w:space="0" w:color="auto"/>
          </w:divBdr>
        </w:div>
      </w:divsChild>
    </w:div>
    <w:div w:id="632247578">
      <w:bodyDiv w:val="1"/>
      <w:marLeft w:val="0"/>
      <w:marRight w:val="0"/>
      <w:marTop w:val="0"/>
      <w:marBottom w:val="0"/>
      <w:divBdr>
        <w:top w:val="none" w:sz="0" w:space="0" w:color="auto"/>
        <w:left w:val="none" w:sz="0" w:space="0" w:color="auto"/>
        <w:bottom w:val="none" w:sz="0" w:space="0" w:color="auto"/>
        <w:right w:val="none" w:sz="0" w:space="0" w:color="auto"/>
      </w:divBdr>
    </w:div>
    <w:div w:id="632637548">
      <w:bodyDiv w:val="1"/>
      <w:marLeft w:val="0"/>
      <w:marRight w:val="0"/>
      <w:marTop w:val="0"/>
      <w:marBottom w:val="0"/>
      <w:divBdr>
        <w:top w:val="none" w:sz="0" w:space="0" w:color="auto"/>
        <w:left w:val="none" w:sz="0" w:space="0" w:color="auto"/>
        <w:bottom w:val="none" w:sz="0" w:space="0" w:color="auto"/>
        <w:right w:val="none" w:sz="0" w:space="0" w:color="auto"/>
      </w:divBdr>
      <w:divsChild>
        <w:div w:id="27992511">
          <w:marLeft w:val="0"/>
          <w:marRight w:val="0"/>
          <w:marTop w:val="0"/>
          <w:marBottom w:val="0"/>
          <w:divBdr>
            <w:top w:val="none" w:sz="0" w:space="0" w:color="auto"/>
            <w:left w:val="none" w:sz="0" w:space="0" w:color="auto"/>
            <w:bottom w:val="none" w:sz="0" w:space="0" w:color="auto"/>
            <w:right w:val="none" w:sz="0" w:space="0" w:color="auto"/>
          </w:divBdr>
        </w:div>
      </w:divsChild>
    </w:div>
    <w:div w:id="664481998">
      <w:bodyDiv w:val="1"/>
      <w:marLeft w:val="0"/>
      <w:marRight w:val="0"/>
      <w:marTop w:val="0"/>
      <w:marBottom w:val="0"/>
      <w:divBdr>
        <w:top w:val="none" w:sz="0" w:space="0" w:color="auto"/>
        <w:left w:val="none" w:sz="0" w:space="0" w:color="auto"/>
        <w:bottom w:val="none" w:sz="0" w:space="0" w:color="auto"/>
        <w:right w:val="none" w:sz="0" w:space="0" w:color="auto"/>
      </w:divBdr>
      <w:divsChild>
        <w:div w:id="642544792">
          <w:marLeft w:val="0"/>
          <w:marRight w:val="0"/>
          <w:marTop w:val="0"/>
          <w:marBottom w:val="0"/>
          <w:divBdr>
            <w:top w:val="none" w:sz="0" w:space="0" w:color="auto"/>
            <w:left w:val="none" w:sz="0" w:space="0" w:color="auto"/>
            <w:bottom w:val="none" w:sz="0" w:space="0" w:color="auto"/>
            <w:right w:val="none" w:sz="0" w:space="0" w:color="auto"/>
          </w:divBdr>
        </w:div>
      </w:divsChild>
    </w:div>
    <w:div w:id="665784290">
      <w:bodyDiv w:val="1"/>
      <w:marLeft w:val="0"/>
      <w:marRight w:val="0"/>
      <w:marTop w:val="0"/>
      <w:marBottom w:val="0"/>
      <w:divBdr>
        <w:top w:val="none" w:sz="0" w:space="0" w:color="auto"/>
        <w:left w:val="none" w:sz="0" w:space="0" w:color="auto"/>
        <w:bottom w:val="none" w:sz="0" w:space="0" w:color="auto"/>
        <w:right w:val="none" w:sz="0" w:space="0" w:color="auto"/>
      </w:divBdr>
      <w:divsChild>
        <w:div w:id="1570994215">
          <w:marLeft w:val="0"/>
          <w:marRight w:val="0"/>
          <w:marTop w:val="0"/>
          <w:marBottom w:val="0"/>
          <w:divBdr>
            <w:top w:val="none" w:sz="0" w:space="0" w:color="auto"/>
            <w:left w:val="none" w:sz="0" w:space="0" w:color="auto"/>
            <w:bottom w:val="none" w:sz="0" w:space="0" w:color="auto"/>
            <w:right w:val="none" w:sz="0" w:space="0" w:color="auto"/>
          </w:divBdr>
        </w:div>
      </w:divsChild>
    </w:div>
    <w:div w:id="706569738">
      <w:bodyDiv w:val="1"/>
      <w:marLeft w:val="0"/>
      <w:marRight w:val="0"/>
      <w:marTop w:val="0"/>
      <w:marBottom w:val="0"/>
      <w:divBdr>
        <w:top w:val="none" w:sz="0" w:space="0" w:color="auto"/>
        <w:left w:val="none" w:sz="0" w:space="0" w:color="auto"/>
        <w:bottom w:val="none" w:sz="0" w:space="0" w:color="auto"/>
        <w:right w:val="none" w:sz="0" w:space="0" w:color="auto"/>
      </w:divBdr>
      <w:divsChild>
        <w:div w:id="634415152">
          <w:marLeft w:val="0"/>
          <w:marRight w:val="0"/>
          <w:marTop w:val="0"/>
          <w:marBottom w:val="0"/>
          <w:divBdr>
            <w:top w:val="none" w:sz="0" w:space="0" w:color="auto"/>
            <w:left w:val="none" w:sz="0" w:space="0" w:color="auto"/>
            <w:bottom w:val="none" w:sz="0" w:space="0" w:color="auto"/>
            <w:right w:val="none" w:sz="0" w:space="0" w:color="auto"/>
          </w:divBdr>
        </w:div>
      </w:divsChild>
    </w:div>
    <w:div w:id="728891461">
      <w:bodyDiv w:val="1"/>
      <w:marLeft w:val="0"/>
      <w:marRight w:val="0"/>
      <w:marTop w:val="0"/>
      <w:marBottom w:val="0"/>
      <w:divBdr>
        <w:top w:val="none" w:sz="0" w:space="0" w:color="auto"/>
        <w:left w:val="none" w:sz="0" w:space="0" w:color="auto"/>
        <w:bottom w:val="none" w:sz="0" w:space="0" w:color="auto"/>
        <w:right w:val="none" w:sz="0" w:space="0" w:color="auto"/>
      </w:divBdr>
      <w:divsChild>
        <w:div w:id="684862485">
          <w:marLeft w:val="0"/>
          <w:marRight w:val="0"/>
          <w:marTop w:val="0"/>
          <w:marBottom w:val="0"/>
          <w:divBdr>
            <w:top w:val="none" w:sz="0" w:space="0" w:color="auto"/>
            <w:left w:val="none" w:sz="0" w:space="0" w:color="auto"/>
            <w:bottom w:val="none" w:sz="0" w:space="0" w:color="auto"/>
            <w:right w:val="none" w:sz="0" w:space="0" w:color="auto"/>
          </w:divBdr>
        </w:div>
      </w:divsChild>
    </w:div>
    <w:div w:id="757865846">
      <w:bodyDiv w:val="1"/>
      <w:marLeft w:val="0"/>
      <w:marRight w:val="0"/>
      <w:marTop w:val="0"/>
      <w:marBottom w:val="0"/>
      <w:divBdr>
        <w:top w:val="none" w:sz="0" w:space="0" w:color="auto"/>
        <w:left w:val="none" w:sz="0" w:space="0" w:color="auto"/>
        <w:bottom w:val="none" w:sz="0" w:space="0" w:color="auto"/>
        <w:right w:val="none" w:sz="0" w:space="0" w:color="auto"/>
      </w:divBdr>
      <w:divsChild>
        <w:div w:id="693532311">
          <w:marLeft w:val="0"/>
          <w:marRight w:val="0"/>
          <w:marTop w:val="0"/>
          <w:marBottom w:val="0"/>
          <w:divBdr>
            <w:top w:val="none" w:sz="0" w:space="0" w:color="auto"/>
            <w:left w:val="none" w:sz="0" w:space="0" w:color="auto"/>
            <w:bottom w:val="none" w:sz="0" w:space="0" w:color="auto"/>
            <w:right w:val="none" w:sz="0" w:space="0" w:color="auto"/>
          </w:divBdr>
          <w:divsChild>
            <w:div w:id="2012221706">
              <w:marLeft w:val="0"/>
              <w:marRight w:val="0"/>
              <w:marTop w:val="0"/>
              <w:marBottom w:val="0"/>
              <w:divBdr>
                <w:top w:val="none" w:sz="0" w:space="0" w:color="auto"/>
                <w:left w:val="none" w:sz="0" w:space="0" w:color="auto"/>
                <w:bottom w:val="none" w:sz="0" w:space="0" w:color="auto"/>
                <w:right w:val="none" w:sz="0" w:space="0" w:color="auto"/>
              </w:divBdr>
              <w:divsChild>
                <w:div w:id="74207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81627">
      <w:bodyDiv w:val="1"/>
      <w:marLeft w:val="0"/>
      <w:marRight w:val="0"/>
      <w:marTop w:val="0"/>
      <w:marBottom w:val="0"/>
      <w:divBdr>
        <w:top w:val="none" w:sz="0" w:space="0" w:color="auto"/>
        <w:left w:val="none" w:sz="0" w:space="0" w:color="auto"/>
        <w:bottom w:val="none" w:sz="0" w:space="0" w:color="auto"/>
        <w:right w:val="none" w:sz="0" w:space="0" w:color="auto"/>
      </w:divBdr>
      <w:divsChild>
        <w:div w:id="1930117229">
          <w:marLeft w:val="0"/>
          <w:marRight w:val="0"/>
          <w:marTop w:val="0"/>
          <w:marBottom w:val="0"/>
          <w:divBdr>
            <w:top w:val="none" w:sz="0" w:space="0" w:color="auto"/>
            <w:left w:val="none" w:sz="0" w:space="0" w:color="auto"/>
            <w:bottom w:val="none" w:sz="0" w:space="0" w:color="auto"/>
            <w:right w:val="none" w:sz="0" w:space="0" w:color="auto"/>
          </w:divBdr>
        </w:div>
      </w:divsChild>
    </w:div>
    <w:div w:id="777915192">
      <w:bodyDiv w:val="1"/>
      <w:marLeft w:val="0"/>
      <w:marRight w:val="0"/>
      <w:marTop w:val="0"/>
      <w:marBottom w:val="0"/>
      <w:divBdr>
        <w:top w:val="none" w:sz="0" w:space="0" w:color="auto"/>
        <w:left w:val="none" w:sz="0" w:space="0" w:color="auto"/>
        <w:bottom w:val="none" w:sz="0" w:space="0" w:color="auto"/>
        <w:right w:val="none" w:sz="0" w:space="0" w:color="auto"/>
      </w:divBdr>
      <w:divsChild>
        <w:div w:id="1787576903">
          <w:marLeft w:val="0"/>
          <w:marRight w:val="0"/>
          <w:marTop w:val="0"/>
          <w:marBottom w:val="0"/>
          <w:divBdr>
            <w:top w:val="none" w:sz="0" w:space="0" w:color="auto"/>
            <w:left w:val="none" w:sz="0" w:space="0" w:color="auto"/>
            <w:bottom w:val="none" w:sz="0" w:space="0" w:color="auto"/>
            <w:right w:val="none" w:sz="0" w:space="0" w:color="auto"/>
          </w:divBdr>
        </w:div>
      </w:divsChild>
    </w:div>
    <w:div w:id="792094779">
      <w:bodyDiv w:val="1"/>
      <w:marLeft w:val="0"/>
      <w:marRight w:val="0"/>
      <w:marTop w:val="0"/>
      <w:marBottom w:val="0"/>
      <w:divBdr>
        <w:top w:val="none" w:sz="0" w:space="0" w:color="auto"/>
        <w:left w:val="none" w:sz="0" w:space="0" w:color="auto"/>
        <w:bottom w:val="none" w:sz="0" w:space="0" w:color="auto"/>
        <w:right w:val="none" w:sz="0" w:space="0" w:color="auto"/>
      </w:divBdr>
      <w:divsChild>
        <w:div w:id="1594783453">
          <w:marLeft w:val="0"/>
          <w:marRight w:val="0"/>
          <w:marTop w:val="0"/>
          <w:marBottom w:val="0"/>
          <w:divBdr>
            <w:top w:val="none" w:sz="0" w:space="0" w:color="auto"/>
            <w:left w:val="none" w:sz="0" w:space="0" w:color="auto"/>
            <w:bottom w:val="none" w:sz="0" w:space="0" w:color="auto"/>
            <w:right w:val="none" w:sz="0" w:space="0" w:color="auto"/>
          </w:divBdr>
        </w:div>
      </w:divsChild>
    </w:div>
    <w:div w:id="797836873">
      <w:bodyDiv w:val="1"/>
      <w:marLeft w:val="0"/>
      <w:marRight w:val="0"/>
      <w:marTop w:val="0"/>
      <w:marBottom w:val="0"/>
      <w:divBdr>
        <w:top w:val="none" w:sz="0" w:space="0" w:color="auto"/>
        <w:left w:val="none" w:sz="0" w:space="0" w:color="auto"/>
        <w:bottom w:val="none" w:sz="0" w:space="0" w:color="auto"/>
        <w:right w:val="none" w:sz="0" w:space="0" w:color="auto"/>
      </w:divBdr>
      <w:divsChild>
        <w:div w:id="926379337">
          <w:marLeft w:val="0"/>
          <w:marRight w:val="0"/>
          <w:marTop w:val="0"/>
          <w:marBottom w:val="0"/>
          <w:divBdr>
            <w:top w:val="none" w:sz="0" w:space="0" w:color="auto"/>
            <w:left w:val="none" w:sz="0" w:space="0" w:color="auto"/>
            <w:bottom w:val="none" w:sz="0" w:space="0" w:color="auto"/>
            <w:right w:val="none" w:sz="0" w:space="0" w:color="auto"/>
          </w:divBdr>
        </w:div>
      </w:divsChild>
    </w:div>
    <w:div w:id="815411955">
      <w:bodyDiv w:val="1"/>
      <w:marLeft w:val="0"/>
      <w:marRight w:val="0"/>
      <w:marTop w:val="0"/>
      <w:marBottom w:val="0"/>
      <w:divBdr>
        <w:top w:val="none" w:sz="0" w:space="0" w:color="auto"/>
        <w:left w:val="none" w:sz="0" w:space="0" w:color="auto"/>
        <w:bottom w:val="none" w:sz="0" w:space="0" w:color="auto"/>
        <w:right w:val="none" w:sz="0" w:space="0" w:color="auto"/>
      </w:divBdr>
      <w:divsChild>
        <w:div w:id="1317539665">
          <w:marLeft w:val="0"/>
          <w:marRight w:val="0"/>
          <w:marTop w:val="0"/>
          <w:marBottom w:val="0"/>
          <w:divBdr>
            <w:top w:val="none" w:sz="0" w:space="0" w:color="auto"/>
            <w:left w:val="none" w:sz="0" w:space="0" w:color="auto"/>
            <w:bottom w:val="none" w:sz="0" w:space="0" w:color="auto"/>
            <w:right w:val="none" w:sz="0" w:space="0" w:color="auto"/>
          </w:divBdr>
        </w:div>
      </w:divsChild>
    </w:div>
    <w:div w:id="834539727">
      <w:bodyDiv w:val="1"/>
      <w:marLeft w:val="0"/>
      <w:marRight w:val="0"/>
      <w:marTop w:val="0"/>
      <w:marBottom w:val="0"/>
      <w:divBdr>
        <w:top w:val="none" w:sz="0" w:space="0" w:color="auto"/>
        <w:left w:val="none" w:sz="0" w:space="0" w:color="auto"/>
        <w:bottom w:val="none" w:sz="0" w:space="0" w:color="auto"/>
        <w:right w:val="none" w:sz="0" w:space="0" w:color="auto"/>
      </w:divBdr>
      <w:divsChild>
        <w:div w:id="1348217817">
          <w:marLeft w:val="0"/>
          <w:marRight w:val="0"/>
          <w:marTop w:val="0"/>
          <w:marBottom w:val="0"/>
          <w:divBdr>
            <w:top w:val="none" w:sz="0" w:space="0" w:color="auto"/>
            <w:left w:val="none" w:sz="0" w:space="0" w:color="auto"/>
            <w:bottom w:val="none" w:sz="0" w:space="0" w:color="auto"/>
            <w:right w:val="none" w:sz="0" w:space="0" w:color="auto"/>
          </w:divBdr>
        </w:div>
      </w:divsChild>
    </w:div>
    <w:div w:id="837967449">
      <w:bodyDiv w:val="1"/>
      <w:marLeft w:val="0"/>
      <w:marRight w:val="0"/>
      <w:marTop w:val="0"/>
      <w:marBottom w:val="0"/>
      <w:divBdr>
        <w:top w:val="none" w:sz="0" w:space="0" w:color="auto"/>
        <w:left w:val="none" w:sz="0" w:space="0" w:color="auto"/>
        <w:bottom w:val="none" w:sz="0" w:space="0" w:color="auto"/>
        <w:right w:val="none" w:sz="0" w:space="0" w:color="auto"/>
      </w:divBdr>
      <w:divsChild>
        <w:div w:id="1551112782">
          <w:marLeft w:val="0"/>
          <w:marRight w:val="0"/>
          <w:marTop w:val="0"/>
          <w:marBottom w:val="0"/>
          <w:divBdr>
            <w:top w:val="none" w:sz="0" w:space="0" w:color="auto"/>
            <w:left w:val="none" w:sz="0" w:space="0" w:color="auto"/>
            <w:bottom w:val="none" w:sz="0" w:space="0" w:color="auto"/>
            <w:right w:val="none" w:sz="0" w:space="0" w:color="auto"/>
          </w:divBdr>
        </w:div>
      </w:divsChild>
    </w:div>
    <w:div w:id="842552024">
      <w:bodyDiv w:val="1"/>
      <w:marLeft w:val="0"/>
      <w:marRight w:val="0"/>
      <w:marTop w:val="0"/>
      <w:marBottom w:val="0"/>
      <w:divBdr>
        <w:top w:val="none" w:sz="0" w:space="0" w:color="auto"/>
        <w:left w:val="none" w:sz="0" w:space="0" w:color="auto"/>
        <w:bottom w:val="none" w:sz="0" w:space="0" w:color="auto"/>
        <w:right w:val="none" w:sz="0" w:space="0" w:color="auto"/>
      </w:divBdr>
      <w:divsChild>
        <w:div w:id="2058167300">
          <w:marLeft w:val="0"/>
          <w:marRight w:val="0"/>
          <w:marTop w:val="0"/>
          <w:marBottom w:val="0"/>
          <w:divBdr>
            <w:top w:val="none" w:sz="0" w:space="0" w:color="auto"/>
            <w:left w:val="none" w:sz="0" w:space="0" w:color="auto"/>
            <w:bottom w:val="none" w:sz="0" w:space="0" w:color="auto"/>
            <w:right w:val="none" w:sz="0" w:space="0" w:color="auto"/>
          </w:divBdr>
        </w:div>
      </w:divsChild>
    </w:div>
    <w:div w:id="842672641">
      <w:bodyDiv w:val="1"/>
      <w:marLeft w:val="0"/>
      <w:marRight w:val="0"/>
      <w:marTop w:val="0"/>
      <w:marBottom w:val="0"/>
      <w:divBdr>
        <w:top w:val="none" w:sz="0" w:space="0" w:color="auto"/>
        <w:left w:val="none" w:sz="0" w:space="0" w:color="auto"/>
        <w:bottom w:val="none" w:sz="0" w:space="0" w:color="auto"/>
        <w:right w:val="none" w:sz="0" w:space="0" w:color="auto"/>
      </w:divBdr>
    </w:div>
    <w:div w:id="870845265">
      <w:bodyDiv w:val="1"/>
      <w:marLeft w:val="0"/>
      <w:marRight w:val="0"/>
      <w:marTop w:val="0"/>
      <w:marBottom w:val="0"/>
      <w:divBdr>
        <w:top w:val="none" w:sz="0" w:space="0" w:color="auto"/>
        <w:left w:val="none" w:sz="0" w:space="0" w:color="auto"/>
        <w:bottom w:val="none" w:sz="0" w:space="0" w:color="auto"/>
        <w:right w:val="none" w:sz="0" w:space="0" w:color="auto"/>
      </w:divBdr>
    </w:div>
    <w:div w:id="886455098">
      <w:bodyDiv w:val="1"/>
      <w:marLeft w:val="0"/>
      <w:marRight w:val="0"/>
      <w:marTop w:val="0"/>
      <w:marBottom w:val="0"/>
      <w:divBdr>
        <w:top w:val="none" w:sz="0" w:space="0" w:color="auto"/>
        <w:left w:val="none" w:sz="0" w:space="0" w:color="auto"/>
        <w:bottom w:val="none" w:sz="0" w:space="0" w:color="auto"/>
        <w:right w:val="none" w:sz="0" w:space="0" w:color="auto"/>
      </w:divBdr>
      <w:divsChild>
        <w:div w:id="1998612996">
          <w:marLeft w:val="0"/>
          <w:marRight w:val="0"/>
          <w:marTop w:val="0"/>
          <w:marBottom w:val="0"/>
          <w:divBdr>
            <w:top w:val="none" w:sz="0" w:space="0" w:color="auto"/>
            <w:left w:val="none" w:sz="0" w:space="0" w:color="auto"/>
            <w:bottom w:val="none" w:sz="0" w:space="0" w:color="auto"/>
            <w:right w:val="none" w:sz="0" w:space="0" w:color="auto"/>
          </w:divBdr>
        </w:div>
      </w:divsChild>
    </w:div>
    <w:div w:id="892424713">
      <w:bodyDiv w:val="1"/>
      <w:marLeft w:val="0"/>
      <w:marRight w:val="0"/>
      <w:marTop w:val="0"/>
      <w:marBottom w:val="0"/>
      <w:divBdr>
        <w:top w:val="none" w:sz="0" w:space="0" w:color="auto"/>
        <w:left w:val="none" w:sz="0" w:space="0" w:color="auto"/>
        <w:bottom w:val="none" w:sz="0" w:space="0" w:color="auto"/>
        <w:right w:val="none" w:sz="0" w:space="0" w:color="auto"/>
      </w:divBdr>
      <w:divsChild>
        <w:div w:id="831875798">
          <w:marLeft w:val="0"/>
          <w:marRight w:val="0"/>
          <w:marTop w:val="0"/>
          <w:marBottom w:val="0"/>
          <w:divBdr>
            <w:top w:val="none" w:sz="0" w:space="0" w:color="auto"/>
            <w:left w:val="none" w:sz="0" w:space="0" w:color="auto"/>
            <w:bottom w:val="none" w:sz="0" w:space="0" w:color="auto"/>
            <w:right w:val="none" w:sz="0" w:space="0" w:color="auto"/>
          </w:divBdr>
        </w:div>
      </w:divsChild>
    </w:div>
    <w:div w:id="965084127">
      <w:bodyDiv w:val="1"/>
      <w:marLeft w:val="0"/>
      <w:marRight w:val="0"/>
      <w:marTop w:val="0"/>
      <w:marBottom w:val="0"/>
      <w:divBdr>
        <w:top w:val="none" w:sz="0" w:space="0" w:color="auto"/>
        <w:left w:val="none" w:sz="0" w:space="0" w:color="auto"/>
        <w:bottom w:val="none" w:sz="0" w:space="0" w:color="auto"/>
        <w:right w:val="none" w:sz="0" w:space="0" w:color="auto"/>
      </w:divBdr>
      <w:divsChild>
        <w:div w:id="1235512145">
          <w:marLeft w:val="0"/>
          <w:marRight w:val="0"/>
          <w:marTop w:val="0"/>
          <w:marBottom w:val="0"/>
          <w:divBdr>
            <w:top w:val="none" w:sz="0" w:space="0" w:color="auto"/>
            <w:left w:val="none" w:sz="0" w:space="0" w:color="auto"/>
            <w:bottom w:val="none" w:sz="0" w:space="0" w:color="auto"/>
            <w:right w:val="none" w:sz="0" w:space="0" w:color="auto"/>
          </w:divBdr>
        </w:div>
      </w:divsChild>
    </w:div>
    <w:div w:id="979187384">
      <w:bodyDiv w:val="1"/>
      <w:marLeft w:val="0"/>
      <w:marRight w:val="0"/>
      <w:marTop w:val="0"/>
      <w:marBottom w:val="0"/>
      <w:divBdr>
        <w:top w:val="none" w:sz="0" w:space="0" w:color="auto"/>
        <w:left w:val="none" w:sz="0" w:space="0" w:color="auto"/>
        <w:bottom w:val="none" w:sz="0" w:space="0" w:color="auto"/>
        <w:right w:val="none" w:sz="0" w:space="0" w:color="auto"/>
      </w:divBdr>
    </w:div>
    <w:div w:id="999624346">
      <w:bodyDiv w:val="1"/>
      <w:marLeft w:val="0"/>
      <w:marRight w:val="0"/>
      <w:marTop w:val="0"/>
      <w:marBottom w:val="0"/>
      <w:divBdr>
        <w:top w:val="none" w:sz="0" w:space="0" w:color="auto"/>
        <w:left w:val="none" w:sz="0" w:space="0" w:color="auto"/>
        <w:bottom w:val="none" w:sz="0" w:space="0" w:color="auto"/>
        <w:right w:val="none" w:sz="0" w:space="0" w:color="auto"/>
      </w:divBdr>
      <w:divsChild>
        <w:div w:id="762577581">
          <w:marLeft w:val="0"/>
          <w:marRight w:val="0"/>
          <w:marTop w:val="0"/>
          <w:marBottom w:val="0"/>
          <w:divBdr>
            <w:top w:val="none" w:sz="0" w:space="0" w:color="auto"/>
            <w:left w:val="none" w:sz="0" w:space="0" w:color="auto"/>
            <w:bottom w:val="none" w:sz="0" w:space="0" w:color="auto"/>
            <w:right w:val="none" w:sz="0" w:space="0" w:color="auto"/>
          </w:divBdr>
        </w:div>
      </w:divsChild>
    </w:div>
    <w:div w:id="1029989272">
      <w:bodyDiv w:val="1"/>
      <w:marLeft w:val="0"/>
      <w:marRight w:val="0"/>
      <w:marTop w:val="0"/>
      <w:marBottom w:val="0"/>
      <w:divBdr>
        <w:top w:val="none" w:sz="0" w:space="0" w:color="auto"/>
        <w:left w:val="none" w:sz="0" w:space="0" w:color="auto"/>
        <w:bottom w:val="none" w:sz="0" w:space="0" w:color="auto"/>
        <w:right w:val="none" w:sz="0" w:space="0" w:color="auto"/>
      </w:divBdr>
    </w:div>
    <w:div w:id="1049916967">
      <w:bodyDiv w:val="1"/>
      <w:marLeft w:val="0"/>
      <w:marRight w:val="0"/>
      <w:marTop w:val="0"/>
      <w:marBottom w:val="0"/>
      <w:divBdr>
        <w:top w:val="none" w:sz="0" w:space="0" w:color="auto"/>
        <w:left w:val="none" w:sz="0" w:space="0" w:color="auto"/>
        <w:bottom w:val="none" w:sz="0" w:space="0" w:color="auto"/>
        <w:right w:val="none" w:sz="0" w:space="0" w:color="auto"/>
      </w:divBdr>
      <w:divsChild>
        <w:div w:id="1344745080">
          <w:marLeft w:val="0"/>
          <w:marRight w:val="0"/>
          <w:marTop w:val="0"/>
          <w:marBottom w:val="0"/>
          <w:divBdr>
            <w:top w:val="none" w:sz="0" w:space="0" w:color="auto"/>
            <w:left w:val="none" w:sz="0" w:space="0" w:color="auto"/>
            <w:bottom w:val="none" w:sz="0" w:space="0" w:color="auto"/>
            <w:right w:val="none" w:sz="0" w:space="0" w:color="auto"/>
          </w:divBdr>
          <w:divsChild>
            <w:div w:id="17180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18033">
      <w:bodyDiv w:val="1"/>
      <w:marLeft w:val="0"/>
      <w:marRight w:val="0"/>
      <w:marTop w:val="0"/>
      <w:marBottom w:val="0"/>
      <w:divBdr>
        <w:top w:val="none" w:sz="0" w:space="0" w:color="auto"/>
        <w:left w:val="none" w:sz="0" w:space="0" w:color="auto"/>
        <w:bottom w:val="none" w:sz="0" w:space="0" w:color="auto"/>
        <w:right w:val="none" w:sz="0" w:space="0" w:color="auto"/>
      </w:divBdr>
      <w:divsChild>
        <w:div w:id="1982228152">
          <w:marLeft w:val="0"/>
          <w:marRight w:val="0"/>
          <w:marTop w:val="0"/>
          <w:marBottom w:val="0"/>
          <w:divBdr>
            <w:top w:val="none" w:sz="0" w:space="0" w:color="auto"/>
            <w:left w:val="none" w:sz="0" w:space="0" w:color="auto"/>
            <w:bottom w:val="none" w:sz="0" w:space="0" w:color="auto"/>
            <w:right w:val="none" w:sz="0" w:space="0" w:color="auto"/>
          </w:divBdr>
        </w:div>
      </w:divsChild>
    </w:div>
    <w:div w:id="1078671498">
      <w:bodyDiv w:val="1"/>
      <w:marLeft w:val="0"/>
      <w:marRight w:val="0"/>
      <w:marTop w:val="0"/>
      <w:marBottom w:val="0"/>
      <w:divBdr>
        <w:top w:val="none" w:sz="0" w:space="0" w:color="auto"/>
        <w:left w:val="none" w:sz="0" w:space="0" w:color="auto"/>
        <w:bottom w:val="none" w:sz="0" w:space="0" w:color="auto"/>
        <w:right w:val="none" w:sz="0" w:space="0" w:color="auto"/>
      </w:divBdr>
      <w:divsChild>
        <w:div w:id="1391348242">
          <w:marLeft w:val="0"/>
          <w:marRight w:val="0"/>
          <w:marTop w:val="0"/>
          <w:marBottom w:val="0"/>
          <w:divBdr>
            <w:top w:val="none" w:sz="0" w:space="0" w:color="auto"/>
            <w:left w:val="none" w:sz="0" w:space="0" w:color="auto"/>
            <w:bottom w:val="none" w:sz="0" w:space="0" w:color="auto"/>
            <w:right w:val="none" w:sz="0" w:space="0" w:color="auto"/>
          </w:divBdr>
        </w:div>
      </w:divsChild>
    </w:div>
    <w:div w:id="1125347940">
      <w:bodyDiv w:val="1"/>
      <w:marLeft w:val="0"/>
      <w:marRight w:val="0"/>
      <w:marTop w:val="0"/>
      <w:marBottom w:val="0"/>
      <w:divBdr>
        <w:top w:val="none" w:sz="0" w:space="0" w:color="auto"/>
        <w:left w:val="none" w:sz="0" w:space="0" w:color="auto"/>
        <w:bottom w:val="none" w:sz="0" w:space="0" w:color="auto"/>
        <w:right w:val="none" w:sz="0" w:space="0" w:color="auto"/>
      </w:divBdr>
    </w:div>
    <w:div w:id="1156873555">
      <w:bodyDiv w:val="1"/>
      <w:marLeft w:val="0"/>
      <w:marRight w:val="0"/>
      <w:marTop w:val="0"/>
      <w:marBottom w:val="0"/>
      <w:divBdr>
        <w:top w:val="none" w:sz="0" w:space="0" w:color="auto"/>
        <w:left w:val="none" w:sz="0" w:space="0" w:color="auto"/>
        <w:bottom w:val="none" w:sz="0" w:space="0" w:color="auto"/>
        <w:right w:val="none" w:sz="0" w:space="0" w:color="auto"/>
      </w:divBdr>
      <w:divsChild>
        <w:div w:id="1397318131">
          <w:marLeft w:val="0"/>
          <w:marRight w:val="0"/>
          <w:marTop w:val="0"/>
          <w:marBottom w:val="0"/>
          <w:divBdr>
            <w:top w:val="none" w:sz="0" w:space="0" w:color="auto"/>
            <w:left w:val="none" w:sz="0" w:space="0" w:color="auto"/>
            <w:bottom w:val="none" w:sz="0" w:space="0" w:color="auto"/>
            <w:right w:val="none" w:sz="0" w:space="0" w:color="auto"/>
          </w:divBdr>
        </w:div>
      </w:divsChild>
    </w:div>
    <w:div w:id="1176263189">
      <w:bodyDiv w:val="1"/>
      <w:marLeft w:val="0"/>
      <w:marRight w:val="0"/>
      <w:marTop w:val="0"/>
      <w:marBottom w:val="0"/>
      <w:divBdr>
        <w:top w:val="none" w:sz="0" w:space="0" w:color="auto"/>
        <w:left w:val="none" w:sz="0" w:space="0" w:color="auto"/>
        <w:bottom w:val="none" w:sz="0" w:space="0" w:color="auto"/>
        <w:right w:val="none" w:sz="0" w:space="0" w:color="auto"/>
      </w:divBdr>
      <w:divsChild>
        <w:div w:id="38938492">
          <w:marLeft w:val="0"/>
          <w:marRight w:val="0"/>
          <w:marTop w:val="0"/>
          <w:marBottom w:val="0"/>
          <w:divBdr>
            <w:top w:val="none" w:sz="0" w:space="0" w:color="auto"/>
            <w:left w:val="none" w:sz="0" w:space="0" w:color="auto"/>
            <w:bottom w:val="none" w:sz="0" w:space="0" w:color="auto"/>
            <w:right w:val="none" w:sz="0" w:space="0" w:color="auto"/>
          </w:divBdr>
        </w:div>
      </w:divsChild>
    </w:div>
    <w:div w:id="1196819379">
      <w:bodyDiv w:val="1"/>
      <w:marLeft w:val="0"/>
      <w:marRight w:val="0"/>
      <w:marTop w:val="0"/>
      <w:marBottom w:val="0"/>
      <w:divBdr>
        <w:top w:val="none" w:sz="0" w:space="0" w:color="auto"/>
        <w:left w:val="none" w:sz="0" w:space="0" w:color="auto"/>
        <w:bottom w:val="none" w:sz="0" w:space="0" w:color="auto"/>
        <w:right w:val="none" w:sz="0" w:space="0" w:color="auto"/>
      </w:divBdr>
      <w:divsChild>
        <w:div w:id="1856534612">
          <w:marLeft w:val="0"/>
          <w:marRight w:val="0"/>
          <w:marTop w:val="0"/>
          <w:marBottom w:val="0"/>
          <w:divBdr>
            <w:top w:val="none" w:sz="0" w:space="0" w:color="auto"/>
            <w:left w:val="none" w:sz="0" w:space="0" w:color="auto"/>
            <w:bottom w:val="none" w:sz="0" w:space="0" w:color="auto"/>
            <w:right w:val="none" w:sz="0" w:space="0" w:color="auto"/>
          </w:divBdr>
        </w:div>
      </w:divsChild>
    </w:div>
    <w:div w:id="1220703667">
      <w:bodyDiv w:val="1"/>
      <w:marLeft w:val="0"/>
      <w:marRight w:val="0"/>
      <w:marTop w:val="0"/>
      <w:marBottom w:val="0"/>
      <w:divBdr>
        <w:top w:val="none" w:sz="0" w:space="0" w:color="auto"/>
        <w:left w:val="none" w:sz="0" w:space="0" w:color="auto"/>
        <w:bottom w:val="none" w:sz="0" w:space="0" w:color="auto"/>
        <w:right w:val="none" w:sz="0" w:space="0" w:color="auto"/>
      </w:divBdr>
      <w:divsChild>
        <w:div w:id="2029409641">
          <w:marLeft w:val="0"/>
          <w:marRight w:val="0"/>
          <w:marTop w:val="0"/>
          <w:marBottom w:val="0"/>
          <w:divBdr>
            <w:top w:val="none" w:sz="0" w:space="0" w:color="auto"/>
            <w:left w:val="none" w:sz="0" w:space="0" w:color="auto"/>
            <w:bottom w:val="none" w:sz="0" w:space="0" w:color="auto"/>
            <w:right w:val="none" w:sz="0" w:space="0" w:color="auto"/>
          </w:divBdr>
        </w:div>
      </w:divsChild>
    </w:div>
    <w:div w:id="1244140899">
      <w:bodyDiv w:val="1"/>
      <w:marLeft w:val="0"/>
      <w:marRight w:val="0"/>
      <w:marTop w:val="0"/>
      <w:marBottom w:val="0"/>
      <w:divBdr>
        <w:top w:val="none" w:sz="0" w:space="0" w:color="auto"/>
        <w:left w:val="none" w:sz="0" w:space="0" w:color="auto"/>
        <w:bottom w:val="none" w:sz="0" w:space="0" w:color="auto"/>
        <w:right w:val="none" w:sz="0" w:space="0" w:color="auto"/>
      </w:divBdr>
      <w:divsChild>
        <w:div w:id="337781017">
          <w:marLeft w:val="0"/>
          <w:marRight w:val="0"/>
          <w:marTop w:val="0"/>
          <w:marBottom w:val="0"/>
          <w:divBdr>
            <w:top w:val="none" w:sz="0" w:space="0" w:color="auto"/>
            <w:left w:val="none" w:sz="0" w:space="0" w:color="auto"/>
            <w:bottom w:val="none" w:sz="0" w:space="0" w:color="auto"/>
            <w:right w:val="none" w:sz="0" w:space="0" w:color="auto"/>
          </w:divBdr>
        </w:div>
      </w:divsChild>
    </w:div>
    <w:div w:id="1262713829">
      <w:bodyDiv w:val="1"/>
      <w:marLeft w:val="0"/>
      <w:marRight w:val="0"/>
      <w:marTop w:val="0"/>
      <w:marBottom w:val="0"/>
      <w:divBdr>
        <w:top w:val="none" w:sz="0" w:space="0" w:color="auto"/>
        <w:left w:val="none" w:sz="0" w:space="0" w:color="auto"/>
        <w:bottom w:val="none" w:sz="0" w:space="0" w:color="auto"/>
        <w:right w:val="none" w:sz="0" w:space="0" w:color="auto"/>
      </w:divBdr>
      <w:divsChild>
        <w:div w:id="967051270">
          <w:marLeft w:val="0"/>
          <w:marRight w:val="0"/>
          <w:marTop w:val="0"/>
          <w:marBottom w:val="0"/>
          <w:divBdr>
            <w:top w:val="none" w:sz="0" w:space="0" w:color="auto"/>
            <w:left w:val="none" w:sz="0" w:space="0" w:color="auto"/>
            <w:bottom w:val="none" w:sz="0" w:space="0" w:color="auto"/>
            <w:right w:val="none" w:sz="0" w:space="0" w:color="auto"/>
          </w:divBdr>
        </w:div>
      </w:divsChild>
    </w:div>
    <w:div w:id="1311859512">
      <w:bodyDiv w:val="1"/>
      <w:marLeft w:val="0"/>
      <w:marRight w:val="0"/>
      <w:marTop w:val="0"/>
      <w:marBottom w:val="0"/>
      <w:divBdr>
        <w:top w:val="none" w:sz="0" w:space="0" w:color="auto"/>
        <w:left w:val="none" w:sz="0" w:space="0" w:color="auto"/>
        <w:bottom w:val="none" w:sz="0" w:space="0" w:color="auto"/>
        <w:right w:val="none" w:sz="0" w:space="0" w:color="auto"/>
      </w:divBdr>
      <w:divsChild>
        <w:div w:id="341591324">
          <w:marLeft w:val="0"/>
          <w:marRight w:val="0"/>
          <w:marTop w:val="0"/>
          <w:marBottom w:val="0"/>
          <w:divBdr>
            <w:top w:val="none" w:sz="0" w:space="0" w:color="auto"/>
            <w:left w:val="none" w:sz="0" w:space="0" w:color="auto"/>
            <w:bottom w:val="none" w:sz="0" w:space="0" w:color="auto"/>
            <w:right w:val="none" w:sz="0" w:space="0" w:color="auto"/>
          </w:divBdr>
        </w:div>
      </w:divsChild>
    </w:div>
    <w:div w:id="1352301887">
      <w:bodyDiv w:val="1"/>
      <w:marLeft w:val="0"/>
      <w:marRight w:val="0"/>
      <w:marTop w:val="0"/>
      <w:marBottom w:val="0"/>
      <w:divBdr>
        <w:top w:val="none" w:sz="0" w:space="0" w:color="auto"/>
        <w:left w:val="none" w:sz="0" w:space="0" w:color="auto"/>
        <w:bottom w:val="none" w:sz="0" w:space="0" w:color="auto"/>
        <w:right w:val="none" w:sz="0" w:space="0" w:color="auto"/>
      </w:divBdr>
      <w:divsChild>
        <w:div w:id="61293992">
          <w:marLeft w:val="0"/>
          <w:marRight w:val="0"/>
          <w:marTop w:val="0"/>
          <w:marBottom w:val="0"/>
          <w:divBdr>
            <w:top w:val="none" w:sz="0" w:space="0" w:color="auto"/>
            <w:left w:val="none" w:sz="0" w:space="0" w:color="auto"/>
            <w:bottom w:val="none" w:sz="0" w:space="0" w:color="auto"/>
            <w:right w:val="none" w:sz="0" w:space="0" w:color="auto"/>
          </w:divBdr>
          <w:divsChild>
            <w:div w:id="1252812524">
              <w:marLeft w:val="0"/>
              <w:marRight w:val="0"/>
              <w:marTop w:val="0"/>
              <w:marBottom w:val="0"/>
              <w:divBdr>
                <w:top w:val="none" w:sz="0" w:space="0" w:color="auto"/>
                <w:left w:val="none" w:sz="0" w:space="0" w:color="auto"/>
                <w:bottom w:val="none" w:sz="0" w:space="0" w:color="auto"/>
                <w:right w:val="none" w:sz="0" w:space="0" w:color="auto"/>
              </w:divBdr>
              <w:divsChild>
                <w:div w:id="169812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906113">
      <w:bodyDiv w:val="1"/>
      <w:marLeft w:val="0"/>
      <w:marRight w:val="0"/>
      <w:marTop w:val="0"/>
      <w:marBottom w:val="0"/>
      <w:divBdr>
        <w:top w:val="none" w:sz="0" w:space="0" w:color="auto"/>
        <w:left w:val="none" w:sz="0" w:space="0" w:color="auto"/>
        <w:bottom w:val="none" w:sz="0" w:space="0" w:color="auto"/>
        <w:right w:val="none" w:sz="0" w:space="0" w:color="auto"/>
      </w:divBdr>
      <w:divsChild>
        <w:div w:id="361592922">
          <w:marLeft w:val="0"/>
          <w:marRight w:val="0"/>
          <w:marTop w:val="0"/>
          <w:marBottom w:val="0"/>
          <w:divBdr>
            <w:top w:val="none" w:sz="0" w:space="0" w:color="auto"/>
            <w:left w:val="none" w:sz="0" w:space="0" w:color="auto"/>
            <w:bottom w:val="none" w:sz="0" w:space="0" w:color="auto"/>
            <w:right w:val="none" w:sz="0" w:space="0" w:color="auto"/>
          </w:divBdr>
        </w:div>
      </w:divsChild>
    </w:div>
    <w:div w:id="1371687197">
      <w:bodyDiv w:val="1"/>
      <w:marLeft w:val="0"/>
      <w:marRight w:val="0"/>
      <w:marTop w:val="0"/>
      <w:marBottom w:val="0"/>
      <w:divBdr>
        <w:top w:val="none" w:sz="0" w:space="0" w:color="auto"/>
        <w:left w:val="none" w:sz="0" w:space="0" w:color="auto"/>
        <w:bottom w:val="none" w:sz="0" w:space="0" w:color="auto"/>
        <w:right w:val="none" w:sz="0" w:space="0" w:color="auto"/>
      </w:divBdr>
      <w:divsChild>
        <w:div w:id="1202786721">
          <w:marLeft w:val="0"/>
          <w:marRight w:val="0"/>
          <w:marTop w:val="0"/>
          <w:marBottom w:val="0"/>
          <w:divBdr>
            <w:top w:val="none" w:sz="0" w:space="0" w:color="auto"/>
            <w:left w:val="none" w:sz="0" w:space="0" w:color="auto"/>
            <w:bottom w:val="none" w:sz="0" w:space="0" w:color="auto"/>
            <w:right w:val="none" w:sz="0" w:space="0" w:color="auto"/>
          </w:divBdr>
        </w:div>
      </w:divsChild>
    </w:div>
    <w:div w:id="1388338758">
      <w:bodyDiv w:val="1"/>
      <w:marLeft w:val="0"/>
      <w:marRight w:val="0"/>
      <w:marTop w:val="0"/>
      <w:marBottom w:val="0"/>
      <w:divBdr>
        <w:top w:val="none" w:sz="0" w:space="0" w:color="auto"/>
        <w:left w:val="none" w:sz="0" w:space="0" w:color="auto"/>
        <w:bottom w:val="none" w:sz="0" w:space="0" w:color="auto"/>
        <w:right w:val="none" w:sz="0" w:space="0" w:color="auto"/>
      </w:divBdr>
      <w:divsChild>
        <w:div w:id="2017883346">
          <w:marLeft w:val="0"/>
          <w:marRight w:val="0"/>
          <w:marTop w:val="0"/>
          <w:marBottom w:val="0"/>
          <w:divBdr>
            <w:top w:val="none" w:sz="0" w:space="0" w:color="auto"/>
            <w:left w:val="none" w:sz="0" w:space="0" w:color="auto"/>
            <w:bottom w:val="none" w:sz="0" w:space="0" w:color="auto"/>
            <w:right w:val="none" w:sz="0" w:space="0" w:color="auto"/>
          </w:divBdr>
        </w:div>
      </w:divsChild>
    </w:div>
    <w:div w:id="1414165226">
      <w:bodyDiv w:val="1"/>
      <w:marLeft w:val="0"/>
      <w:marRight w:val="0"/>
      <w:marTop w:val="0"/>
      <w:marBottom w:val="0"/>
      <w:divBdr>
        <w:top w:val="none" w:sz="0" w:space="0" w:color="auto"/>
        <w:left w:val="none" w:sz="0" w:space="0" w:color="auto"/>
        <w:bottom w:val="none" w:sz="0" w:space="0" w:color="auto"/>
        <w:right w:val="none" w:sz="0" w:space="0" w:color="auto"/>
      </w:divBdr>
      <w:divsChild>
        <w:div w:id="46615162">
          <w:marLeft w:val="0"/>
          <w:marRight w:val="0"/>
          <w:marTop w:val="0"/>
          <w:marBottom w:val="0"/>
          <w:divBdr>
            <w:top w:val="none" w:sz="0" w:space="0" w:color="auto"/>
            <w:left w:val="none" w:sz="0" w:space="0" w:color="auto"/>
            <w:bottom w:val="none" w:sz="0" w:space="0" w:color="auto"/>
            <w:right w:val="none" w:sz="0" w:space="0" w:color="auto"/>
          </w:divBdr>
        </w:div>
      </w:divsChild>
    </w:div>
    <w:div w:id="1437018206">
      <w:bodyDiv w:val="1"/>
      <w:marLeft w:val="0"/>
      <w:marRight w:val="0"/>
      <w:marTop w:val="0"/>
      <w:marBottom w:val="0"/>
      <w:divBdr>
        <w:top w:val="none" w:sz="0" w:space="0" w:color="auto"/>
        <w:left w:val="none" w:sz="0" w:space="0" w:color="auto"/>
        <w:bottom w:val="none" w:sz="0" w:space="0" w:color="auto"/>
        <w:right w:val="none" w:sz="0" w:space="0" w:color="auto"/>
      </w:divBdr>
      <w:divsChild>
        <w:div w:id="1301305155">
          <w:marLeft w:val="0"/>
          <w:marRight w:val="0"/>
          <w:marTop w:val="0"/>
          <w:marBottom w:val="0"/>
          <w:divBdr>
            <w:top w:val="none" w:sz="0" w:space="0" w:color="auto"/>
            <w:left w:val="none" w:sz="0" w:space="0" w:color="auto"/>
            <w:bottom w:val="none" w:sz="0" w:space="0" w:color="auto"/>
            <w:right w:val="none" w:sz="0" w:space="0" w:color="auto"/>
          </w:divBdr>
        </w:div>
      </w:divsChild>
    </w:div>
    <w:div w:id="1463424182">
      <w:bodyDiv w:val="1"/>
      <w:marLeft w:val="0"/>
      <w:marRight w:val="0"/>
      <w:marTop w:val="0"/>
      <w:marBottom w:val="0"/>
      <w:divBdr>
        <w:top w:val="none" w:sz="0" w:space="0" w:color="auto"/>
        <w:left w:val="none" w:sz="0" w:space="0" w:color="auto"/>
        <w:bottom w:val="none" w:sz="0" w:space="0" w:color="auto"/>
        <w:right w:val="none" w:sz="0" w:space="0" w:color="auto"/>
      </w:divBdr>
      <w:divsChild>
        <w:div w:id="1579560345">
          <w:marLeft w:val="0"/>
          <w:marRight w:val="0"/>
          <w:marTop w:val="0"/>
          <w:marBottom w:val="0"/>
          <w:divBdr>
            <w:top w:val="none" w:sz="0" w:space="0" w:color="auto"/>
            <w:left w:val="none" w:sz="0" w:space="0" w:color="auto"/>
            <w:bottom w:val="none" w:sz="0" w:space="0" w:color="auto"/>
            <w:right w:val="none" w:sz="0" w:space="0" w:color="auto"/>
          </w:divBdr>
        </w:div>
      </w:divsChild>
    </w:div>
    <w:div w:id="1465124732">
      <w:bodyDiv w:val="1"/>
      <w:marLeft w:val="0"/>
      <w:marRight w:val="0"/>
      <w:marTop w:val="0"/>
      <w:marBottom w:val="0"/>
      <w:divBdr>
        <w:top w:val="none" w:sz="0" w:space="0" w:color="auto"/>
        <w:left w:val="none" w:sz="0" w:space="0" w:color="auto"/>
        <w:bottom w:val="none" w:sz="0" w:space="0" w:color="auto"/>
        <w:right w:val="none" w:sz="0" w:space="0" w:color="auto"/>
      </w:divBdr>
      <w:divsChild>
        <w:div w:id="1166939723">
          <w:marLeft w:val="0"/>
          <w:marRight w:val="0"/>
          <w:marTop w:val="0"/>
          <w:marBottom w:val="0"/>
          <w:divBdr>
            <w:top w:val="none" w:sz="0" w:space="0" w:color="auto"/>
            <w:left w:val="none" w:sz="0" w:space="0" w:color="auto"/>
            <w:bottom w:val="none" w:sz="0" w:space="0" w:color="auto"/>
            <w:right w:val="none" w:sz="0" w:space="0" w:color="auto"/>
          </w:divBdr>
        </w:div>
      </w:divsChild>
    </w:div>
    <w:div w:id="1497723068">
      <w:bodyDiv w:val="1"/>
      <w:marLeft w:val="0"/>
      <w:marRight w:val="0"/>
      <w:marTop w:val="0"/>
      <w:marBottom w:val="0"/>
      <w:divBdr>
        <w:top w:val="none" w:sz="0" w:space="0" w:color="auto"/>
        <w:left w:val="none" w:sz="0" w:space="0" w:color="auto"/>
        <w:bottom w:val="none" w:sz="0" w:space="0" w:color="auto"/>
        <w:right w:val="none" w:sz="0" w:space="0" w:color="auto"/>
      </w:divBdr>
      <w:divsChild>
        <w:div w:id="1022047828">
          <w:marLeft w:val="0"/>
          <w:marRight w:val="0"/>
          <w:marTop w:val="0"/>
          <w:marBottom w:val="0"/>
          <w:divBdr>
            <w:top w:val="none" w:sz="0" w:space="0" w:color="auto"/>
            <w:left w:val="none" w:sz="0" w:space="0" w:color="auto"/>
            <w:bottom w:val="none" w:sz="0" w:space="0" w:color="auto"/>
            <w:right w:val="none" w:sz="0" w:space="0" w:color="auto"/>
          </w:divBdr>
        </w:div>
      </w:divsChild>
    </w:div>
    <w:div w:id="1514805215">
      <w:bodyDiv w:val="1"/>
      <w:marLeft w:val="0"/>
      <w:marRight w:val="0"/>
      <w:marTop w:val="0"/>
      <w:marBottom w:val="0"/>
      <w:divBdr>
        <w:top w:val="none" w:sz="0" w:space="0" w:color="auto"/>
        <w:left w:val="none" w:sz="0" w:space="0" w:color="auto"/>
        <w:bottom w:val="none" w:sz="0" w:space="0" w:color="auto"/>
        <w:right w:val="none" w:sz="0" w:space="0" w:color="auto"/>
      </w:divBdr>
      <w:divsChild>
        <w:div w:id="478495007">
          <w:marLeft w:val="0"/>
          <w:marRight w:val="0"/>
          <w:marTop w:val="0"/>
          <w:marBottom w:val="0"/>
          <w:divBdr>
            <w:top w:val="none" w:sz="0" w:space="0" w:color="auto"/>
            <w:left w:val="none" w:sz="0" w:space="0" w:color="auto"/>
            <w:bottom w:val="none" w:sz="0" w:space="0" w:color="auto"/>
            <w:right w:val="none" w:sz="0" w:space="0" w:color="auto"/>
          </w:divBdr>
        </w:div>
      </w:divsChild>
    </w:div>
    <w:div w:id="1540586370">
      <w:bodyDiv w:val="1"/>
      <w:marLeft w:val="0"/>
      <w:marRight w:val="0"/>
      <w:marTop w:val="0"/>
      <w:marBottom w:val="0"/>
      <w:divBdr>
        <w:top w:val="none" w:sz="0" w:space="0" w:color="auto"/>
        <w:left w:val="none" w:sz="0" w:space="0" w:color="auto"/>
        <w:bottom w:val="none" w:sz="0" w:space="0" w:color="auto"/>
        <w:right w:val="none" w:sz="0" w:space="0" w:color="auto"/>
      </w:divBdr>
    </w:div>
    <w:div w:id="1563953257">
      <w:bodyDiv w:val="1"/>
      <w:marLeft w:val="0"/>
      <w:marRight w:val="0"/>
      <w:marTop w:val="0"/>
      <w:marBottom w:val="0"/>
      <w:divBdr>
        <w:top w:val="none" w:sz="0" w:space="0" w:color="auto"/>
        <w:left w:val="none" w:sz="0" w:space="0" w:color="auto"/>
        <w:bottom w:val="none" w:sz="0" w:space="0" w:color="auto"/>
        <w:right w:val="none" w:sz="0" w:space="0" w:color="auto"/>
      </w:divBdr>
      <w:divsChild>
        <w:div w:id="761605092">
          <w:marLeft w:val="0"/>
          <w:marRight w:val="0"/>
          <w:marTop w:val="0"/>
          <w:marBottom w:val="0"/>
          <w:divBdr>
            <w:top w:val="none" w:sz="0" w:space="0" w:color="auto"/>
            <w:left w:val="none" w:sz="0" w:space="0" w:color="auto"/>
            <w:bottom w:val="none" w:sz="0" w:space="0" w:color="auto"/>
            <w:right w:val="none" w:sz="0" w:space="0" w:color="auto"/>
          </w:divBdr>
        </w:div>
      </w:divsChild>
    </w:div>
    <w:div w:id="1565406720">
      <w:bodyDiv w:val="1"/>
      <w:marLeft w:val="0"/>
      <w:marRight w:val="0"/>
      <w:marTop w:val="0"/>
      <w:marBottom w:val="0"/>
      <w:divBdr>
        <w:top w:val="none" w:sz="0" w:space="0" w:color="auto"/>
        <w:left w:val="none" w:sz="0" w:space="0" w:color="auto"/>
        <w:bottom w:val="none" w:sz="0" w:space="0" w:color="auto"/>
        <w:right w:val="none" w:sz="0" w:space="0" w:color="auto"/>
      </w:divBdr>
      <w:divsChild>
        <w:div w:id="1806388639">
          <w:marLeft w:val="0"/>
          <w:marRight w:val="0"/>
          <w:marTop w:val="0"/>
          <w:marBottom w:val="0"/>
          <w:divBdr>
            <w:top w:val="none" w:sz="0" w:space="0" w:color="auto"/>
            <w:left w:val="none" w:sz="0" w:space="0" w:color="auto"/>
            <w:bottom w:val="none" w:sz="0" w:space="0" w:color="auto"/>
            <w:right w:val="none" w:sz="0" w:space="0" w:color="auto"/>
          </w:divBdr>
        </w:div>
      </w:divsChild>
    </w:div>
    <w:div w:id="1583637738">
      <w:bodyDiv w:val="1"/>
      <w:marLeft w:val="0"/>
      <w:marRight w:val="0"/>
      <w:marTop w:val="0"/>
      <w:marBottom w:val="0"/>
      <w:divBdr>
        <w:top w:val="none" w:sz="0" w:space="0" w:color="auto"/>
        <w:left w:val="none" w:sz="0" w:space="0" w:color="auto"/>
        <w:bottom w:val="none" w:sz="0" w:space="0" w:color="auto"/>
        <w:right w:val="none" w:sz="0" w:space="0" w:color="auto"/>
      </w:divBdr>
      <w:divsChild>
        <w:div w:id="1506239924">
          <w:marLeft w:val="0"/>
          <w:marRight w:val="0"/>
          <w:marTop w:val="0"/>
          <w:marBottom w:val="0"/>
          <w:divBdr>
            <w:top w:val="none" w:sz="0" w:space="0" w:color="auto"/>
            <w:left w:val="none" w:sz="0" w:space="0" w:color="auto"/>
            <w:bottom w:val="none" w:sz="0" w:space="0" w:color="auto"/>
            <w:right w:val="none" w:sz="0" w:space="0" w:color="auto"/>
          </w:divBdr>
        </w:div>
      </w:divsChild>
    </w:div>
    <w:div w:id="1636136970">
      <w:bodyDiv w:val="1"/>
      <w:marLeft w:val="0"/>
      <w:marRight w:val="0"/>
      <w:marTop w:val="0"/>
      <w:marBottom w:val="0"/>
      <w:divBdr>
        <w:top w:val="none" w:sz="0" w:space="0" w:color="auto"/>
        <w:left w:val="none" w:sz="0" w:space="0" w:color="auto"/>
        <w:bottom w:val="none" w:sz="0" w:space="0" w:color="auto"/>
        <w:right w:val="none" w:sz="0" w:space="0" w:color="auto"/>
      </w:divBdr>
      <w:divsChild>
        <w:div w:id="875893217">
          <w:marLeft w:val="0"/>
          <w:marRight w:val="0"/>
          <w:marTop w:val="0"/>
          <w:marBottom w:val="0"/>
          <w:divBdr>
            <w:top w:val="none" w:sz="0" w:space="0" w:color="auto"/>
            <w:left w:val="none" w:sz="0" w:space="0" w:color="auto"/>
            <w:bottom w:val="none" w:sz="0" w:space="0" w:color="auto"/>
            <w:right w:val="none" w:sz="0" w:space="0" w:color="auto"/>
          </w:divBdr>
        </w:div>
      </w:divsChild>
    </w:div>
    <w:div w:id="1662077139">
      <w:bodyDiv w:val="1"/>
      <w:marLeft w:val="0"/>
      <w:marRight w:val="0"/>
      <w:marTop w:val="0"/>
      <w:marBottom w:val="0"/>
      <w:divBdr>
        <w:top w:val="none" w:sz="0" w:space="0" w:color="auto"/>
        <w:left w:val="none" w:sz="0" w:space="0" w:color="auto"/>
        <w:bottom w:val="none" w:sz="0" w:space="0" w:color="auto"/>
        <w:right w:val="none" w:sz="0" w:space="0" w:color="auto"/>
      </w:divBdr>
      <w:divsChild>
        <w:div w:id="1361054777">
          <w:marLeft w:val="0"/>
          <w:marRight w:val="0"/>
          <w:marTop w:val="0"/>
          <w:marBottom w:val="0"/>
          <w:divBdr>
            <w:top w:val="none" w:sz="0" w:space="0" w:color="auto"/>
            <w:left w:val="none" w:sz="0" w:space="0" w:color="auto"/>
            <w:bottom w:val="none" w:sz="0" w:space="0" w:color="auto"/>
            <w:right w:val="none" w:sz="0" w:space="0" w:color="auto"/>
          </w:divBdr>
        </w:div>
      </w:divsChild>
    </w:div>
    <w:div w:id="1670864622">
      <w:bodyDiv w:val="1"/>
      <w:marLeft w:val="0"/>
      <w:marRight w:val="0"/>
      <w:marTop w:val="0"/>
      <w:marBottom w:val="0"/>
      <w:divBdr>
        <w:top w:val="none" w:sz="0" w:space="0" w:color="auto"/>
        <w:left w:val="none" w:sz="0" w:space="0" w:color="auto"/>
        <w:bottom w:val="none" w:sz="0" w:space="0" w:color="auto"/>
        <w:right w:val="none" w:sz="0" w:space="0" w:color="auto"/>
      </w:divBdr>
      <w:divsChild>
        <w:div w:id="1284921693">
          <w:marLeft w:val="0"/>
          <w:marRight w:val="0"/>
          <w:marTop w:val="0"/>
          <w:marBottom w:val="0"/>
          <w:divBdr>
            <w:top w:val="none" w:sz="0" w:space="0" w:color="auto"/>
            <w:left w:val="none" w:sz="0" w:space="0" w:color="auto"/>
            <w:bottom w:val="none" w:sz="0" w:space="0" w:color="auto"/>
            <w:right w:val="none" w:sz="0" w:space="0" w:color="auto"/>
          </w:divBdr>
        </w:div>
      </w:divsChild>
    </w:div>
    <w:div w:id="1677073112">
      <w:bodyDiv w:val="1"/>
      <w:marLeft w:val="0"/>
      <w:marRight w:val="0"/>
      <w:marTop w:val="0"/>
      <w:marBottom w:val="0"/>
      <w:divBdr>
        <w:top w:val="none" w:sz="0" w:space="0" w:color="auto"/>
        <w:left w:val="none" w:sz="0" w:space="0" w:color="auto"/>
        <w:bottom w:val="none" w:sz="0" w:space="0" w:color="auto"/>
        <w:right w:val="none" w:sz="0" w:space="0" w:color="auto"/>
      </w:divBdr>
      <w:divsChild>
        <w:div w:id="1070494761">
          <w:marLeft w:val="0"/>
          <w:marRight w:val="0"/>
          <w:marTop w:val="0"/>
          <w:marBottom w:val="0"/>
          <w:divBdr>
            <w:top w:val="none" w:sz="0" w:space="0" w:color="auto"/>
            <w:left w:val="none" w:sz="0" w:space="0" w:color="auto"/>
            <w:bottom w:val="none" w:sz="0" w:space="0" w:color="auto"/>
            <w:right w:val="none" w:sz="0" w:space="0" w:color="auto"/>
          </w:divBdr>
        </w:div>
      </w:divsChild>
    </w:div>
    <w:div w:id="1715690184">
      <w:bodyDiv w:val="1"/>
      <w:marLeft w:val="0"/>
      <w:marRight w:val="0"/>
      <w:marTop w:val="0"/>
      <w:marBottom w:val="0"/>
      <w:divBdr>
        <w:top w:val="none" w:sz="0" w:space="0" w:color="auto"/>
        <w:left w:val="none" w:sz="0" w:space="0" w:color="auto"/>
        <w:bottom w:val="none" w:sz="0" w:space="0" w:color="auto"/>
        <w:right w:val="none" w:sz="0" w:space="0" w:color="auto"/>
      </w:divBdr>
      <w:divsChild>
        <w:div w:id="892959945">
          <w:marLeft w:val="0"/>
          <w:marRight w:val="0"/>
          <w:marTop w:val="0"/>
          <w:marBottom w:val="0"/>
          <w:divBdr>
            <w:top w:val="none" w:sz="0" w:space="0" w:color="auto"/>
            <w:left w:val="none" w:sz="0" w:space="0" w:color="auto"/>
            <w:bottom w:val="none" w:sz="0" w:space="0" w:color="auto"/>
            <w:right w:val="none" w:sz="0" w:space="0" w:color="auto"/>
          </w:divBdr>
        </w:div>
      </w:divsChild>
    </w:div>
    <w:div w:id="1748184223">
      <w:bodyDiv w:val="1"/>
      <w:marLeft w:val="0"/>
      <w:marRight w:val="0"/>
      <w:marTop w:val="0"/>
      <w:marBottom w:val="0"/>
      <w:divBdr>
        <w:top w:val="none" w:sz="0" w:space="0" w:color="auto"/>
        <w:left w:val="none" w:sz="0" w:space="0" w:color="auto"/>
        <w:bottom w:val="none" w:sz="0" w:space="0" w:color="auto"/>
        <w:right w:val="none" w:sz="0" w:space="0" w:color="auto"/>
      </w:divBdr>
      <w:divsChild>
        <w:div w:id="1414862836">
          <w:marLeft w:val="0"/>
          <w:marRight w:val="0"/>
          <w:marTop w:val="0"/>
          <w:marBottom w:val="0"/>
          <w:divBdr>
            <w:top w:val="none" w:sz="0" w:space="0" w:color="auto"/>
            <w:left w:val="none" w:sz="0" w:space="0" w:color="auto"/>
            <w:bottom w:val="none" w:sz="0" w:space="0" w:color="auto"/>
            <w:right w:val="none" w:sz="0" w:space="0" w:color="auto"/>
          </w:divBdr>
        </w:div>
      </w:divsChild>
    </w:div>
    <w:div w:id="1784499313">
      <w:bodyDiv w:val="1"/>
      <w:marLeft w:val="0"/>
      <w:marRight w:val="0"/>
      <w:marTop w:val="0"/>
      <w:marBottom w:val="0"/>
      <w:divBdr>
        <w:top w:val="none" w:sz="0" w:space="0" w:color="auto"/>
        <w:left w:val="none" w:sz="0" w:space="0" w:color="auto"/>
        <w:bottom w:val="none" w:sz="0" w:space="0" w:color="auto"/>
        <w:right w:val="none" w:sz="0" w:space="0" w:color="auto"/>
      </w:divBdr>
    </w:div>
    <w:div w:id="1788351070">
      <w:bodyDiv w:val="1"/>
      <w:marLeft w:val="0"/>
      <w:marRight w:val="0"/>
      <w:marTop w:val="0"/>
      <w:marBottom w:val="0"/>
      <w:divBdr>
        <w:top w:val="none" w:sz="0" w:space="0" w:color="auto"/>
        <w:left w:val="none" w:sz="0" w:space="0" w:color="auto"/>
        <w:bottom w:val="none" w:sz="0" w:space="0" w:color="auto"/>
        <w:right w:val="none" w:sz="0" w:space="0" w:color="auto"/>
      </w:divBdr>
    </w:div>
    <w:div w:id="1793016970">
      <w:bodyDiv w:val="1"/>
      <w:marLeft w:val="0"/>
      <w:marRight w:val="0"/>
      <w:marTop w:val="0"/>
      <w:marBottom w:val="0"/>
      <w:divBdr>
        <w:top w:val="none" w:sz="0" w:space="0" w:color="auto"/>
        <w:left w:val="none" w:sz="0" w:space="0" w:color="auto"/>
        <w:bottom w:val="none" w:sz="0" w:space="0" w:color="auto"/>
        <w:right w:val="none" w:sz="0" w:space="0" w:color="auto"/>
      </w:divBdr>
      <w:divsChild>
        <w:div w:id="76485196">
          <w:marLeft w:val="0"/>
          <w:marRight w:val="0"/>
          <w:marTop w:val="0"/>
          <w:marBottom w:val="0"/>
          <w:divBdr>
            <w:top w:val="none" w:sz="0" w:space="0" w:color="auto"/>
            <w:left w:val="none" w:sz="0" w:space="0" w:color="auto"/>
            <w:bottom w:val="none" w:sz="0" w:space="0" w:color="auto"/>
            <w:right w:val="none" w:sz="0" w:space="0" w:color="auto"/>
          </w:divBdr>
        </w:div>
      </w:divsChild>
    </w:div>
    <w:div w:id="1795555856">
      <w:bodyDiv w:val="1"/>
      <w:marLeft w:val="0"/>
      <w:marRight w:val="0"/>
      <w:marTop w:val="0"/>
      <w:marBottom w:val="0"/>
      <w:divBdr>
        <w:top w:val="none" w:sz="0" w:space="0" w:color="auto"/>
        <w:left w:val="none" w:sz="0" w:space="0" w:color="auto"/>
        <w:bottom w:val="none" w:sz="0" w:space="0" w:color="auto"/>
        <w:right w:val="none" w:sz="0" w:space="0" w:color="auto"/>
      </w:divBdr>
      <w:divsChild>
        <w:div w:id="548035566">
          <w:marLeft w:val="0"/>
          <w:marRight w:val="0"/>
          <w:marTop w:val="0"/>
          <w:marBottom w:val="0"/>
          <w:divBdr>
            <w:top w:val="none" w:sz="0" w:space="0" w:color="auto"/>
            <w:left w:val="none" w:sz="0" w:space="0" w:color="auto"/>
            <w:bottom w:val="none" w:sz="0" w:space="0" w:color="auto"/>
            <w:right w:val="none" w:sz="0" w:space="0" w:color="auto"/>
          </w:divBdr>
        </w:div>
      </w:divsChild>
    </w:div>
    <w:div w:id="1802310755">
      <w:bodyDiv w:val="1"/>
      <w:marLeft w:val="0"/>
      <w:marRight w:val="0"/>
      <w:marTop w:val="0"/>
      <w:marBottom w:val="0"/>
      <w:divBdr>
        <w:top w:val="none" w:sz="0" w:space="0" w:color="auto"/>
        <w:left w:val="none" w:sz="0" w:space="0" w:color="auto"/>
        <w:bottom w:val="none" w:sz="0" w:space="0" w:color="auto"/>
        <w:right w:val="none" w:sz="0" w:space="0" w:color="auto"/>
      </w:divBdr>
      <w:divsChild>
        <w:div w:id="598608149">
          <w:marLeft w:val="0"/>
          <w:marRight w:val="0"/>
          <w:marTop w:val="0"/>
          <w:marBottom w:val="0"/>
          <w:divBdr>
            <w:top w:val="none" w:sz="0" w:space="0" w:color="auto"/>
            <w:left w:val="none" w:sz="0" w:space="0" w:color="auto"/>
            <w:bottom w:val="none" w:sz="0" w:space="0" w:color="auto"/>
            <w:right w:val="none" w:sz="0" w:space="0" w:color="auto"/>
          </w:divBdr>
        </w:div>
      </w:divsChild>
    </w:div>
    <w:div w:id="1822698350">
      <w:bodyDiv w:val="1"/>
      <w:marLeft w:val="0"/>
      <w:marRight w:val="0"/>
      <w:marTop w:val="0"/>
      <w:marBottom w:val="0"/>
      <w:divBdr>
        <w:top w:val="none" w:sz="0" w:space="0" w:color="auto"/>
        <w:left w:val="none" w:sz="0" w:space="0" w:color="auto"/>
        <w:bottom w:val="none" w:sz="0" w:space="0" w:color="auto"/>
        <w:right w:val="none" w:sz="0" w:space="0" w:color="auto"/>
      </w:divBdr>
      <w:divsChild>
        <w:div w:id="2142114980">
          <w:marLeft w:val="0"/>
          <w:marRight w:val="0"/>
          <w:marTop w:val="0"/>
          <w:marBottom w:val="0"/>
          <w:divBdr>
            <w:top w:val="none" w:sz="0" w:space="0" w:color="auto"/>
            <w:left w:val="none" w:sz="0" w:space="0" w:color="auto"/>
            <w:bottom w:val="none" w:sz="0" w:space="0" w:color="auto"/>
            <w:right w:val="none" w:sz="0" w:space="0" w:color="auto"/>
          </w:divBdr>
        </w:div>
      </w:divsChild>
    </w:div>
    <w:div w:id="1845975067">
      <w:bodyDiv w:val="1"/>
      <w:marLeft w:val="0"/>
      <w:marRight w:val="0"/>
      <w:marTop w:val="0"/>
      <w:marBottom w:val="0"/>
      <w:divBdr>
        <w:top w:val="none" w:sz="0" w:space="0" w:color="auto"/>
        <w:left w:val="none" w:sz="0" w:space="0" w:color="auto"/>
        <w:bottom w:val="none" w:sz="0" w:space="0" w:color="auto"/>
        <w:right w:val="none" w:sz="0" w:space="0" w:color="auto"/>
      </w:divBdr>
      <w:divsChild>
        <w:div w:id="1163886360">
          <w:marLeft w:val="0"/>
          <w:marRight w:val="0"/>
          <w:marTop w:val="0"/>
          <w:marBottom w:val="0"/>
          <w:divBdr>
            <w:top w:val="none" w:sz="0" w:space="0" w:color="auto"/>
            <w:left w:val="none" w:sz="0" w:space="0" w:color="auto"/>
            <w:bottom w:val="none" w:sz="0" w:space="0" w:color="auto"/>
            <w:right w:val="none" w:sz="0" w:space="0" w:color="auto"/>
          </w:divBdr>
          <w:divsChild>
            <w:div w:id="493573478">
              <w:marLeft w:val="0"/>
              <w:marRight w:val="0"/>
              <w:marTop w:val="0"/>
              <w:marBottom w:val="0"/>
              <w:divBdr>
                <w:top w:val="none" w:sz="0" w:space="0" w:color="auto"/>
                <w:left w:val="none" w:sz="0" w:space="0" w:color="auto"/>
                <w:bottom w:val="none" w:sz="0" w:space="0" w:color="auto"/>
                <w:right w:val="none" w:sz="0" w:space="0" w:color="auto"/>
              </w:divBdr>
              <w:divsChild>
                <w:div w:id="3170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9089">
      <w:bodyDiv w:val="1"/>
      <w:marLeft w:val="0"/>
      <w:marRight w:val="0"/>
      <w:marTop w:val="0"/>
      <w:marBottom w:val="0"/>
      <w:divBdr>
        <w:top w:val="none" w:sz="0" w:space="0" w:color="auto"/>
        <w:left w:val="none" w:sz="0" w:space="0" w:color="auto"/>
        <w:bottom w:val="none" w:sz="0" w:space="0" w:color="auto"/>
        <w:right w:val="none" w:sz="0" w:space="0" w:color="auto"/>
      </w:divBdr>
      <w:divsChild>
        <w:div w:id="568656649">
          <w:marLeft w:val="0"/>
          <w:marRight w:val="0"/>
          <w:marTop w:val="0"/>
          <w:marBottom w:val="0"/>
          <w:divBdr>
            <w:top w:val="none" w:sz="0" w:space="0" w:color="auto"/>
            <w:left w:val="none" w:sz="0" w:space="0" w:color="auto"/>
            <w:bottom w:val="none" w:sz="0" w:space="0" w:color="auto"/>
            <w:right w:val="none" w:sz="0" w:space="0" w:color="auto"/>
          </w:divBdr>
        </w:div>
      </w:divsChild>
    </w:div>
    <w:div w:id="1852797954">
      <w:bodyDiv w:val="1"/>
      <w:marLeft w:val="0"/>
      <w:marRight w:val="0"/>
      <w:marTop w:val="0"/>
      <w:marBottom w:val="0"/>
      <w:divBdr>
        <w:top w:val="none" w:sz="0" w:space="0" w:color="auto"/>
        <w:left w:val="none" w:sz="0" w:space="0" w:color="auto"/>
        <w:bottom w:val="none" w:sz="0" w:space="0" w:color="auto"/>
        <w:right w:val="none" w:sz="0" w:space="0" w:color="auto"/>
      </w:divBdr>
      <w:divsChild>
        <w:div w:id="969822497">
          <w:marLeft w:val="0"/>
          <w:marRight w:val="0"/>
          <w:marTop w:val="0"/>
          <w:marBottom w:val="0"/>
          <w:divBdr>
            <w:top w:val="none" w:sz="0" w:space="0" w:color="auto"/>
            <w:left w:val="none" w:sz="0" w:space="0" w:color="auto"/>
            <w:bottom w:val="none" w:sz="0" w:space="0" w:color="auto"/>
            <w:right w:val="none" w:sz="0" w:space="0" w:color="auto"/>
          </w:divBdr>
          <w:divsChild>
            <w:div w:id="67506956">
              <w:marLeft w:val="0"/>
              <w:marRight w:val="0"/>
              <w:marTop w:val="0"/>
              <w:marBottom w:val="0"/>
              <w:divBdr>
                <w:top w:val="none" w:sz="0" w:space="0" w:color="auto"/>
                <w:left w:val="none" w:sz="0" w:space="0" w:color="auto"/>
                <w:bottom w:val="none" w:sz="0" w:space="0" w:color="auto"/>
                <w:right w:val="none" w:sz="0" w:space="0" w:color="auto"/>
              </w:divBdr>
              <w:divsChild>
                <w:div w:id="22695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53669">
      <w:bodyDiv w:val="1"/>
      <w:marLeft w:val="0"/>
      <w:marRight w:val="0"/>
      <w:marTop w:val="0"/>
      <w:marBottom w:val="0"/>
      <w:divBdr>
        <w:top w:val="none" w:sz="0" w:space="0" w:color="auto"/>
        <w:left w:val="none" w:sz="0" w:space="0" w:color="auto"/>
        <w:bottom w:val="none" w:sz="0" w:space="0" w:color="auto"/>
        <w:right w:val="none" w:sz="0" w:space="0" w:color="auto"/>
      </w:divBdr>
      <w:divsChild>
        <w:div w:id="603537485">
          <w:marLeft w:val="0"/>
          <w:marRight w:val="0"/>
          <w:marTop w:val="0"/>
          <w:marBottom w:val="0"/>
          <w:divBdr>
            <w:top w:val="none" w:sz="0" w:space="0" w:color="auto"/>
            <w:left w:val="none" w:sz="0" w:space="0" w:color="auto"/>
            <w:bottom w:val="none" w:sz="0" w:space="0" w:color="auto"/>
            <w:right w:val="none" w:sz="0" w:space="0" w:color="auto"/>
          </w:divBdr>
        </w:div>
      </w:divsChild>
    </w:div>
    <w:div w:id="1922449617">
      <w:bodyDiv w:val="1"/>
      <w:marLeft w:val="0"/>
      <w:marRight w:val="0"/>
      <w:marTop w:val="0"/>
      <w:marBottom w:val="0"/>
      <w:divBdr>
        <w:top w:val="none" w:sz="0" w:space="0" w:color="auto"/>
        <w:left w:val="none" w:sz="0" w:space="0" w:color="auto"/>
        <w:bottom w:val="none" w:sz="0" w:space="0" w:color="auto"/>
        <w:right w:val="none" w:sz="0" w:space="0" w:color="auto"/>
      </w:divBdr>
      <w:divsChild>
        <w:div w:id="2048093034">
          <w:marLeft w:val="0"/>
          <w:marRight w:val="0"/>
          <w:marTop w:val="0"/>
          <w:marBottom w:val="0"/>
          <w:divBdr>
            <w:top w:val="none" w:sz="0" w:space="0" w:color="auto"/>
            <w:left w:val="none" w:sz="0" w:space="0" w:color="auto"/>
            <w:bottom w:val="none" w:sz="0" w:space="0" w:color="auto"/>
            <w:right w:val="none" w:sz="0" w:space="0" w:color="auto"/>
          </w:divBdr>
        </w:div>
      </w:divsChild>
    </w:div>
    <w:div w:id="1930502205">
      <w:bodyDiv w:val="1"/>
      <w:marLeft w:val="0"/>
      <w:marRight w:val="0"/>
      <w:marTop w:val="0"/>
      <w:marBottom w:val="0"/>
      <w:divBdr>
        <w:top w:val="none" w:sz="0" w:space="0" w:color="auto"/>
        <w:left w:val="none" w:sz="0" w:space="0" w:color="auto"/>
        <w:bottom w:val="none" w:sz="0" w:space="0" w:color="auto"/>
        <w:right w:val="none" w:sz="0" w:space="0" w:color="auto"/>
      </w:divBdr>
      <w:divsChild>
        <w:div w:id="1322660764">
          <w:marLeft w:val="0"/>
          <w:marRight w:val="0"/>
          <w:marTop w:val="0"/>
          <w:marBottom w:val="0"/>
          <w:divBdr>
            <w:top w:val="none" w:sz="0" w:space="0" w:color="auto"/>
            <w:left w:val="none" w:sz="0" w:space="0" w:color="auto"/>
            <w:bottom w:val="none" w:sz="0" w:space="0" w:color="auto"/>
            <w:right w:val="none" w:sz="0" w:space="0" w:color="auto"/>
          </w:divBdr>
        </w:div>
      </w:divsChild>
    </w:div>
    <w:div w:id="1981499807">
      <w:bodyDiv w:val="1"/>
      <w:marLeft w:val="0"/>
      <w:marRight w:val="0"/>
      <w:marTop w:val="0"/>
      <w:marBottom w:val="0"/>
      <w:divBdr>
        <w:top w:val="none" w:sz="0" w:space="0" w:color="auto"/>
        <w:left w:val="none" w:sz="0" w:space="0" w:color="auto"/>
        <w:bottom w:val="none" w:sz="0" w:space="0" w:color="auto"/>
        <w:right w:val="none" w:sz="0" w:space="0" w:color="auto"/>
      </w:divBdr>
      <w:divsChild>
        <w:div w:id="1693074556">
          <w:marLeft w:val="0"/>
          <w:marRight w:val="0"/>
          <w:marTop w:val="0"/>
          <w:marBottom w:val="0"/>
          <w:divBdr>
            <w:top w:val="none" w:sz="0" w:space="0" w:color="auto"/>
            <w:left w:val="none" w:sz="0" w:space="0" w:color="auto"/>
            <w:bottom w:val="none" w:sz="0" w:space="0" w:color="auto"/>
            <w:right w:val="none" w:sz="0" w:space="0" w:color="auto"/>
          </w:divBdr>
        </w:div>
      </w:divsChild>
    </w:div>
    <w:div w:id="1987009504">
      <w:bodyDiv w:val="1"/>
      <w:marLeft w:val="0"/>
      <w:marRight w:val="0"/>
      <w:marTop w:val="0"/>
      <w:marBottom w:val="0"/>
      <w:divBdr>
        <w:top w:val="none" w:sz="0" w:space="0" w:color="auto"/>
        <w:left w:val="none" w:sz="0" w:space="0" w:color="auto"/>
        <w:bottom w:val="none" w:sz="0" w:space="0" w:color="auto"/>
        <w:right w:val="none" w:sz="0" w:space="0" w:color="auto"/>
      </w:divBdr>
      <w:divsChild>
        <w:div w:id="1747414457">
          <w:marLeft w:val="0"/>
          <w:marRight w:val="0"/>
          <w:marTop w:val="0"/>
          <w:marBottom w:val="0"/>
          <w:divBdr>
            <w:top w:val="none" w:sz="0" w:space="0" w:color="auto"/>
            <w:left w:val="none" w:sz="0" w:space="0" w:color="auto"/>
            <w:bottom w:val="none" w:sz="0" w:space="0" w:color="auto"/>
            <w:right w:val="none" w:sz="0" w:space="0" w:color="auto"/>
          </w:divBdr>
        </w:div>
      </w:divsChild>
    </w:div>
    <w:div w:id="1997108293">
      <w:bodyDiv w:val="1"/>
      <w:marLeft w:val="0"/>
      <w:marRight w:val="0"/>
      <w:marTop w:val="0"/>
      <w:marBottom w:val="0"/>
      <w:divBdr>
        <w:top w:val="none" w:sz="0" w:space="0" w:color="auto"/>
        <w:left w:val="none" w:sz="0" w:space="0" w:color="auto"/>
        <w:bottom w:val="none" w:sz="0" w:space="0" w:color="auto"/>
        <w:right w:val="none" w:sz="0" w:space="0" w:color="auto"/>
      </w:divBdr>
      <w:divsChild>
        <w:div w:id="1572348366">
          <w:marLeft w:val="0"/>
          <w:marRight w:val="0"/>
          <w:marTop w:val="0"/>
          <w:marBottom w:val="0"/>
          <w:divBdr>
            <w:top w:val="none" w:sz="0" w:space="0" w:color="auto"/>
            <w:left w:val="none" w:sz="0" w:space="0" w:color="auto"/>
            <w:bottom w:val="none" w:sz="0" w:space="0" w:color="auto"/>
            <w:right w:val="none" w:sz="0" w:space="0" w:color="auto"/>
          </w:divBdr>
        </w:div>
      </w:divsChild>
    </w:div>
    <w:div w:id="2015457102">
      <w:bodyDiv w:val="1"/>
      <w:marLeft w:val="0"/>
      <w:marRight w:val="0"/>
      <w:marTop w:val="0"/>
      <w:marBottom w:val="0"/>
      <w:divBdr>
        <w:top w:val="none" w:sz="0" w:space="0" w:color="auto"/>
        <w:left w:val="none" w:sz="0" w:space="0" w:color="auto"/>
        <w:bottom w:val="none" w:sz="0" w:space="0" w:color="auto"/>
        <w:right w:val="none" w:sz="0" w:space="0" w:color="auto"/>
      </w:divBdr>
      <w:divsChild>
        <w:div w:id="523371830">
          <w:marLeft w:val="0"/>
          <w:marRight w:val="0"/>
          <w:marTop w:val="0"/>
          <w:marBottom w:val="0"/>
          <w:divBdr>
            <w:top w:val="none" w:sz="0" w:space="0" w:color="auto"/>
            <w:left w:val="none" w:sz="0" w:space="0" w:color="auto"/>
            <w:bottom w:val="none" w:sz="0" w:space="0" w:color="auto"/>
            <w:right w:val="none" w:sz="0" w:space="0" w:color="auto"/>
          </w:divBdr>
        </w:div>
      </w:divsChild>
    </w:div>
    <w:div w:id="2040934105">
      <w:bodyDiv w:val="1"/>
      <w:marLeft w:val="0"/>
      <w:marRight w:val="0"/>
      <w:marTop w:val="0"/>
      <w:marBottom w:val="0"/>
      <w:divBdr>
        <w:top w:val="none" w:sz="0" w:space="0" w:color="auto"/>
        <w:left w:val="none" w:sz="0" w:space="0" w:color="auto"/>
        <w:bottom w:val="none" w:sz="0" w:space="0" w:color="auto"/>
        <w:right w:val="none" w:sz="0" w:space="0" w:color="auto"/>
      </w:divBdr>
      <w:divsChild>
        <w:div w:id="388264180">
          <w:marLeft w:val="0"/>
          <w:marRight w:val="0"/>
          <w:marTop w:val="0"/>
          <w:marBottom w:val="0"/>
          <w:divBdr>
            <w:top w:val="none" w:sz="0" w:space="0" w:color="auto"/>
            <w:left w:val="none" w:sz="0" w:space="0" w:color="auto"/>
            <w:bottom w:val="none" w:sz="0" w:space="0" w:color="auto"/>
            <w:right w:val="none" w:sz="0" w:space="0" w:color="auto"/>
          </w:divBdr>
        </w:div>
      </w:divsChild>
    </w:div>
    <w:div w:id="2079785317">
      <w:bodyDiv w:val="1"/>
      <w:marLeft w:val="0"/>
      <w:marRight w:val="0"/>
      <w:marTop w:val="0"/>
      <w:marBottom w:val="0"/>
      <w:divBdr>
        <w:top w:val="none" w:sz="0" w:space="0" w:color="auto"/>
        <w:left w:val="none" w:sz="0" w:space="0" w:color="auto"/>
        <w:bottom w:val="none" w:sz="0" w:space="0" w:color="auto"/>
        <w:right w:val="none" w:sz="0" w:space="0" w:color="auto"/>
      </w:divBdr>
      <w:divsChild>
        <w:div w:id="546339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levovekody.cz/obcho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4E4B58-9A8A-415C-A41C-9FB26668F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24</Pages>
  <Words>5365</Words>
  <Characters>33532</Characters>
  <Application>Microsoft Office Word</Application>
  <DocSecurity>0</DocSecurity>
  <Lines>931</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Ashrafi (1916230)</dc:creator>
  <cp:keywords/>
  <dc:description/>
  <cp:lastModifiedBy>Dewan Ashrafi (1916230)</cp:lastModifiedBy>
  <cp:revision>16</cp:revision>
  <dcterms:created xsi:type="dcterms:W3CDTF">2023-07-21T11:25:00Z</dcterms:created>
  <dcterms:modified xsi:type="dcterms:W3CDTF">2023-09-04T03:01:00Z</dcterms:modified>
</cp:coreProperties>
</file>