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C9E916" w14:textId="77777777" w:rsidR="009239EF" w:rsidRPr="00C362B0" w:rsidRDefault="009239EF" w:rsidP="005C7A31">
      <w:pPr>
        <w:spacing w:line="360" w:lineRule="auto"/>
        <w:jc w:val="center"/>
        <w:rPr>
          <w:rFonts w:ascii="Arial" w:hAnsi="Arial" w:cs="Arial"/>
          <w:b/>
          <w:bCs/>
          <w:sz w:val="28"/>
          <w:szCs w:val="24"/>
          <w:lang w:val="en-GB"/>
        </w:rPr>
      </w:pPr>
    </w:p>
    <w:p w14:paraId="483125A6" w14:textId="77777777" w:rsidR="009239EF" w:rsidRPr="00C362B0" w:rsidRDefault="009239EF" w:rsidP="005C7A31">
      <w:pPr>
        <w:spacing w:line="360" w:lineRule="auto"/>
        <w:jc w:val="center"/>
        <w:rPr>
          <w:rFonts w:ascii="Arial" w:hAnsi="Arial" w:cs="Arial"/>
          <w:b/>
          <w:bCs/>
          <w:sz w:val="28"/>
          <w:szCs w:val="24"/>
          <w:lang w:val="en-GB"/>
        </w:rPr>
      </w:pPr>
    </w:p>
    <w:p w14:paraId="5608FAE1" w14:textId="77777777" w:rsidR="009239EF" w:rsidRPr="00C362B0" w:rsidRDefault="009239EF" w:rsidP="005C7A31">
      <w:pPr>
        <w:spacing w:line="360" w:lineRule="auto"/>
        <w:jc w:val="center"/>
        <w:rPr>
          <w:rFonts w:ascii="Arial" w:hAnsi="Arial" w:cs="Arial"/>
          <w:b/>
          <w:bCs/>
          <w:sz w:val="28"/>
          <w:szCs w:val="24"/>
          <w:lang w:val="en-GB"/>
        </w:rPr>
      </w:pPr>
    </w:p>
    <w:p w14:paraId="5AE37517" w14:textId="77777777" w:rsidR="009239EF" w:rsidRPr="00C362B0" w:rsidRDefault="009239EF" w:rsidP="005C7A31">
      <w:pPr>
        <w:spacing w:line="360" w:lineRule="auto"/>
        <w:jc w:val="center"/>
        <w:rPr>
          <w:rFonts w:ascii="Arial" w:hAnsi="Arial" w:cs="Arial"/>
          <w:b/>
          <w:bCs/>
          <w:sz w:val="28"/>
          <w:szCs w:val="24"/>
          <w:lang w:val="en-GB"/>
        </w:rPr>
      </w:pPr>
    </w:p>
    <w:p w14:paraId="5A87A8F2" w14:textId="77777777" w:rsidR="009239EF" w:rsidRPr="00C362B0" w:rsidRDefault="009239EF" w:rsidP="005C7A31">
      <w:pPr>
        <w:spacing w:line="360" w:lineRule="auto"/>
        <w:jc w:val="center"/>
        <w:rPr>
          <w:rFonts w:ascii="Arial" w:hAnsi="Arial" w:cs="Arial"/>
          <w:b/>
          <w:bCs/>
          <w:sz w:val="28"/>
          <w:szCs w:val="24"/>
          <w:lang w:val="en-GB"/>
        </w:rPr>
      </w:pPr>
    </w:p>
    <w:p w14:paraId="3D14E661" w14:textId="4A6D3499"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noProof/>
          <w:sz w:val="24"/>
          <w:szCs w:val="24"/>
          <w:lang w:val="en-GB" w:eastAsia="en-GB"/>
        </w:rPr>
        <w:drawing>
          <wp:anchor distT="0" distB="0" distL="114300" distR="114300" simplePos="0" relativeHeight="251659264" behindDoc="0" locked="0" layoutInCell="1" allowOverlap="1" wp14:anchorId="2119F453" wp14:editId="7BBED184">
            <wp:simplePos x="0" y="0"/>
            <wp:positionH relativeFrom="margin">
              <wp:align>center</wp:align>
            </wp:positionH>
            <wp:positionV relativeFrom="paragraph">
              <wp:posOffset>0</wp:posOffset>
            </wp:positionV>
            <wp:extent cx="3454400" cy="11455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65D6FE43"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Master of Business Administration</w:t>
      </w:r>
    </w:p>
    <w:p w14:paraId="03E5472E" w14:textId="39E1CF6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Student Name:</w:t>
      </w:r>
      <w:r w:rsidRPr="00C362B0">
        <w:rPr>
          <w:rFonts w:ascii="Arial" w:hAnsi="Arial" w:cs="Arial"/>
          <w:sz w:val="28"/>
          <w:szCs w:val="24"/>
          <w:lang w:val="en-GB"/>
        </w:rPr>
        <w:t xml:space="preserve"> </w:t>
      </w:r>
      <w:proofErr w:type="spellStart"/>
      <w:r w:rsidRPr="00C362B0">
        <w:rPr>
          <w:rFonts w:ascii="Arial" w:hAnsi="Arial" w:cs="Arial"/>
          <w:b/>
          <w:sz w:val="28"/>
          <w:szCs w:val="24"/>
          <w:lang w:val="en-GB"/>
        </w:rPr>
        <w:t>Biplob</w:t>
      </w:r>
      <w:proofErr w:type="spellEnd"/>
      <w:r w:rsidRPr="00C362B0">
        <w:rPr>
          <w:rFonts w:ascii="Arial" w:hAnsi="Arial" w:cs="Arial"/>
          <w:b/>
          <w:sz w:val="28"/>
          <w:szCs w:val="24"/>
          <w:lang w:val="en-GB"/>
        </w:rPr>
        <w:t xml:space="preserve"> Das</w:t>
      </w:r>
    </w:p>
    <w:p w14:paraId="0DE86656" w14:textId="17659E10" w:rsidR="005C7A31" w:rsidRPr="00C362B0" w:rsidRDefault="005C7A31" w:rsidP="005C7A31">
      <w:pPr>
        <w:spacing w:line="360" w:lineRule="auto"/>
        <w:jc w:val="center"/>
        <w:rPr>
          <w:rFonts w:ascii="Arial" w:hAnsi="Arial" w:cs="Arial"/>
          <w:sz w:val="28"/>
          <w:szCs w:val="24"/>
          <w:lang w:val="en-GB"/>
        </w:rPr>
      </w:pPr>
      <w:r w:rsidRPr="00C362B0">
        <w:rPr>
          <w:rFonts w:ascii="Arial" w:hAnsi="Arial" w:cs="Arial"/>
          <w:b/>
          <w:bCs/>
          <w:sz w:val="28"/>
          <w:szCs w:val="24"/>
          <w:lang w:val="en-GB"/>
        </w:rPr>
        <w:t>Student Number:2424763</w:t>
      </w:r>
    </w:p>
    <w:p w14:paraId="27AAB4AE" w14:textId="74A85811"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code: LCMB7037</w:t>
      </w:r>
    </w:p>
    <w:p w14:paraId="5AE23CF8"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Name: Business Development Proposal</w:t>
      </w:r>
    </w:p>
    <w:p w14:paraId="3449D40E" w14:textId="7AF54D0C"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Title: "</w:t>
      </w:r>
      <w:r w:rsidRPr="00C362B0">
        <w:rPr>
          <w:lang w:val="en-GB"/>
        </w:rPr>
        <w:t xml:space="preserve"> </w:t>
      </w:r>
      <w:proofErr w:type="spellStart"/>
      <w:r w:rsidR="00E726A2" w:rsidRPr="00C362B0">
        <w:rPr>
          <w:rFonts w:ascii="Arial" w:hAnsi="Arial" w:cs="Arial"/>
          <w:b/>
          <w:bCs/>
          <w:sz w:val="28"/>
          <w:szCs w:val="24"/>
          <w:lang w:val="en-GB"/>
        </w:rPr>
        <w:t>FitLife</w:t>
      </w:r>
      <w:proofErr w:type="spellEnd"/>
      <w:r w:rsidR="00E726A2" w:rsidRPr="00C362B0">
        <w:rPr>
          <w:rFonts w:ascii="Arial" w:hAnsi="Arial" w:cs="Arial"/>
          <w:b/>
          <w:bCs/>
          <w:sz w:val="28"/>
          <w:szCs w:val="24"/>
          <w:lang w:val="en-GB"/>
        </w:rPr>
        <w:t xml:space="preserve"> Smart Gym: Developing a Smart Fitness and Wellness Centre in </w:t>
      </w:r>
      <w:proofErr w:type="spellStart"/>
      <w:r w:rsidR="00E726A2" w:rsidRPr="00C362B0">
        <w:rPr>
          <w:rFonts w:ascii="Arial" w:hAnsi="Arial" w:cs="Arial"/>
          <w:b/>
          <w:bCs/>
          <w:sz w:val="28"/>
          <w:szCs w:val="24"/>
          <w:lang w:val="en-GB"/>
        </w:rPr>
        <w:t>Levenshulme</w:t>
      </w:r>
      <w:proofErr w:type="spellEnd"/>
      <w:r w:rsidR="00E726A2" w:rsidRPr="00C362B0">
        <w:rPr>
          <w:rFonts w:ascii="Arial" w:hAnsi="Arial" w:cs="Arial"/>
          <w:b/>
          <w:bCs/>
          <w:sz w:val="28"/>
          <w:szCs w:val="24"/>
          <w:lang w:val="en-GB"/>
        </w:rPr>
        <w:t xml:space="preserve"> Manchester, England, United Kingdom </w:t>
      </w:r>
      <w:r w:rsidRPr="00C362B0">
        <w:rPr>
          <w:rFonts w:ascii="Arial" w:hAnsi="Arial" w:cs="Arial"/>
          <w:b/>
          <w:bCs/>
          <w:sz w:val="28"/>
          <w:szCs w:val="24"/>
          <w:lang w:val="en-GB"/>
        </w:rPr>
        <w:t>"</w:t>
      </w:r>
    </w:p>
    <w:p w14:paraId="0F58EE63" w14:textId="46D79355"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 xml:space="preserve">Supervisor: </w:t>
      </w:r>
      <w:proofErr w:type="spellStart"/>
      <w:r w:rsidRPr="00C362B0">
        <w:rPr>
          <w:rFonts w:ascii="Arial" w:hAnsi="Arial" w:cs="Arial"/>
          <w:b/>
          <w:bCs/>
          <w:sz w:val="28"/>
          <w:szCs w:val="24"/>
          <w:lang w:val="en-GB"/>
        </w:rPr>
        <w:t>Balendran</w:t>
      </w:r>
      <w:proofErr w:type="spellEnd"/>
      <w:r w:rsidRPr="00C362B0">
        <w:rPr>
          <w:rFonts w:ascii="Arial" w:hAnsi="Arial" w:cs="Arial"/>
          <w:b/>
          <w:bCs/>
          <w:sz w:val="28"/>
          <w:szCs w:val="24"/>
          <w:lang w:val="en-GB"/>
        </w:rPr>
        <w:t xml:space="preserve"> </w:t>
      </w:r>
      <w:proofErr w:type="spellStart"/>
      <w:r w:rsidRPr="00C362B0">
        <w:rPr>
          <w:rFonts w:ascii="Arial" w:hAnsi="Arial" w:cs="Arial"/>
          <w:b/>
          <w:bCs/>
          <w:sz w:val="28"/>
          <w:szCs w:val="24"/>
          <w:lang w:val="en-GB"/>
        </w:rPr>
        <w:t>Kandasamy</w:t>
      </w:r>
      <w:proofErr w:type="spellEnd"/>
    </w:p>
    <w:p w14:paraId="61BE0283" w14:textId="4E18EC8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 xml:space="preserve">Words Count: </w:t>
      </w:r>
    </w:p>
    <w:p w14:paraId="51733E6B" w14:textId="77777777" w:rsidR="005C7A31" w:rsidRPr="00C362B0" w:rsidRDefault="005C7A31" w:rsidP="005C7A31">
      <w:pPr>
        <w:spacing w:line="278" w:lineRule="auto"/>
        <w:rPr>
          <w:rFonts w:ascii="Arial" w:hAnsi="Arial" w:cs="Arial"/>
          <w:b/>
          <w:bCs/>
          <w:sz w:val="28"/>
          <w:szCs w:val="24"/>
          <w:lang w:val="en-GB"/>
        </w:rPr>
      </w:pPr>
      <w:r w:rsidRPr="00C362B0">
        <w:rPr>
          <w:rFonts w:ascii="Arial" w:hAnsi="Arial" w:cs="Arial"/>
          <w:b/>
          <w:bCs/>
          <w:sz w:val="28"/>
          <w:szCs w:val="24"/>
          <w:lang w:val="en-GB"/>
        </w:rPr>
        <w:br w:type="page"/>
      </w:r>
    </w:p>
    <w:p w14:paraId="4D2E7F1D"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5C7A31" w:rsidRPr="00C362B0"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0BCF5920"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C362B0">
        <w:rPr>
          <w:rFonts w:ascii="Arial" w:hAnsi="Arial" w:cs="Arial"/>
          <w:noProof/>
          <w:lang w:val="en-GB" w:eastAsia="en-GB"/>
        </w:rPr>
        <w:lastRenderedPageBreak/>
        <w:drawing>
          <wp:inline distT="0" distB="0" distL="0" distR="0" wp14:anchorId="6278AC16" wp14:editId="4A6EC100">
            <wp:extent cx="2844800" cy="11684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C9ACF15"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4A0723C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Master’s Degrees by Examination and Dissertation</w:t>
      </w:r>
    </w:p>
    <w:p w14:paraId="0EF4909E"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Declaration Form</w:t>
      </w:r>
    </w:p>
    <w:p w14:paraId="575CB286"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A399034" w14:textId="47150A79"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I, </w:t>
      </w:r>
      <w:proofErr w:type="spellStart"/>
      <w:r w:rsidRPr="00C362B0">
        <w:rPr>
          <w:rFonts w:ascii="Arial" w:hAnsi="Arial" w:cs="Arial"/>
          <w:bCs/>
          <w:sz w:val="24"/>
          <w:szCs w:val="24"/>
          <w:lang w:val="en-GB"/>
        </w:rPr>
        <w:t>Biplob</w:t>
      </w:r>
      <w:proofErr w:type="spellEnd"/>
      <w:r w:rsidRPr="00C362B0">
        <w:rPr>
          <w:rFonts w:ascii="Arial" w:hAnsi="Arial" w:cs="Arial"/>
          <w:bCs/>
          <w:sz w:val="24"/>
          <w:szCs w:val="24"/>
          <w:lang w:val="en-GB"/>
        </w:rPr>
        <w:t xml:space="preserve"> Das</w:t>
      </w:r>
      <w:r w:rsidRPr="00C362B0">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D5DE65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 </w:t>
      </w:r>
    </w:p>
    <w:p w14:paraId="065A9471" w14:textId="47D3BB3E"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Signature: </w:t>
      </w:r>
      <w:proofErr w:type="spellStart"/>
      <w:r w:rsidRPr="00C362B0">
        <w:rPr>
          <w:rFonts w:ascii="Arial" w:hAnsi="Arial" w:cs="Arial"/>
          <w:sz w:val="24"/>
          <w:szCs w:val="24"/>
          <w:lang w:val="en-GB"/>
        </w:rPr>
        <w:t>Biplob</w:t>
      </w:r>
      <w:proofErr w:type="spellEnd"/>
      <w:r w:rsidRPr="00C362B0">
        <w:rPr>
          <w:rFonts w:ascii="Arial" w:hAnsi="Arial" w:cs="Arial"/>
          <w:sz w:val="24"/>
          <w:szCs w:val="24"/>
          <w:lang w:val="en-GB"/>
        </w:rPr>
        <w:t xml:space="preserve"> Das</w:t>
      </w:r>
    </w:p>
    <w:p w14:paraId="5BFD57B0" w14:textId="0F55D715" w:rsidR="005C7A31" w:rsidRPr="00C362B0" w:rsidRDefault="00316DB9"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Date:  </w:t>
      </w:r>
    </w:p>
    <w:p w14:paraId="2D11BD0D" w14:textId="7D4A4029" w:rsidR="00FB416B" w:rsidRPr="00C362B0" w:rsidRDefault="00FB416B" w:rsidP="004439A2">
      <w:pPr>
        <w:spacing w:line="360" w:lineRule="auto"/>
        <w:jc w:val="center"/>
        <w:rPr>
          <w:rFonts w:ascii="Arial" w:hAnsi="Arial" w:cs="Arial"/>
          <w:b/>
          <w:bCs/>
          <w:sz w:val="28"/>
          <w:szCs w:val="24"/>
          <w:lang w:val="en-GB"/>
        </w:rPr>
      </w:pPr>
    </w:p>
    <w:p w14:paraId="248C549D" w14:textId="7FBC46BB" w:rsidR="005C7A31" w:rsidRDefault="005C7A31" w:rsidP="004439A2">
      <w:pPr>
        <w:spacing w:line="360" w:lineRule="auto"/>
        <w:jc w:val="center"/>
        <w:rPr>
          <w:rFonts w:ascii="Arial" w:hAnsi="Arial" w:cs="Arial"/>
          <w:b/>
          <w:bCs/>
          <w:sz w:val="28"/>
          <w:szCs w:val="24"/>
          <w:lang w:val="en-GB"/>
        </w:rPr>
      </w:pPr>
    </w:p>
    <w:p w14:paraId="74F265F9" w14:textId="27C874C8" w:rsidR="007674EE" w:rsidRDefault="007674EE" w:rsidP="004439A2">
      <w:pPr>
        <w:spacing w:line="360" w:lineRule="auto"/>
        <w:jc w:val="center"/>
        <w:rPr>
          <w:rFonts w:ascii="Arial" w:hAnsi="Arial" w:cs="Arial"/>
          <w:b/>
          <w:bCs/>
          <w:sz w:val="28"/>
          <w:szCs w:val="24"/>
          <w:lang w:val="en-GB"/>
        </w:rPr>
      </w:pPr>
    </w:p>
    <w:p w14:paraId="5034E0D7" w14:textId="274177DE" w:rsidR="007674EE" w:rsidRDefault="007674EE" w:rsidP="004439A2">
      <w:pPr>
        <w:spacing w:line="360" w:lineRule="auto"/>
        <w:jc w:val="center"/>
        <w:rPr>
          <w:rFonts w:ascii="Arial" w:hAnsi="Arial" w:cs="Arial"/>
          <w:b/>
          <w:bCs/>
          <w:sz w:val="28"/>
          <w:szCs w:val="24"/>
          <w:lang w:val="en-GB"/>
        </w:rPr>
      </w:pPr>
    </w:p>
    <w:p w14:paraId="15A04B67" w14:textId="6B7FB340" w:rsidR="007674EE" w:rsidRDefault="007674EE" w:rsidP="004439A2">
      <w:pPr>
        <w:spacing w:line="360" w:lineRule="auto"/>
        <w:jc w:val="center"/>
        <w:rPr>
          <w:rFonts w:ascii="Arial" w:hAnsi="Arial" w:cs="Arial"/>
          <w:b/>
          <w:bCs/>
          <w:sz w:val="28"/>
          <w:szCs w:val="24"/>
          <w:lang w:val="en-GB"/>
        </w:rPr>
      </w:pPr>
    </w:p>
    <w:p w14:paraId="1D0C862E" w14:textId="1C65AEB6" w:rsidR="007674EE" w:rsidRDefault="007674EE" w:rsidP="007674EE">
      <w:pPr>
        <w:spacing w:line="360" w:lineRule="auto"/>
        <w:jc w:val="both"/>
        <w:rPr>
          <w:rFonts w:ascii="Arial" w:hAnsi="Arial" w:cs="Arial"/>
          <w:b/>
          <w:bCs/>
          <w:sz w:val="28"/>
          <w:szCs w:val="24"/>
          <w:lang w:val="en-GB"/>
        </w:rPr>
      </w:pPr>
    </w:p>
    <w:p w14:paraId="03EC2E19" w14:textId="0FB9A9BB" w:rsidR="007674EE" w:rsidRDefault="007674EE" w:rsidP="007674EE">
      <w:pPr>
        <w:spacing w:line="360" w:lineRule="auto"/>
        <w:jc w:val="both"/>
        <w:rPr>
          <w:rFonts w:ascii="Arial" w:hAnsi="Arial" w:cs="Arial"/>
          <w:b/>
          <w:bCs/>
          <w:sz w:val="28"/>
          <w:szCs w:val="24"/>
          <w:lang w:val="en-GB"/>
        </w:rPr>
      </w:pPr>
    </w:p>
    <w:p w14:paraId="60B12D65" w14:textId="4AF2D3F9" w:rsidR="007674EE" w:rsidRDefault="007674EE" w:rsidP="007674EE">
      <w:pPr>
        <w:spacing w:line="360" w:lineRule="auto"/>
        <w:jc w:val="both"/>
        <w:rPr>
          <w:rFonts w:ascii="Arial" w:hAnsi="Arial" w:cs="Arial"/>
          <w:b/>
          <w:bCs/>
          <w:sz w:val="28"/>
          <w:szCs w:val="24"/>
          <w:lang w:val="en-GB"/>
        </w:rPr>
      </w:pPr>
    </w:p>
    <w:sdt>
      <w:sdtPr>
        <w:rPr>
          <w:rFonts w:eastAsiaTheme="minorHAnsi" w:cs="Arial"/>
          <w:color w:val="auto"/>
          <w:sz w:val="24"/>
          <w:szCs w:val="24"/>
          <w:lang w:val="en-GB"/>
        </w:rPr>
        <w:id w:val="306138504"/>
        <w:docPartObj>
          <w:docPartGallery w:val="Table of Contents"/>
          <w:docPartUnique/>
        </w:docPartObj>
      </w:sdtPr>
      <w:sdtEndPr>
        <w:rPr>
          <w:bCs/>
          <w:noProof/>
        </w:rPr>
      </w:sdtEndPr>
      <w:sdtContent>
        <w:p w14:paraId="573A7FA7" w14:textId="27E1086C" w:rsidR="00B70B37" w:rsidRPr="001D3DBF" w:rsidRDefault="00B70B37" w:rsidP="001D3DBF">
          <w:pPr>
            <w:pStyle w:val="TOCHeading"/>
            <w:spacing w:line="360" w:lineRule="auto"/>
            <w:jc w:val="both"/>
            <w:rPr>
              <w:rFonts w:cs="Arial"/>
              <w:sz w:val="24"/>
              <w:szCs w:val="24"/>
              <w:lang w:val="en-GB"/>
            </w:rPr>
          </w:pPr>
          <w:r w:rsidRPr="001D3DBF">
            <w:rPr>
              <w:rFonts w:cs="Arial"/>
              <w:sz w:val="24"/>
              <w:szCs w:val="24"/>
              <w:lang w:val="en-GB"/>
            </w:rPr>
            <w:t>Contents</w:t>
          </w:r>
        </w:p>
        <w:p w14:paraId="2D36F69C" w14:textId="7C745B15" w:rsidR="001D3DBF" w:rsidRPr="001D3DBF" w:rsidRDefault="00B70B37" w:rsidP="001D3DBF">
          <w:pPr>
            <w:pStyle w:val="TOC1"/>
            <w:tabs>
              <w:tab w:val="right" w:leader="dot" w:pos="9016"/>
            </w:tabs>
            <w:jc w:val="both"/>
            <w:rPr>
              <w:rFonts w:ascii="Arial" w:eastAsiaTheme="minorEastAsia" w:hAnsi="Arial" w:cs="Arial"/>
              <w:noProof/>
              <w:sz w:val="24"/>
              <w:szCs w:val="24"/>
              <w:lang w:val="en-GB" w:eastAsia="en-GB"/>
            </w:rPr>
          </w:pPr>
          <w:r w:rsidRPr="001D3DBF">
            <w:rPr>
              <w:rFonts w:ascii="Arial" w:hAnsi="Arial" w:cs="Arial"/>
              <w:sz w:val="24"/>
              <w:szCs w:val="24"/>
              <w:lang w:val="en-GB"/>
            </w:rPr>
            <w:fldChar w:fldCharType="begin"/>
          </w:r>
          <w:r w:rsidRPr="001D3DBF">
            <w:rPr>
              <w:rFonts w:ascii="Arial" w:hAnsi="Arial" w:cs="Arial"/>
              <w:sz w:val="24"/>
              <w:szCs w:val="24"/>
              <w:lang w:val="en-GB"/>
            </w:rPr>
            <w:instrText xml:space="preserve"> TOC \o "1-3" \h \z \u </w:instrText>
          </w:r>
          <w:r w:rsidRPr="001D3DBF">
            <w:rPr>
              <w:rFonts w:ascii="Arial" w:hAnsi="Arial" w:cs="Arial"/>
              <w:sz w:val="24"/>
              <w:szCs w:val="24"/>
              <w:lang w:val="en-GB"/>
            </w:rPr>
            <w:fldChar w:fldCharType="separate"/>
          </w:r>
          <w:hyperlink w:anchor="_Toc239188483" w:history="1">
            <w:r w:rsidR="001D3DBF" w:rsidRPr="001D3DBF">
              <w:rPr>
                <w:rStyle w:val="Hyperlink"/>
                <w:rFonts w:ascii="Arial" w:hAnsi="Arial" w:cs="Arial"/>
                <w:noProof/>
                <w:sz w:val="24"/>
                <w:szCs w:val="24"/>
                <w:lang w:val="en-GB"/>
              </w:rPr>
              <w:t>Executive Summary</w:t>
            </w:r>
            <w:r w:rsidR="001D3DBF" w:rsidRPr="001D3DBF">
              <w:rPr>
                <w:rFonts w:ascii="Arial" w:hAnsi="Arial" w:cs="Arial"/>
                <w:noProof/>
                <w:webHidden/>
                <w:sz w:val="24"/>
                <w:szCs w:val="24"/>
              </w:rPr>
              <w:tab/>
            </w:r>
            <w:r w:rsidR="001D3DBF" w:rsidRPr="001D3DBF">
              <w:rPr>
                <w:rFonts w:ascii="Arial" w:hAnsi="Arial" w:cs="Arial"/>
                <w:noProof/>
                <w:webHidden/>
                <w:sz w:val="24"/>
                <w:szCs w:val="24"/>
              </w:rPr>
              <w:fldChar w:fldCharType="begin"/>
            </w:r>
            <w:r w:rsidR="001D3DBF" w:rsidRPr="001D3DBF">
              <w:rPr>
                <w:rFonts w:ascii="Arial" w:hAnsi="Arial" w:cs="Arial"/>
                <w:noProof/>
                <w:webHidden/>
                <w:sz w:val="24"/>
                <w:szCs w:val="24"/>
              </w:rPr>
              <w:instrText xml:space="preserve"> PAGEREF _Toc239188483 \h </w:instrText>
            </w:r>
            <w:r w:rsidR="001D3DBF" w:rsidRPr="001D3DBF">
              <w:rPr>
                <w:rFonts w:ascii="Arial" w:hAnsi="Arial" w:cs="Arial"/>
                <w:noProof/>
                <w:webHidden/>
                <w:sz w:val="24"/>
                <w:szCs w:val="24"/>
              </w:rPr>
            </w:r>
            <w:r w:rsidR="001D3DBF" w:rsidRPr="001D3DBF">
              <w:rPr>
                <w:rFonts w:ascii="Arial" w:hAnsi="Arial" w:cs="Arial"/>
                <w:noProof/>
                <w:webHidden/>
                <w:sz w:val="24"/>
                <w:szCs w:val="24"/>
              </w:rPr>
              <w:fldChar w:fldCharType="separate"/>
            </w:r>
            <w:r w:rsidR="001D3DBF" w:rsidRPr="001D3DBF">
              <w:rPr>
                <w:rFonts w:ascii="Arial" w:hAnsi="Arial" w:cs="Arial"/>
                <w:noProof/>
                <w:webHidden/>
                <w:sz w:val="24"/>
                <w:szCs w:val="24"/>
              </w:rPr>
              <w:t>vi</w:t>
            </w:r>
            <w:r w:rsidR="001D3DBF" w:rsidRPr="001D3DBF">
              <w:rPr>
                <w:rFonts w:ascii="Arial" w:hAnsi="Arial" w:cs="Arial"/>
                <w:noProof/>
                <w:webHidden/>
                <w:sz w:val="24"/>
                <w:szCs w:val="24"/>
              </w:rPr>
              <w:fldChar w:fldCharType="end"/>
            </w:r>
          </w:hyperlink>
        </w:p>
        <w:p w14:paraId="309F930B" w14:textId="40F4CA1B"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484" w:history="1">
            <w:r w:rsidRPr="001D3DBF">
              <w:rPr>
                <w:rStyle w:val="Hyperlink"/>
                <w:rFonts w:ascii="Arial" w:hAnsi="Arial" w:cs="Arial"/>
                <w:noProof/>
                <w:sz w:val="24"/>
                <w:szCs w:val="24"/>
                <w:lang w:val="en-GB" w:eastAsia="en-GB"/>
              </w:rPr>
              <w:t>Chapter 1: Introduction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_Toc239188484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w:t>
            </w:r>
            <w:r w:rsidRPr="001D3DBF">
              <w:rPr>
                <w:rFonts w:ascii="Arial" w:hAnsi="Arial" w:cs="Arial"/>
                <w:noProof/>
                <w:webHidden/>
                <w:sz w:val="24"/>
                <w:szCs w:val="24"/>
              </w:rPr>
              <w:fldChar w:fldCharType="end"/>
            </w:r>
          </w:hyperlink>
        </w:p>
        <w:p w14:paraId="74D8D4B3" w14:textId="35B939B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85" w:history="1">
            <w:r w:rsidRPr="001D3DBF">
              <w:rPr>
                <w:rStyle w:val="Hyperlink"/>
                <w:rFonts w:ascii="Arial" w:hAnsi="Arial" w:cs="Arial"/>
                <w:noProof/>
                <w:sz w:val="24"/>
                <w:szCs w:val="24"/>
                <w:lang w:val="en-GB" w:eastAsia="en-GB"/>
              </w:rPr>
              <w:t>1.1 Background and Context</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_Toc239188485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w:t>
            </w:r>
            <w:r w:rsidRPr="001D3DBF">
              <w:rPr>
                <w:rFonts w:ascii="Arial" w:hAnsi="Arial" w:cs="Arial"/>
                <w:noProof/>
                <w:webHidden/>
                <w:sz w:val="24"/>
                <w:szCs w:val="24"/>
              </w:rPr>
              <w:fldChar w:fldCharType="end"/>
            </w:r>
          </w:hyperlink>
        </w:p>
        <w:p w14:paraId="3D64D0B6" w14:textId="5F10AED4"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86" w:history="1">
            <w:r w:rsidRPr="001D3DBF">
              <w:rPr>
                <w:rStyle w:val="Hyperlink"/>
                <w:rFonts w:ascii="Arial" w:hAnsi="Arial" w:cs="Arial"/>
                <w:noProof/>
                <w:sz w:val="24"/>
                <w:szCs w:val="24"/>
                <w:lang w:val="en-GB" w:eastAsia="en-GB"/>
              </w:rPr>
              <w:t>1.2 Problem or Opportunity Statement</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_Toc239188486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w:t>
            </w:r>
            <w:r w:rsidRPr="001D3DBF">
              <w:rPr>
                <w:rFonts w:ascii="Arial" w:hAnsi="Arial" w:cs="Arial"/>
                <w:noProof/>
                <w:webHidden/>
                <w:sz w:val="24"/>
                <w:szCs w:val="24"/>
              </w:rPr>
              <w:fldChar w:fldCharType="end"/>
            </w:r>
          </w:hyperlink>
        </w:p>
        <w:p w14:paraId="5FA7AF5B" w14:textId="7E58756C"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87" w:history="1">
            <w:r w:rsidRPr="001D3DBF">
              <w:rPr>
                <w:rStyle w:val="Hyperlink"/>
                <w:rFonts w:ascii="Arial" w:hAnsi="Arial" w:cs="Arial"/>
                <w:noProof/>
                <w:sz w:val="24"/>
                <w:szCs w:val="24"/>
                <w:lang w:val="en-GB" w:eastAsia="en-GB"/>
              </w:rPr>
              <w:t>1.3 Initial Observation of Demand</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_Toc239188487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w:t>
            </w:r>
            <w:r w:rsidRPr="001D3DBF">
              <w:rPr>
                <w:rFonts w:ascii="Arial" w:hAnsi="Arial" w:cs="Arial"/>
                <w:noProof/>
                <w:webHidden/>
                <w:sz w:val="24"/>
                <w:szCs w:val="24"/>
              </w:rPr>
              <w:fldChar w:fldCharType="end"/>
            </w:r>
          </w:hyperlink>
        </w:p>
        <w:p w14:paraId="3EFF1CB6" w14:textId="344D446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88" w:history="1">
            <w:r w:rsidRPr="001D3DBF">
              <w:rPr>
                <w:rStyle w:val="Hyperlink"/>
                <w:rFonts w:ascii="Arial" w:hAnsi="Arial" w:cs="Arial"/>
                <w:noProof/>
                <w:sz w:val="24"/>
                <w:szCs w:val="24"/>
                <w:lang w:val="en-GB" w:eastAsia="en-GB"/>
              </w:rPr>
              <w:t>1.4 Aim, Objectives and Research Questions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_Toc239188488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w:t>
            </w:r>
            <w:r w:rsidRPr="001D3DBF">
              <w:rPr>
                <w:rFonts w:ascii="Arial" w:hAnsi="Arial" w:cs="Arial"/>
                <w:noProof/>
                <w:webHidden/>
                <w:sz w:val="24"/>
                <w:szCs w:val="24"/>
              </w:rPr>
              <w:fldChar w:fldCharType="end"/>
            </w:r>
          </w:hyperlink>
        </w:p>
        <w:p w14:paraId="5BFD461C" w14:textId="6950198D" w:rsidR="001D3DBF" w:rsidRPr="001D3DBF" w:rsidRDefault="001D3DBF" w:rsidP="001D3DBF">
          <w:pPr>
            <w:pStyle w:val="TOC3"/>
            <w:tabs>
              <w:tab w:val="right" w:leader="dot" w:pos="9016"/>
            </w:tabs>
            <w:jc w:val="both"/>
            <w:rPr>
              <w:rFonts w:ascii="Arial" w:eastAsiaTheme="minorEastAsia" w:hAnsi="Arial" w:cs="Arial"/>
              <w:noProof/>
              <w:sz w:val="24"/>
              <w:szCs w:val="24"/>
              <w:lang w:val="en-GB" w:eastAsia="en-GB"/>
            </w:rPr>
          </w:pPr>
          <w:hyperlink w:anchor="_Toc239188489" w:history="1">
            <w:r w:rsidRPr="001D3DBF">
              <w:rPr>
                <w:rStyle w:val="Hyperlink"/>
                <w:rFonts w:ascii="Arial" w:hAnsi="Arial" w:cs="Arial"/>
                <w:noProof/>
                <w:sz w:val="24"/>
                <w:szCs w:val="24"/>
                <w:lang w:val="en-GB" w:eastAsia="en-GB"/>
              </w:rPr>
              <w:t>Aim</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_Toc239188489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w:t>
            </w:r>
            <w:r w:rsidRPr="001D3DBF">
              <w:rPr>
                <w:rFonts w:ascii="Arial" w:hAnsi="Arial" w:cs="Arial"/>
                <w:noProof/>
                <w:webHidden/>
                <w:sz w:val="24"/>
                <w:szCs w:val="24"/>
              </w:rPr>
              <w:fldChar w:fldCharType="end"/>
            </w:r>
          </w:hyperlink>
        </w:p>
        <w:p w14:paraId="1E7791C4" w14:textId="043A2E40" w:rsidR="001D3DBF" w:rsidRPr="001D3DBF" w:rsidRDefault="001D3DBF" w:rsidP="001D3DBF">
          <w:pPr>
            <w:pStyle w:val="TOC3"/>
            <w:tabs>
              <w:tab w:val="right" w:leader="dot" w:pos="9016"/>
            </w:tabs>
            <w:jc w:val="both"/>
            <w:rPr>
              <w:rFonts w:ascii="Arial" w:eastAsiaTheme="minorEastAsia" w:hAnsi="Arial" w:cs="Arial"/>
              <w:noProof/>
              <w:sz w:val="24"/>
              <w:szCs w:val="24"/>
              <w:lang w:val="en-GB" w:eastAsia="en-GB"/>
            </w:rPr>
          </w:pPr>
          <w:hyperlink w:anchor="_Toc239188490" w:history="1">
            <w:r w:rsidRPr="001D3DBF">
              <w:rPr>
                <w:rStyle w:val="Hyperlink"/>
                <w:rFonts w:ascii="Arial" w:hAnsi="Arial" w:cs="Arial"/>
                <w:noProof/>
                <w:sz w:val="24"/>
                <w:szCs w:val="24"/>
                <w:lang w:val="en-GB" w:eastAsia="en-GB"/>
              </w:rPr>
              <w:t>Objectives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w:t>
            </w:r>
            <w:r w:rsidRPr="001D3DBF">
              <w:rPr>
                <w:rFonts w:ascii="Arial" w:hAnsi="Arial" w:cs="Arial"/>
                <w:noProof/>
                <w:webHidden/>
                <w:sz w:val="24"/>
                <w:szCs w:val="24"/>
              </w:rPr>
              <w:fldChar w:fldCharType="end"/>
            </w:r>
          </w:hyperlink>
        </w:p>
        <w:p w14:paraId="6C1FCDC3" w14:textId="1106D4FB" w:rsidR="001D3DBF" w:rsidRPr="001D3DBF" w:rsidRDefault="001D3DBF" w:rsidP="001D3DBF">
          <w:pPr>
            <w:pStyle w:val="TOC3"/>
            <w:tabs>
              <w:tab w:val="right" w:leader="dot" w:pos="9016"/>
            </w:tabs>
            <w:jc w:val="both"/>
            <w:rPr>
              <w:rFonts w:ascii="Arial" w:eastAsiaTheme="minorEastAsia" w:hAnsi="Arial" w:cs="Arial"/>
              <w:noProof/>
              <w:sz w:val="24"/>
              <w:szCs w:val="24"/>
              <w:lang w:val="en-GB" w:eastAsia="en-GB"/>
            </w:rPr>
          </w:pPr>
          <w:hyperlink w:anchor="_Toc239188491" w:history="1">
            <w:r w:rsidRPr="001D3DBF">
              <w:rPr>
                <w:rStyle w:val="Hyperlink"/>
                <w:rFonts w:ascii="Arial" w:hAnsi="Arial" w:cs="Arial"/>
                <w:noProof/>
                <w:sz w:val="24"/>
                <w:szCs w:val="24"/>
                <w:lang w:val="en-GB" w:eastAsia="en-GB"/>
              </w:rPr>
              <w:t>Research Questions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w:t>
            </w:r>
            <w:r w:rsidRPr="001D3DBF">
              <w:rPr>
                <w:rFonts w:ascii="Arial" w:hAnsi="Arial" w:cs="Arial"/>
                <w:noProof/>
                <w:webHidden/>
                <w:sz w:val="24"/>
                <w:szCs w:val="24"/>
              </w:rPr>
              <w:fldChar w:fldCharType="end"/>
            </w:r>
          </w:hyperlink>
        </w:p>
        <w:p w14:paraId="1B25AF92" w14:textId="43B1B53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92" w:history="1">
            <w:r w:rsidRPr="001D3DBF">
              <w:rPr>
                <w:rStyle w:val="Hyperlink"/>
                <w:rFonts w:ascii="Arial" w:hAnsi="Arial" w:cs="Arial"/>
                <w:noProof/>
                <w:sz w:val="24"/>
                <w:szCs w:val="24"/>
                <w:lang w:val="en-GB" w:eastAsia="en-GB"/>
              </w:rPr>
              <w:t>1.5 Scope and Boundaries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w:t>
            </w:r>
            <w:r w:rsidRPr="001D3DBF">
              <w:rPr>
                <w:rFonts w:ascii="Arial" w:hAnsi="Arial" w:cs="Arial"/>
                <w:noProof/>
                <w:webHidden/>
                <w:sz w:val="24"/>
                <w:szCs w:val="24"/>
              </w:rPr>
              <w:fldChar w:fldCharType="end"/>
            </w:r>
          </w:hyperlink>
        </w:p>
        <w:p w14:paraId="0FCD4617" w14:textId="1A3C054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93" w:history="1">
            <w:r w:rsidRPr="001D3DBF">
              <w:rPr>
                <w:rStyle w:val="Hyperlink"/>
                <w:rFonts w:ascii="Arial" w:hAnsi="Arial" w:cs="Arial"/>
                <w:noProof/>
                <w:sz w:val="24"/>
                <w:szCs w:val="24"/>
                <w:lang w:val="en-GB" w:eastAsia="en-GB"/>
              </w:rPr>
              <w:t>1.6 Structure of the Report</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w:t>
            </w:r>
            <w:r w:rsidRPr="001D3DBF">
              <w:rPr>
                <w:rFonts w:ascii="Arial" w:hAnsi="Arial" w:cs="Arial"/>
                <w:noProof/>
                <w:webHidden/>
                <w:sz w:val="24"/>
                <w:szCs w:val="24"/>
              </w:rPr>
              <w:fldChar w:fldCharType="end"/>
            </w:r>
          </w:hyperlink>
        </w:p>
        <w:p w14:paraId="51068FDC" w14:textId="054185F2"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494" w:history="1">
            <w:r w:rsidRPr="001D3DBF">
              <w:rPr>
                <w:rStyle w:val="Hyperlink"/>
                <w:rFonts w:ascii="Arial" w:eastAsia="Times New Roman" w:hAnsi="Arial" w:cs="Arial"/>
                <w:noProof/>
                <w:sz w:val="24"/>
                <w:szCs w:val="24"/>
                <w:lang w:val="en-GB" w:eastAsia="en-GB"/>
              </w:rPr>
              <w:t>Chapter 2: Company Description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w:t>
            </w:r>
            <w:r w:rsidRPr="001D3DBF">
              <w:rPr>
                <w:rFonts w:ascii="Arial" w:hAnsi="Arial" w:cs="Arial"/>
                <w:noProof/>
                <w:webHidden/>
                <w:sz w:val="24"/>
                <w:szCs w:val="24"/>
              </w:rPr>
              <w:fldChar w:fldCharType="end"/>
            </w:r>
          </w:hyperlink>
        </w:p>
        <w:p w14:paraId="03C9CAE9" w14:textId="2940E47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95" w:history="1">
            <w:r w:rsidRPr="001D3DBF">
              <w:rPr>
                <w:rStyle w:val="Hyperlink"/>
                <w:rFonts w:ascii="Arial" w:eastAsia="Times New Roman" w:hAnsi="Arial" w:cs="Arial"/>
                <w:noProof/>
                <w:sz w:val="24"/>
                <w:szCs w:val="24"/>
                <w:lang w:val="en-GB" w:eastAsia="en-GB"/>
              </w:rPr>
              <w:t>2.1 Business Identity and Legal Structure</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w:t>
            </w:r>
            <w:r w:rsidRPr="001D3DBF">
              <w:rPr>
                <w:rFonts w:ascii="Arial" w:hAnsi="Arial" w:cs="Arial"/>
                <w:noProof/>
                <w:webHidden/>
                <w:sz w:val="24"/>
                <w:szCs w:val="24"/>
              </w:rPr>
              <w:fldChar w:fldCharType="end"/>
            </w:r>
          </w:hyperlink>
        </w:p>
        <w:p w14:paraId="6F79F3E8" w14:textId="4FCFD1D6"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96" w:history="1">
            <w:r w:rsidRPr="001D3DBF">
              <w:rPr>
                <w:rStyle w:val="Hyperlink"/>
                <w:rFonts w:ascii="Arial" w:eastAsia="Times New Roman" w:hAnsi="Arial" w:cs="Arial"/>
                <w:noProof/>
                <w:sz w:val="24"/>
                <w:szCs w:val="24"/>
                <w:lang w:val="en-GB" w:eastAsia="en-GB"/>
              </w:rPr>
              <w:t>2.2 Product and Service Offering</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w:t>
            </w:r>
            <w:r w:rsidRPr="001D3DBF">
              <w:rPr>
                <w:rFonts w:ascii="Arial" w:hAnsi="Arial" w:cs="Arial"/>
                <w:noProof/>
                <w:webHidden/>
                <w:sz w:val="24"/>
                <w:szCs w:val="24"/>
              </w:rPr>
              <w:fldChar w:fldCharType="end"/>
            </w:r>
          </w:hyperlink>
        </w:p>
        <w:p w14:paraId="348EEC04" w14:textId="46101C5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97" w:history="1">
            <w:r w:rsidRPr="001D3DBF">
              <w:rPr>
                <w:rStyle w:val="Hyperlink"/>
                <w:rFonts w:ascii="Arial" w:eastAsia="Times New Roman" w:hAnsi="Arial" w:cs="Arial"/>
                <w:noProof/>
                <w:sz w:val="24"/>
                <w:szCs w:val="24"/>
                <w:lang w:val="en-GB" w:eastAsia="en-GB"/>
              </w:rPr>
              <w:t>2.3 Founding Idea</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w:t>
            </w:r>
            <w:r w:rsidRPr="001D3DBF">
              <w:rPr>
                <w:rFonts w:ascii="Arial" w:hAnsi="Arial" w:cs="Arial"/>
                <w:noProof/>
                <w:webHidden/>
                <w:sz w:val="24"/>
                <w:szCs w:val="24"/>
              </w:rPr>
              <w:fldChar w:fldCharType="end"/>
            </w:r>
          </w:hyperlink>
        </w:p>
        <w:p w14:paraId="6A011C1C" w14:textId="4E49274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98" w:history="1">
            <w:r w:rsidRPr="001D3DBF">
              <w:rPr>
                <w:rStyle w:val="Hyperlink"/>
                <w:rFonts w:ascii="Arial" w:eastAsia="Times New Roman" w:hAnsi="Arial" w:cs="Arial"/>
                <w:noProof/>
                <w:sz w:val="24"/>
                <w:szCs w:val="24"/>
                <w:lang w:val="en-GB" w:eastAsia="en-GB"/>
              </w:rPr>
              <w:t>2.4 Mission, Vision and Core Values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w:t>
            </w:r>
            <w:r w:rsidRPr="001D3DBF">
              <w:rPr>
                <w:rFonts w:ascii="Arial" w:hAnsi="Arial" w:cs="Arial"/>
                <w:noProof/>
                <w:webHidden/>
                <w:sz w:val="24"/>
                <w:szCs w:val="24"/>
              </w:rPr>
              <w:fldChar w:fldCharType="end"/>
            </w:r>
          </w:hyperlink>
        </w:p>
        <w:p w14:paraId="47A04306" w14:textId="049A7554"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499" w:history="1">
            <w:r w:rsidRPr="001D3DBF">
              <w:rPr>
                <w:rStyle w:val="Hyperlink"/>
                <w:rFonts w:ascii="Arial" w:eastAsia="Times New Roman" w:hAnsi="Arial" w:cs="Arial"/>
                <w:noProof/>
                <w:sz w:val="24"/>
                <w:szCs w:val="24"/>
                <w:lang w:val="en-GB" w:eastAsia="en-GB"/>
              </w:rPr>
              <w:t>2.5 Business Objectives and Goals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_Toc239188499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w:t>
            </w:r>
            <w:r w:rsidRPr="001D3DBF">
              <w:rPr>
                <w:rFonts w:ascii="Arial" w:hAnsi="Arial" w:cs="Arial"/>
                <w:noProof/>
                <w:webHidden/>
                <w:sz w:val="24"/>
                <w:szCs w:val="24"/>
              </w:rPr>
              <w:fldChar w:fldCharType="end"/>
            </w:r>
          </w:hyperlink>
        </w:p>
        <w:p w14:paraId="6A3829C0" w14:textId="1412AAF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0" w:history="1">
            <w:r w:rsidRPr="001D3DBF">
              <w:rPr>
                <w:rStyle w:val="Hyperlink"/>
                <w:rFonts w:ascii="Arial" w:eastAsia="Times New Roman" w:hAnsi="Arial" w:cs="Arial"/>
                <w:noProof/>
                <w:sz w:val="24"/>
                <w:szCs w:val="24"/>
                <w:lang w:val="en-GB" w:eastAsia="en-GB"/>
              </w:rPr>
              <w:t>2.6 Alignment with Trends and Market Opportunity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7</w:t>
            </w:r>
            <w:r w:rsidRPr="001D3DBF">
              <w:rPr>
                <w:rFonts w:ascii="Arial" w:hAnsi="Arial" w:cs="Arial"/>
                <w:noProof/>
                <w:webHidden/>
                <w:sz w:val="24"/>
                <w:szCs w:val="24"/>
              </w:rPr>
              <w:fldChar w:fldCharType="end"/>
            </w:r>
          </w:hyperlink>
        </w:p>
        <w:p w14:paraId="07A68C29" w14:textId="3AEBCF68"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01" w:history="1">
            <w:r w:rsidRPr="001D3DBF">
              <w:rPr>
                <w:rStyle w:val="Hyperlink"/>
                <w:rFonts w:ascii="Arial" w:eastAsia="Times New Roman" w:hAnsi="Arial" w:cs="Arial"/>
                <w:noProof/>
                <w:sz w:val="24"/>
                <w:szCs w:val="24"/>
                <w:lang w:val="en-GB" w:eastAsia="en-GB"/>
              </w:rPr>
              <w:t>3. Literature Review</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9</w:t>
            </w:r>
            <w:r w:rsidRPr="001D3DBF">
              <w:rPr>
                <w:rFonts w:ascii="Arial" w:hAnsi="Arial" w:cs="Arial"/>
                <w:noProof/>
                <w:webHidden/>
                <w:sz w:val="24"/>
                <w:szCs w:val="24"/>
              </w:rPr>
              <w:fldChar w:fldCharType="end"/>
            </w:r>
          </w:hyperlink>
        </w:p>
        <w:p w14:paraId="1B5BB978" w14:textId="633C7D7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2" w:history="1">
            <w:r w:rsidRPr="001D3DBF">
              <w:rPr>
                <w:rStyle w:val="Hyperlink"/>
                <w:rFonts w:ascii="Arial" w:eastAsia="Times New Roman" w:hAnsi="Arial" w:cs="Arial"/>
                <w:noProof/>
                <w:sz w:val="24"/>
                <w:szCs w:val="24"/>
                <w:lang w:val="en-GB" w:eastAsia="en-GB"/>
              </w:rPr>
              <w:t>3.1 Introduction to the Literature Review</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9</w:t>
            </w:r>
            <w:r w:rsidRPr="001D3DBF">
              <w:rPr>
                <w:rFonts w:ascii="Arial" w:hAnsi="Arial" w:cs="Arial"/>
                <w:noProof/>
                <w:webHidden/>
                <w:sz w:val="24"/>
                <w:szCs w:val="24"/>
              </w:rPr>
              <w:fldChar w:fldCharType="end"/>
            </w:r>
          </w:hyperlink>
        </w:p>
        <w:p w14:paraId="28E6E964" w14:textId="0A48C2CC"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3" w:history="1">
            <w:r w:rsidRPr="001D3DBF">
              <w:rPr>
                <w:rStyle w:val="Hyperlink"/>
                <w:rFonts w:ascii="Arial" w:eastAsia="Times New Roman" w:hAnsi="Arial" w:cs="Arial"/>
                <w:noProof/>
                <w:sz w:val="24"/>
                <w:szCs w:val="24"/>
                <w:lang w:val="en-GB" w:eastAsia="en-GB"/>
              </w:rPr>
              <w:t>3.2 Technology Acceptance Model (TAM)</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9</w:t>
            </w:r>
            <w:r w:rsidRPr="001D3DBF">
              <w:rPr>
                <w:rFonts w:ascii="Arial" w:hAnsi="Arial" w:cs="Arial"/>
                <w:noProof/>
                <w:webHidden/>
                <w:sz w:val="24"/>
                <w:szCs w:val="24"/>
              </w:rPr>
              <w:fldChar w:fldCharType="end"/>
            </w:r>
          </w:hyperlink>
        </w:p>
        <w:p w14:paraId="3D946F07" w14:textId="52AB91D4"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4" w:history="1">
            <w:r w:rsidRPr="001D3DBF">
              <w:rPr>
                <w:rStyle w:val="Hyperlink"/>
                <w:rFonts w:ascii="Arial" w:eastAsia="Times New Roman" w:hAnsi="Arial" w:cs="Arial"/>
                <w:noProof/>
                <w:sz w:val="24"/>
                <w:szCs w:val="24"/>
                <w:lang w:val="en-GB" w:eastAsia="en-GB"/>
              </w:rPr>
              <w:t>3.3 Health Belief Model (HBM)</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9</w:t>
            </w:r>
            <w:r w:rsidRPr="001D3DBF">
              <w:rPr>
                <w:rFonts w:ascii="Arial" w:hAnsi="Arial" w:cs="Arial"/>
                <w:noProof/>
                <w:webHidden/>
                <w:sz w:val="24"/>
                <w:szCs w:val="24"/>
              </w:rPr>
              <w:fldChar w:fldCharType="end"/>
            </w:r>
          </w:hyperlink>
        </w:p>
        <w:p w14:paraId="0274473F" w14:textId="6794EFCC"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5" w:history="1">
            <w:r w:rsidRPr="001D3DBF">
              <w:rPr>
                <w:rStyle w:val="Hyperlink"/>
                <w:rFonts w:ascii="Arial" w:hAnsi="Arial" w:cs="Arial"/>
                <w:noProof/>
                <w:sz w:val="24"/>
                <w:szCs w:val="24"/>
                <w:lang w:val="en-GB" w:eastAsia="en-GB"/>
              </w:rPr>
              <w:t>3.4 Self-Determination Theory (SDT</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10</w:t>
            </w:r>
            <w:r w:rsidRPr="001D3DBF">
              <w:rPr>
                <w:rFonts w:ascii="Arial" w:hAnsi="Arial" w:cs="Arial"/>
                <w:noProof/>
                <w:webHidden/>
                <w:sz w:val="24"/>
                <w:szCs w:val="24"/>
              </w:rPr>
              <w:fldChar w:fldCharType="end"/>
            </w:r>
          </w:hyperlink>
        </w:p>
        <w:p w14:paraId="41DDFE59" w14:textId="26EF413A"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6" w:history="1">
            <w:r w:rsidRPr="001D3DBF">
              <w:rPr>
                <w:rStyle w:val="Hyperlink"/>
                <w:rFonts w:ascii="Arial" w:eastAsia="Times New Roman" w:hAnsi="Arial" w:cs="Arial"/>
                <w:noProof/>
                <w:sz w:val="24"/>
                <w:szCs w:val="24"/>
                <w:lang w:val="en-GB" w:eastAsia="en-GB"/>
              </w:rPr>
              <w:t>3.5 SERVQUAL and Service Quality Theory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10</w:t>
            </w:r>
            <w:r w:rsidRPr="001D3DBF">
              <w:rPr>
                <w:rFonts w:ascii="Arial" w:hAnsi="Arial" w:cs="Arial"/>
                <w:noProof/>
                <w:webHidden/>
                <w:sz w:val="24"/>
                <w:szCs w:val="24"/>
              </w:rPr>
              <w:fldChar w:fldCharType="end"/>
            </w:r>
          </w:hyperlink>
        </w:p>
        <w:p w14:paraId="7C737A97" w14:textId="33B05DE0"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7" w:history="1">
            <w:r w:rsidRPr="001D3DBF">
              <w:rPr>
                <w:rStyle w:val="Hyperlink"/>
                <w:rFonts w:ascii="Arial" w:eastAsia="Times New Roman" w:hAnsi="Arial" w:cs="Arial"/>
                <w:noProof/>
                <w:sz w:val="24"/>
                <w:szCs w:val="24"/>
                <w:lang w:val="en-GB" w:eastAsia="en-GB"/>
              </w:rPr>
              <w:t>3.6 Strategic Frameworks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11</w:t>
            </w:r>
            <w:r w:rsidRPr="001D3DBF">
              <w:rPr>
                <w:rFonts w:ascii="Arial" w:hAnsi="Arial" w:cs="Arial"/>
                <w:noProof/>
                <w:webHidden/>
                <w:sz w:val="24"/>
                <w:szCs w:val="24"/>
              </w:rPr>
              <w:fldChar w:fldCharType="end"/>
            </w:r>
          </w:hyperlink>
        </w:p>
        <w:p w14:paraId="7532F707" w14:textId="03938D41"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08" w:history="1">
            <w:r w:rsidRPr="001D3DBF">
              <w:rPr>
                <w:rStyle w:val="Hyperlink"/>
                <w:rFonts w:ascii="Arial" w:eastAsia="Times New Roman" w:hAnsi="Arial" w:cs="Arial"/>
                <w:noProof/>
                <w:sz w:val="24"/>
                <w:szCs w:val="24"/>
                <w:lang w:val="en-GB" w:eastAsia="en-GB"/>
              </w:rPr>
              <w:t>3.7 Chapter Summary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11</w:t>
            </w:r>
            <w:r w:rsidRPr="001D3DBF">
              <w:rPr>
                <w:rFonts w:ascii="Arial" w:hAnsi="Arial" w:cs="Arial"/>
                <w:noProof/>
                <w:webHidden/>
                <w:sz w:val="24"/>
                <w:szCs w:val="24"/>
              </w:rPr>
              <w:fldChar w:fldCharType="end"/>
            </w:r>
          </w:hyperlink>
        </w:p>
        <w:p w14:paraId="3F3BB144" w14:textId="66534F51"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09" w:history="1">
            <w:r w:rsidRPr="001D3DBF">
              <w:rPr>
                <w:rStyle w:val="Hyperlink"/>
                <w:rFonts w:ascii="Arial" w:hAnsi="Arial" w:cs="Arial"/>
                <w:noProof/>
                <w:sz w:val="24"/>
                <w:szCs w:val="24"/>
                <w:lang w:val="en-GB" w:eastAsia="en-GB"/>
              </w:rPr>
              <w:t>Chapter 4: Research Methodology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_Toc239188509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12</w:t>
            </w:r>
            <w:r w:rsidRPr="001D3DBF">
              <w:rPr>
                <w:rFonts w:ascii="Arial" w:hAnsi="Arial" w:cs="Arial"/>
                <w:noProof/>
                <w:webHidden/>
                <w:sz w:val="24"/>
                <w:szCs w:val="24"/>
              </w:rPr>
              <w:fldChar w:fldCharType="end"/>
            </w:r>
          </w:hyperlink>
        </w:p>
        <w:p w14:paraId="700C62EE" w14:textId="47946B1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0" w:history="1">
            <w:r w:rsidRPr="001D3DBF">
              <w:rPr>
                <w:rStyle w:val="Hyperlink"/>
                <w:rFonts w:ascii="Arial" w:hAnsi="Arial" w:cs="Arial"/>
                <w:noProof/>
                <w:sz w:val="24"/>
                <w:szCs w:val="24"/>
                <w:lang w:val="en-GB" w:eastAsia="en-GB"/>
              </w:rPr>
              <w:t>4.1 Research Approach</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12</w:t>
            </w:r>
            <w:r w:rsidRPr="001D3DBF">
              <w:rPr>
                <w:rFonts w:ascii="Arial" w:hAnsi="Arial" w:cs="Arial"/>
                <w:noProof/>
                <w:webHidden/>
                <w:sz w:val="24"/>
                <w:szCs w:val="24"/>
              </w:rPr>
              <w:fldChar w:fldCharType="end"/>
            </w:r>
          </w:hyperlink>
        </w:p>
        <w:p w14:paraId="263C2D83" w14:textId="4A83D1B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1" w:history="1">
            <w:r w:rsidRPr="001D3DBF">
              <w:rPr>
                <w:rStyle w:val="Hyperlink"/>
                <w:rFonts w:ascii="Arial" w:hAnsi="Arial" w:cs="Arial"/>
                <w:noProof/>
                <w:sz w:val="24"/>
                <w:szCs w:val="24"/>
                <w:lang w:val="en-GB" w:eastAsia="en-GB"/>
              </w:rPr>
              <w:t>4.2 Data Sources and Search Strategy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12</w:t>
            </w:r>
            <w:r w:rsidRPr="001D3DBF">
              <w:rPr>
                <w:rFonts w:ascii="Arial" w:hAnsi="Arial" w:cs="Arial"/>
                <w:noProof/>
                <w:webHidden/>
                <w:sz w:val="24"/>
                <w:szCs w:val="24"/>
              </w:rPr>
              <w:fldChar w:fldCharType="end"/>
            </w:r>
          </w:hyperlink>
        </w:p>
        <w:p w14:paraId="6DAAC78A" w14:textId="7887D084"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2" w:history="1">
            <w:r w:rsidRPr="001D3DBF">
              <w:rPr>
                <w:rStyle w:val="Hyperlink"/>
                <w:rFonts w:ascii="Arial" w:hAnsi="Arial" w:cs="Arial"/>
                <w:noProof/>
                <w:sz w:val="24"/>
                <w:szCs w:val="24"/>
                <w:lang w:val="en-GB" w:eastAsia="en-GB"/>
              </w:rPr>
              <w:t>4.3 Quantitative and Qualitative Evidence</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13</w:t>
            </w:r>
            <w:r w:rsidRPr="001D3DBF">
              <w:rPr>
                <w:rFonts w:ascii="Arial" w:hAnsi="Arial" w:cs="Arial"/>
                <w:noProof/>
                <w:webHidden/>
                <w:sz w:val="24"/>
                <w:szCs w:val="24"/>
              </w:rPr>
              <w:fldChar w:fldCharType="end"/>
            </w:r>
          </w:hyperlink>
        </w:p>
        <w:p w14:paraId="4BB5E7E0" w14:textId="0916EC36"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3" w:history="1">
            <w:r w:rsidRPr="001D3DBF">
              <w:rPr>
                <w:rStyle w:val="Hyperlink"/>
                <w:rFonts w:ascii="Arial" w:hAnsi="Arial" w:cs="Arial"/>
                <w:noProof/>
                <w:sz w:val="24"/>
                <w:szCs w:val="24"/>
                <w:lang w:val="en-GB" w:eastAsia="en-GB"/>
              </w:rPr>
              <w:t>4.4 Data Analysis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13</w:t>
            </w:r>
            <w:r w:rsidRPr="001D3DBF">
              <w:rPr>
                <w:rFonts w:ascii="Arial" w:hAnsi="Arial" w:cs="Arial"/>
                <w:noProof/>
                <w:webHidden/>
                <w:sz w:val="24"/>
                <w:szCs w:val="24"/>
              </w:rPr>
              <w:fldChar w:fldCharType="end"/>
            </w:r>
          </w:hyperlink>
        </w:p>
        <w:p w14:paraId="1C8D6833" w14:textId="4C2A9B46"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4" w:history="1">
            <w:r w:rsidRPr="001D3DBF">
              <w:rPr>
                <w:rStyle w:val="Hyperlink"/>
                <w:rFonts w:ascii="Arial" w:hAnsi="Arial" w:cs="Arial"/>
                <w:noProof/>
                <w:sz w:val="24"/>
                <w:szCs w:val="24"/>
                <w:lang w:val="en-GB" w:eastAsia="en-GB"/>
              </w:rPr>
              <w:t>4.5 Application of Models and Frameworks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14</w:t>
            </w:r>
            <w:r w:rsidRPr="001D3DBF">
              <w:rPr>
                <w:rFonts w:ascii="Arial" w:hAnsi="Arial" w:cs="Arial"/>
                <w:noProof/>
                <w:webHidden/>
                <w:sz w:val="24"/>
                <w:szCs w:val="24"/>
              </w:rPr>
              <w:fldChar w:fldCharType="end"/>
            </w:r>
          </w:hyperlink>
        </w:p>
        <w:p w14:paraId="77E32E9C" w14:textId="1F3C8E3C"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5" w:history="1">
            <w:r w:rsidRPr="001D3DBF">
              <w:rPr>
                <w:rStyle w:val="Hyperlink"/>
                <w:rFonts w:ascii="Arial" w:hAnsi="Arial" w:cs="Arial"/>
                <w:noProof/>
                <w:sz w:val="24"/>
                <w:szCs w:val="24"/>
                <w:lang w:val="en-GB" w:eastAsia="en-GB"/>
              </w:rPr>
              <w:t>4.6 Reliability and Validity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14</w:t>
            </w:r>
            <w:r w:rsidRPr="001D3DBF">
              <w:rPr>
                <w:rFonts w:ascii="Arial" w:hAnsi="Arial" w:cs="Arial"/>
                <w:noProof/>
                <w:webHidden/>
                <w:sz w:val="24"/>
                <w:szCs w:val="24"/>
              </w:rPr>
              <w:fldChar w:fldCharType="end"/>
            </w:r>
          </w:hyperlink>
        </w:p>
        <w:p w14:paraId="61801ED1" w14:textId="7635272C"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6" w:history="1">
            <w:r w:rsidRPr="001D3DBF">
              <w:rPr>
                <w:rStyle w:val="Hyperlink"/>
                <w:rFonts w:ascii="Arial" w:hAnsi="Arial" w:cs="Arial"/>
                <w:noProof/>
                <w:sz w:val="24"/>
                <w:szCs w:val="24"/>
                <w:lang w:val="en-GB"/>
              </w:rPr>
              <w:t>4.7 Limitations and Ethical Considerations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15</w:t>
            </w:r>
            <w:r w:rsidRPr="001D3DBF">
              <w:rPr>
                <w:rFonts w:ascii="Arial" w:hAnsi="Arial" w:cs="Arial"/>
                <w:noProof/>
                <w:webHidden/>
                <w:sz w:val="24"/>
                <w:szCs w:val="24"/>
              </w:rPr>
              <w:fldChar w:fldCharType="end"/>
            </w:r>
          </w:hyperlink>
        </w:p>
        <w:p w14:paraId="0B2B136B" w14:textId="23A63A2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7" w:history="1">
            <w:r w:rsidRPr="001D3DBF">
              <w:rPr>
                <w:rStyle w:val="Hyperlink"/>
                <w:rFonts w:ascii="Arial" w:hAnsi="Arial" w:cs="Arial"/>
                <w:noProof/>
                <w:sz w:val="24"/>
                <w:szCs w:val="24"/>
                <w:lang w:val="en-GB" w:eastAsia="en-GB"/>
              </w:rPr>
              <w:t>4.8 Chapter Summary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15</w:t>
            </w:r>
            <w:r w:rsidRPr="001D3DBF">
              <w:rPr>
                <w:rFonts w:ascii="Arial" w:hAnsi="Arial" w:cs="Arial"/>
                <w:noProof/>
                <w:webHidden/>
                <w:sz w:val="24"/>
                <w:szCs w:val="24"/>
              </w:rPr>
              <w:fldChar w:fldCharType="end"/>
            </w:r>
          </w:hyperlink>
        </w:p>
        <w:p w14:paraId="0E949B08" w14:textId="131CA250"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18" w:history="1">
            <w:r w:rsidRPr="001D3DBF">
              <w:rPr>
                <w:rStyle w:val="Hyperlink"/>
                <w:rFonts w:ascii="Arial" w:eastAsia="Times New Roman" w:hAnsi="Arial" w:cs="Arial"/>
                <w:noProof/>
                <w:sz w:val="24"/>
                <w:szCs w:val="24"/>
                <w:lang w:val="en-GB" w:eastAsia="en-GB"/>
              </w:rPr>
              <w:t>Chapter 5 — Market Opportunity Analysis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16</w:t>
            </w:r>
            <w:r w:rsidRPr="001D3DBF">
              <w:rPr>
                <w:rFonts w:ascii="Arial" w:hAnsi="Arial" w:cs="Arial"/>
                <w:noProof/>
                <w:webHidden/>
                <w:sz w:val="24"/>
                <w:szCs w:val="24"/>
              </w:rPr>
              <w:fldChar w:fldCharType="end"/>
            </w:r>
          </w:hyperlink>
        </w:p>
        <w:p w14:paraId="760C4D5B" w14:textId="59006D7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19" w:history="1">
            <w:r w:rsidRPr="001D3DBF">
              <w:rPr>
                <w:rStyle w:val="Hyperlink"/>
                <w:rFonts w:ascii="Arial" w:hAnsi="Arial" w:cs="Arial"/>
                <w:noProof/>
                <w:sz w:val="24"/>
                <w:szCs w:val="24"/>
                <w:lang w:val="en-GB"/>
              </w:rPr>
              <w:t>5.1 Scope and Market Definition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_Toc239188519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16</w:t>
            </w:r>
            <w:r w:rsidRPr="001D3DBF">
              <w:rPr>
                <w:rFonts w:ascii="Arial" w:hAnsi="Arial" w:cs="Arial"/>
                <w:noProof/>
                <w:webHidden/>
                <w:sz w:val="24"/>
                <w:szCs w:val="24"/>
              </w:rPr>
              <w:fldChar w:fldCharType="end"/>
            </w:r>
          </w:hyperlink>
        </w:p>
        <w:p w14:paraId="510098E3" w14:textId="3DDDE5B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0" w:history="1">
            <w:r w:rsidRPr="001D3DBF">
              <w:rPr>
                <w:rStyle w:val="Hyperlink"/>
                <w:rFonts w:ascii="Arial" w:hAnsi="Arial" w:cs="Arial"/>
                <w:noProof/>
                <w:sz w:val="24"/>
                <w:szCs w:val="24"/>
                <w:lang w:val="en-GB"/>
              </w:rPr>
              <w:t>5.2 Market Size and Growth</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16</w:t>
            </w:r>
            <w:r w:rsidRPr="001D3DBF">
              <w:rPr>
                <w:rFonts w:ascii="Arial" w:hAnsi="Arial" w:cs="Arial"/>
                <w:noProof/>
                <w:webHidden/>
                <w:sz w:val="24"/>
                <w:szCs w:val="24"/>
              </w:rPr>
              <w:fldChar w:fldCharType="end"/>
            </w:r>
          </w:hyperlink>
        </w:p>
        <w:p w14:paraId="1EF62DFC" w14:textId="36275FC4"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1" w:history="1">
            <w:r w:rsidRPr="001D3DBF">
              <w:rPr>
                <w:rStyle w:val="Hyperlink"/>
                <w:rFonts w:ascii="Arial" w:hAnsi="Arial" w:cs="Arial"/>
                <w:noProof/>
                <w:sz w:val="24"/>
                <w:szCs w:val="24"/>
                <w:lang w:val="en-GB"/>
              </w:rPr>
              <w:t>5.3 Market Segmentation and Target Customer</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17</w:t>
            </w:r>
            <w:r w:rsidRPr="001D3DBF">
              <w:rPr>
                <w:rFonts w:ascii="Arial" w:hAnsi="Arial" w:cs="Arial"/>
                <w:noProof/>
                <w:webHidden/>
                <w:sz w:val="24"/>
                <w:szCs w:val="24"/>
              </w:rPr>
              <w:fldChar w:fldCharType="end"/>
            </w:r>
          </w:hyperlink>
        </w:p>
        <w:p w14:paraId="654ED724" w14:textId="24F4FA7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2" w:history="1">
            <w:r w:rsidRPr="001D3DBF">
              <w:rPr>
                <w:rStyle w:val="Hyperlink"/>
                <w:rFonts w:ascii="Arial" w:eastAsia="Times New Roman" w:hAnsi="Arial" w:cs="Arial"/>
                <w:noProof/>
                <w:sz w:val="24"/>
                <w:szCs w:val="24"/>
                <w:lang w:val="en-GB" w:eastAsia="en-GB"/>
              </w:rPr>
              <w:t>5.4 Pain Points, Unmet Needs and Demand</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18</w:t>
            </w:r>
            <w:r w:rsidRPr="001D3DBF">
              <w:rPr>
                <w:rFonts w:ascii="Arial" w:hAnsi="Arial" w:cs="Arial"/>
                <w:noProof/>
                <w:webHidden/>
                <w:sz w:val="24"/>
                <w:szCs w:val="24"/>
              </w:rPr>
              <w:fldChar w:fldCharType="end"/>
            </w:r>
          </w:hyperlink>
        </w:p>
        <w:p w14:paraId="1CA05B91" w14:textId="777C7ABE"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3" w:history="1">
            <w:r w:rsidRPr="001D3DBF">
              <w:rPr>
                <w:rStyle w:val="Hyperlink"/>
                <w:rFonts w:ascii="Arial" w:eastAsia="Times New Roman" w:hAnsi="Arial" w:cs="Arial"/>
                <w:noProof/>
                <w:sz w:val="24"/>
                <w:szCs w:val="24"/>
                <w:lang w:val="en-GB" w:eastAsia="en-GB"/>
              </w:rPr>
              <w:t>5.5 Economic and Geographic Conditions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20</w:t>
            </w:r>
            <w:r w:rsidRPr="001D3DBF">
              <w:rPr>
                <w:rFonts w:ascii="Arial" w:hAnsi="Arial" w:cs="Arial"/>
                <w:noProof/>
                <w:webHidden/>
                <w:sz w:val="24"/>
                <w:szCs w:val="24"/>
              </w:rPr>
              <w:fldChar w:fldCharType="end"/>
            </w:r>
          </w:hyperlink>
        </w:p>
        <w:p w14:paraId="4EE59B32" w14:textId="5AD2C1C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4" w:history="1">
            <w:r w:rsidRPr="001D3DBF">
              <w:rPr>
                <w:rStyle w:val="Hyperlink"/>
                <w:rFonts w:ascii="Arial" w:eastAsia="Times New Roman" w:hAnsi="Arial" w:cs="Arial"/>
                <w:noProof/>
                <w:sz w:val="24"/>
                <w:szCs w:val="24"/>
                <w:lang w:val="en-GB" w:eastAsia="en-GB"/>
              </w:rPr>
              <w:t>5.6 Research Findings and Opportunity Synthesis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21</w:t>
            </w:r>
            <w:r w:rsidRPr="001D3DBF">
              <w:rPr>
                <w:rFonts w:ascii="Arial" w:hAnsi="Arial" w:cs="Arial"/>
                <w:noProof/>
                <w:webHidden/>
                <w:sz w:val="24"/>
                <w:szCs w:val="24"/>
              </w:rPr>
              <w:fldChar w:fldCharType="end"/>
            </w:r>
          </w:hyperlink>
        </w:p>
        <w:p w14:paraId="597FBEFB" w14:textId="0E97938A"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25" w:history="1">
            <w:r w:rsidRPr="001D3DBF">
              <w:rPr>
                <w:rStyle w:val="Hyperlink"/>
                <w:rFonts w:ascii="Arial" w:eastAsia="Times New Roman" w:hAnsi="Arial" w:cs="Arial"/>
                <w:noProof/>
                <w:sz w:val="24"/>
                <w:szCs w:val="24"/>
                <w:lang w:val="en-GB" w:eastAsia="en-GB"/>
              </w:rPr>
              <w:t>Chapter 6 — Competitive Environment Analysis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22</w:t>
            </w:r>
            <w:r w:rsidRPr="001D3DBF">
              <w:rPr>
                <w:rFonts w:ascii="Arial" w:hAnsi="Arial" w:cs="Arial"/>
                <w:noProof/>
                <w:webHidden/>
                <w:sz w:val="24"/>
                <w:szCs w:val="24"/>
              </w:rPr>
              <w:fldChar w:fldCharType="end"/>
            </w:r>
          </w:hyperlink>
        </w:p>
        <w:p w14:paraId="14CE79A7" w14:textId="2E7A799C"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6" w:history="1">
            <w:r w:rsidRPr="001D3DBF">
              <w:rPr>
                <w:rStyle w:val="Hyperlink"/>
                <w:rFonts w:ascii="Arial" w:eastAsia="Times New Roman" w:hAnsi="Arial" w:cs="Arial"/>
                <w:noProof/>
                <w:sz w:val="24"/>
                <w:szCs w:val="24"/>
                <w:lang w:val="en-GB" w:eastAsia="en-GB"/>
              </w:rPr>
              <w:t>6.1 Introduction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22</w:t>
            </w:r>
            <w:r w:rsidRPr="001D3DBF">
              <w:rPr>
                <w:rFonts w:ascii="Arial" w:hAnsi="Arial" w:cs="Arial"/>
                <w:noProof/>
                <w:webHidden/>
                <w:sz w:val="24"/>
                <w:szCs w:val="24"/>
              </w:rPr>
              <w:fldChar w:fldCharType="end"/>
            </w:r>
          </w:hyperlink>
        </w:p>
        <w:p w14:paraId="501DC6AC" w14:textId="70B0D59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7" w:history="1">
            <w:r w:rsidRPr="001D3DBF">
              <w:rPr>
                <w:rStyle w:val="Hyperlink"/>
                <w:rFonts w:ascii="Arial" w:hAnsi="Arial" w:cs="Arial"/>
                <w:noProof/>
                <w:sz w:val="24"/>
                <w:szCs w:val="24"/>
                <w:lang w:val="en-GB" w:eastAsia="en-GB"/>
              </w:rPr>
              <w:t>6.2 Local Competitor Landscape</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22</w:t>
            </w:r>
            <w:r w:rsidRPr="001D3DBF">
              <w:rPr>
                <w:rFonts w:ascii="Arial" w:hAnsi="Arial" w:cs="Arial"/>
                <w:noProof/>
                <w:webHidden/>
                <w:sz w:val="24"/>
                <w:szCs w:val="24"/>
              </w:rPr>
              <w:fldChar w:fldCharType="end"/>
            </w:r>
          </w:hyperlink>
        </w:p>
        <w:p w14:paraId="215B8782" w14:textId="58E3F5A6"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8" w:history="1">
            <w:r w:rsidRPr="001D3DBF">
              <w:rPr>
                <w:rStyle w:val="Hyperlink"/>
                <w:rFonts w:ascii="Arial" w:hAnsi="Arial" w:cs="Arial"/>
                <w:noProof/>
                <w:sz w:val="24"/>
                <w:szCs w:val="24"/>
                <w:lang w:val="en-GB" w:eastAsia="en-GB"/>
              </w:rPr>
              <w:t>6.3 Competitor Strengths and Weaknesses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24</w:t>
            </w:r>
            <w:r w:rsidRPr="001D3DBF">
              <w:rPr>
                <w:rFonts w:ascii="Arial" w:hAnsi="Arial" w:cs="Arial"/>
                <w:noProof/>
                <w:webHidden/>
                <w:sz w:val="24"/>
                <w:szCs w:val="24"/>
              </w:rPr>
              <w:fldChar w:fldCharType="end"/>
            </w:r>
          </w:hyperlink>
        </w:p>
        <w:p w14:paraId="4F6A4398" w14:textId="346AD3E4"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29" w:history="1">
            <w:r w:rsidRPr="001D3DBF">
              <w:rPr>
                <w:rStyle w:val="Hyperlink"/>
                <w:rFonts w:ascii="Arial" w:hAnsi="Arial" w:cs="Arial"/>
                <w:noProof/>
                <w:sz w:val="24"/>
                <w:szCs w:val="24"/>
                <w:lang w:val="en-GB" w:eastAsia="en-GB"/>
              </w:rPr>
              <w:t>6.4 Strategic Positioning</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_Toc239188529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24</w:t>
            </w:r>
            <w:r w:rsidRPr="001D3DBF">
              <w:rPr>
                <w:rFonts w:ascii="Arial" w:hAnsi="Arial" w:cs="Arial"/>
                <w:noProof/>
                <w:webHidden/>
                <w:sz w:val="24"/>
                <w:szCs w:val="24"/>
              </w:rPr>
              <w:fldChar w:fldCharType="end"/>
            </w:r>
          </w:hyperlink>
        </w:p>
        <w:p w14:paraId="3AAFEEFE" w14:textId="1F944FCA"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0" w:history="1">
            <w:r w:rsidRPr="001D3DBF">
              <w:rPr>
                <w:rStyle w:val="Hyperlink"/>
                <w:rFonts w:ascii="Arial" w:hAnsi="Arial" w:cs="Arial"/>
                <w:noProof/>
                <w:sz w:val="24"/>
                <w:szCs w:val="24"/>
                <w:lang w:val="en-GB" w:eastAsia="en-GB"/>
              </w:rPr>
              <w:t>6.5 Porter’s Five Forces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25</w:t>
            </w:r>
            <w:r w:rsidRPr="001D3DBF">
              <w:rPr>
                <w:rFonts w:ascii="Arial" w:hAnsi="Arial" w:cs="Arial"/>
                <w:noProof/>
                <w:webHidden/>
                <w:sz w:val="24"/>
                <w:szCs w:val="24"/>
              </w:rPr>
              <w:fldChar w:fldCharType="end"/>
            </w:r>
          </w:hyperlink>
        </w:p>
        <w:p w14:paraId="0A7058C6" w14:textId="61C91ED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1" w:history="1">
            <w:r w:rsidRPr="001D3DBF">
              <w:rPr>
                <w:rStyle w:val="Hyperlink"/>
                <w:rFonts w:ascii="Arial" w:hAnsi="Arial" w:cs="Arial"/>
                <w:noProof/>
                <w:sz w:val="24"/>
                <w:szCs w:val="24"/>
                <w:lang w:val="en-GB" w:eastAsia="en-GB"/>
              </w:rPr>
              <w:t>6.6 PESTLE Analysis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27</w:t>
            </w:r>
            <w:r w:rsidRPr="001D3DBF">
              <w:rPr>
                <w:rFonts w:ascii="Arial" w:hAnsi="Arial" w:cs="Arial"/>
                <w:noProof/>
                <w:webHidden/>
                <w:sz w:val="24"/>
                <w:szCs w:val="24"/>
              </w:rPr>
              <w:fldChar w:fldCharType="end"/>
            </w:r>
          </w:hyperlink>
        </w:p>
        <w:p w14:paraId="130A56E2" w14:textId="3DAAB01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2" w:history="1">
            <w:r w:rsidRPr="001D3DBF">
              <w:rPr>
                <w:rStyle w:val="Hyperlink"/>
                <w:rFonts w:ascii="Arial" w:hAnsi="Arial" w:cs="Arial"/>
                <w:noProof/>
                <w:sz w:val="24"/>
                <w:szCs w:val="24"/>
                <w:lang w:val="en-GB" w:eastAsia="en-GB"/>
              </w:rPr>
              <w:t>6.7 Key Success Factors and Industry Attractiveness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29</w:t>
            </w:r>
            <w:r w:rsidRPr="001D3DBF">
              <w:rPr>
                <w:rFonts w:ascii="Arial" w:hAnsi="Arial" w:cs="Arial"/>
                <w:noProof/>
                <w:webHidden/>
                <w:sz w:val="24"/>
                <w:szCs w:val="24"/>
              </w:rPr>
              <w:fldChar w:fldCharType="end"/>
            </w:r>
          </w:hyperlink>
        </w:p>
        <w:p w14:paraId="0EB3E35D" w14:textId="1C09C5D5"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3" w:history="1">
            <w:r w:rsidRPr="001D3DBF">
              <w:rPr>
                <w:rStyle w:val="Hyperlink"/>
                <w:rFonts w:ascii="Arial" w:hAnsi="Arial" w:cs="Arial"/>
                <w:noProof/>
                <w:sz w:val="24"/>
                <w:szCs w:val="24"/>
                <w:lang w:val="en-GB" w:eastAsia="en-GB"/>
              </w:rPr>
              <w:t>6.8 Market Gaps and Strategic Implications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30</w:t>
            </w:r>
            <w:r w:rsidRPr="001D3DBF">
              <w:rPr>
                <w:rFonts w:ascii="Arial" w:hAnsi="Arial" w:cs="Arial"/>
                <w:noProof/>
                <w:webHidden/>
                <w:sz w:val="24"/>
                <w:szCs w:val="24"/>
              </w:rPr>
              <w:fldChar w:fldCharType="end"/>
            </w:r>
          </w:hyperlink>
        </w:p>
        <w:p w14:paraId="2626104C" w14:textId="5E8BE72E"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4" w:history="1">
            <w:r w:rsidRPr="001D3DBF">
              <w:rPr>
                <w:rStyle w:val="Hyperlink"/>
                <w:rFonts w:ascii="Arial" w:hAnsi="Arial" w:cs="Arial"/>
                <w:noProof/>
                <w:sz w:val="24"/>
                <w:szCs w:val="24"/>
                <w:lang w:val="en-GB" w:eastAsia="en-GB"/>
              </w:rPr>
              <w:t>6.9 Chapter Summary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31</w:t>
            </w:r>
            <w:r w:rsidRPr="001D3DBF">
              <w:rPr>
                <w:rFonts w:ascii="Arial" w:hAnsi="Arial" w:cs="Arial"/>
                <w:noProof/>
                <w:webHidden/>
                <w:sz w:val="24"/>
                <w:szCs w:val="24"/>
              </w:rPr>
              <w:fldChar w:fldCharType="end"/>
            </w:r>
          </w:hyperlink>
        </w:p>
        <w:p w14:paraId="1D4BFF37" w14:textId="571A8EBB"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35" w:history="1">
            <w:r w:rsidRPr="001D3DBF">
              <w:rPr>
                <w:rStyle w:val="Hyperlink"/>
                <w:rFonts w:ascii="Arial" w:hAnsi="Arial" w:cs="Arial"/>
                <w:noProof/>
                <w:sz w:val="24"/>
                <w:szCs w:val="24"/>
              </w:rPr>
              <w:t>Chapter 7 — Business Strategy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32</w:t>
            </w:r>
            <w:r w:rsidRPr="001D3DBF">
              <w:rPr>
                <w:rFonts w:ascii="Arial" w:hAnsi="Arial" w:cs="Arial"/>
                <w:noProof/>
                <w:webHidden/>
                <w:sz w:val="24"/>
                <w:szCs w:val="24"/>
              </w:rPr>
              <w:fldChar w:fldCharType="end"/>
            </w:r>
          </w:hyperlink>
        </w:p>
        <w:p w14:paraId="078A9F06" w14:textId="2EDDCFDF"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6" w:history="1">
            <w:r w:rsidRPr="001D3DBF">
              <w:rPr>
                <w:rStyle w:val="Hyperlink"/>
                <w:rFonts w:ascii="Arial" w:eastAsia="Times New Roman" w:hAnsi="Arial" w:cs="Arial"/>
                <w:noProof/>
                <w:sz w:val="24"/>
                <w:szCs w:val="24"/>
                <w:lang w:val="en-GB" w:eastAsia="en-GB"/>
              </w:rPr>
              <w:t>7.1 Introduction and Strategic Framework</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32</w:t>
            </w:r>
            <w:r w:rsidRPr="001D3DBF">
              <w:rPr>
                <w:rFonts w:ascii="Arial" w:hAnsi="Arial" w:cs="Arial"/>
                <w:noProof/>
                <w:webHidden/>
                <w:sz w:val="24"/>
                <w:szCs w:val="24"/>
              </w:rPr>
              <w:fldChar w:fldCharType="end"/>
            </w:r>
          </w:hyperlink>
        </w:p>
        <w:p w14:paraId="6C036BF0" w14:textId="1E933F6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7" w:history="1">
            <w:r w:rsidRPr="001D3DBF">
              <w:rPr>
                <w:rStyle w:val="Hyperlink"/>
                <w:rFonts w:ascii="Arial" w:eastAsia="Times New Roman" w:hAnsi="Arial" w:cs="Arial"/>
                <w:noProof/>
                <w:sz w:val="24"/>
                <w:szCs w:val="24"/>
                <w:lang w:val="en-GB" w:eastAsia="en-GB"/>
              </w:rPr>
              <w:t>7.2 Strategic Situation: External Analysis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32</w:t>
            </w:r>
            <w:r w:rsidRPr="001D3DBF">
              <w:rPr>
                <w:rFonts w:ascii="Arial" w:hAnsi="Arial" w:cs="Arial"/>
                <w:noProof/>
                <w:webHidden/>
                <w:sz w:val="24"/>
                <w:szCs w:val="24"/>
              </w:rPr>
              <w:fldChar w:fldCharType="end"/>
            </w:r>
          </w:hyperlink>
        </w:p>
        <w:p w14:paraId="5A50D052" w14:textId="7BC3784E"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8" w:history="1">
            <w:r w:rsidRPr="001D3DBF">
              <w:rPr>
                <w:rStyle w:val="Hyperlink"/>
                <w:rFonts w:ascii="Arial" w:eastAsia="Times New Roman" w:hAnsi="Arial" w:cs="Arial"/>
                <w:noProof/>
                <w:sz w:val="24"/>
                <w:szCs w:val="24"/>
                <w:lang w:val="en-GB" w:eastAsia="en-GB"/>
              </w:rPr>
              <w:t>7.3 Internal Analysis: VRIO</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33</w:t>
            </w:r>
            <w:r w:rsidRPr="001D3DBF">
              <w:rPr>
                <w:rFonts w:ascii="Arial" w:hAnsi="Arial" w:cs="Arial"/>
                <w:noProof/>
                <w:webHidden/>
                <w:sz w:val="24"/>
                <w:szCs w:val="24"/>
              </w:rPr>
              <w:fldChar w:fldCharType="end"/>
            </w:r>
          </w:hyperlink>
        </w:p>
        <w:p w14:paraId="6954B69F" w14:textId="49587170"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39" w:history="1">
            <w:r w:rsidRPr="001D3DBF">
              <w:rPr>
                <w:rStyle w:val="Hyperlink"/>
                <w:rFonts w:ascii="Arial" w:eastAsia="Times New Roman" w:hAnsi="Arial" w:cs="Arial"/>
                <w:noProof/>
                <w:sz w:val="24"/>
                <w:szCs w:val="24"/>
                <w:lang w:val="en-GB" w:eastAsia="en-GB"/>
              </w:rPr>
              <w:t>7.4 SWOT Analysis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_Toc239188539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35</w:t>
            </w:r>
            <w:r w:rsidRPr="001D3DBF">
              <w:rPr>
                <w:rFonts w:ascii="Arial" w:hAnsi="Arial" w:cs="Arial"/>
                <w:noProof/>
                <w:webHidden/>
                <w:sz w:val="24"/>
                <w:szCs w:val="24"/>
              </w:rPr>
              <w:fldChar w:fldCharType="end"/>
            </w:r>
          </w:hyperlink>
        </w:p>
        <w:p w14:paraId="71EEF3FC" w14:textId="4DBE7B3E"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0" w:history="1">
            <w:r w:rsidRPr="001D3DBF">
              <w:rPr>
                <w:rStyle w:val="Hyperlink"/>
                <w:rFonts w:ascii="Arial" w:eastAsia="Times New Roman" w:hAnsi="Arial" w:cs="Arial"/>
                <w:noProof/>
                <w:sz w:val="24"/>
                <w:szCs w:val="24"/>
                <w:lang w:val="en-GB" w:eastAsia="en-GB"/>
              </w:rPr>
              <w:t>7.5 Strategy Selection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36</w:t>
            </w:r>
            <w:r w:rsidRPr="001D3DBF">
              <w:rPr>
                <w:rFonts w:ascii="Arial" w:hAnsi="Arial" w:cs="Arial"/>
                <w:noProof/>
                <w:webHidden/>
                <w:sz w:val="24"/>
                <w:szCs w:val="24"/>
              </w:rPr>
              <w:fldChar w:fldCharType="end"/>
            </w:r>
          </w:hyperlink>
        </w:p>
        <w:p w14:paraId="7712FEE8" w14:textId="00B78EE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1" w:history="1">
            <w:r w:rsidRPr="001D3DBF">
              <w:rPr>
                <w:rStyle w:val="Hyperlink"/>
                <w:rFonts w:ascii="Arial" w:hAnsi="Arial" w:cs="Arial"/>
                <w:noProof/>
                <w:sz w:val="24"/>
                <w:szCs w:val="24"/>
              </w:rPr>
              <w:t>7.6 Strategic Positioning</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37</w:t>
            </w:r>
            <w:r w:rsidRPr="001D3DBF">
              <w:rPr>
                <w:rFonts w:ascii="Arial" w:hAnsi="Arial" w:cs="Arial"/>
                <w:noProof/>
                <w:webHidden/>
                <w:sz w:val="24"/>
                <w:szCs w:val="24"/>
              </w:rPr>
              <w:fldChar w:fldCharType="end"/>
            </w:r>
          </w:hyperlink>
        </w:p>
        <w:p w14:paraId="2ECA0DEE" w14:textId="7F3623F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2" w:history="1">
            <w:r w:rsidRPr="001D3DBF">
              <w:rPr>
                <w:rStyle w:val="Hyperlink"/>
                <w:rFonts w:ascii="Arial" w:eastAsia="Times New Roman" w:hAnsi="Arial" w:cs="Arial"/>
                <w:noProof/>
                <w:sz w:val="24"/>
                <w:szCs w:val="24"/>
                <w:lang w:val="en-GB" w:eastAsia="en-GB"/>
              </w:rPr>
              <w:t>7.7 USP and Value Proposition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38</w:t>
            </w:r>
            <w:r w:rsidRPr="001D3DBF">
              <w:rPr>
                <w:rFonts w:ascii="Arial" w:hAnsi="Arial" w:cs="Arial"/>
                <w:noProof/>
                <w:webHidden/>
                <w:sz w:val="24"/>
                <w:szCs w:val="24"/>
              </w:rPr>
              <w:fldChar w:fldCharType="end"/>
            </w:r>
          </w:hyperlink>
        </w:p>
        <w:p w14:paraId="188542D9" w14:textId="0E02516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3" w:history="1">
            <w:r w:rsidRPr="001D3DBF">
              <w:rPr>
                <w:rStyle w:val="Hyperlink"/>
                <w:rFonts w:ascii="Arial" w:eastAsia="Times New Roman" w:hAnsi="Arial" w:cs="Arial"/>
                <w:noProof/>
                <w:sz w:val="24"/>
                <w:szCs w:val="24"/>
                <w:lang w:val="en-GB" w:eastAsia="en-GB"/>
              </w:rPr>
              <w:t>7.8 Competitive Advantage</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39</w:t>
            </w:r>
            <w:r w:rsidRPr="001D3DBF">
              <w:rPr>
                <w:rFonts w:ascii="Arial" w:hAnsi="Arial" w:cs="Arial"/>
                <w:noProof/>
                <w:webHidden/>
                <w:sz w:val="24"/>
                <w:szCs w:val="24"/>
              </w:rPr>
              <w:fldChar w:fldCharType="end"/>
            </w:r>
          </w:hyperlink>
        </w:p>
        <w:p w14:paraId="4B623B13" w14:textId="5A4D03CB"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4" w:history="1">
            <w:r w:rsidRPr="001D3DBF">
              <w:rPr>
                <w:rStyle w:val="Hyperlink"/>
                <w:rFonts w:ascii="Arial" w:eastAsia="Times New Roman" w:hAnsi="Arial" w:cs="Arial"/>
                <w:noProof/>
                <w:sz w:val="24"/>
                <w:szCs w:val="24"/>
                <w:lang w:val="en-GB" w:eastAsia="en-GB"/>
              </w:rPr>
              <w:t>7.9 Key Success Factors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40</w:t>
            </w:r>
            <w:r w:rsidRPr="001D3DBF">
              <w:rPr>
                <w:rFonts w:ascii="Arial" w:hAnsi="Arial" w:cs="Arial"/>
                <w:noProof/>
                <w:webHidden/>
                <w:sz w:val="24"/>
                <w:szCs w:val="24"/>
              </w:rPr>
              <w:fldChar w:fldCharType="end"/>
            </w:r>
          </w:hyperlink>
        </w:p>
        <w:p w14:paraId="1281233E" w14:textId="07FC1F92"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45" w:history="1">
            <w:r w:rsidRPr="001D3DBF">
              <w:rPr>
                <w:rStyle w:val="Hyperlink"/>
                <w:rFonts w:ascii="Arial" w:hAnsi="Arial" w:cs="Arial"/>
                <w:noProof/>
                <w:sz w:val="24"/>
                <w:szCs w:val="24"/>
                <w:lang w:val="en-GB" w:eastAsia="en-GB"/>
              </w:rPr>
              <w:t>Chapter 8 — Business Model Canvas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42</w:t>
            </w:r>
            <w:r w:rsidRPr="001D3DBF">
              <w:rPr>
                <w:rFonts w:ascii="Arial" w:hAnsi="Arial" w:cs="Arial"/>
                <w:noProof/>
                <w:webHidden/>
                <w:sz w:val="24"/>
                <w:szCs w:val="24"/>
              </w:rPr>
              <w:fldChar w:fldCharType="end"/>
            </w:r>
          </w:hyperlink>
        </w:p>
        <w:p w14:paraId="7F31C51B" w14:textId="773700E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6" w:history="1">
            <w:r w:rsidRPr="001D3DBF">
              <w:rPr>
                <w:rStyle w:val="Hyperlink"/>
                <w:rFonts w:ascii="Arial" w:hAnsi="Arial" w:cs="Arial"/>
                <w:noProof/>
                <w:sz w:val="24"/>
                <w:szCs w:val="24"/>
                <w:lang w:val="en-GB" w:eastAsia="en-GB"/>
              </w:rPr>
              <w:t>8.1 Model Overview and Strategic Alignment</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42</w:t>
            </w:r>
            <w:r w:rsidRPr="001D3DBF">
              <w:rPr>
                <w:rFonts w:ascii="Arial" w:hAnsi="Arial" w:cs="Arial"/>
                <w:noProof/>
                <w:webHidden/>
                <w:sz w:val="24"/>
                <w:szCs w:val="24"/>
              </w:rPr>
              <w:fldChar w:fldCharType="end"/>
            </w:r>
          </w:hyperlink>
        </w:p>
        <w:p w14:paraId="336396DE" w14:textId="739A04A7"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7" w:history="1">
            <w:r w:rsidRPr="001D3DBF">
              <w:rPr>
                <w:rStyle w:val="Hyperlink"/>
                <w:rFonts w:ascii="Arial" w:hAnsi="Arial" w:cs="Arial"/>
                <w:noProof/>
                <w:sz w:val="24"/>
                <w:szCs w:val="24"/>
                <w:lang w:val="en-GB" w:eastAsia="en-GB"/>
              </w:rPr>
              <w:t>8.2 Customer Segments and Value Proposition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42</w:t>
            </w:r>
            <w:r w:rsidRPr="001D3DBF">
              <w:rPr>
                <w:rFonts w:ascii="Arial" w:hAnsi="Arial" w:cs="Arial"/>
                <w:noProof/>
                <w:webHidden/>
                <w:sz w:val="24"/>
                <w:szCs w:val="24"/>
              </w:rPr>
              <w:fldChar w:fldCharType="end"/>
            </w:r>
          </w:hyperlink>
        </w:p>
        <w:p w14:paraId="0E9F9872" w14:textId="434ECBF7"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8" w:history="1">
            <w:r w:rsidRPr="001D3DBF">
              <w:rPr>
                <w:rStyle w:val="Hyperlink"/>
                <w:rFonts w:ascii="Arial" w:hAnsi="Arial" w:cs="Arial"/>
                <w:noProof/>
                <w:sz w:val="24"/>
                <w:szCs w:val="24"/>
                <w:lang w:val="en-GB" w:eastAsia="en-GB"/>
              </w:rPr>
              <w:t>8.3 Channels and Customer Relationships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43</w:t>
            </w:r>
            <w:r w:rsidRPr="001D3DBF">
              <w:rPr>
                <w:rFonts w:ascii="Arial" w:hAnsi="Arial" w:cs="Arial"/>
                <w:noProof/>
                <w:webHidden/>
                <w:sz w:val="24"/>
                <w:szCs w:val="24"/>
              </w:rPr>
              <w:fldChar w:fldCharType="end"/>
            </w:r>
          </w:hyperlink>
        </w:p>
        <w:p w14:paraId="1BA80011" w14:textId="604AF018"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49" w:history="1">
            <w:r w:rsidRPr="001D3DBF">
              <w:rPr>
                <w:rStyle w:val="Hyperlink"/>
                <w:rFonts w:ascii="Arial" w:hAnsi="Arial" w:cs="Arial"/>
                <w:noProof/>
                <w:sz w:val="24"/>
                <w:szCs w:val="24"/>
                <w:lang w:val="en-GB" w:eastAsia="en-GB"/>
              </w:rPr>
              <w:t>8.5 Key Resources, Activities and Partnerships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_Toc239188549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44</w:t>
            </w:r>
            <w:r w:rsidRPr="001D3DBF">
              <w:rPr>
                <w:rFonts w:ascii="Arial" w:hAnsi="Arial" w:cs="Arial"/>
                <w:noProof/>
                <w:webHidden/>
                <w:sz w:val="24"/>
                <w:szCs w:val="24"/>
              </w:rPr>
              <w:fldChar w:fldCharType="end"/>
            </w:r>
          </w:hyperlink>
        </w:p>
        <w:p w14:paraId="17175DED" w14:textId="61A515C8"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0" w:history="1">
            <w:r w:rsidRPr="001D3DBF">
              <w:rPr>
                <w:rStyle w:val="Hyperlink"/>
                <w:rFonts w:ascii="Arial" w:hAnsi="Arial" w:cs="Arial"/>
                <w:noProof/>
                <w:sz w:val="24"/>
                <w:szCs w:val="24"/>
                <w:lang w:val="en-GB" w:eastAsia="en-GB"/>
              </w:rPr>
              <w:t>8.6 Integration, Assumptions and Conclusion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45</w:t>
            </w:r>
            <w:r w:rsidRPr="001D3DBF">
              <w:rPr>
                <w:rFonts w:ascii="Arial" w:hAnsi="Arial" w:cs="Arial"/>
                <w:noProof/>
                <w:webHidden/>
                <w:sz w:val="24"/>
                <w:szCs w:val="24"/>
              </w:rPr>
              <w:fldChar w:fldCharType="end"/>
            </w:r>
          </w:hyperlink>
        </w:p>
        <w:p w14:paraId="767B0717" w14:textId="03249BAF"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51" w:history="1">
            <w:r w:rsidRPr="001D3DBF">
              <w:rPr>
                <w:rStyle w:val="Hyperlink"/>
                <w:rFonts w:ascii="Arial" w:eastAsia="Times New Roman" w:hAnsi="Arial" w:cs="Arial"/>
                <w:noProof/>
                <w:sz w:val="24"/>
                <w:szCs w:val="24"/>
                <w:lang w:val="en-GB" w:eastAsia="en-GB"/>
              </w:rPr>
              <w:t>Chapter 9 — Financial, Marketing and Sales, and Human Capital Management Plan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46</w:t>
            </w:r>
            <w:r w:rsidRPr="001D3DBF">
              <w:rPr>
                <w:rFonts w:ascii="Arial" w:hAnsi="Arial" w:cs="Arial"/>
                <w:noProof/>
                <w:webHidden/>
                <w:sz w:val="24"/>
                <w:szCs w:val="24"/>
              </w:rPr>
              <w:fldChar w:fldCharType="end"/>
            </w:r>
          </w:hyperlink>
        </w:p>
        <w:p w14:paraId="68CBEDD2" w14:textId="1E22C61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2" w:history="1">
            <w:r w:rsidRPr="001D3DBF">
              <w:rPr>
                <w:rStyle w:val="Hyperlink"/>
                <w:rFonts w:ascii="Arial" w:eastAsia="Times New Roman" w:hAnsi="Arial" w:cs="Arial"/>
                <w:noProof/>
                <w:sz w:val="24"/>
                <w:szCs w:val="24"/>
                <w:lang w:val="en-GB" w:eastAsia="en-GB"/>
              </w:rPr>
              <w:t>9.1 Integrated Plan Overview</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46</w:t>
            </w:r>
            <w:r w:rsidRPr="001D3DBF">
              <w:rPr>
                <w:rFonts w:ascii="Arial" w:hAnsi="Arial" w:cs="Arial"/>
                <w:noProof/>
                <w:webHidden/>
                <w:sz w:val="24"/>
                <w:szCs w:val="24"/>
              </w:rPr>
              <w:fldChar w:fldCharType="end"/>
            </w:r>
          </w:hyperlink>
        </w:p>
        <w:p w14:paraId="726F83DA" w14:textId="304933AA"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3" w:history="1">
            <w:r w:rsidRPr="001D3DBF">
              <w:rPr>
                <w:rStyle w:val="Hyperlink"/>
                <w:rFonts w:ascii="Arial" w:eastAsia="Times New Roman" w:hAnsi="Arial" w:cs="Arial"/>
                <w:noProof/>
                <w:sz w:val="24"/>
                <w:szCs w:val="24"/>
                <w:lang w:val="en-GB" w:eastAsia="en-GB"/>
              </w:rPr>
              <w:t>9.2 Financial Plan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46</w:t>
            </w:r>
            <w:r w:rsidRPr="001D3DBF">
              <w:rPr>
                <w:rFonts w:ascii="Arial" w:hAnsi="Arial" w:cs="Arial"/>
                <w:noProof/>
                <w:webHidden/>
                <w:sz w:val="24"/>
                <w:szCs w:val="24"/>
              </w:rPr>
              <w:fldChar w:fldCharType="end"/>
            </w:r>
          </w:hyperlink>
        </w:p>
        <w:p w14:paraId="3B2237FC" w14:textId="70D8A34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4" w:history="1">
            <w:r w:rsidRPr="001D3DBF">
              <w:rPr>
                <w:rStyle w:val="Hyperlink"/>
                <w:rFonts w:ascii="Arial" w:eastAsia="Times New Roman" w:hAnsi="Arial" w:cs="Arial"/>
                <w:noProof/>
                <w:sz w:val="24"/>
                <w:szCs w:val="24"/>
                <w:lang w:val="en-GB" w:eastAsia="en-GB"/>
              </w:rPr>
              <w:t>9.3 Marketing and Sales Plan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50</w:t>
            </w:r>
            <w:r w:rsidRPr="001D3DBF">
              <w:rPr>
                <w:rFonts w:ascii="Arial" w:hAnsi="Arial" w:cs="Arial"/>
                <w:noProof/>
                <w:webHidden/>
                <w:sz w:val="24"/>
                <w:szCs w:val="24"/>
              </w:rPr>
              <w:fldChar w:fldCharType="end"/>
            </w:r>
          </w:hyperlink>
        </w:p>
        <w:p w14:paraId="2ACA86B4" w14:textId="16337DF5"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5" w:history="1">
            <w:r w:rsidRPr="001D3DBF">
              <w:rPr>
                <w:rStyle w:val="Hyperlink"/>
                <w:rFonts w:ascii="Arial" w:eastAsia="Times New Roman" w:hAnsi="Arial" w:cs="Arial"/>
                <w:noProof/>
                <w:sz w:val="24"/>
                <w:szCs w:val="24"/>
                <w:lang w:val="en-GB" w:eastAsia="en-GB"/>
              </w:rPr>
              <w:t>9.4 Human Capital Management Plan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52</w:t>
            </w:r>
            <w:r w:rsidRPr="001D3DBF">
              <w:rPr>
                <w:rFonts w:ascii="Arial" w:hAnsi="Arial" w:cs="Arial"/>
                <w:noProof/>
                <w:webHidden/>
                <w:sz w:val="24"/>
                <w:szCs w:val="24"/>
              </w:rPr>
              <w:fldChar w:fldCharType="end"/>
            </w:r>
          </w:hyperlink>
        </w:p>
        <w:p w14:paraId="369E7E29" w14:textId="322DC4B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6" w:history="1">
            <w:r w:rsidRPr="001D3DBF">
              <w:rPr>
                <w:rStyle w:val="Hyperlink"/>
                <w:rFonts w:ascii="Arial" w:eastAsia="Times New Roman" w:hAnsi="Arial" w:cs="Arial"/>
                <w:noProof/>
                <w:sz w:val="24"/>
                <w:szCs w:val="24"/>
                <w:lang w:val="en-GB" w:eastAsia="en-GB"/>
              </w:rPr>
              <w:t>9.5 Integration, Scalability and Conclusion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53</w:t>
            </w:r>
            <w:r w:rsidRPr="001D3DBF">
              <w:rPr>
                <w:rFonts w:ascii="Arial" w:hAnsi="Arial" w:cs="Arial"/>
                <w:noProof/>
                <w:webHidden/>
                <w:sz w:val="24"/>
                <w:szCs w:val="24"/>
              </w:rPr>
              <w:fldChar w:fldCharType="end"/>
            </w:r>
          </w:hyperlink>
        </w:p>
        <w:p w14:paraId="795AAB68" w14:textId="258C9BA5"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57" w:history="1">
            <w:r w:rsidRPr="001D3DBF">
              <w:rPr>
                <w:rStyle w:val="Hyperlink"/>
                <w:rFonts w:ascii="Arial" w:eastAsia="Times New Roman" w:hAnsi="Arial" w:cs="Arial"/>
                <w:noProof/>
                <w:sz w:val="24"/>
                <w:szCs w:val="24"/>
                <w:lang w:val="en-GB" w:eastAsia="en-GB"/>
              </w:rPr>
              <w:t>Chapter 10 — Operations Plan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55</w:t>
            </w:r>
            <w:r w:rsidRPr="001D3DBF">
              <w:rPr>
                <w:rFonts w:ascii="Arial" w:hAnsi="Arial" w:cs="Arial"/>
                <w:noProof/>
                <w:webHidden/>
                <w:sz w:val="24"/>
                <w:szCs w:val="24"/>
              </w:rPr>
              <w:fldChar w:fldCharType="end"/>
            </w:r>
          </w:hyperlink>
        </w:p>
        <w:p w14:paraId="266E9DAF" w14:textId="312981CB"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8" w:history="1">
            <w:r w:rsidRPr="001D3DBF">
              <w:rPr>
                <w:rStyle w:val="Hyperlink"/>
                <w:rFonts w:ascii="Arial" w:eastAsia="Times New Roman" w:hAnsi="Arial" w:cs="Arial"/>
                <w:noProof/>
                <w:sz w:val="24"/>
                <w:szCs w:val="24"/>
                <w:lang w:val="en-GB" w:eastAsia="en-GB"/>
              </w:rPr>
              <w:t>10.1 Operating Model, Scope and Frameworks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55</w:t>
            </w:r>
            <w:r w:rsidRPr="001D3DBF">
              <w:rPr>
                <w:rFonts w:ascii="Arial" w:hAnsi="Arial" w:cs="Arial"/>
                <w:noProof/>
                <w:webHidden/>
                <w:sz w:val="24"/>
                <w:szCs w:val="24"/>
              </w:rPr>
              <w:fldChar w:fldCharType="end"/>
            </w:r>
          </w:hyperlink>
        </w:p>
        <w:p w14:paraId="7CA40170" w14:textId="0210051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59" w:history="1">
            <w:r w:rsidRPr="001D3DBF">
              <w:rPr>
                <w:rStyle w:val="Hyperlink"/>
                <w:rFonts w:ascii="Arial" w:eastAsia="Times New Roman" w:hAnsi="Arial" w:cs="Arial"/>
                <w:noProof/>
                <w:sz w:val="24"/>
                <w:szCs w:val="24"/>
                <w:lang w:val="en-GB" w:eastAsia="en-GB"/>
              </w:rPr>
              <w:t>10.2 Operational Workflow and Capacity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_Toc239188559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55</w:t>
            </w:r>
            <w:r w:rsidRPr="001D3DBF">
              <w:rPr>
                <w:rFonts w:ascii="Arial" w:hAnsi="Arial" w:cs="Arial"/>
                <w:noProof/>
                <w:webHidden/>
                <w:sz w:val="24"/>
                <w:szCs w:val="24"/>
              </w:rPr>
              <w:fldChar w:fldCharType="end"/>
            </w:r>
          </w:hyperlink>
        </w:p>
        <w:p w14:paraId="3AD80EBD" w14:textId="52EDBC0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0" w:history="1">
            <w:r w:rsidRPr="001D3DBF">
              <w:rPr>
                <w:rStyle w:val="Hyperlink"/>
                <w:rFonts w:ascii="Arial" w:eastAsia="Times New Roman" w:hAnsi="Arial" w:cs="Arial"/>
                <w:noProof/>
                <w:sz w:val="24"/>
                <w:szCs w:val="24"/>
                <w:lang w:val="en-GB" w:eastAsia="en-GB"/>
              </w:rPr>
              <w:t>10.3 Location, Facilities, Equipment and Technology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56</w:t>
            </w:r>
            <w:r w:rsidRPr="001D3DBF">
              <w:rPr>
                <w:rFonts w:ascii="Arial" w:hAnsi="Arial" w:cs="Arial"/>
                <w:noProof/>
                <w:webHidden/>
                <w:sz w:val="24"/>
                <w:szCs w:val="24"/>
              </w:rPr>
              <w:fldChar w:fldCharType="end"/>
            </w:r>
          </w:hyperlink>
        </w:p>
        <w:p w14:paraId="0DBA359D" w14:textId="5E5A1F8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1" w:history="1">
            <w:r w:rsidRPr="001D3DBF">
              <w:rPr>
                <w:rStyle w:val="Hyperlink"/>
                <w:rFonts w:ascii="Arial" w:eastAsia="Times New Roman" w:hAnsi="Arial" w:cs="Arial"/>
                <w:noProof/>
                <w:sz w:val="24"/>
                <w:szCs w:val="24"/>
                <w:lang w:val="en-GB" w:eastAsia="en-GB"/>
              </w:rPr>
              <w:t>10.4 Supply Chain, Procurement, Inventory and Logistics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56</w:t>
            </w:r>
            <w:r w:rsidRPr="001D3DBF">
              <w:rPr>
                <w:rFonts w:ascii="Arial" w:hAnsi="Arial" w:cs="Arial"/>
                <w:noProof/>
                <w:webHidden/>
                <w:sz w:val="24"/>
                <w:szCs w:val="24"/>
              </w:rPr>
              <w:fldChar w:fldCharType="end"/>
            </w:r>
          </w:hyperlink>
        </w:p>
        <w:p w14:paraId="3BA7906B" w14:textId="4DE424F5"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2" w:history="1">
            <w:r w:rsidRPr="001D3DBF">
              <w:rPr>
                <w:rStyle w:val="Hyperlink"/>
                <w:rFonts w:ascii="Arial" w:eastAsia="Times New Roman" w:hAnsi="Arial" w:cs="Arial"/>
                <w:noProof/>
                <w:sz w:val="24"/>
                <w:szCs w:val="24"/>
                <w:lang w:val="en-GB" w:eastAsia="en-GB"/>
              </w:rPr>
              <w:t>10.5 Quality, Compliance and Operational Controls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57</w:t>
            </w:r>
            <w:r w:rsidRPr="001D3DBF">
              <w:rPr>
                <w:rFonts w:ascii="Arial" w:hAnsi="Arial" w:cs="Arial"/>
                <w:noProof/>
                <w:webHidden/>
                <w:sz w:val="24"/>
                <w:szCs w:val="24"/>
              </w:rPr>
              <w:fldChar w:fldCharType="end"/>
            </w:r>
          </w:hyperlink>
        </w:p>
        <w:p w14:paraId="265C1E2F" w14:textId="58D0D83E"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3" w:history="1">
            <w:r w:rsidRPr="001D3DBF">
              <w:rPr>
                <w:rStyle w:val="Hyperlink"/>
                <w:rFonts w:ascii="Arial" w:eastAsia="Times New Roman" w:hAnsi="Arial" w:cs="Arial"/>
                <w:noProof/>
                <w:sz w:val="24"/>
                <w:szCs w:val="24"/>
                <w:lang w:val="en-GB" w:eastAsia="en-GB"/>
              </w:rPr>
              <w:t>10.6 Operational Synthesis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58</w:t>
            </w:r>
            <w:r w:rsidRPr="001D3DBF">
              <w:rPr>
                <w:rFonts w:ascii="Arial" w:hAnsi="Arial" w:cs="Arial"/>
                <w:noProof/>
                <w:webHidden/>
                <w:sz w:val="24"/>
                <w:szCs w:val="24"/>
              </w:rPr>
              <w:fldChar w:fldCharType="end"/>
            </w:r>
          </w:hyperlink>
        </w:p>
        <w:p w14:paraId="36FEA53A" w14:textId="5ADD24CD"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64" w:history="1">
            <w:r w:rsidRPr="001D3DBF">
              <w:rPr>
                <w:rStyle w:val="Hyperlink"/>
                <w:rFonts w:ascii="Arial" w:eastAsia="Times New Roman" w:hAnsi="Arial" w:cs="Arial"/>
                <w:noProof/>
                <w:sz w:val="24"/>
                <w:szCs w:val="24"/>
                <w:lang w:val="en-GB" w:eastAsia="en-GB"/>
              </w:rPr>
              <w:t>Chapter 11: Feasibility Analysis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59</w:t>
            </w:r>
            <w:r w:rsidRPr="001D3DBF">
              <w:rPr>
                <w:rFonts w:ascii="Arial" w:hAnsi="Arial" w:cs="Arial"/>
                <w:noProof/>
                <w:webHidden/>
                <w:sz w:val="24"/>
                <w:szCs w:val="24"/>
              </w:rPr>
              <w:fldChar w:fldCharType="end"/>
            </w:r>
          </w:hyperlink>
        </w:p>
        <w:p w14:paraId="621565BB" w14:textId="7ED7158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5" w:history="1">
            <w:r w:rsidRPr="001D3DBF">
              <w:rPr>
                <w:rStyle w:val="Hyperlink"/>
                <w:rFonts w:ascii="Arial" w:eastAsia="Times New Roman" w:hAnsi="Arial" w:cs="Arial"/>
                <w:noProof/>
                <w:sz w:val="24"/>
                <w:szCs w:val="24"/>
                <w:lang w:val="en-GB" w:eastAsia="en-GB"/>
              </w:rPr>
              <w:t>11.1 Feasibility Basis and Decision Criteria</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59</w:t>
            </w:r>
            <w:r w:rsidRPr="001D3DBF">
              <w:rPr>
                <w:rFonts w:ascii="Arial" w:hAnsi="Arial" w:cs="Arial"/>
                <w:noProof/>
                <w:webHidden/>
                <w:sz w:val="24"/>
                <w:szCs w:val="24"/>
              </w:rPr>
              <w:fldChar w:fldCharType="end"/>
            </w:r>
          </w:hyperlink>
        </w:p>
        <w:p w14:paraId="69EC9198" w14:textId="20EC3EAB"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6" w:history="1">
            <w:r w:rsidRPr="001D3DBF">
              <w:rPr>
                <w:rStyle w:val="Hyperlink"/>
                <w:rFonts w:ascii="Arial" w:eastAsia="Times New Roman" w:hAnsi="Arial" w:cs="Arial"/>
                <w:noProof/>
                <w:sz w:val="24"/>
                <w:szCs w:val="24"/>
                <w:lang w:val="en-GB" w:eastAsia="en-GB"/>
              </w:rPr>
              <w:t>11.2 Ethical and Market Feasibility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59</w:t>
            </w:r>
            <w:r w:rsidRPr="001D3DBF">
              <w:rPr>
                <w:rFonts w:ascii="Arial" w:hAnsi="Arial" w:cs="Arial"/>
                <w:noProof/>
                <w:webHidden/>
                <w:sz w:val="24"/>
                <w:szCs w:val="24"/>
              </w:rPr>
              <w:fldChar w:fldCharType="end"/>
            </w:r>
          </w:hyperlink>
        </w:p>
        <w:p w14:paraId="339A6C2E" w14:textId="7E24FEBB"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7" w:history="1">
            <w:r w:rsidRPr="001D3DBF">
              <w:rPr>
                <w:rStyle w:val="Hyperlink"/>
                <w:rFonts w:ascii="Arial" w:eastAsia="Times New Roman" w:hAnsi="Arial" w:cs="Arial"/>
                <w:noProof/>
                <w:sz w:val="24"/>
                <w:szCs w:val="24"/>
                <w:lang w:val="en-GB" w:eastAsia="en-GB"/>
              </w:rPr>
              <w:t>11.3 Technical and Operational Feasibility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60</w:t>
            </w:r>
            <w:r w:rsidRPr="001D3DBF">
              <w:rPr>
                <w:rFonts w:ascii="Arial" w:hAnsi="Arial" w:cs="Arial"/>
                <w:noProof/>
                <w:webHidden/>
                <w:sz w:val="24"/>
                <w:szCs w:val="24"/>
              </w:rPr>
              <w:fldChar w:fldCharType="end"/>
            </w:r>
          </w:hyperlink>
        </w:p>
        <w:p w14:paraId="4634F322" w14:textId="454D8AE1"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8" w:history="1">
            <w:r w:rsidRPr="001D3DBF">
              <w:rPr>
                <w:rStyle w:val="Hyperlink"/>
                <w:rFonts w:ascii="Arial" w:eastAsia="Times New Roman" w:hAnsi="Arial" w:cs="Arial"/>
                <w:noProof/>
                <w:sz w:val="24"/>
                <w:szCs w:val="24"/>
                <w:lang w:val="en-GB" w:eastAsia="en-GB"/>
              </w:rPr>
              <w:t>11.4 Financial Feasibility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60</w:t>
            </w:r>
            <w:r w:rsidRPr="001D3DBF">
              <w:rPr>
                <w:rFonts w:ascii="Arial" w:hAnsi="Arial" w:cs="Arial"/>
                <w:noProof/>
                <w:webHidden/>
                <w:sz w:val="24"/>
                <w:szCs w:val="24"/>
              </w:rPr>
              <w:fldChar w:fldCharType="end"/>
            </w:r>
          </w:hyperlink>
        </w:p>
        <w:p w14:paraId="786031B2" w14:textId="7B900AFD"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69" w:history="1">
            <w:r w:rsidRPr="001D3DBF">
              <w:rPr>
                <w:rStyle w:val="Hyperlink"/>
                <w:rFonts w:ascii="Arial" w:eastAsia="Times New Roman" w:hAnsi="Arial" w:cs="Arial"/>
                <w:noProof/>
                <w:sz w:val="24"/>
                <w:szCs w:val="24"/>
                <w:lang w:val="en-GB" w:eastAsia="en-GB"/>
              </w:rPr>
              <w:t>11.5 Strategic Fit, Risks and Mitigation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_Toc239188569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61</w:t>
            </w:r>
            <w:r w:rsidRPr="001D3DBF">
              <w:rPr>
                <w:rFonts w:ascii="Arial" w:hAnsi="Arial" w:cs="Arial"/>
                <w:noProof/>
                <w:webHidden/>
                <w:sz w:val="24"/>
                <w:szCs w:val="24"/>
              </w:rPr>
              <w:fldChar w:fldCharType="end"/>
            </w:r>
          </w:hyperlink>
        </w:p>
        <w:p w14:paraId="1D5F6B68" w14:textId="5C01CD2B"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0" w:history="1">
            <w:r w:rsidRPr="001D3DBF">
              <w:rPr>
                <w:rStyle w:val="Hyperlink"/>
                <w:rFonts w:ascii="Arial" w:eastAsia="Times New Roman" w:hAnsi="Arial" w:cs="Arial"/>
                <w:noProof/>
                <w:sz w:val="24"/>
                <w:szCs w:val="24"/>
                <w:lang w:val="en-GB" w:eastAsia="en-GB"/>
              </w:rPr>
              <w:t>11.6 Integrated Viability Judgement</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61</w:t>
            </w:r>
            <w:r w:rsidRPr="001D3DBF">
              <w:rPr>
                <w:rFonts w:ascii="Arial" w:hAnsi="Arial" w:cs="Arial"/>
                <w:noProof/>
                <w:webHidden/>
                <w:sz w:val="24"/>
                <w:szCs w:val="24"/>
              </w:rPr>
              <w:fldChar w:fldCharType="end"/>
            </w:r>
          </w:hyperlink>
        </w:p>
        <w:p w14:paraId="70A8446D" w14:textId="3FE3A06E"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71" w:history="1">
            <w:r w:rsidRPr="001D3DBF">
              <w:rPr>
                <w:rStyle w:val="Hyperlink"/>
                <w:rFonts w:ascii="Arial" w:eastAsia="Times New Roman" w:hAnsi="Arial" w:cs="Arial"/>
                <w:noProof/>
                <w:sz w:val="24"/>
                <w:szCs w:val="24"/>
                <w:lang w:val="en-GB" w:eastAsia="en-GB"/>
              </w:rPr>
              <w:t>Chapter 12: Implementation Plan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63</w:t>
            </w:r>
            <w:r w:rsidRPr="001D3DBF">
              <w:rPr>
                <w:rFonts w:ascii="Arial" w:hAnsi="Arial" w:cs="Arial"/>
                <w:noProof/>
                <w:webHidden/>
                <w:sz w:val="24"/>
                <w:szCs w:val="24"/>
              </w:rPr>
              <w:fldChar w:fldCharType="end"/>
            </w:r>
          </w:hyperlink>
        </w:p>
        <w:p w14:paraId="02560D07" w14:textId="7BD732A2"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2" w:history="1">
            <w:r w:rsidRPr="001D3DBF">
              <w:rPr>
                <w:rStyle w:val="Hyperlink"/>
                <w:rFonts w:ascii="Arial" w:eastAsia="Times New Roman" w:hAnsi="Arial" w:cs="Arial"/>
                <w:noProof/>
                <w:sz w:val="24"/>
                <w:szCs w:val="24"/>
                <w:lang w:val="en-GB" w:eastAsia="en-GB"/>
              </w:rPr>
              <w:t>12.1 Implementation Approach and Launch Phases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63</w:t>
            </w:r>
            <w:r w:rsidRPr="001D3DBF">
              <w:rPr>
                <w:rFonts w:ascii="Arial" w:hAnsi="Arial" w:cs="Arial"/>
                <w:noProof/>
                <w:webHidden/>
                <w:sz w:val="24"/>
                <w:szCs w:val="24"/>
              </w:rPr>
              <w:fldChar w:fldCharType="end"/>
            </w:r>
          </w:hyperlink>
        </w:p>
        <w:p w14:paraId="3A3E69BC" w14:textId="5E604448"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3" w:history="1">
            <w:r w:rsidRPr="001D3DBF">
              <w:rPr>
                <w:rStyle w:val="Hyperlink"/>
                <w:rFonts w:ascii="Arial" w:eastAsia="Times New Roman" w:hAnsi="Arial" w:cs="Arial"/>
                <w:noProof/>
                <w:sz w:val="24"/>
                <w:szCs w:val="24"/>
                <w:lang w:val="en-GB" w:eastAsia="en-GB"/>
              </w:rPr>
              <w:t>12.2 Milestones and Timeline</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64</w:t>
            </w:r>
            <w:r w:rsidRPr="001D3DBF">
              <w:rPr>
                <w:rFonts w:ascii="Arial" w:hAnsi="Arial" w:cs="Arial"/>
                <w:noProof/>
                <w:webHidden/>
                <w:sz w:val="24"/>
                <w:szCs w:val="24"/>
              </w:rPr>
              <w:fldChar w:fldCharType="end"/>
            </w:r>
          </w:hyperlink>
        </w:p>
        <w:p w14:paraId="076B20E0" w14:textId="5BA86962"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4" w:history="1">
            <w:r w:rsidRPr="001D3DBF">
              <w:rPr>
                <w:rStyle w:val="Hyperlink"/>
                <w:rFonts w:ascii="Arial" w:eastAsia="Times New Roman" w:hAnsi="Arial" w:cs="Arial"/>
                <w:noProof/>
                <w:sz w:val="24"/>
                <w:szCs w:val="24"/>
                <w:lang w:val="en-GB" w:eastAsia="en-GB"/>
              </w:rPr>
              <w:t>12.3 Resource Allocation and Priorities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64</w:t>
            </w:r>
            <w:r w:rsidRPr="001D3DBF">
              <w:rPr>
                <w:rFonts w:ascii="Arial" w:hAnsi="Arial" w:cs="Arial"/>
                <w:noProof/>
                <w:webHidden/>
                <w:sz w:val="24"/>
                <w:szCs w:val="24"/>
              </w:rPr>
              <w:fldChar w:fldCharType="end"/>
            </w:r>
          </w:hyperlink>
        </w:p>
        <w:p w14:paraId="33D8F81C" w14:textId="58362838"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5" w:history="1">
            <w:r w:rsidRPr="001D3DBF">
              <w:rPr>
                <w:rStyle w:val="Hyperlink"/>
                <w:rFonts w:ascii="Arial" w:eastAsia="Times New Roman" w:hAnsi="Arial" w:cs="Arial"/>
                <w:noProof/>
                <w:sz w:val="24"/>
                <w:szCs w:val="24"/>
                <w:lang w:val="en-GB" w:eastAsia="en-GB"/>
              </w:rPr>
              <w:t>12.4 KPIs, Monitoring and Control</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65</w:t>
            </w:r>
            <w:r w:rsidRPr="001D3DBF">
              <w:rPr>
                <w:rFonts w:ascii="Arial" w:hAnsi="Arial" w:cs="Arial"/>
                <w:noProof/>
                <w:webHidden/>
                <w:sz w:val="24"/>
                <w:szCs w:val="24"/>
              </w:rPr>
              <w:fldChar w:fldCharType="end"/>
            </w:r>
          </w:hyperlink>
        </w:p>
        <w:p w14:paraId="25B30FA2" w14:textId="5B3C45DE"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6" w:history="1">
            <w:r w:rsidRPr="001D3DBF">
              <w:rPr>
                <w:rStyle w:val="Hyperlink"/>
                <w:rFonts w:ascii="Arial" w:eastAsia="Times New Roman" w:hAnsi="Arial" w:cs="Arial"/>
                <w:noProof/>
                <w:sz w:val="24"/>
                <w:szCs w:val="24"/>
                <w:lang w:val="en-GB" w:eastAsia="en-GB"/>
              </w:rPr>
              <w:t>12.5 Change Management and Implementation Risks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_Toc239188576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65</w:t>
            </w:r>
            <w:r w:rsidRPr="001D3DBF">
              <w:rPr>
                <w:rFonts w:ascii="Arial" w:hAnsi="Arial" w:cs="Arial"/>
                <w:noProof/>
                <w:webHidden/>
                <w:sz w:val="24"/>
                <w:szCs w:val="24"/>
              </w:rPr>
              <w:fldChar w:fldCharType="end"/>
            </w:r>
          </w:hyperlink>
        </w:p>
        <w:p w14:paraId="616B7BF0" w14:textId="2494C0C9"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7" w:history="1">
            <w:r w:rsidRPr="001D3DBF">
              <w:rPr>
                <w:rStyle w:val="Hyperlink"/>
                <w:rFonts w:ascii="Arial" w:eastAsia="Times New Roman" w:hAnsi="Arial" w:cs="Arial"/>
                <w:noProof/>
                <w:sz w:val="24"/>
                <w:szCs w:val="24"/>
                <w:lang w:val="en-GB" w:eastAsia="en-GB"/>
              </w:rPr>
              <w:t>12.6 Implementation Readiness Summary</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_Toc239188577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66</w:t>
            </w:r>
            <w:r w:rsidRPr="001D3DBF">
              <w:rPr>
                <w:rFonts w:ascii="Arial" w:hAnsi="Arial" w:cs="Arial"/>
                <w:noProof/>
                <w:webHidden/>
                <w:sz w:val="24"/>
                <w:szCs w:val="24"/>
              </w:rPr>
              <w:fldChar w:fldCharType="end"/>
            </w:r>
          </w:hyperlink>
        </w:p>
        <w:p w14:paraId="737E87F7" w14:textId="340E1248"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78" w:history="1">
            <w:r w:rsidRPr="001D3DBF">
              <w:rPr>
                <w:rStyle w:val="Hyperlink"/>
                <w:rFonts w:ascii="Arial" w:hAnsi="Arial" w:cs="Arial"/>
                <w:noProof/>
                <w:sz w:val="24"/>
                <w:szCs w:val="24"/>
                <w:lang w:val="en-GB" w:eastAsia="en-GB"/>
              </w:rPr>
              <w:t>Chapter 13:  Conclusion and Recommendations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_Toc239188578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67</w:t>
            </w:r>
            <w:r w:rsidRPr="001D3DBF">
              <w:rPr>
                <w:rFonts w:ascii="Arial" w:hAnsi="Arial" w:cs="Arial"/>
                <w:noProof/>
                <w:webHidden/>
                <w:sz w:val="24"/>
                <w:szCs w:val="24"/>
              </w:rPr>
              <w:fldChar w:fldCharType="end"/>
            </w:r>
          </w:hyperlink>
        </w:p>
        <w:p w14:paraId="58331081" w14:textId="7C793693"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79" w:history="1">
            <w:r w:rsidRPr="001D3DBF">
              <w:rPr>
                <w:rStyle w:val="Hyperlink"/>
                <w:rFonts w:ascii="Arial" w:hAnsi="Arial" w:cs="Arial"/>
                <w:noProof/>
                <w:sz w:val="24"/>
                <w:szCs w:val="24"/>
                <w:lang w:val="en-GB" w:eastAsia="en-GB"/>
              </w:rPr>
              <w:t>13.1 Conclusion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_Toc239188579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67</w:t>
            </w:r>
            <w:r w:rsidRPr="001D3DBF">
              <w:rPr>
                <w:rFonts w:ascii="Arial" w:hAnsi="Arial" w:cs="Arial"/>
                <w:noProof/>
                <w:webHidden/>
                <w:sz w:val="24"/>
                <w:szCs w:val="24"/>
              </w:rPr>
              <w:fldChar w:fldCharType="end"/>
            </w:r>
          </w:hyperlink>
        </w:p>
        <w:p w14:paraId="3A0D15C8" w14:textId="6670A11C"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80" w:history="1">
            <w:r w:rsidRPr="001D3DBF">
              <w:rPr>
                <w:rStyle w:val="Hyperlink"/>
                <w:rFonts w:ascii="Arial" w:hAnsi="Arial" w:cs="Arial"/>
                <w:noProof/>
                <w:sz w:val="24"/>
                <w:szCs w:val="24"/>
                <w:lang w:val="en-GB" w:eastAsia="en-GB"/>
              </w:rPr>
              <w:t>13.2 Recommendations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_Toc239188580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68</w:t>
            </w:r>
            <w:r w:rsidRPr="001D3DBF">
              <w:rPr>
                <w:rFonts w:ascii="Arial" w:hAnsi="Arial" w:cs="Arial"/>
                <w:noProof/>
                <w:webHidden/>
                <w:sz w:val="24"/>
                <w:szCs w:val="24"/>
              </w:rPr>
              <w:fldChar w:fldCharType="end"/>
            </w:r>
          </w:hyperlink>
        </w:p>
        <w:p w14:paraId="2309693B" w14:textId="1DF1C1D9"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81" w:history="1">
            <w:r w:rsidRPr="001D3DBF">
              <w:rPr>
                <w:rStyle w:val="Hyperlink"/>
                <w:rFonts w:ascii="Arial" w:hAnsi="Arial" w:cs="Arial"/>
                <w:noProof/>
                <w:sz w:val="24"/>
                <w:szCs w:val="24"/>
                <w:lang w:val="en-GB" w:eastAsia="en-GB"/>
              </w:rPr>
              <w:t>Chapter 14:</w:t>
            </w:r>
            <w:r w:rsidRPr="001D3DBF">
              <w:rPr>
                <w:rStyle w:val="Hyperlink"/>
                <w:rFonts w:ascii="Arial" w:hAnsi="Arial" w:cs="Arial"/>
                <w:noProof/>
                <w:sz w:val="24"/>
                <w:szCs w:val="24"/>
              </w:rPr>
              <w:t xml:space="preserve"> </w:t>
            </w:r>
            <w:r w:rsidRPr="001D3DBF">
              <w:rPr>
                <w:rStyle w:val="Hyperlink"/>
                <w:rFonts w:ascii="Arial" w:hAnsi="Arial" w:cs="Arial"/>
                <w:noProof/>
                <w:sz w:val="24"/>
                <w:szCs w:val="24"/>
                <w:lang w:val="en-GB" w:eastAsia="en-GB"/>
              </w:rPr>
              <w:t>Reflection</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_Toc239188581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70</w:t>
            </w:r>
            <w:r w:rsidRPr="001D3DBF">
              <w:rPr>
                <w:rFonts w:ascii="Arial" w:hAnsi="Arial" w:cs="Arial"/>
                <w:noProof/>
                <w:webHidden/>
                <w:sz w:val="24"/>
                <w:szCs w:val="24"/>
              </w:rPr>
              <w:fldChar w:fldCharType="end"/>
            </w:r>
          </w:hyperlink>
        </w:p>
        <w:p w14:paraId="3B16D287" w14:textId="408CA1C4"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82" w:history="1">
            <w:r w:rsidRPr="001D3DBF">
              <w:rPr>
                <w:rStyle w:val="Hyperlink"/>
                <w:rFonts w:ascii="Arial" w:hAnsi="Arial" w:cs="Arial"/>
                <w:noProof/>
                <w:sz w:val="24"/>
                <w:szCs w:val="24"/>
                <w:lang w:val="en-GB" w:eastAsia="en-GB"/>
              </w:rPr>
              <w:t>14.1 My Experience</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_Toc239188582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70</w:t>
            </w:r>
            <w:r w:rsidRPr="001D3DBF">
              <w:rPr>
                <w:rFonts w:ascii="Arial" w:hAnsi="Arial" w:cs="Arial"/>
                <w:noProof/>
                <w:webHidden/>
                <w:sz w:val="24"/>
                <w:szCs w:val="24"/>
              </w:rPr>
              <w:fldChar w:fldCharType="end"/>
            </w:r>
          </w:hyperlink>
        </w:p>
        <w:p w14:paraId="75975391" w14:textId="15D045E7"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83" w:history="1">
            <w:r w:rsidRPr="001D3DBF">
              <w:rPr>
                <w:rStyle w:val="Hyperlink"/>
                <w:rFonts w:ascii="Arial" w:hAnsi="Arial" w:cs="Arial"/>
                <w:noProof/>
                <w:sz w:val="24"/>
                <w:szCs w:val="24"/>
                <w:lang w:val="en-GB" w:eastAsia="en-GB"/>
              </w:rPr>
              <w:t>14.2 What I Learned</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_Toc239188583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70</w:t>
            </w:r>
            <w:r w:rsidRPr="001D3DBF">
              <w:rPr>
                <w:rFonts w:ascii="Arial" w:hAnsi="Arial" w:cs="Arial"/>
                <w:noProof/>
                <w:webHidden/>
                <w:sz w:val="24"/>
                <w:szCs w:val="24"/>
              </w:rPr>
              <w:fldChar w:fldCharType="end"/>
            </w:r>
          </w:hyperlink>
        </w:p>
        <w:p w14:paraId="496DC94D" w14:textId="272AD1B0" w:rsidR="001D3DBF" w:rsidRPr="001D3DBF" w:rsidRDefault="001D3DBF" w:rsidP="001D3DBF">
          <w:pPr>
            <w:pStyle w:val="TOC2"/>
            <w:tabs>
              <w:tab w:val="right" w:leader="dot" w:pos="9016"/>
            </w:tabs>
            <w:jc w:val="both"/>
            <w:rPr>
              <w:rFonts w:ascii="Arial" w:eastAsiaTheme="minorEastAsia" w:hAnsi="Arial" w:cs="Arial"/>
              <w:noProof/>
              <w:sz w:val="24"/>
              <w:szCs w:val="24"/>
              <w:lang w:val="en-GB" w:eastAsia="en-GB"/>
            </w:rPr>
          </w:pPr>
          <w:hyperlink w:anchor="_Toc239188584" w:history="1">
            <w:r w:rsidRPr="001D3DBF">
              <w:rPr>
                <w:rStyle w:val="Hyperlink"/>
                <w:rFonts w:ascii="Arial" w:hAnsi="Arial" w:cs="Arial"/>
                <w:noProof/>
                <w:sz w:val="24"/>
                <w:szCs w:val="24"/>
                <w:lang w:val="en-GB" w:eastAsia="en-GB"/>
              </w:rPr>
              <w:t>14.3 How I Would Do Things Differently Next Time!</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_Toc239188584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71</w:t>
            </w:r>
            <w:r w:rsidRPr="001D3DBF">
              <w:rPr>
                <w:rFonts w:ascii="Arial" w:hAnsi="Arial" w:cs="Arial"/>
                <w:noProof/>
                <w:webHidden/>
                <w:sz w:val="24"/>
                <w:szCs w:val="24"/>
              </w:rPr>
              <w:fldChar w:fldCharType="end"/>
            </w:r>
          </w:hyperlink>
        </w:p>
        <w:p w14:paraId="13D070E8" w14:textId="76C0DA4F" w:rsidR="001D3DBF" w:rsidRPr="001D3DBF" w:rsidRDefault="001D3DBF" w:rsidP="001D3DBF">
          <w:pPr>
            <w:pStyle w:val="TOC1"/>
            <w:tabs>
              <w:tab w:val="right" w:leader="dot" w:pos="9016"/>
            </w:tabs>
            <w:jc w:val="both"/>
            <w:rPr>
              <w:rFonts w:ascii="Arial" w:eastAsiaTheme="minorEastAsia" w:hAnsi="Arial" w:cs="Arial"/>
              <w:noProof/>
              <w:sz w:val="24"/>
              <w:szCs w:val="24"/>
              <w:lang w:val="en-GB" w:eastAsia="en-GB"/>
            </w:rPr>
          </w:pPr>
          <w:hyperlink w:anchor="_Toc239188585" w:history="1">
            <w:r w:rsidRPr="001D3DBF">
              <w:rPr>
                <w:rStyle w:val="Hyperlink"/>
                <w:rFonts w:ascii="Arial" w:eastAsia="Times New Roman" w:hAnsi="Arial" w:cs="Arial"/>
                <w:noProof/>
                <w:sz w:val="24"/>
                <w:szCs w:val="24"/>
                <w:lang w:val="en-GB" w:eastAsia="en-GB"/>
              </w:rPr>
              <w:t>References</w:t>
            </w:r>
            <w:r w:rsidRPr="001D3DBF">
              <w:rPr>
                <w:rFonts w:ascii="Arial" w:hAnsi="Arial" w:cs="Arial"/>
                <w:noProof/>
                <w:webHidden/>
                <w:sz w:val="24"/>
                <w:szCs w:val="24"/>
              </w:rPr>
              <w:tab/>
            </w:r>
            <w:r w:rsidRPr="001D3DBF">
              <w:rPr>
                <w:rFonts w:ascii="Arial" w:hAnsi="Arial" w:cs="Arial"/>
                <w:noProof/>
                <w:webHidden/>
                <w:sz w:val="24"/>
                <w:szCs w:val="24"/>
              </w:rPr>
              <w:fldChar w:fldCharType="begin"/>
            </w:r>
            <w:r w:rsidRPr="001D3DBF">
              <w:rPr>
                <w:rFonts w:ascii="Arial" w:hAnsi="Arial" w:cs="Arial"/>
                <w:noProof/>
                <w:webHidden/>
                <w:sz w:val="24"/>
                <w:szCs w:val="24"/>
              </w:rPr>
              <w:instrText xml:space="preserve"> PAGEREF _Toc239188585 \h </w:instrText>
            </w:r>
            <w:r w:rsidRPr="001D3DBF">
              <w:rPr>
                <w:rFonts w:ascii="Arial" w:hAnsi="Arial" w:cs="Arial"/>
                <w:noProof/>
                <w:webHidden/>
                <w:sz w:val="24"/>
                <w:szCs w:val="24"/>
              </w:rPr>
            </w:r>
            <w:r w:rsidRPr="001D3DBF">
              <w:rPr>
                <w:rFonts w:ascii="Arial" w:hAnsi="Arial" w:cs="Arial"/>
                <w:noProof/>
                <w:webHidden/>
                <w:sz w:val="24"/>
                <w:szCs w:val="24"/>
              </w:rPr>
              <w:fldChar w:fldCharType="separate"/>
            </w:r>
            <w:r w:rsidRPr="001D3DBF">
              <w:rPr>
                <w:rFonts w:ascii="Arial" w:hAnsi="Arial" w:cs="Arial"/>
                <w:noProof/>
                <w:webHidden/>
                <w:sz w:val="24"/>
                <w:szCs w:val="24"/>
              </w:rPr>
              <w:t>73</w:t>
            </w:r>
            <w:r w:rsidRPr="001D3DBF">
              <w:rPr>
                <w:rFonts w:ascii="Arial" w:hAnsi="Arial" w:cs="Arial"/>
                <w:noProof/>
                <w:webHidden/>
                <w:sz w:val="24"/>
                <w:szCs w:val="24"/>
              </w:rPr>
              <w:fldChar w:fldCharType="end"/>
            </w:r>
          </w:hyperlink>
        </w:p>
        <w:p w14:paraId="344304E7" w14:textId="572E7B24" w:rsidR="00BA34E4" w:rsidRPr="00CA1200" w:rsidRDefault="00B70B37" w:rsidP="001D3DBF">
          <w:pPr>
            <w:spacing w:line="360" w:lineRule="auto"/>
            <w:jc w:val="both"/>
            <w:rPr>
              <w:rFonts w:ascii="Arial" w:hAnsi="Arial" w:cs="Arial"/>
              <w:sz w:val="24"/>
              <w:szCs w:val="24"/>
              <w:lang w:val="en-GB"/>
            </w:rPr>
          </w:pPr>
          <w:r w:rsidRPr="001D3DBF">
            <w:rPr>
              <w:rFonts w:ascii="Arial" w:hAnsi="Arial" w:cs="Arial"/>
              <w:bCs/>
              <w:noProof/>
              <w:sz w:val="24"/>
              <w:szCs w:val="24"/>
              <w:lang w:val="en-GB"/>
            </w:rPr>
            <w:fldChar w:fldCharType="end"/>
          </w:r>
        </w:p>
      </w:sdtContent>
    </w:sdt>
    <w:p w14:paraId="0C10C7EA" w14:textId="4F6F94E5" w:rsidR="00E031E9" w:rsidRPr="00C362B0" w:rsidRDefault="00E031E9" w:rsidP="003E4183">
      <w:pPr>
        <w:rPr>
          <w:rFonts w:ascii="Arial" w:hAnsi="Arial" w:cs="Arial"/>
          <w:sz w:val="24"/>
          <w:szCs w:val="24"/>
          <w:lang w:val="en-GB"/>
        </w:rPr>
      </w:pPr>
    </w:p>
    <w:p w14:paraId="6A7B34F5" w14:textId="778CAF42" w:rsidR="003E4183" w:rsidRPr="00C362B0" w:rsidRDefault="003E4183" w:rsidP="003E4183">
      <w:pPr>
        <w:spacing w:line="360" w:lineRule="auto"/>
        <w:jc w:val="center"/>
        <w:rPr>
          <w:rFonts w:ascii="Arial" w:hAnsi="Arial" w:cs="Arial"/>
          <w:b/>
          <w:sz w:val="32"/>
          <w:szCs w:val="24"/>
          <w:lang w:val="en-GB"/>
        </w:rPr>
      </w:pPr>
      <w:r w:rsidRPr="00C362B0">
        <w:rPr>
          <w:rFonts w:ascii="Arial" w:hAnsi="Arial" w:cs="Arial"/>
          <w:b/>
          <w:sz w:val="32"/>
          <w:szCs w:val="24"/>
          <w:lang w:val="en-GB"/>
        </w:rPr>
        <w:t>List of Table</w:t>
      </w:r>
    </w:p>
    <w:p w14:paraId="2C19EFCC" w14:textId="0F430591" w:rsidR="0007015E" w:rsidRDefault="0007015E">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"Table" </w:instrText>
      </w:r>
      <w:r>
        <w:rPr>
          <w:rFonts w:ascii="Arial" w:hAnsi="Arial" w:cs="Arial"/>
          <w:sz w:val="24"/>
          <w:szCs w:val="24"/>
          <w:lang w:val="en-GB"/>
        </w:rPr>
        <w:fldChar w:fldCharType="separate"/>
      </w:r>
      <w:hyperlink w:anchor="_Toc239091685" w:history="1">
        <w:r w:rsidRPr="007A5E3B">
          <w:rPr>
            <w:rStyle w:val="Hyperlink"/>
            <w:rFonts w:ascii="Arial" w:hAnsi="Arial" w:cs="Arial"/>
            <w:noProof/>
            <w:lang w:val="en-GB"/>
          </w:rPr>
          <w:t>Table 1.Alignment</w:t>
        </w:r>
        <w:r>
          <w:rPr>
            <w:noProof/>
            <w:webHidden/>
          </w:rPr>
          <w:tab/>
        </w:r>
        <w:r>
          <w:rPr>
            <w:noProof/>
            <w:webHidden/>
          </w:rPr>
          <w:fldChar w:fldCharType="begin"/>
        </w:r>
        <w:r>
          <w:rPr>
            <w:noProof/>
            <w:webHidden/>
          </w:rPr>
          <w:instrText xml:space="preserve"> PAGEREF _Toc239091685 \h </w:instrText>
        </w:r>
        <w:r>
          <w:rPr>
            <w:noProof/>
            <w:webHidden/>
          </w:rPr>
        </w:r>
        <w:r>
          <w:rPr>
            <w:noProof/>
            <w:webHidden/>
          </w:rPr>
          <w:fldChar w:fldCharType="separate"/>
        </w:r>
        <w:r>
          <w:rPr>
            <w:noProof/>
            <w:webHidden/>
          </w:rPr>
          <w:t>3</w:t>
        </w:r>
        <w:r>
          <w:rPr>
            <w:noProof/>
            <w:webHidden/>
          </w:rPr>
          <w:fldChar w:fldCharType="end"/>
        </w:r>
      </w:hyperlink>
    </w:p>
    <w:p w14:paraId="7A1126E5" w14:textId="72D005AC" w:rsidR="0007015E" w:rsidRDefault="00D50A83">
      <w:pPr>
        <w:pStyle w:val="TableofFigures"/>
        <w:tabs>
          <w:tab w:val="right" w:leader="dot" w:pos="9016"/>
        </w:tabs>
        <w:rPr>
          <w:rFonts w:eastAsiaTheme="minorEastAsia"/>
          <w:noProof/>
          <w:lang w:val="en-GB" w:eastAsia="en-GB"/>
        </w:rPr>
      </w:pPr>
      <w:hyperlink w:anchor="_Toc239091686" w:history="1">
        <w:r w:rsidR="0007015E" w:rsidRPr="007A5E3B">
          <w:rPr>
            <w:rStyle w:val="Hyperlink"/>
            <w:rFonts w:ascii="Arial" w:hAnsi="Arial" w:cs="Arial"/>
            <w:noProof/>
            <w:lang w:val="en-GB"/>
          </w:rPr>
          <w:t>Table 2.Business Objectives and Goals</w:t>
        </w:r>
        <w:r w:rsidR="0007015E">
          <w:rPr>
            <w:noProof/>
            <w:webHidden/>
          </w:rPr>
          <w:tab/>
        </w:r>
        <w:r w:rsidR="0007015E">
          <w:rPr>
            <w:noProof/>
            <w:webHidden/>
          </w:rPr>
          <w:fldChar w:fldCharType="begin"/>
        </w:r>
        <w:r w:rsidR="0007015E">
          <w:rPr>
            <w:noProof/>
            <w:webHidden/>
          </w:rPr>
          <w:instrText xml:space="preserve"> PAGEREF _Toc239091686 \h </w:instrText>
        </w:r>
        <w:r w:rsidR="0007015E">
          <w:rPr>
            <w:noProof/>
            <w:webHidden/>
          </w:rPr>
        </w:r>
        <w:r w:rsidR="0007015E">
          <w:rPr>
            <w:noProof/>
            <w:webHidden/>
          </w:rPr>
          <w:fldChar w:fldCharType="separate"/>
        </w:r>
        <w:r w:rsidR="0007015E">
          <w:rPr>
            <w:noProof/>
            <w:webHidden/>
          </w:rPr>
          <w:t>6</w:t>
        </w:r>
        <w:r w:rsidR="0007015E">
          <w:rPr>
            <w:noProof/>
            <w:webHidden/>
          </w:rPr>
          <w:fldChar w:fldCharType="end"/>
        </w:r>
      </w:hyperlink>
    </w:p>
    <w:p w14:paraId="7F0E0B76" w14:textId="1FFC045C" w:rsidR="0007015E" w:rsidRDefault="00D50A83">
      <w:pPr>
        <w:pStyle w:val="TableofFigures"/>
        <w:tabs>
          <w:tab w:val="right" w:leader="dot" w:pos="9016"/>
        </w:tabs>
        <w:rPr>
          <w:rFonts w:eastAsiaTheme="minorEastAsia"/>
          <w:noProof/>
          <w:lang w:val="en-GB" w:eastAsia="en-GB"/>
        </w:rPr>
      </w:pPr>
      <w:hyperlink w:anchor="_Toc239091687" w:history="1">
        <w:r w:rsidR="0007015E" w:rsidRPr="007A5E3B">
          <w:rPr>
            <w:rStyle w:val="Hyperlink"/>
            <w:rFonts w:ascii="Arial" w:hAnsi="Arial" w:cs="Arial"/>
            <w:noProof/>
            <w:lang w:val="en-GB"/>
          </w:rPr>
          <w:t>Table 3.Application of Models and Frameworks</w:t>
        </w:r>
        <w:r w:rsidR="0007015E">
          <w:rPr>
            <w:noProof/>
            <w:webHidden/>
          </w:rPr>
          <w:tab/>
        </w:r>
        <w:r w:rsidR="0007015E">
          <w:rPr>
            <w:noProof/>
            <w:webHidden/>
          </w:rPr>
          <w:fldChar w:fldCharType="begin"/>
        </w:r>
        <w:r w:rsidR="0007015E">
          <w:rPr>
            <w:noProof/>
            <w:webHidden/>
          </w:rPr>
          <w:instrText xml:space="preserve"> PAGEREF _Toc239091687 \h </w:instrText>
        </w:r>
        <w:r w:rsidR="0007015E">
          <w:rPr>
            <w:noProof/>
            <w:webHidden/>
          </w:rPr>
        </w:r>
        <w:r w:rsidR="0007015E">
          <w:rPr>
            <w:noProof/>
            <w:webHidden/>
          </w:rPr>
          <w:fldChar w:fldCharType="separate"/>
        </w:r>
        <w:r w:rsidR="0007015E">
          <w:rPr>
            <w:noProof/>
            <w:webHidden/>
          </w:rPr>
          <w:t>14</w:t>
        </w:r>
        <w:r w:rsidR="0007015E">
          <w:rPr>
            <w:noProof/>
            <w:webHidden/>
          </w:rPr>
          <w:fldChar w:fldCharType="end"/>
        </w:r>
      </w:hyperlink>
    </w:p>
    <w:p w14:paraId="58DA99D6" w14:textId="3AE0F323" w:rsidR="0007015E" w:rsidRDefault="00D50A83">
      <w:pPr>
        <w:pStyle w:val="TableofFigures"/>
        <w:tabs>
          <w:tab w:val="right" w:leader="dot" w:pos="9016"/>
        </w:tabs>
        <w:rPr>
          <w:rFonts w:eastAsiaTheme="minorEastAsia"/>
          <w:noProof/>
          <w:lang w:val="en-GB" w:eastAsia="en-GB"/>
        </w:rPr>
      </w:pPr>
      <w:hyperlink w:anchor="_Toc239091688" w:history="1">
        <w:r w:rsidR="0007015E" w:rsidRPr="007A5E3B">
          <w:rPr>
            <w:rStyle w:val="Hyperlink"/>
            <w:rFonts w:ascii="Arial" w:hAnsi="Arial" w:cs="Arial"/>
            <w:noProof/>
          </w:rPr>
          <w:t>Table 4.: Local Competitive Landscape</w:t>
        </w:r>
        <w:r w:rsidR="0007015E">
          <w:rPr>
            <w:noProof/>
            <w:webHidden/>
          </w:rPr>
          <w:tab/>
        </w:r>
        <w:r w:rsidR="0007015E">
          <w:rPr>
            <w:noProof/>
            <w:webHidden/>
          </w:rPr>
          <w:fldChar w:fldCharType="begin"/>
        </w:r>
        <w:r w:rsidR="0007015E">
          <w:rPr>
            <w:noProof/>
            <w:webHidden/>
          </w:rPr>
          <w:instrText xml:space="preserve"> PAGEREF _Toc239091688 \h </w:instrText>
        </w:r>
        <w:r w:rsidR="0007015E">
          <w:rPr>
            <w:noProof/>
            <w:webHidden/>
          </w:rPr>
        </w:r>
        <w:r w:rsidR="0007015E">
          <w:rPr>
            <w:noProof/>
            <w:webHidden/>
          </w:rPr>
          <w:fldChar w:fldCharType="separate"/>
        </w:r>
        <w:r w:rsidR="0007015E">
          <w:rPr>
            <w:noProof/>
            <w:webHidden/>
          </w:rPr>
          <w:t>23</w:t>
        </w:r>
        <w:r w:rsidR="0007015E">
          <w:rPr>
            <w:noProof/>
            <w:webHidden/>
          </w:rPr>
          <w:fldChar w:fldCharType="end"/>
        </w:r>
      </w:hyperlink>
    </w:p>
    <w:p w14:paraId="554C9D34" w14:textId="31A64B3F" w:rsidR="0007015E" w:rsidRDefault="00D50A83">
      <w:pPr>
        <w:pStyle w:val="TableofFigures"/>
        <w:tabs>
          <w:tab w:val="right" w:leader="dot" w:pos="9016"/>
        </w:tabs>
        <w:rPr>
          <w:rFonts w:eastAsiaTheme="minorEastAsia"/>
          <w:noProof/>
          <w:lang w:val="en-GB" w:eastAsia="en-GB"/>
        </w:rPr>
      </w:pPr>
      <w:hyperlink w:anchor="_Toc239091689" w:history="1">
        <w:r w:rsidR="0007015E" w:rsidRPr="007A5E3B">
          <w:rPr>
            <w:rStyle w:val="Hyperlink"/>
            <w:rFonts w:ascii="Arial" w:hAnsi="Arial" w:cs="Arial"/>
            <w:noProof/>
          </w:rPr>
          <w:t>Table 5.PESTLE Analysis</w:t>
        </w:r>
        <w:r w:rsidR="0007015E">
          <w:rPr>
            <w:noProof/>
            <w:webHidden/>
          </w:rPr>
          <w:tab/>
        </w:r>
        <w:r w:rsidR="0007015E">
          <w:rPr>
            <w:noProof/>
            <w:webHidden/>
          </w:rPr>
          <w:fldChar w:fldCharType="begin"/>
        </w:r>
        <w:r w:rsidR="0007015E">
          <w:rPr>
            <w:noProof/>
            <w:webHidden/>
          </w:rPr>
          <w:instrText xml:space="preserve"> PAGEREF _Toc239091689 \h </w:instrText>
        </w:r>
        <w:r w:rsidR="0007015E">
          <w:rPr>
            <w:noProof/>
            <w:webHidden/>
          </w:rPr>
        </w:r>
        <w:r w:rsidR="0007015E">
          <w:rPr>
            <w:noProof/>
            <w:webHidden/>
          </w:rPr>
          <w:fldChar w:fldCharType="separate"/>
        </w:r>
        <w:r w:rsidR="0007015E">
          <w:rPr>
            <w:noProof/>
            <w:webHidden/>
          </w:rPr>
          <w:t>27</w:t>
        </w:r>
        <w:r w:rsidR="0007015E">
          <w:rPr>
            <w:noProof/>
            <w:webHidden/>
          </w:rPr>
          <w:fldChar w:fldCharType="end"/>
        </w:r>
      </w:hyperlink>
    </w:p>
    <w:p w14:paraId="7737B465" w14:textId="27026B71" w:rsidR="0007015E" w:rsidRDefault="00D50A83">
      <w:pPr>
        <w:pStyle w:val="TableofFigures"/>
        <w:tabs>
          <w:tab w:val="right" w:leader="dot" w:pos="9016"/>
        </w:tabs>
        <w:rPr>
          <w:rFonts w:eastAsiaTheme="minorEastAsia"/>
          <w:noProof/>
          <w:lang w:val="en-GB" w:eastAsia="en-GB"/>
        </w:rPr>
      </w:pPr>
      <w:hyperlink w:anchor="_Toc239091690" w:history="1">
        <w:r w:rsidR="0007015E" w:rsidRPr="007A5E3B">
          <w:rPr>
            <w:rStyle w:val="Hyperlink"/>
            <w:rFonts w:ascii="Arial" w:hAnsi="Arial" w:cs="Arial"/>
            <w:noProof/>
          </w:rPr>
          <w:t>Table 6.Key Success Factors</w:t>
        </w:r>
        <w:r w:rsidR="0007015E">
          <w:rPr>
            <w:noProof/>
            <w:webHidden/>
          </w:rPr>
          <w:tab/>
        </w:r>
        <w:r w:rsidR="0007015E">
          <w:rPr>
            <w:noProof/>
            <w:webHidden/>
          </w:rPr>
          <w:fldChar w:fldCharType="begin"/>
        </w:r>
        <w:r w:rsidR="0007015E">
          <w:rPr>
            <w:noProof/>
            <w:webHidden/>
          </w:rPr>
          <w:instrText xml:space="preserve"> PAGEREF _Toc239091690 \h </w:instrText>
        </w:r>
        <w:r w:rsidR="0007015E">
          <w:rPr>
            <w:noProof/>
            <w:webHidden/>
          </w:rPr>
        </w:r>
        <w:r w:rsidR="0007015E">
          <w:rPr>
            <w:noProof/>
            <w:webHidden/>
          </w:rPr>
          <w:fldChar w:fldCharType="separate"/>
        </w:r>
        <w:r w:rsidR="0007015E">
          <w:rPr>
            <w:noProof/>
            <w:webHidden/>
          </w:rPr>
          <w:t>29</w:t>
        </w:r>
        <w:r w:rsidR="0007015E">
          <w:rPr>
            <w:noProof/>
            <w:webHidden/>
          </w:rPr>
          <w:fldChar w:fldCharType="end"/>
        </w:r>
      </w:hyperlink>
    </w:p>
    <w:p w14:paraId="2F108519" w14:textId="3F92E544" w:rsidR="0007015E" w:rsidRDefault="00D50A83">
      <w:pPr>
        <w:pStyle w:val="TableofFigures"/>
        <w:tabs>
          <w:tab w:val="right" w:leader="dot" w:pos="9016"/>
        </w:tabs>
        <w:rPr>
          <w:rFonts w:eastAsiaTheme="minorEastAsia"/>
          <w:noProof/>
          <w:lang w:val="en-GB" w:eastAsia="en-GB"/>
        </w:rPr>
      </w:pPr>
      <w:hyperlink w:anchor="_Toc239091691" w:history="1">
        <w:r w:rsidR="0007015E" w:rsidRPr="007A5E3B">
          <w:rPr>
            <w:rStyle w:val="Hyperlink"/>
            <w:rFonts w:ascii="Arial" w:hAnsi="Arial" w:cs="Arial"/>
            <w:noProof/>
          </w:rPr>
          <w:t>Table 7.Internal Analysis: VRIO</w:t>
        </w:r>
        <w:r w:rsidR="0007015E">
          <w:rPr>
            <w:noProof/>
            <w:webHidden/>
          </w:rPr>
          <w:tab/>
        </w:r>
        <w:r w:rsidR="0007015E">
          <w:rPr>
            <w:noProof/>
            <w:webHidden/>
          </w:rPr>
          <w:fldChar w:fldCharType="begin"/>
        </w:r>
        <w:r w:rsidR="0007015E">
          <w:rPr>
            <w:noProof/>
            <w:webHidden/>
          </w:rPr>
          <w:instrText xml:space="preserve"> PAGEREF _Toc239091691 \h </w:instrText>
        </w:r>
        <w:r w:rsidR="0007015E">
          <w:rPr>
            <w:noProof/>
            <w:webHidden/>
          </w:rPr>
        </w:r>
        <w:r w:rsidR="0007015E">
          <w:rPr>
            <w:noProof/>
            <w:webHidden/>
          </w:rPr>
          <w:fldChar w:fldCharType="separate"/>
        </w:r>
        <w:r w:rsidR="0007015E">
          <w:rPr>
            <w:noProof/>
            <w:webHidden/>
          </w:rPr>
          <w:t>33</w:t>
        </w:r>
        <w:r w:rsidR="0007015E">
          <w:rPr>
            <w:noProof/>
            <w:webHidden/>
          </w:rPr>
          <w:fldChar w:fldCharType="end"/>
        </w:r>
      </w:hyperlink>
    </w:p>
    <w:p w14:paraId="27CED40B" w14:textId="0816AF29" w:rsidR="0007015E" w:rsidRDefault="00D50A83">
      <w:pPr>
        <w:pStyle w:val="TableofFigures"/>
        <w:tabs>
          <w:tab w:val="right" w:leader="dot" w:pos="9016"/>
        </w:tabs>
        <w:rPr>
          <w:rFonts w:eastAsiaTheme="minorEastAsia"/>
          <w:noProof/>
          <w:lang w:val="en-GB" w:eastAsia="en-GB"/>
        </w:rPr>
      </w:pPr>
      <w:hyperlink w:anchor="_Toc239091692" w:history="1">
        <w:r w:rsidR="0007015E" w:rsidRPr="007A5E3B">
          <w:rPr>
            <w:rStyle w:val="Hyperlink"/>
            <w:rFonts w:ascii="Arial" w:hAnsi="Arial" w:cs="Arial"/>
            <w:noProof/>
          </w:rPr>
          <w:t>Table 8.Strategy Selection</w:t>
        </w:r>
        <w:r w:rsidR="0007015E">
          <w:rPr>
            <w:noProof/>
            <w:webHidden/>
          </w:rPr>
          <w:tab/>
        </w:r>
        <w:r w:rsidR="0007015E">
          <w:rPr>
            <w:noProof/>
            <w:webHidden/>
          </w:rPr>
          <w:fldChar w:fldCharType="begin"/>
        </w:r>
        <w:r w:rsidR="0007015E">
          <w:rPr>
            <w:noProof/>
            <w:webHidden/>
          </w:rPr>
          <w:instrText xml:space="preserve"> PAGEREF _Toc239091692 \h </w:instrText>
        </w:r>
        <w:r w:rsidR="0007015E">
          <w:rPr>
            <w:noProof/>
            <w:webHidden/>
          </w:rPr>
        </w:r>
        <w:r w:rsidR="0007015E">
          <w:rPr>
            <w:noProof/>
            <w:webHidden/>
          </w:rPr>
          <w:fldChar w:fldCharType="separate"/>
        </w:r>
        <w:r w:rsidR="0007015E">
          <w:rPr>
            <w:noProof/>
            <w:webHidden/>
          </w:rPr>
          <w:t>36</w:t>
        </w:r>
        <w:r w:rsidR="0007015E">
          <w:rPr>
            <w:noProof/>
            <w:webHidden/>
          </w:rPr>
          <w:fldChar w:fldCharType="end"/>
        </w:r>
      </w:hyperlink>
    </w:p>
    <w:p w14:paraId="44A97A2B" w14:textId="67E5C2D2" w:rsidR="0007015E" w:rsidRDefault="00D50A83">
      <w:pPr>
        <w:pStyle w:val="TableofFigures"/>
        <w:tabs>
          <w:tab w:val="right" w:leader="dot" w:pos="9016"/>
        </w:tabs>
        <w:rPr>
          <w:rFonts w:eastAsiaTheme="minorEastAsia"/>
          <w:noProof/>
          <w:lang w:val="en-GB" w:eastAsia="en-GB"/>
        </w:rPr>
      </w:pPr>
      <w:hyperlink w:anchor="_Toc239091693" w:history="1">
        <w:r w:rsidR="0007015E" w:rsidRPr="007A5E3B">
          <w:rPr>
            <w:rStyle w:val="Hyperlink"/>
            <w:rFonts w:ascii="Arial" w:hAnsi="Arial" w:cs="Arial"/>
            <w:noProof/>
          </w:rPr>
          <w:t>Table 9.The preceding analysis</w:t>
        </w:r>
        <w:r w:rsidR="0007015E">
          <w:rPr>
            <w:noProof/>
            <w:webHidden/>
          </w:rPr>
          <w:tab/>
        </w:r>
        <w:r w:rsidR="0007015E">
          <w:rPr>
            <w:noProof/>
            <w:webHidden/>
          </w:rPr>
          <w:fldChar w:fldCharType="begin"/>
        </w:r>
        <w:r w:rsidR="0007015E">
          <w:rPr>
            <w:noProof/>
            <w:webHidden/>
          </w:rPr>
          <w:instrText xml:space="preserve"> PAGEREF _Toc239091693 \h </w:instrText>
        </w:r>
        <w:r w:rsidR="0007015E">
          <w:rPr>
            <w:noProof/>
            <w:webHidden/>
          </w:rPr>
        </w:r>
        <w:r w:rsidR="0007015E">
          <w:rPr>
            <w:noProof/>
            <w:webHidden/>
          </w:rPr>
          <w:fldChar w:fldCharType="separate"/>
        </w:r>
        <w:r w:rsidR="0007015E">
          <w:rPr>
            <w:noProof/>
            <w:webHidden/>
          </w:rPr>
          <w:t>38</w:t>
        </w:r>
        <w:r w:rsidR="0007015E">
          <w:rPr>
            <w:noProof/>
            <w:webHidden/>
          </w:rPr>
          <w:fldChar w:fldCharType="end"/>
        </w:r>
      </w:hyperlink>
    </w:p>
    <w:p w14:paraId="34C0AB19" w14:textId="16A21630" w:rsidR="0007015E" w:rsidRDefault="00D50A83">
      <w:pPr>
        <w:pStyle w:val="TableofFigures"/>
        <w:tabs>
          <w:tab w:val="right" w:leader="dot" w:pos="9016"/>
        </w:tabs>
        <w:rPr>
          <w:rFonts w:eastAsiaTheme="minorEastAsia"/>
          <w:noProof/>
          <w:lang w:val="en-GB" w:eastAsia="en-GB"/>
        </w:rPr>
      </w:pPr>
      <w:hyperlink w:anchor="_Toc239091694" w:history="1">
        <w:r w:rsidR="0007015E" w:rsidRPr="007A5E3B">
          <w:rPr>
            <w:rStyle w:val="Hyperlink"/>
            <w:rFonts w:ascii="Arial" w:hAnsi="Arial" w:cs="Arial"/>
            <w:noProof/>
          </w:rPr>
          <w:t>Table 10.Key Success Factors</w:t>
        </w:r>
        <w:r w:rsidR="0007015E">
          <w:rPr>
            <w:noProof/>
            <w:webHidden/>
          </w:rPr>
          <w:tab/>
        </w:r>
        <w:r w:rsidR="0007015E">
          <w:rPr>
            <w:noProof/>
            <w:webHidden/>
          </w:rPr>
          <w:fldChar w:fldCharType="begin"/>
        </w:r>
        <w:r w:rsidR="0007015E">
          <w:rPr>
            <w:noProof/>
            <w:webHidden/>
          </w:rPr>
          <w:instrText xml:space="preserve"> PAGEREF _Toc239091694 \h </w:instrText>
        </w:r>
        <w:r w:rsidR="0007015E">
          <w:rPr>
            <w:noProof/>
            <w:webHidden/>
          </w:rPr>
        </w:r>
        <w:r w:rsidR="0007015E">
          <w:rPr>
            <w:noProof/>
            <w:webHidden/>
          </w:rPr>
          <w:fldChar w:fldCharType="separate"/>
        </w:r>
        <w:r w:rsidR="0007015E">
          <w:rPr>
            <w:noProof/>
            <w:webHidden/>
          </w:rPr>
          <w:t>40</w:t>
        </w:r>
        <w:r w:rsidR="0007015E">
          <w:rPr>
            <w:noProof/>
            <w:webHidden/>
          </w:rPr>
          <w:fldChar w:fldCharType="end"/>
        </w:r>
      </w:hyperlink>
    </w:p>
    <w:p w14:paraId="5E70B200" w14:textId="4223A50A" w:rsidR="0007015E" w:rsidRDefault="00D50A83">
      <w:pPr>
        <w:pStyle w:val="TableofFigures"/>
        <w:tabs>
          <w:tab w:val="right" w:leader="dot" w:pos="9016"/>
        </w:tabs>
        <w:rPr>
          <w:rFonts w:eastAsiaTheme="minorEastAsia"/>
          <w:noProof/>
          <w:lang w:val="en-GB" w:eastAsia="en-GB"/>
        </w:rPr>
      </w:pPr>
      <w:hyperlink w:anchor="_Toc239091695" w:history="1">
        <w:r w:rsidR="0007015E" w:rsidRPr="007A5E3B">
          <w:rPr>
            <w:rStyle w:val="Hyperlink"/>
            <w:rFonts w:ascii="Arial" w:hAnsi="Arial" w:cs="Arial"/>
            <w:noProof/>
          </w:rPr>
          <w:t>Table 11.Revenue Streams and Membership Model</w:t>
        </w:r>
        <w:r w:rsidR="0007015E">
          <w:rPr>
            <w:noProof/>
            <w:webHidden/>
          </w:rPr>
          <w:tab/>
        </w:r>
        <w:r w:rsidR="0007015E">
          <w:rPr>
            <w:noProof/>
            <w:webHidden/>
          </w:rPr>
          <w:fldChar w:fldCharType="begin"/>
        </w:r>
        <w:r w:rsidR="0007015E">
          <w:rPr>
            <w:noProof/>
            <w:webHidden/>
          </w:rPr>
          <w:instrText xml:space="preserve"> PAGEREF _Toc239091695 \h </w:instrText>
        </w:r>
        <w:r w:rsidR="0007015E">
          <w:rPr>
            <w:noProof/>
            <w:webHidden/>
          </w:rPr>
        </w:r>
        <w:r w:rsidR="0007015E">
          <w:rPr>
            <w:noProof/>
            <w:webHidden/>
          </w:rPr>
          <w:fldChar w:fldCharType="separate"/>
        </w:r>
        <w:r w:rsidR="0007015E">
          <w:rPr>
            <w:noProof/>
            <w:webHidden/>
          </w:rPr>
          <w:t>43</w:t>
        </w:r>
        <w:r w:rsidR="0007015E">
          <w:rPr>
            <w:noProof/>
            <w:webHidden/>
          </w:rPr>
          <w:fldChar w:fldCharType="end"/>
        </w:r>
      </w:hyperlink>
    </w:p>
    <w:p w14:paraId="246994A0" w14:textId="35A8AF15" w:rsidR="0007015E" w:rsidRDefault="00D50A83">
      <w:pPr>
        <w:pStyle w:val="TableofFigures"/>
        <w:tabs>
          <w:tab w:val="right" w:leader="dot" w:pos="9016"/>
        </w:tabs>
        <w:rPr>
          <w:rFonts w:eastAsiaTheme="minorEastAsia"/>
          <w:noProof/>
          <w:lang w:val="en-GB" w:eastAsia="en-GB"/>
        </w:rPr>
      </w:pPr>
      <w:hyperlink w:anchor="_Toc239091696" w:history="1">
        <w:r w:rsidR="0007015E" w:rsidRPr="007A5E3B">
          <w:rPr>
            <w:rStyle w:val="Hyperlink"/>
            <w:rFonts w:ascii="Arial" w:hAnsi="Arial" w:cs="Arial"/>
            <w:noProof/>
          </w:rPr>
          <w:t>Table 12.Start-up investment &amp; funding.</w:t>
        </w:r>
        <w:r w:rsidR="0007015E">
          <w:rPr>
            <w:noProof/>
            <w:webHidden/>
          </w:rPr>
          <w:tab/>
        </w:r>
        <w:r w:rsidR="0007015E">
          <w:rPr>
            <w:noProof/>
            <w:webHidden/>
          </w:rPr>
          <w:fldChar w:fldCharType="begin"/>
        </w:r>
        <w:r w:rsidR="0007015E">
          <w:rPr>
            <w:noProof/>
            <w:webHidden/>
          </w:rPr>
          <w:instrText xml:space="preserve"> PAGEREF _Toc239091696 \h </w:instrText>
        </w:r>
        <w:r w:rsidR="0007015E">
          <w:rPr>
            <w:noProof/>
            <w:webHidden/>
          </w:rPr>
        </w:r>
        <w:r w:rsidR="0007015E">
          <w:rPr>
            <w:noProof/>
            <w:webHidden/>
          </w:rPr>
          <w:fldChar w:fldCharType="separate"/>
        </w:r>
        <w:r w:rsidR="0007015E">
          <w:rPr>
            <w:noProof/>
            <w:webHidden/>
          </w:rPr>
          <w:t>47</w:t>
        </w:r>
        <w:r w:rsidR="0007015E">
          <w:rPr>
            <w:noProof/>
            <w:webHidden/>
          </w:rPr>
          <w:fldChar w:fldCharType="end"/>
        </w:r>
      </w:hyperlink>
    </w:p>
    <w:p w14:paraId="017783D0" w14:textId="067B12BC" w:rsidR="0007015E" w:rsidRDefault="00D50A83">
      <w:pPr>
        <w:pStyle w:val="TableofFigures"/>
        <w:tabs>
          <w:tab w:val="right" w:leader="dot" w:pos="9016"/>
        </w:tabs>
        <w:rPr>
          <w:rFonts w:eastAsiaTheme="minorEastAsia"/>
          <w:noProof/>
          <w:lang w:val="en-GB" w:eastAsia="en-GB"/>
        </w:rPr>
      </w:pPr>
      <w:hyperlink w:anchor="_Toc239091697" w:history="1">
        <w:r w:rsidR="0007015E" w:rsidRPr="007A5E3B">
          <w:rPr>
            <w:rStyle w:val="Hyperlink"/>
            <w:rFonts w:ascii="Arial" w:hAnsi="Arial" w:cs="Arial"/>
            <w:noProof/>
          </w:rPr>
          <w:t>Table 13.Revenue and profitability forecast</w:t>
        </w:r>
        <w:r w:rsidR="0007015E">
          <w:rPr>
            <w:noProof/>
            <w:webHidden/>
          </w:rPr>
          <w:tab/>
        </w:r>
        <w:r w:rsidR="0007015E">
          <w:rPr>
            <w:noProof/>
            <w:webHidden/>
          </w:rPr>
          <w:fldChar w:fldCharType="begin"/>
        </w:r>
        <w:r w:rsidR="0007015E">
          <w:rPr>
            <w:noProof/>
            <w:webHidden/>
          </w:rPr>
          <w:instrText xml:space="preserve"> PAGEREF _Toc239091697 \h </w:instrText>
        </w:r>
        <w:r w:rsidR="0007015E">
          <w:rPr>
            <w:noProof/>
            <w:webHidden/>
          </w:rPr>
        </w:r>
        <w:r w:rsidR="0007015E">
          <w:rPr>
            <w:noProof/>
            <w:webHidden/>
          </w:rPr>
          <w:fldChar w:fldCharType="separate"/>
        </w:r>
        <w:r w:rsidR="0007015E">
          <w:rPr>
            <w:noProof/>
            <w:webHidden/>
          </w:rPr>
          <w:t>48</w:t>
        </w:r>
        <w:r w:rsidR="0007015E">
          <w:rPr>
            <w:noProof/>
            <w:webHidden/>
          </w:rPr>
          <w:fldChar w:fldCharType="end"/>
        </w:r>
      </w:hyperlink>
    </w:p>
    <w:p w14:paraId="61087330" w14:textId="30F8E735" w:rsidR="0007015E" w:rsidRDefault="00D50A83">
      <w:pPr>
        <w:pStyle w:val="TableofFigures"/>
        <w:tabs>
          <w:tab w:val="right" w:leader="dot" w:pos="9016"/>
        </w:tabs>
        <w:rPr>
          <w:rFonts w:eastAsiaTheme="minorEastAsia"/>
          <w:noProof/>
          <w:lang w:val="en-GB" w:eastAsia="en-GB"/>
        </w:rPr>
      </w:pPr>
      <w:hyperlink w:anchor="_Toc239091698" w:history="1">
        <w:r w:rsidR="0007015E" w:rsidRPr="007A5E3B">
          <w:rPr>
            <w:rStyle w:val="Hyperlink"/>
            <w:rFonts w:ascii="Arial" w:hAnsi="Arial" w:cs="Arial"/>
            <w:i/>
            <w:iCs/>
            <w:noProof/>
            <w:kern w:val="2"/>
            <w14:ligatures w14:val="standardContextual"/>
          </w:rPr>
          <w:t>Table 14.Milestones and Timeline</w:t>
        </w:r>
        <w:r w:rsidR="0007015E">
          <w:rPr>
            <w:noProof/>
            <w:webHidden/>
          </w:rPr>
          <w:tab/>
        </w:r>
        <w:r w:rsidR="0007015E">
          <w:rPr>
            <w:noProof/>
            <w:webHidden/>
          </w:rPr>
          <w:fldChar w:fldCharType="begin"/>
        </w:r>
        <w:r w:rsidR="0007015E">
          <w:rPr>
            <w:noProof/>
            <w:webHidden/>
          </w:rPr>
          <w:instrText xml:space="preserve"> PAGEREF _Toc239091698 \h </w:instrText>
        </w:r>
        <w:r w:rsidR="0007015E">
          <w:rPr>
            <w:noProof/>
            <w:webHidden/>
          </w:rPr>
        </w:r>
        <w:r w:rsidR="0007015E">
          <w:rPr>
            <w:noProof/>
            <w:webHidden/>
          </w:rPr>
          <w:fldChar w:fldCharType="separate"/>
        </w:r>
        <w:r w:rsidR="0007015E">
          <w:rPr>
            <w:noProof/>
            <w:webHidden/>
          </w:rPr>
          <w:t>64</w:t>
        </w:r>
        <w:r w:rsidR="0007015E">
          <w:rPr>
            <w:noProof/>
            <w:webHidden/>
          </w:rPr>
          <w:fldChar w:fldCharType="end"/>
        </w:r>
      </w:hyperlink>
    </w:p>
    <w:p w14:paraId="1C37F439" w14:textId="251EFA07" w:rsidR="0007015E" w:rsidRDefault="00D50A83">
      <w:pPr>
        <w:pStyle w:val="TableofFigures"/>
        <w:tabs>
          <w:tab w:val="right" w:leader="dot" w:pos="9016"/>
        </w:tabs>
        <w:rPr>
          <w:rFonts w:eastAsiaTheme="minorEastAsia"/>
          <w:noProof/>
          <w:lang w:val="en-GB" w:eastAsia="en-GB"/>
        </w:rPr>
      </w:pPr>
      <w:hyperlink w:anchor="_Toc239091699" w:history="1">
        <w:r w:rsidR="0007015E" w:rsidRPr="007A5E3B">
          <w:rPr>
            <w:rStyle w:val="Hyperlink"/>
            <w:rFonts w:ascii="Arial" w:hAnsi="Arial" w:cs="Arial"/>
            <w:i/>
            <w:iCs/>
            <w:noProof/>
            <w:kern w:val="2"/>
            <w14:ligatures w14:val="standardContextual"/>
          </w:rPr>
          <w:t>Table 15.KPIs, Monitoring and Control</w:t>
        </w:r>
        <w:r w:rsidR="0007015E">
          <w:rPr>
            <w:noProof/>
            <w:webHidden/>
          </w:rPr>
          <w:tab/>
        </w:r>
        <w:r w:rsidR="0007015E">
          <w:rPr>
            <w:noProof/>
            <w:webHidden/>
          </w:rPr>
          <w:fldChar w:fldCharType="begin"/>
        </w:r>
        <w:r w:rsidR="0007015E">
          <w:rPr>
            <w:noProof/>
            <w:webHidden/>
          </w:rPr>
          <w:instrText xml:space="preserve"> PAGEREF _Toc239091699 \h </w:instrText>
        </w:r>
        <w:r w:rsidR="0007015E">
          <w:rPr>
            <w:noProof/>
            <w:webHidden/>
          </w:rPr>
        </w:r>
        <w:r w:rsidR="0007015E">
          <w:rPr>
            <w:noProof/>
            <w:webHidden/>
          </w:rPr>
          <w:fldChar w:fldCharType="separate"/>
        </w:r>
        <w:r w:rsidR="0007015E">
          <w:rPr>
            <w:noProof/>
            <w:webHidden/>
          </w:rPr>
          <w:t>65</w:t>
        </w:r>
        <w:r w:rsidR="0007015E">
          <w:rPr>
            <w:noProof/>
            <w:webHidden/>
          </w:rPr>
          <w:fldChar w:fldCharType="end"/>
        </w:r>
      </w:hyperlink>
    </w:p>
    <w:p w14:paraId="6C0DB49B" w14:textId="302F028B" w:rsidR="003E4183" w:rsidRPr="00C362B0" w:rsidRDefault="0007015E" w:rsidP="009D716D">
      <w:pPr>
        <w:spacing w:line="360" w:lineRule="auto"/>
        <w:jc w:val="both"/>
        <w:rPr>
          <w:rFonts w:ascii="Arial" w:hAnsi="Arial" w:cs="Arial"/>
          <w:sz w:val="24"/>
          <w:szCs w:val="24"/>
          <w:lang w:val="en-GB"/>
        </w:rPr>
      </w:pPr>
      <w:r>
        <w:rPr>
          <w:rFonts w:ascii="Arial" w:hAnsi="Arial" w:cs="Arial"/>
          <w:sz w:val="24"/>
          <w:szCs w:val="24"/>
          <w:lang w:val="en-GB"/>
        </w:rPr>
        <w:fldChar w:fldCharType="end"/>
      </w:r>
    </w:p>
    <w:p w14:paraId="21FCCA8A" w14:textId="5C08AC2F" w:rsidR="00F77588" w:rsidRPr="00F77588" w:rsidRDefault="003E4183" w:rsidP="00F77588">
      <w:pPr>
        <w:spacing w:line="360" w:lineRule="auto"/>
        <w:jc w:val="center"/>
        <w:rPr>
          <w:rFonts w:ascii="Arial" w:hAnsi="Arial" w:cs="Arial"/>
          <w:b/>
          <w:sz w:val="28"/>
          <w:szCs w:val="24"/>
          <w:lang w:val="en-GB"/>
        </w:rPr>
      </w:pPr>
      <w:r w:rsidRPr="00C362B0">
        <w:rPr>
          <w:rFonts w:ascii="Arial" w:hAnsi="Arial" w:cs="Arial"/>
          <w:b/>
          <w:sz w:val="28"/>
          <w:szCs w:val="24"/>
          <w:lang w:val="en-GB"/>
        </w:rPr>
        <w:t>List of Figure</w:t>
      </w:r>
    </w:p>
    <w:p w14:paraId="2B6EB2EB" w14:textId="2549BEC6" w:rsidR="00DC6032" w:rsidRDefault="00DC6032">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"Figure" </w:instrText>
      </w:r>
      <w:r>
        <w:rPr>
          <w:rFonts w:ascii="Arial" w:hAnsi="Arial" w:cs="Arial"/>
          <w:sz w:val="24"/>
          <w:szCs w:val="24"/>
          <w:lang w:val="en-GB"/>
        </w:rPr>
        <w:fldChar w:fldCharType="separate"/>
      </w:r>
      <w:hyperlink w:anchor="_Toc239091510" w:history="1">
        <w:r w:rsidRPr="000005B9">
          <w:rPr>
            <w:rStyle w:val="Hyperlink"/>
            <w:rFonts w:ascii="Arial" w:hAnsi="Arial" w:cs="Arial"/>
            <w:noProof/>
          </w:rPr>
          <w:t>Figure 1: Proposed Competitive Positioning Map</w:t>
        </w:r>
        <w:r>
          <w:rPr>
            <w:noProof/>
            <w:webHidden/>
          </w:rPr>
          <w:tab/>
        </w:r>
        <w:r>
          <w:rPr>
            <w:noProof/>
            <w:webHidden/>
          </w:rPr>
          <w:fldChar w:fldCharType="begin"/>
        </w:r>
        <w:r>
          <w:rPr>
            <w:noProof/>
            <w:webHidden/>
          </w:rPr>
          <w:instrText xml:space="preserve"> PAGEREF _Toc239091510 \h </w:instrText>
        </w:r>
        <w:r>
          <w:rPr>
            <w:noProof/>
            <w:webHidden/>
          </w:rPr>
        </w:r>
        <w:r>
          <w:rPr>
            <w:noProof/>
            <w:webHidden/>
          </w:rPr>
          <w:fldChar w:fldCharType="separate"/>
        </w:r>
        <w:r>
          <w:rPr>
            <w:noProof/>
            <w:webHidden/>
          </w:rPr>
          <w:t>25</w:t>
        </w:r>
        <w:r>
          <w:rPr>
            <w:noProof/>
            <w:webHidden/>
          </w:rPr>
          <w:fldChar w:fldCharType="end"/>
        </w:r>
      </w:hyperlink>
    </w:p>
    <w:p w14:paraId="50D2B6CA" w14:textId="6E0D4B92" w:rsidR="00DC6032" w:rsidRDefault="00D50A83">
      <w:pPr>
        <w:pStyle w:val="TableofFigures"/>
        <w:tabs>
          <w:tab w:val="right" w:leader="dot" w:pos="9016"/>
        </w:tabs>
        <w:rPr>
          <w:rFonts w:eastAsiaTheme="minorEastAsia"/>
          <w:noProof/>
          <w:lang w:val="en-GB" w:eastAsia="en-GB"/>
        </w:rPr>
      </w:pPr>
      <w:hyperlink w:anchor="_Toc239091511" w:history="1">
        <w:r w:rsidR="00DC6032" w:rsidRPr="000005B9">
          <w:rPr>
            <w:rStyle w:val="Hyperlink"/>
            <w:rFonts w:ascii="Arial" w:hAnsi="Arial" w:cs="Arial"/>
            <w:noProof/>
          </w:rPr>
          <w:t>Figure 2.: FitLife Operational Process</w:t>
        </w:r>
        <w:r w:rsidR="00DC6032">
          <w:rPr>
            <w:noProof/>
            <w:webHidden/>
          </w:rPr>
          <w:tab/>
        </w:r>
        <w:r w:rsidR="00DC6032">
          <w:rPr>
            <w:noProof/>
            <w:webHidden/>
          </w:rPr>
          <w:fldChar w:fldCharType="begin"/>
        </w:r>
        <w:r w:rsidR="00DC6032">
          <w:rPr>
            <w:noProof/>
            <w:webHidden/>
          </w:rPr>
          <w:instrText xml:space="preserve"> PAGEREF _Toc239091511 \h </w:instrText>
        </w:r>
        <w:r w:rsidR="00DC6032">
          <w:rPr>
            <w:noProof/>
            <w:webHidden/>
          </w:rPr>
        </w:r>
        <w:r w:rsidR="00DC6032">
          <w:rPr>
            <w:noProof/>
            <w:webHidden/>
          </w:rPr>
          <w:fldChar w:fldCharType="separate"/>
        </w:r>
        <w:r w:rsidR="00DC6032">
          <w:rPr>
            <w:noProof/>
            <w:webHidden/>
          </w:rPr>
          <w:t>55</w:t>
        </w:r>
        <w:r w:rsidR="00DC6032">
          <w:rPr>
            <w:noProof/>
            <w:webHidden/>
          </w:rPr>
          <w:fldChar w:fldCharType="end"/>
        </w:r>
      </w:hyperlink>
    </w:p>
    <w:p w14:paraId="21D8E3F0" w14:textId="49570422" w:rsidR="00E56550" w:rsidRDefault="00DC6032" w:rsidP="009D716D">
      <w:pPr>
        <w:spacing w:line="360" w:lineRule="auto"/>
        <w:jc w:val="both"/>
        <w:rPr>
          <w:rFonts w:ascii="Arial" w:hAnsi="Arial" w:cs="Arial"/>
          <w:sz w:val="24"/>
          <w:szCs w:val="24"/>
          <w:lang w:val="en-GB"/>
        </w:rPr>
      </w:pPr>
      <w:r>
        <w:rPr>
          <w:rFonts w:ascii="Arial" w:hAnsi="Arial" w:cs="Arial"/>
          <w:sz w:val="24"/>
          <w:szCs w:val="24"/>
          <w:lang w:val="en-GB"/>
        </w:rPr>
        <w:fldChar w:fldCharType="end"/>
      </w:r>
    </w:p>
    <w:p w14:paraId="2A46745B" w14:textId="5250342F" w:rsidR="00E56550" w:rsidRDefault="00E56550" w:rsidP="00E56550">
      <w:pPr>
        <w:rPr>
          <w:rFonts w:ascii="Arial" w:hAnsi="Arial" w:cs="Arial"/>
          <w:sz w:val="24"/>
          <w:szCs w:val="24"/>
          <w:lang w:val="en-GB"/>
        </w:rPr>
      </w:pPr>
    </w:p>
    <w:p w14:paraId="69EEC577" w14:textId="380E27A8" w:rsidR="00E56550" w:rsidRDefault="00E56550" w:rsidP="00E56550">
      <w:pPr>
        <w:rPr>
          <w:rFonts w:ascii="Arial" w:hAnsi="Arial" w:cs="Arial"/>
          <w:sz w:val="24"/>
          <w:szCs w:val="24"/>
          <w:lang w:val="en-GB"/>
        </w:rPr>
      </w:pPr>
    </w:p>
    <w:p w14:paraId="121430F9" w14:textId="32BFFA9F" w:rsidR="00E56550" w:rsidRDefault="00E56550" w:rsidP="00E56550">
      <w:pPr>
        <w:rPr>
          <w:rFonts w:ascii="Arial" w:hAnsi="Arial" w:cs="Arial"/>
          <w:sz w:val="24"/>
          <w:szCs w:val="24"/>
          <w:lang w:val="en-GB"/>
        </w:rPr>
      </w:pPr>
    </w:p>
    <w:p w14:paraId="09FE841A" w14:textId="05A6D5C7" w:rsidR="00E56550" w:rsidRDefault="00E56550" w:rsidP="00E56550">
      <w:pPr>
        <w:rPr>
          <w:rFonts w:ascii="Arial" w:hAnsi="Arial" w:cs="Arial"/>
          <w:sz w:val="24"/>
          <w:szCs w:val="24"/>
          <w:lang w:val="en-GB"/>
        </w:rPr>
      </w:pPr>
    </w:p>
    <w:p w14:paraId="6C63EB90" w14:textId="43E3722B" w:rsidR="00E56550" w:rsidRDefault="00E56550" w:rsidP="00E56550">
      <w:pPr>
        <w:rPr>
          <w:rFonts w:ascii="Arial" w:hAnsi="Arial" w:cs="Arial"/>
          <w:sz w:val="24"/>
          <w:szCs w:val="24"/>
          <w:lang w:val="en-GB"/>
        </w:rPr>
      </w:pPr>
    </w:p>
    <w:p w14:paraId="079FA3EE" w14:textId="5690A775" w:rsidR="00E56550" w:rsidRDefault="00E56550" w:rsidP="00E56550">
      <w:pPr>
        <w:rPr>
          <w:rFonts w:ascii="Arial" w:hAnsi="Arial" w:cs="Arial"/>
          <w:sz w:val="24"/>
          <w:szCs w:val="24"/>
          <w:lang w:val="en-GB"/>
        </w:rPr>
      </w:pPr>
    </w:p>
    <w:p w14:paraId="067511B1" w14:textId="47B56A14" w:rsidR="00E56550" w:rsidRDefault="00E56550" w:rsidP="00E56550">
      <w:pPr>
        <w:rPr>
          <w:rFonts w:ascii="Arial" w:hAnsi="Arial" w:cs="Arial"/>
          <w:sz w:val="24"/>
          <w:szCs w:val="24"/>
          <w:lang w:val="en-GB"/>
        </w:rPr>
      </w:pPr>
    </w:p>
    <w:p w14:paraId="15B36719" w14:textId="4CCE3B92" w:rsidR="00E56550" w:rsidRDefault="00E56550" w:rsidP="00E56550">
      <w:pPr>
        <w:rPr>
          <w:rFonts w:ascii="Arial" w:hAnsi="Arial" w:cs="Arial"/>
          <w:sz w:val="24"/>
          <w:szCs w:val="24"/>
          <w:lang w:val="en-GB"/>
        </w:rPr>
      </w:pPr>
    </w:p>
    <w:p w14:paraId="1ED027C8" w14:textId="45100F51" w:rsidR="00E56550" w:rsidRDefault="00E56550" w:rsidP="00E56550">
      <w:pPr>
        <w:rPr>
          <w:rFonts w:ascii="Arial" w:hAnsi="Arial" w:cs="Arial"/>
          <w:sz w:val="24"/>
          <w:szCs w:val="24"/>
          <w:lang w:val="en-GB"/>
        </w:rPr>
      </w:pPr>
    </w:p>
    <w:p w14:paraId="1428780F" w14:textId="61B92217" w:rsidR="00E56550" w:rsidRDefault="00E56550" w:rsidP="00E56550">
      <w:pPr>
        <w:rPr>
          <w:rFonts w:ascii="Arial" w:hAnsi="Arial" w:cs="Arial"/>
          <w:sz w:val="24"/>
          <w:szCs w:val="24"/>
          <w:lang w:val="en-GB"/>
        </w:rPr>
      </w:pPr>
    </w:p>
    <w:p w14:paraId="67F4602C" w14:textId="0DCD1CF6" w:rsidR="00E56550" w:rsidRDefault="00E56550" w:rsidP="00E56550">
      <w:pPr>
        <w:rPr>
          <w:rFonts w:ascii="Arial" w:hAnsi="Arial" w:cs="Arial"/>
          <w:sz w:val="24"/>
          <w:szCs w:val="24"/>
          <w:lang w:val="en-GB"/>
        </w:rPr>
      </w:pPr>
      <w:bookmarkStart w:id="0" w:name="_GoBack"/>
      <w:bookmarkEnd w:id="0"/>
    </w:p>
    <w:p w14:paraId="5AC4C3C3" w14:textId="77777777" w:rsidR="00E56550" w:rsidRPr="00E56550" w:rsidRDefault="00E56550" w:rsidP="00E56550">
      <w:pPr>
        <w:pStyle w:val="Heading1"/>
        <w:jc w:val="center"/>
        <w:rPr>
          <w:lang w:val="en-GB"/>
        </w:rPr>
      </w:pPr>
      <w:bookmarkStart w:id="1" w:name="_Toc239188483"/>
      <w:r w:rsidRPr="00E56550">
        <w:rPr>
          <w:lang w:val="en-GB"/>
        </w:rPr>
        <w:lastRenderedPageBreak/>
        <w:t>Executive Summary</w:t>
      </w:r>
      <w:bookmarkEnd w:id="1"/>
    </w:p>
    <w:p w14:paraId="4996EB41"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 xml:space="preserve">This business development proposal explores the viability of the technology-driven fitness and wellness business, </w:t>
      </w:r>
      <w:proofErr w:type="spellStart"/>
      <w:r w:rsidRPr="00E56550">
        <w:rPr>
          <w:rFonts w:ascii="Arial" w:hAnsi="Arial" w:cs="Arial"/>
          <w:bCs/>
          <w:sz w:val="24"/>
          <w:szCs w:val="24"/>
          <w:lang w:val="en-GB"/>
        </w:rPr>
        <w:t>FitLife</w:t>
      </w:r>
      <w:proofErr w:type="spellEnd"/>
      <w:r w:rsidRPr="00E56550">
        <w:rPr>
          <w:rFonts w:ascii="Arial" w:hAnsi="Arial" w:cs="Arial"/>
          <w:bCs/>
          <w:sz w:val="24"/>
          <w:szCs w:val="24"/>
          <w:lang w:val="en-GB"/>
        </w:rPr>
        <w:t xml:space="preserve"> Smart Gym, to address consumer demand to have fitness services delivered that are convenient, personalised, and accessible. The proposal utilizes existing business and strategic tools such as PESTLE analysis, Porter's Five Forces, STP, Business Model Canvas (BMC), Break-Even and Sensitivity analysis. Such frameworks offer a structured foundation for the external environment analysis, the opportunity of the customer, the competitive position, the business model and the financial sustainability (Porter, 1980; </w:t>
      </w:r>
      <w:proofErr w:type="spellStart"/>
      <w:r w:rsidRPr="00E56550">
        <w:rPr>
          <w:rFonts w:ascii="Arial" w:hAnsi="Arial" w:cs="Arial"/>
          <w:bCs/>
          <w:sz w:val="24"/>
          <w:szCs w:val="24"/>
          <w:lang w:val="en-GB"/>
        </w:rPr>
        <w:t>Osterwalder</w:t>
      </w:r>
      <w:proofErr w:type="spellEnd"/>
      <w:r w:rsidRPr="00E56550">
        <w:rPr>
          <w:rFonts w:ascii="Arial" w:hAnsi="Arial" w:cs="Arial"/>
          <w:bCs/>
          <w:sz w:val="24"/>
          <w:szCs w:val="24"/>
          <w:lang w:val="en-GB"/>
        </w:rPr>
        <w:t xml:space="preserve"> and </w:t>
      </w:r>
      <w:proofErr w:type="spellStart"/>
      <w:r w:rsidRPr="00E56550">
        <w:rPr>
          <w:rFonts w:ascii="Arial" w:hAnsi="Arial" w:cs="Arial"/>
          <w:bCs/>
          <w:sz w:val="24"/>
          <w:szCs w:val="24"/>
          <w:lang w:val="en-GB"/>
        </w:rPr>
        <w:t>Pigneur</w:t>
      </w:r>
      <w:proofErr w:type="spellEnd"/>
      <w:r w:rsidRPr="00E56550">
        <w:rPr>
          <w:rFonts w:ascii="Arial" w:hAnsi="Arial" w:cs="Arial"/>
          <w:bCs/>
          <w:sz w:val="24"/>
          <w:szCs w:val="24"/>
          <w:lang w:val="en-GB"/>
        </w:rPr>
        <w:t>, 2010).</w:t>
      </w:r>
    </w:p>
    <w:p w14:paraId="3DCBE72B"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 xml:space="preserve">The key business opportunity is that customers want more flexible, customisable and convenient fitness services than the traditional gym offerings. Today's consumers are more likely to appreciate digitally-enhanced experiences and services that can complement their work, lifestyle, and personal fitness goals. Therefore, with this in mind, </w:t>
      </w:r>
      <w:proofErr w:type="spellStart"/>
      <w:r w:rsidRPr="00E56550">
        <w:rPr>
          <w:rFonts w:ascii="Arial" w:hAnsi="Arial" w:cs="Arial"/>
          <w:bCs/>
          <w:sz w:val="24"/>
          <w:szCs w:val="24"/>
          <w:lang w:val="en-GB"/>
        </w:rPr>
        <w:t>FitLife</w:t>
      </w:r>
      <w:proofErr w:type="spellEnd"/>
      <w:r w:rsidRPr="00E56550">
        <w:rPr>
          <w:rFonts w:ascii="Arial" w:hAnsi="Arial" w:cs="Arial"/>
          <w:bCs/>
          <w:sz w:val="24"/>
          <w:szCs w:val="24"/>
          <w:lang w:val="en-GB"/>
        </w:rPr>
        <w:t xml:space="preserve"> Smart Gym offers an integrated fitness experience that fuses physical gym facilities with digital support, personalised programmes and customer-centric services.</w:t>
      </w:r>
    </w:p>
    <w:p w14:paraId="52702C32"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The audience consists of people who want to stay physically fit or get fit, but who have limited time and/or need flexibility. It is proposed to segment the market based on the demographic, behavioural and lifestyle characteristics, this will enable the venture to target those customers who have a greater need for personalised and accessible fitness services. Effective segmentation and targeting allows businesses to focus marketing activities on those customers who are most likely to respond to the value proposition (Kotler and Keller, 2016).</w:t>
      </w:r>
    </w:p>
    <w:p w14:paraId="345C5042" w14:textId="77777777" w:rsidR="00E56550" w:rsidRPr="00E56550" w:rsidRDefault="00E56550" w:rsidP="00E56550">
      <w:pPr>
        <w:spacing w:before="240" w:line="360" w:lineRule="auto"/>
        <w:jc w:val="both"/>
        <w:rPr>
          <w:rFonts w:ascii="Arial" w:hAnsi="Arial" w:cs="Arial"/>
          <w:bCs/>
          <w:sz w:val="24"/>
          <w:szCs w:val="24"/>
          <w:lang w:val="en-GB"/>
        </w:rPr>
      </w:pPr>
      <w:proofErr w:type="spellStart"/>
      <w:r w:rsidRPr="00E56550">
        <w:rPr>
          <w:rFonts w:ascii="Arial" w:hAnsi="Arial" w:cs="Arial"/>
          <w:bCs/>
          <w:sz w:val="24"/>
          <w:szCs w:val="24"/>
          <w:lang w:val="en-GB"/>
        </w:rPr>
        <w:t>FitLife</w:t>
      </w:r>
      <w:proofErr w:type="spellEnd"/>
      <w:r w:rsidRPr="00E56550">
        <w:rPr>
          <w:rFonts w:ascii="Arial" w:hAnsi="Arial" w:cs="Arial"/>
          <w:bCs/>
          <w:sz w:val="24"/>
          <w:szCs w:val="24"/>
          <w:lang w:val="en-GB"/>
        </w:rPr>
        <w:t xml:space="preserve"> Smart Gym's value proposition is in offering gym facilities that are easy to access, support that’s tailored to the individual, and convenience that's supported by technology, all within a customer-focused service environment. The business will not only compete on price but will focus on offering a more integrated experience, as opposed to a typical gym. The resource based view implies that sustainable competitive advantage can arise if a firm's valuable capabilities and resources are organized efficiently and are hard for its competitors to duplicate (Barney, 1991). </w:t>
      </w:r>
      <w:r w:rsidRPr="00E56550">
        <w:rPr>
          <w:rFonts w:ascii="Arial" w:hAnsi="Arial" w:cs="Arial"/>
          <w:bCs/>
          <w:sz w:val="24"/>
          <w:szCs w:val="24"/>
          <w:lang w:val="en-GB"/>
        </w:rPr>
        <w:lastRenderedPageBreak/>
        <w:t>Therefore, the capability of employees, customer relations, digital systems and quality of service are key areas where advantages may lie.</w:t>
      </w:r>
    </w:p>
    <w:p w14:paraId="547FC28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The Business Model Canvas illustrates how the suggested value proposition relates to the target clients, distribution channels, client relationships, key resources, key activities, partnerships, revenue streams and costs (</w:t>
      </w:r>
      <w:proofErr w:type="spellStart"/>
      <w:r w:rsidRPr="00E56550">
        <w:rPr>
          <w:rFonts w:ascii="Arial" w:hAnsi="Arial" w:cs="Arial"/>
          <w:bCs/>
          <w:sz w:val="24"/>
          <w:szCs w:val="24"/>
          <w:lang w:val="en-GB"/>
        </w:rPr>
        <w:t>Osterwalder</w:t>
      </w:r>
      <w:proofErr w:type="spellEnd"/>
      <w:r w:rsidRPr="00E56550">
        <w:rPr>
          <w:rFonts w:ascii="Arial" w:hAnsi="Arial" w:cs="Arial"/>
          <w:bCs/>
          <w:sz w:val="24"/>
          <w:szCs w:val="24"/>
          <w:lang w:val="en-GB"/>
        </w:rPr>
        <w:t xml:space="preserve"> and </w:t>
      </w:r>
      <w:proofErr w:type="spellStart"/>
      <w:r w:rsidRPr="00E56550">
        <w:rPr>
          <w:rFonts w:ascii="Arial" w:hAnsi="Arial" w:cs="Arial"/>
          <w:bCs/>
          <w:sz w:val="24"/>
          <w:szCs w:val="24"/>
          <w:lang w:val="en-GB"/>
        </w:rPr>
        <w:t>Pigneur</w:t>
      </w:r>
      <w:proofErr w:type="spellEnd"/>
      <w:r w:rsidRPr="00E56550">
        <w:rPr>
          <w:rFonts w:ascii="Arial" w:hAnsi="Arial" w:cs="Arial"/>
          <w:bCs/>
          <w:sz w:val="24"/>
          <w:szCs w:val="24"/>
          <w:lang w:val="en-GB"/>
        </w:rPr>
        <w:t>, 2010). Marketing and sales activities are aimed at awareness generation, lead generation and conversion of leads into customers, and retention activities are aimed at making customers want to use the product/services again and have a long-term relationship with the brand. The operational plan is supported by the facilities, technology, staffing, suppliers, quality controls and customer-service processes of this model.</w:t>
      </w:r>
    </w:p>
    <w:p w14:paraId="4455902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Viability is reliant on realistic customer volumes, suitable pricing and operating expenditure control, according to financial analysis. The financial plan takes into account start-up investment, operating costs, revenue generation, contribution, break-even and cash requirements. Furthermore, the business needs to meet its fixed costs in order to achieve sustainable profitability, and break-even analysis is important because it helps the business to determine the minimum level of sales it needs to achieve to cover its fixed costs (</w:t>
      </w:r>
      <w:proofErr w:type="spellStart"/>
      <w:r w:rsidRPr="00E56550">
        <w:rPr>
          <w:rFonts w:ascii="Arial" w:hAnsi="Arial" w:cs="Arial"/>
          <w:bCs/>
          <w:sz w:val="24"/>
          <w:szCs w:val="24"/>
          <w:lang w:val="en-GB"/>
        </w:rPr>
        <w:t>Atrill</w:t>
      </w:r>
      <w:proofErr w:type="spellEnd"/>
      <w:r w:rsidRPr="00E56550">
        <w:rPr>
          <w:rFonts w:ascii="Arial" w:hAnsi="Arial" w:cs="Arial"/>
          <w:bCs/>
          <w:sz w:val="24"/>
          <w:szCs w:val="24"/>
          <w:lang w:val="en-GB"/>
        </w:rPr>
        <w:t xml:space="preserve"> and </w:t>
      </w:r>
      <w:proofErr w:type="spellStart"/>
      <w:r w:rsidRPr="00E56550">
        <w:rPr>
          <w:rFonts w:ascii="Arial" w:hAnsi="Arial" w:cs="Arial"/>
          <w:bCs/>
          <w:sz w:val="24"/>
          <w:szCs w:val="24"/>
          <w:lang w:val="en-GB"/>
        </w:rPr>
        <w:t>McLaney</w:t>
      </w:r>
      <w:proofErr w:type="spellEnd"/>
      <w:r w:rsidRPr="00E56550">
        <w:rPr>
          <w:rFonts w:ascii="Arial" w:hAnsi="Arial" w:cs="Arial"/>
          <w:bCs/>
          <w:sz w:val="24"/>
          <w:szCs w:val="24"/>
          <w:lang w:val="en-GB"/>
        </w:rPr>
        <w:t xml:space="preserve">, 2022). </w:t>
      </w:r>
    </w:p>
    <w:p w14:paraId="2186FD7C"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A conditional GO is based on the overall feasibility assessment. There is some market and strategic and operational proof that it is reasonable to proceed, but it should not be a case of over-investing early in the business. Since there is a lot of customer demand, pricing, service quality and operational capacity to be tested before significant expansion, a phased launch and soft launch approach would be needed.</w:t>
      </w:r>
    </w:p>
    <w:p w14:paraId="52B73A1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Effective customer acquisition, robust retention, competitive positioning, disciplined cost management, sufficient working capital, resources and ability of employees, and reliable technology and service quality are therefore important key success factors. Revenue, the cost of customer acquisition, customer retention, gross margin, cash position, capacity utilisation and customer satisfaction should be monitored on an on-going basis by management.</w:t>
      </w:r>
    </w:p>
    <w:p w14:paraId="196E9150" w14:textId="0B45D432" w:rsidR="00F77588" w:rsidRPr="00A5349B" w:rsidRDefault="00E56550" w:rsidP="00A5349B">
      <w:pPr>
        <w:spacing w:before="240" w:line="360" w:lineRule="auto"/>
        <w:jc w:val="both"/>
        <w:rPr>
          <w:rFonts w:ascii="Arial" w:hAnsi="Arial" w:cs="Arial"/>
          <w:bCs/>
          <w:sz w:val="24"/>
          <w:szCs w:val="24"/>
          <w:lang w:val="en-GB"/>
        </w:rPr>
        <w:sectPr w:rsidR="00F77588" w:rsidRPr="00A5349B" w:rsidSect="00E23192">
          <w:footerReference w:type="default" r:id="rId11"/>
          <w:pgSz w:w="11906" w:h="16838"/>
          <w:pgMar w:top="1440" w:right="1440" w:bottom="1440" w:left="1440" w:header="708" w:footer="708" w:gutter="0"/>
          <w:pgNumType w:fmt="lowerRoman" w:start="1"/>
          <w:cols w:space="708"/>
          <w:docGrid w:linePitch="360"/>
        </w:sectPr>
      </w:pPr>
      <w:r w:rsidRPr="00E56550">
        <w:rPr>
          <w:rFonts w:ascii="Arial" w:hAnsi="Arial" w:cs="Arial"/>
          <w:bCs/>
          <w:sz w:val="24"/>
          <w:szCs w:val="24"/>
          <w:lang w:val="en-GB"/>
        </w:rPr>
        <w:t xml:space="preserve">It is overall a potentially viable and scalable business opportunity, if its core assumptions are confirmed in practice and its management is able to adapt to fluctuations in demands, costs, capacity and customer </w:t>
      </w:r>
      <w:r w:rsidR="001D3DBF" w:rsidRPr="00E56550">
        <w:rPr>
          <w:rFonts w:ascii="Arial" w:hAnsi="Arial" w:cs="Arial"/>
          <w:bCs/>
          <w:sz w:val="24"/>
          <w:szCs w:val="24"/>
          <w:lang w:val="en-GB"/>
        </w:rPr>
        <w:t>behaviour</w:t>
      </w:r>
      <w:r w:rsidRPr="00E56550">
        <w:rPr>
          <w:rFonts w:ascii="Arial" w:hAnsi="Arial" w:cs="Arial"/>
          <w:bCs/>
          <w:sz w:val="24"/>
          <w:szCs w:val="24"/>
          <w:lang w:val="en-GB"/>
        </w:rPr>
        <w:t xml:space="preserve"> in a timely manner.</w:t>
      </w:r>
    </w:p>
    <w:p w14:paraId="78F0A70D" w14:textId="77777777" w:rsidR="009414C5" w:rsidRPr="00C362B0" w:rsidRDefault="009414C5" w:rsidP="00A5349B">
      <w:pPr>
        <w:pStyle w:val="Heading1"/>
        <w:jc w:val="center"/>
        <w:rPr>
          <w:lang w:val="en-GB" w:eastAsia="en-GB"/>
        </w:rPr>
      </w:pPr>
      <w:bookmarkStart w:id="2" w:name="_Toc239188484"/>
      <w:r w:rsidRPr="00C362B0">
        <w:rPr>
          <w:lang w:val="en-GB" w:eastAsia="en-GB"/>
        </w:rPr>
        <w:lastRenderedPageBreak/>
        <w:t>Chapter 1: Introduction</w:t>
      </w:r>
      <w:bookmarkEnd w:id="2"/>
    </w:p>
    <w:p w14:paraId="5F80AD96" w14:textId="7103CC6D" w:rsidR="009414C5" w:rsidRPr="00C362B0" w:rsidRDefault="00873848" w:rsidP="004C2484">
      <w:pPr>
        <w:pStyle w:val="Heading2"/>
        <w:rPr>
          <w:lang w:val="en-GB" w:eastAsia="en-GB"/>
        </w:rPr>
      </w:pPr>
      <w:bookmarkStart w:id="3" w:name="_Toc239188485"/>
      <w:r w:rsidRPr="00C362B0">
        <w:rPr>
          <w:lang w:val="en-GB" w:eastAsia="en-GB"/>
        </w:rPr>
        <w:t>1.1 Background and Context</w:t>
      </w:r>
      <w:bookmarkEnd w:id="3"/>
    </w:p>
    <w:p w14:paraId="468C2C01" w14:textId="015A2A58" w:rsidR="009414C5" w:rsidRPr="00C362B0" w:rsidRDefault="009E3967"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fitness and wellness industry is one of the major consumer and service sectors in the UK. According to the 2025 UK Health and Fitness Market Report, there were 11.5 million members, 5,607 clubs and £5.7 billion in sector revenue in 2024, representing 6.1% growth in membership from the previous year (</w:t>
      </w:r>
      <w:proofErr w:type="spellStart"/>
      <w:r w:rsidRPr="00C362B0">
        <w:rPr>
          <w:rFonts w:ascii="Arial" w:hAnsi="Arial" w:cs="Arial"/>
          <w:sz w:val="24"/>
          <w:szCs w:val="24"/>
          <w:lang w:val="en-GB" w:eastAsia="en-GB"/>
        </w:rPr>
        <w:t>ukactive</w:t>
      </w:r>
      <w:proofErr w:type="spellEnd"/>
      <w:r w:rsidRPr="00C362B0">
        <w:rPr>
          <w:rFonts w:ascii="Arial" w:hAnsi="Arial" w:cs="Arial"/>
          <w:sz w:val="24"/>
          <w:szCs w:val="24"/>
          <w:lang w:val="en-GB" w:eastAsia="en-GB"/>
        </w:rPr>
        <w:t xml:space="preserve">, 2025). The sector is also supported by wider health trends, as in 2024–25, 64.6% of adults in England met the recommended level of physical activity, although significant inequalities remain between population groups (Sport England, 2026).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provides a relevant local setting for investigation. In 2021, the ward had 19,647 residents and 7,234 households, with 57.9% of households being single-family households and 30.2% being one-person households. The ward is also socially diverse, with 27.1% of residents born in the Middle East and Asia, while 61% of households were deprived in at least one dimension (Manchester City Council, 2024). </w:t>
      </w:r>
      <w:r w:rsidR="00AD05FC" w:rsidRPr="00C362B0">
        <w:rPr>
          <w:rFonts w:ascii="Arial" w:hAnsi="Arial" w:cs="Arial"/>
          <w:sz w:val="24"/>
          <w:szCs w:val="24"/>
          <w:lang w:val="en-GB" w:eastAsia="en-GB"/>
        </w:rPr>
        <w:t>These characteristics are important when considering affordability, purchasing power and local health needs, particularly given the ward’s socioeconomic inequalities and the wider importance of physical activity to population health (Manchester City Council, 2024; Sport England, 2026)</w:t>
      </w:r>
      <w:r w:rsidRPr="00C362B0">
        <w:rPr>
          <w:rFonts w:ascii="Arial" w:hAnsi="Arial" w:cs="Arial"/>
          <w:sz w:val="24"/>
          <w:szCs w:val="24"/>
          <w:lang w:val="en-GB" w:eastAsia="en-GB"/>
        </w:rPr>
        <w:t xml:space="preserve">. The area is also served by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railway station and several Bee Network bus services</w:t>
      </w:r>
      <w:r w:rsidR="00F11316" w:rsidRPr="00C362B0">
        <w:rPr>
          <w:lang w:val="en-GB"/>
        </w:rPr>
        <w:t xml:space="preserve"> </w:t>
      </w:r>
      <w:r w:rsidR="00F11316" w:rsidRPr="00C362B0">
        <w:rPr>
          <w:rFonts w:ascii="Arial" w:hAnsi="Arial" w:cs="Arial"/>
          <w:sz w:val="24"/>
          <w:szCs w:val="24"/>
          <w:lang w:val="en-GB" w:eastAsia="en-GB"/>
        </w:rPr>
        <w:t>(Transport for Greater Manchester, 2026)</w:t>
      </w:r>
      <w:r w:rsidRPr="00C362B0">
        <w:rPr>
          <w:rFonts w:ascii="Arial" w:hAnsi="Arial" w:cs="Arial"/>
          <w:sz w:val="24"/>
          <w:szCs w:val="24"/>
          <w:lang w:val="en-GB" w:eastAsia="en-GB"/>
        </w:rPr>
        <w:t xml:space="preserve">. Therefore, the combination of population, household characteristics, diversity, deprivation, accessibility and wider fitness trends provides a basis for investigating the commercial potential of AI-powered coaching, wearable technology and hybrid fitness services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rather than assuming local demand or viability</w:t>
      </w:r>
      <w:r w:rsidR="004C2484" w:rsidRPr="00C362B0">
        <w:rPr>
          <w:rFonts w:ascii="Arial" w:hAnsi="Arial" w:cs="Arial"/>
          <w:sz w:val="24"/>
          <w:szCs w:val="24"/>
          <w:lang w:val="en-GB" w:eastAsia="en-GB"/>
        </w:rPr>
        <w:t>.</w:t>
      </w:r>
    </w:p>
    <w:p w14:paraId="11F64174" w14:textId="1FD470C5" w:rsidR="009414C5" w:rsidRPr="00C362B0" w:rsidRDefault="009414C5" w:rsidP="004C2484">
      <w:pPr>
        <w:pStyle w:val="Heading2"/>
        <w:rPr>
          <w:lang w:val="en-GB" w:eastAsia="en-GB"/>
        </w:rPr>
      </w:pPr>
      <w:bookmarkStart w:id="4" w:name="_Toc239188486"/>
      <w:r w:rsidRPr="00C362B0">
        <w:rPr>
          <w:lang w:val="en-GB" w:eastAsia="en-GB"/>
        </w:rPr>
        <w:t>1.2 Problem or Opportunity Statement</w:t>
      </w:r>
      <w:bookmarkEnd w:id="4"/>
    </w:p>
    <w:p w14:paraId="53FC03C4" w14:textId="58EF87E3" w:rsidR="009414C5" w:rsidRPr="00C362B0" w:rsidRDefault="00AB38F4"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Conventional gyms can provide equipment and relatively low-cost access, but the level of personalised support and integration between physical training and digital health data varies between providers. The local competitive market also shows that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cannot assume a gap simply because it proposes technology-enabled services. </w:t>
      </w:r>
      <w:proofErr w:type="spellStart"/>
      <w:r w:rsidRPr="00C362B0">
        <w:rPr>
          <w:rFonts w:ascii="Arial" w:hAnsi="Arial" w:cs="Arial"/>
          <w:sz w:val="24"/>
          <w:szCs w:val="24"/>
          <w:lang w:val="en-GB" w:eastAsia="en-GB"/>
        </w:rPr>
        <w:t>Jetts</w:t>
      </w:r>
      <w:proofErr w:type="spellEnd"/>
      <w:r w:rsidRPr="00C362B0">
        <w:rPr>
          <w:rFonts w:ascii="Arial" w:hAnsi="Arial" w:cs="Arial"/>
          <w:sz w:val="24"/>
          <w:szCs w:val="24"/>
          <w:lang w:val="en-GB" w:eastAsia="en-GB"/>
        </w:rPr>
        <w:t xml:space="preserve">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offers 24/7 access, group classes, personal training and connected gym equipment for £32.95 per month, while </w:t>
      </w:r>
      <w:proofErr w:type="spellStart"/>
      <w:r w:rsidRPr="00C362B0">
        <w:rPr>
          <w:rFonts w:ascii="Arial" w:hAnsi="Arial" w:cs="Arial"/>
          <w:sz w:val="24"/>
          <w:szCs w:val="24"/>
          <w:lang w:val="en-GB" w:eastAsia="en-GB"/>
        </w:rPr>
        <w:t>PureGym’s</w:t>
      </w:r>
      <w:proofErr w:type="spellEnd"/>
      <w:r w:rsidRPr="00C362B0">
        <w:rPr>
          <w:rFonts w:ascii="Arial" w:hAnsi="Arial" w:cs="Arial"/>
          <w:sz w:val="24"/>
          <w:szCs w:val="24"/>
          <w:lang w:val="en-GB" w:eastAsia="en-GB"/>
        </w:rPr>
        <w:t xml:space="preserve"> gyms serving the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area offer flexible memberships from £17.99 per month. This suggests that </w:t>
      </w:r>
      <w:r w:rsidRPr="00C362B0">
        <w:rPr>
          <w:rFonts w:ascii="Arial" w:hAnsi="Arial" w:cs="Arial"/>
          <w:sz w:val="24"/>
          <w:szCs w:val="24"/>
          <w:lang w:val="en-GB" w:eastAsia="en-GB"/>
        </w:rPr>
        <w:lastRenderedPageBreak/>
        <w:t xml:space="preserve">affordability, flexibility and technology are already available within the wider local market. The potential opportunity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therefore lies in whether the combination of AI-assisted personalisation, wearable-supported monitoring and human coaching can provide sufficient additional value for local customers. This must be assessed against local purchasing power, competitor provision, pricing, accessibility and premises costs rather than assumed from national fitness trends</w:t>
      </w:r>
      <w:r w:rsidR="003238BC" w:rsidRPr="00C362B0">
        <w:rPr>
          <w:rFonts w:ascii="Arial" w:hAnsi="Arial" w:cs="Arial"/>
          <w:sz w:val="24"/>
          <w:szCs w:val="24"/>
          <w:lang w:val="en-GB" w:eastAsia="en-GB"/>
        </w:rPr>
        <w:t>.</w:t>
      </w:r>
    </w:p>
    <w:p w14:paraId="7D4C00FF" w14:textId="461F8BF9" w:rsidR="009414C5" w:rsidRPr="00C362B0" w:rsidRDefault="009414C5" w:rsidP="004C2484">
      <w:pPr>
        <w:pStyle w:val="Heading2"/>
        <w:rPr>
          <w:lang w:val="en-GB" w:eastAsia="en-GB"/>
        </w:rPr>
      </w:pPr>
      <w:bookmarkStart w:id="5" w:name="_Toc239188487"/>
      <w:r w:rsidRPr="00C362B0">
        <w:rPr>
          <w:lang w:val="en-GB" w:eastAsia="en-GB"/>
        </w:rPr>
        <w:t>1.3 Initial Observation of Demand</w:t>
      </w:r>
      <w:bookmarkEnd w:id="5"/>
    </w:p>
    <w:p w14:paraId="12B71072" w14:textId="19C37955" w:rsidR="009414C5" w:rsidRPr="00C362B0" w:rsidRDefault="00855D08"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There is some preliminary secondary evidence of the scale and dynamics of the market. In 2024, there were 11.5 million UK health and fitness club members and £5.7 billion in sector revenue (</w:t>
      </w:r>
      <w:proofErr w:type="spellStart"/>
      <w:r w:rsidRPr="00C362B0">
        <w:rPr>
          <w:rFonts w:ascii="Arial" w:hAnsi="Arial" w:cs="Arial"/>
          <w:sz w:val="24"/>
          <w:szCs w:val="24"/>
          <w:lang w:val="en-GB" w:eastAsia="en-GB"/>
        </w:rPr>
        <w:t>ukactive</w:t>
      </w:r>
      <w:proofErr w:type="spellEnd"/>
      <w:r w:rsidRPr="00C362B0">
        <w:rPr>
          <w:rFonts w:ascii="Arial" w:hAnsi="Arial" w:cs="Arial"/>
          <w:sz w:val="24"/>
          <w:szCs w:val="24"/>
          <w:lang w:val="en-GB" w:eastAsia="en-GB"/>
        </w:rPr>
        <w:t xml:space="preserve">, 2025). The continued growth of the UK market indicates wider consumer engagement with fitness services, but national evidence alone cannot establish demand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Local demand must therefore be assessed against </w:t>
      </w:r>
      <w:proofErr w:type="spellStart"/>
      <w:r w:rsidRPr="00C362B0">
        <w:rPr>
          <w:rFonts w:ascii="Arial" w:hAnsi="Arial" w:cs="Arial"/>
          <w:sz w:val="24"/>
          <w:szCs w:val="24"/>
          <w:lang w:val="en-GB" w:eastAsia="en-GB"/>
        </w:rPr>
        <w:t>Levenshulme’s</w:t>
      </w:r>
      <w:proofErr w:type="spellEnd"/>
      <w:r w:rsidRPr="00C362B0">
        <w:rPr>
          <w:rFonts w:ascii="Arial" w:hAnsi="Arial" w:cs="Arial"/>
          <w:sz w:val="24"/>
          <w:szCs w:val="24"/>
          <w:lang w:val="en-GB" w:eastAsia="en-GB"/>
        </w:rPr>
        <w:t xml:space="preserve"> demographic and socioeconomic characteristics, customer affordability, health and physical activity needs, competitor provision, pricing, accessibility and suitable premises. The initial evidence consequently indicates an opportunity requiring further investigation, rather than confirming local demand or commercial viability</w:t>
      </w:r>
      <w:r w:rsidR="003B45A8" w:rsidRPr="00C362B0">
        <w:rPr>
          <w:rFonts w:ascii="Arial" w:hAnsi="Arial" w:cs="Arial"/>
          <w:sz w:val="24"/>
          <w:szCs w:val="24"/>
          <w:lang w:val="en-GB" w:eastAsia="en-GB"/>
        </w:rPr>
        <w:t>.</w:t>
      </w:r>
    </w:p>
    <w:p w14:paraId="13FEA003" w14:textId="77777777" w:rsidR="009414C5" w:rsidRPr="00C362B0" w:rsidRDefault="009414C5" w:rsidP="004C2484">
      <w:pPr>
        <w:pStyle w:val="Heading2"/>
        <w:rPr>
          <w:lang w:val="en-GB" w:eastAsia="en-GB"/>
        </w:rPr>
      </w:pPr>
      <w:bookmarkStart w:id="6" w:name="_Toc239188488"/>
      <w:r w:rsidRPr="00C362B0">
        <w:rPr>
          <w:lang w:val="en-GB" w:eastAsia="en-GB"/>
        </w:rPr>
        <w:t>1.4 Aim, Objectives and Research Questions</w:t>
      </w:r>
      <w:bookmarkEnd w:id="6"/>
    </w:p>
    <w:p w14:paraId="71D83780" w14:textId="0DD6BB6B" w:rsidR="009414C5" w:rsidRPr="00C362B0" w:rsidRDefault="00873848" w:rsidP="004C2484">
      <w:pPr>
        <w:pStyle w:val="Heading3"/>
        <w:rPr>
          <w:lang w:val="en-GB" w:eastAsia="en-GB"/>
        </w:rPr>
      </w:pPr>
      <w:bookmarkStart w:id="7" w:name="_Toc239188489"/>
      <w:r w:rsidRPr="00C362B0">
        <w:rPr>
          <w:lang w:val="en-GB" w:eastAsia="en-GB"/>
        </w:rPr>
        <w:t>Aim</w:t>
      </w:r>
      <w:bookmarkEnd w:id="7"/>
    </w:p>
    <w:p w14:paraId="46E2C8F8" w14:textId="3E769B2C" w:rsidR="009414C5" w:rsidRPr="00C362B0" w:rsidRDefault="00BE031E"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develop and evaluate a commercially feasible business model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a smart fitness and wellness centre proposed for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Manchester, United Kingdom.</w:t>
      </w:r>
    </w:p>
    <w:p w14:paraId="0544A412" w14:textId="77777777" w:rsidR="009414C5" w:rsidRPr="00C362B0" w:rsidRDefault="009414C5" w:rsidP="004C2484">
      <w:pPr>
        <w:pStyle w:val="Heading3"/>
        <w:rPr>
          <w:lang w:val="en-GB" w:eastAsia="en-GB"/>
        </w:rPr>
      </w:pPr>
      <w:bookmarkStart w:id="8" w:name="_Toc239188490"/>
      <w:r w:rsidRPr="00C362B0">
        <w:rPr>
          <w:lang w:val="en-GB" w:eastAsia="en-GB"/>
        </w:rPr>
        <w:t>Objectives</w:t>
      </w:r>
      <w:bookmarkEnd w:id="8"/>
    </w:p>
    <w:p w14:paraId="53EA04F1"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analyse current UK fitness and wellness market trends and assess their relevance to the proposed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w:t>
      </w:r>
    </w:p>
    <w:p w14:paraId="53CC859D"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identify customer needs, preferences and affordability considerations relevant to personalised and technology-enabled fitness services.</w:t>
      </w:r>
    </w:p>
    <w:p w14:paraId="682EBFBC"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evaluate the competitive environment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and the wider Manchester catchment, including competitor services, pricing, accessibility and technological provision.</w:t>
      </w:r>
    </w:p>
    <w:p w14:paraId="647E781F"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lastRenderedPageBreak/>
        <w:t xml:space="preserve">To assess the commercial and financial conditions required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to achieve commercial feasibility.</w:t>
      </w:r>
    </w:p>
    <w:p w14:paraId="05B33418" w14:textId="6C8FC2C9" w:rsidR="009414C5"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develop an evidence-based implementation strategy for the proposed business, informed by market, competitor, financial and operational analysis</w:t>
      </w:r>
      <w:r w:rsidR="009414C5" w:rsidRPr="00C362B0">
        <w:rPr>
          <w:rFonts w:ascii="Arial" w:hAnsi="Arial" w:cs="Arial"/>
          <w:sz w:val="24"/>
          <w:szCs w:val="24"/>
          <w:lang w:val="en-GB" w:eastAsia="en-GB"/>
        </w:rPr>
        <w:t>.</w:t>
      </w:r>
    </w:p>
    <w:p w14:paraId="6EB31C15" w14:textId="7E7E6FEB" w:rsidR="009414C5" w:rsidRPr="00C362B0" w:rsidRDefault="009414C5" w:rsidP="004C2484">
      <w:pPr>
        <w:pStyle w:val="Heading3"/>
        <w:rPr>
          <w:lang w:val="en-GB" w:eastAsia="en-GB"/>
        </w:rPr>
      </w:pPr>
      <w:bookmarkStart w:id="9" w:name="_Toc239188491"/>
      <w:r w:rsidRPr="00C362B0">
        <w:rPr>
          <w:lang w:val="en-GB" w:eastAsia="en-GB"/>
        </w:rPr>
        <w:t>Research Questions</w:t>
      </w:r>
      <w:bookmarkEnd w:id="9"/>
    </w:p>
    <w:p w14:paraId="5F1A529B" w14:textId="2DA61685" w:rsidR="009414C5" w:rsidRPr="00C362B0" w:rsidRDefault="009414C5" w:rsidP="004C2484">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RQ1. What UK fitness and wellness market trends are relevant to the proposed </w:t>
      </w:r>
      <w:proofErr w:type="spellStart"/>
      <w:r w:rsidRPr="00C362B0">
        <w:rPr>
          <w:rFonts w:ascii="Arial" w:hAnsi="Arial" w:cs="Arial"/>
          <w:sz w:val="24"/>
          <w:szCs w:val="24"/>
          <w:lang w:val="en-GB" w:eastAsia="en-GB"/>
        </w:rPr>
        <w:t>Fi</w:t>
      </w:r>
      <w:r w:rsidR="004C2484" w:rsidRPr="00C362B0">
        <w:rPr>
          <w:rFonts w:ascii="Arial" w:hAnsi="Arial" w:cs="Arial"/>
          <w:sz w:val="24"/>
          <w:szCs w:val="24"/>
          <w:lang w:val="en-GB" w:eastAsia="en-GB"/>
        </w:rPr>
        <w:t>tLife</w:t>
      </w:r>
      <w:proofErr w:type="spellEnd"/>
      <w:r w:rsidR="004C2484" w:rsidRPr="00C362B0">
        <w:rPr>
          <w:rFonts w:ascii="Arial" w:hAnsi="Arial" w:cs="Arial"/>
          <w:sz w:val="24"/>
          <w:szCs w:val="24"/>
          <w:lang w:val="en-GB" w:eastAsia="en-GB"/>
        </w:rPr>
        <w:t xml:space="preserve"> Smart Gym in </w:t>
      </w:r>
      <w:proofErr w:type="spellStart"/>
      <w:r w:rsidR="004C2484" w:rsidRPr="00C362B0">
        <w:rPr>
          <w:rFonts w:ascii="Arial" w:hAnsi="Arial" w:cs="Arial"/>
          <w:sz w:val="24"/>
          <w:szCs w:val="24"/>
          <w:lang w:val="en-GB" w:eastAsia="en-GB"/>
        </w:rPr>
        <w:t>Levenshulme</w:t>
      </w:r>
      <w:proofErr w:type="spellEnd"/>
      <w:r w:rsidR="004C2484" w:rsidRPr="00C362B0">
        <w:rPr>
          <w:rFonts w:ascii="Arial" w:hAnsi="Arial" w:cs="Arial"/>
          <w:sz w:val="24"/>
          <w:szCs w:val="24"/>
          <w:lang w:val="en-GB" w:eastAsia="en-GB"/>
        </w:rPr>
        <w:t>?</w:t>
      </w:r>
    </w:p>
    <w:p w14:paraId="707AB739" w14:textId="77777777" w:rsidR="00EC65FA" w:rsidRPr="00C362B0" w:rsidRDefault="009414C5" w:rsidP="00EC65FA">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RQ2. </w:t>
      </w:r>
      <w:r w:rsidR="00EC65FA" w:rsidRPr="00C362B0">
        <w:rPr>
          <w:rFonts w:ascii="Arial" w:hAnsi="Arial" w:cs="Arial"/>
          <w:sz w:val="24"/>
          <w:szCs w:val="24"/>
          <w:lang w:val="en-GB" w:eastAsia="en-GB"/>
        </w:rPr>
        <w:t xml:space="preserve">What customer needs, preferences and affordability considerations should </w:t>
      </w:r>
      <w:proofErr w:type="spellStart"/>
      <w:r w:rsidR="00EC65FA" w:rsidRPr="00C362B0">
        <w:rPr>
          <w:rFonts w:ascii="Arial" w:hAnsi="Arial" w:cs="Arial"/>
          <w:sz w:val="24"/>
          <w:szCs w:val="24"/>
          <w:lang w:val="en-GB" w:eastAsia="en-GB"/>
        </w:rPr>
        <w:t>FitLife</w:t>
      </w:r>
      <w:proofErr w:type="spellEnd"/>
      <w:r w:rsidR="00EC65FA" w:rsidRPr="00C362B0">
        <w:rPr>
          <w:rFonts w:ascii="Arial" w:hAnsi="Arial" w:cs="Arial"/>
          <w:sz w:val="24"/>
          <w:szCs w:val="24"/>
          <w:lang w:val="en-GB" w:eastAsia="en-GB"/>
        </w:rPr>
        <w:t xml:space="preserve"> Smart Gym address?</w:t>
      </w:r>
    </w:p>
    <w:p w14:paraId="2065D505" w14:textId="2B582B1D" w:rsidR="009414C5" w:rsidRPr="00C362B0" w:rsidRDefault="009414C5" w:rsidP="00EC65FA">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RQ3. How competitive is the local fitness market, and how do competitor prices and services affect </w:t>
      </w:r>
      <w:proofErr w:type="spellStart"/>
      <w:r w:rsidRPr="00C362B0">
        <w:rPr>
          <w:rFonts w:ascii="Arial" w:hAnsi="Arial" w:cs="Arial"/>
          <w:sz w:val="24"/>
          <w:szCs w:val="24"/>
          <w:lang w:val="en-GB" w:eastAsia="en-GB"/>
        </w:rPr>
        <w:t>F</w:t>
      </w:r>
      <w:r w:rsidR="004C2484" w:rsidRPr="00C362B0">
        <w:rPr>
          <w:rFonts w:ascii="Arial" w:hAnsi="Arial" w:cs="Arial"/>
          <w:sz w:val="24"/>
          <w:szCs w:val="24"/>
          <w:lang w:val="en-GB" w:eastAsia="en-GB"/>
        </w:rPr>
        <w:t>itLife</w:t>
      </w:r>
      <w:proofErr w:type="spellEnd"/>
      <w:r w:rsidR="004C2484" w:rsidRPr="00C362B0">
        <w:rPr>
          <w:rFonts w:ascii="Arial" w:hAnsi="Arial" w:cs="Arial"/>
          <w:sz w:val="24"/>
          <w:szCs w:val="24"/>
          <w:lang w:val="en-GB" w:eastAsia="en-GB"/>
        </w:rPr>
        <w:t xml:space="preserve"> Smart Gym's positioning?</w:t>
      </w:r>
    </w:p>
    <w:p w14:paraId="76E3372F" w14:textId="5582CA70" w:rsidR="009414C5" w:rsidRPr="00C362B0" w:rsidRDefault="009414C5" w:rsidP="00EC65FA">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RQ4. </w:t>
      </w:r>
      <w:r w:rsidR="00EC65FA" w:rsidRPr="00C362B0">
        <w:rPr>
          <w:rFonts w:ascii="Arial" w:hAnsi="Arial" w:cs="Arial"/>
          <w:sz w:val="24"/>
          <w:szCs w:val="24"/>
          <w:lang w:val="en-GB" w:eastAsia="en-GB"/>
        </w:rPr>
        <w:t xml:space="preserve">What commercial and financial conditions would be required for </w:t>
      </w:r>
      <w:proofErr w:type="spellStart"/>
      <w:r w:rsidR="00EC65FA" w:rsidRPr="00C362B0">
        <w:rPr>
          <w:rFonts w:ascii="Arial" w:hAnsi="Arial" w:cs="Arial"/>
          <w:sz w:val="24"/>
          <w:szCs w:val="24"/>
          <w:lang w:val="en-GB" w:eastAsia="en-GB"/>
        </w:rPr>
        <w:t>FitLife</w:t>
      </w:r>
      <w:proofErr w:type="spellEnd"/>
      <w:r w:rsidR="00EC65FA" w:rsidRPr="00C362B0">
        <w:rPr>
          <w:rFonts w:ascii="Arial" w:hAnsi="Arial" w:cs="Arial"/>
          <w:sz w:val="24"/>
          <w:szCs w:val="24"/>
          <w:lang w:val="en-GB" w:eastAsia="en-GB"/>
        </w:rPr>
        <w:t xml:space="preserve"> Smart Gym to achieve commercial feasibility?</w:t>
      </w:r>
    </w:p>
    <w:p w14:paraId="3A16C196" w14:textId="7EEE3442" w:rsidR="004C2484" w:rsidRPr="00C362B0" w:rsidRDefault="009414C5" w:rsidP="004C2484">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RQ5. What implementation approach could support a realistic launch of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w:t>
      </w:r>
    </w:p>
    <w:p w14:paraId="77F59831" w14:textId="2A4CB18D" w:rsidR="004C2484" w:rsidRPr="00C362B0" w:rsidRDefault="004C2484" w:rsidP="004C2484">
      <w:pPr>
        <w:pStyle w:val="Caption"/>
        <w:keepNext/>
        <w:jc w:val="both"/>
        <w:rPr>
          <w:rFonts w:ascii="Arial" w:hAnsi="Arial" w:cs="Arial"/>
          <w:sz w:val="24"/>
          <w:lang w:val="en-GB"/>
        </w:rPr>
      </w:pPr>
      <w:bookmarkStart w:id="10" w:name="_Toc239091685"/>
      <w:r w:rsidRPr="00C362B0">
        <w:rPr>
          <w:rFonts w:ascii="Arial" w:hAnsi="Arial" w:cs="Arial"/>
          <w:sz w:val="24"/>
          <w:lang w:val="en-GB"/>
        </w:rPr>
        <w:t xml:space="preserve">Table </w:t>
      </w:r>
      <w:r w:rsidRPr="00C362B0">
        <w:rPr>
          <w:rFonts w:ascii="Arial" w:hAnsi="Arial" w:cs="Arial"/>
          <w:sz w:val="24"/>
          <w:lang w:val="en-GB"/>
        </w:rPr>
        <w:fldChar w:fldCharType="begin"/>
      </w:r>
      <w:r w:rsidRPr="00C362B0">
        <w:rPr>
          <w:rFonts w:ascii="Arial" w:hAnsi="Arial" w:cs="Arial"/>
          <w:sz w:val="24"/>
          <w:lang w:val="en-GB"/>
        </w:rPr>
        <w:instrText xml:space="preserve"> SEQ Table \* ARABIC </w:instrText>
      </w:r>
      <w:r w:rsidRPr="00C362B0">
        <w:rPr>
          <w:rFonts w:ascii="Arial" w:hAnsi="Arial" w:cs="Arial"/>
          <w:sz w:val="24"/>
          <w:lang w:val="en-GB"/>
        </w:rPr>
        <w:fldChar w:fldCharType="separate"/>
      </w:r>
      <w:r w:rsidR="00415D83">
        <w:rPr>
          <w:rFonts w:ascii="Arial" w:hAnsi="Arial" w:cs="Arial"/>
          <w:noProof/>
          <w:sz w:val="24"/>
          <w:lang w:val="en-GB"/>
        </w:rPr>
        <w:t>1</w:t>
      </w:r>
      <w:r w:rsidRPr="00C362B0">
        <w:rPr>
          <w:rFonts w:ascii="Arial" w:hAnsi="Arial" w:cs="Arial"/>
          <w:sz w:val="24"/>
          <w:lang w:val="en-GB"/>
        </w:rPr>
        <w:fldChar w:fldCharType="end"/>
      </w:r>
      <w:r w:rsidRPr="00C362B0">
        <w:rPr>
          <w:rFonts w:ascii="Arial" w:hAnsi="Arial" w:cs="Arial"/>
          <w:sz w:val="24"/>
          <w:lang w:val="en-GB"/>
        </w:rPr>
        <w:t>.Alignment</w:t>
      </w:r>
      <w:bookmarkEnd w:id="10"/>
    </w:p>
    <w:tbl>
      <w:tblPr>
        <w:tblStyle w:val="TableGrid"/>
        <w:tblW w:w="0" w:type="auto"/>
        <w:tblLook w:val="04A0" w:firstRow="1" w:lastRow="0" w:firstColumn="1" w:lastColumn="0" w:noHBand="0" w:noVBand="1"/>
      </w:tblPr>
      <w:tblGrid>
        <w:gridCol w:w="4508"/>
        <w:gridCol w:w="4508"/>
      </w:tblGrid>
      <w:tr w:rsidR="009F5F32" w:rsidRPr="00C362B0" w14:paraId="479415E7" w14:textId="77777777" w:rsidTr="009F5F32">
        <w:tc>
          <w:tcPr>
            <w:tcW w:w="4508" w:type="dxa"/>
          </w:tcPr>
          <w:p w14:paraId="58B9EA56" w14:textId="77777777" w:rsidR="009F5F32" w:rsidRPr="00C362B0" w:rsidRDefault="009F5F32"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Objective</w:t>
            </w:r>
          </w:p>
        </w:tc>
        <w:tc>
          <w:tcPr>
            <w:tcW w:w="4508" w:type="dxa"/>
          </w:tcPr>
          <w:p w14:paraId="6F5FC1A0" w14:textId="77777777" w:rsidR="009F5F32" w:rsidRPr="00C362B0" w:rsidRDefault="009F5F32"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Research Question</w:t>
            </w:r>
          </w:p>
        </w:tc>
      </w:tr>
      <w:tr w:rsidR="009F5F32" w:rsidRPr="00C362B0" w14:paraId="59DD5C63" w14:textId="77777777" w:rsidTr="009F5F32">
        <w:tc>
          <w:tcPr>
            <w:tcW w:w="4508" w:type="dxa"/>
          </w:tcPr>
          <w:p w14:paraId="171925A6"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1: Analyse the market</w:t>
            </w:r>
          </w:p>
        </w:tc>
        <w:tc>
          <w:tcPr>
            <w:tcW w:w="4508" w:type="dxa"/>
          </w:tcPr>
          <w:p w14:paraId="3AC605E8"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RQ1</w:t>
            </w:r>
          </w:p>
        </w:tc>
      </w:tr>
      <w:tr w:rsidR="009F5F32" w:rsidRPr="00C362B0" w14:paraId="68574C83" w14:textId="77777777" w:rsidTr="009F5F32">
        <w:tc>
          <w:tcPr>
            <w:tcW w:w="4508" w:type="dxa"/>
          </w:tcPr>
          <w:p w14:paraId="1C2E2A44"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2: Identify customer needs</w:t>
            </w:r>
          </w:p>
        </w:tc>
        <w:tc>
          <w:tcPr>
            <w:tcW w:w="4508" w:type="dxa"/>
          </w:tcPr>
          <w:p w14:paraId="3218468D"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RQ2</w:t>
            </w:r>
          </w:p>
        </w:tc>
      </w:tr>
      <w:tr w:rsidR="009F5F32" w:rsidRPr="00C362B0" w14:paraId="19936BA9" w14:textId="77777777" w:rsidTr="009F5F32">
        <w:tc>
          <w:tcPr>
            <w:tcW w:w="4508" w:type="dxa"/>
          </w:tcPr>
          <w:p w14:paraId="781F2DC1"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3: Evaluate competitors</w:t>
            </w:r>
          </w:p>
        </w:tc>
        <w:tc>
          <w:tcPr>
            <w:tcW w:w="4508" w:type="dxa"/>
          </w:tcPr>
          <w:p w14:paraId="5F2B4218"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RQ3</w:t>
            </w:r>
          </w:p>
        </w:tc>
      </w:tr>
      <w:tr w:rsidR="009F5F32" w:rsidRPr="00C362B0" w14:paraId="09274FF7" w14:textId="77777777" w:rsidTr="009F5F32">
        <w:tc>
          <w:tcPr>
            <w:tcW w:w="4508" w:type="dxa"/>
          </w:tcPr>
          <w:p w14:paraId="4795FD2C"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4: Assess commercial and financial feasibility</w:t>
            </w:r>
          </w:p>
        </w:tc>
        <w:tc>
          <w:tcPr>
            <w:tcW w:w="4508" w:type="dxa"/>
          </w:tcPr>
          <w:p w14:paraId="601E6576"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RQ4</w:t>
            </w:r>
          </w:p>
        </w:tc>
      </w:tr>
      <w:tr w:rsidR="009F5F32" w:rsidRPr="00C362B0" w14:paraId="08BED05C" w14:textId="77777777" w:rsidTr="009F5F32">
        <w:tc>
          <w:tcPr>
            <w:tcW w:w="4508" w:type="dxa"/>
          </w:tcPr>
          <w:p w14:paraId="44336004"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5: Develop implementation strategy</w:t>
            </w:r>
          </w:p>
        </w:tc>
        <w:tc>
          <w:tcPr>
            <w:tcW w:w="4508" w:type="dxa"/>
          </w:tcPr>
          <w:p w14:paraId="01F75685"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RQ5</w:t>
            </w:r>
          </w:p>
        </w:tc>
      </w:tr>
    </w:tbl>
    <w:p w14:paraId="292FD01C" w14:textId="63B15684" w:rsidR="009414C5" w:rsidRPr="00C362B0" w:rsidRDefault="009414C5" w:rsidP="009414C5">
      <w:pPr>
        <w:spacing w:before="240" w:line="360" w:lineRule="auto"/>
        <w:jc w:val="both"/>
        <w:rPr>
          <w:rFonts w:ascii="Arial" w:hAnsi="Arial" w:cs="Arial"/>
          <w:sz w:val="24"/>
          <w:szCs w:val="24"/>
          <w:lang w:val="en-GB" w:eastAsia="en-GB"/>
        </w:rPr>
      </w:pPr>
    </w:p>
    <w:p w14:paraId="4A159CCA" w14:textId="184349A5" w:rsidR="009414C5" w:rsidRPr="00C362B0" w:rsidRDefault="009414C5" w:rsidP="003D393B">
      <w:pPr>
        <w:pStyle w:val="Heading2"/>
        <w:rPr>
          <w:lang w:val="en-GB" w:eastAsia="en-GB"/>
        </w:rPr>
      </w:pPr>
      <w:bookmarkStart w:id="11" w:name="_Toc239188492"/>
      <w:r w:rsidRPr="00C362B0">
        <w:rPr>
          <w:lang w:val="en-GB" w:eastAsia="en-GB"/>
        </w:rPr>
        <w:lastRenderedPageBreak/>
        <w:t>1.5 Scope and Boundaries</w:t>
      </w:r>
      <w:bookmarkEnd w:id="11"/>
    </w:p>
    <w:p w14:paraId="635D7CCD" w14:textId="71E28E8E" w:rsidR="009414C5" w:rsidRPr="00C362B0" w:rsidRDefault="00153F74"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proposal explores the UK fitness and wellness sector, with a specific focus on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and the wider Manchester catchment area. It includes secondary research data such as government statistics, industry reports, competitor data, customer and affordability evidence, and commercial property information. The envisioned service is an intelligent fitness service combining physical and digital provision. Primary surveys and interviews are omitted, as are detailed post-launch expansion beyond the feasibility and implementation horizon of the proposal and international expansion.</w:t>
      </w:r>
    </w:p>
    <w:p w14:paraId="7F85497B" w14:textId="29C71B09" w:rsidR="009414C5" w:rsidRPr="00C362B0" w:rsidRDefault="003D393B" w:rsidP="003D393B">
      <w:pPr>
        <w:pStyle w:val="Heading2"/>
        <w:rPr>
          <w:lang w:val="en-GB" w:eastAsia="en-GB"/>
        </w:rPr>
      </w:pPr>
      <w:bookmarkStart w:id="12" w:name="_Toc239188493"/>
      <w:r w:rsidRPr="00C362B0">
        <w:rPr>
          <w:lang w:val="en-GB" w:eastAsia="en-GB"/>
        </w:rPr>
        <w:t>1.6 Structure of the Report</w:t>
      </w:r>
      <w:bookmarkEnd w:id="12"/>
    </w:p>
    <w:p w14:paraId="0DD5C543" w14:textId="0C44490A" w:rsidR="005F5171" w:rsidRPr="00C362B0" w:rsidRDefault="000E68F1"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This proposal follows the required BDP structure. Chapter 1: Introduction introduces the business opportunity and research direction. Chapter 2: Company Description presents the proposed business. Chapter 3: Literature Review develops the theoretical and academic foundation, while Chapter 4: Research Methodology explains the research approach. Chapter 5: Market Opportunity Analysis and Chapter 6: Competitive Environment Analysis assess the external opportunity. Chapter 7: Business Strategy, Chapter 8: Business Model Canvas, Chapter 9: Financial, Marketing and Sales, and Human Capital Management Plan, Chapter 10: Operations Plan, Chapter 11: Feasibility Analysis, Chapter 12: Implementation Plan, Chapter 13: Conclusion and Recommendations, and Chapter 14: Reflection complete the proposal</w:t>
      </w:r>
      <w:r w:rsidR="004E1A81" w:rsidRPr="00C362B0">
        <w:rPr>
          <w:rFonts w:ascii="Arial" w:hAnsi="Arial" w:cs="Arial"/>
          <w:sz w:val="24"/>
          <w:szCs w:val="24"/>
          <w:lang w:val="en-GB" w:eastAsia="en-GB"/>
        </w:rPr>
        <w:t>.</w:t>
      </w:r>
    </w:p>
    <w:p w14:paraId="0AEFD48B" w14:textId="04FF0C57" w:rsidR="004F7E53" w:rsidRPr="00C362B0" w:rsidRDefault="004F7E53" w:rsidP="00137567">
      <w:pPr>
        <w:spacing w:before="240" w:line="360" w:lineRule="auto"/>
        <w:jc w:val="both"/>
        <w:rPr>
          <w:rFonts w:ascii="Arial" w:hAnsi="Arial" w:cs="Arial"/>
          <w:sz w:val="24"/>
          <w:szCs w:val="24"/>
          <w:lang w:val="en-GB" w:eastAsia="en-GB"/>
        </w:rPr>
      </w:pPr>
    </w:p>
    <w:p w14:paraId="478922D2" w14:textId="444DA1E3" w:rsidR="00C72CC9" w:rsidRPr="00C362B0" w:rsidRDefault="00C72CC9" w:rsidP="00137567">
      <w:pPr>
        <w:spacing w:before="240" w:line="360" w:lineRule="auto"/>
        <w:jc w:val="both"/>
        <w:rPr>
          <w:rFonts w:ascii="Arial" w:hAnsi="Arial" w:cs="Arial"/>
          <w:sz w:val="24"/>
          <w:szCs w:val="24"/>
          <w:lang w:val="en-GB" w:eastAsia="en-GB"/>
        </w:rPr>
      </w:pPr>
    </w:p>
    <w:p w14:paraId="7148632C" w14:textId="5F26D49D" w:rsidR="00C72CC9" w:rsidRPr="00C362B0" w:rsidRDefault="00C72CC9" w:rsidP="00137567">
      <w:pPr>
        <w:spacing w:before="240" w:line="360" w:lineRule="auto"/>
        <w:jc w:val="both"/>
        <w:rPr>
          <w:rFonts w:ascii="Arial" w:hAnsi="Arial" w:cs="Arial"/>
          <w:sz w:val="24"/>
          <w:szCs w:val="24"/>
          <w:lang w:val="en-GB" w:eastAsia="en-GB"/>
        </w:rPr>
      </w:pPr>
    </w:p>
    <w:p w14:paraId="6FB76EE9" w14:textId="3C543DC8" w:rsidR="00C72CC9" w:rsidRPr="00C362B0" w:rsidRDefault="00C72CC9" w:rsidP="00137567">
      <w:pPr>
        <w:spacing w:before="240" w:line="360" w:lineRule="auto"/>
        <w:jc w:val="both"/>
        <w:rPr>
          <w:rFonts w:ascii="Arial" w:hAnsi="Arial" w:cs="Arial"/>
          <w:sz w:val="24"/>
          <w:szCs w:val="24"/>
          <w:lang w:val="en-GB" w:eastAsia="en-GB"/>
        </w:rPr>
      </w:pPr>
    </w:p>
    <w:p w14:paraId="06D2F85A" w14:textId="0A87A8EE" w:rsidR="00C72CC9" w:rsidRPr="00C362B0" w:rsidRDefault="00C72CC9" w:rsidP="00137567">
      <w:pPr>
        <w:spacing w:before="240" w:line="360" w:lineRule="auto"/>
        <w:jc w:val="both"/>
        <w:rPr>
          <w:rFonts w:ascii="Arial" w:hAnsi="Arial" w:cs="Arial"/>
          <w:sz w:val="24"/>
          <w:szCs w:val="24"/>
          <w:lang w:val="en-GB" w:eastAsia="en-GB"/>
        </w:rPr>
      </w:pPr>
    </w:p>
    <w:p w14:paraId="1168785F" w14:textId="6386282B" w:rsidR="00C72CC9" w:rsidRPr="00C362B0" w:rsidRDefault="00C72CC9" w:rsidP="00137567">
      <w:pPr>
        <w:spacing w:before="240" w:line="360" w:lineRule="auto"/>
        <w:jc w:val="both"/>
        <w:rPr>
          <w:rFonts w:ascii="Arial" w:hAnsi="Arial" w:cs="Arial"/>
          <w:sz w:val="24"/>
          <w:szCs w:val="24"/>
          <w:lang w:val="en-GB" w:eastAsia="en-GB"/>
        </w:rPr>
      </w:pPr>
    </w:p>
    <w:p w14:paraId="3AB9681A" w14:textId="242C2694" w:rsidR="00C72CC9" w:rsidRPr="00C362B0" w:rsidRDefault="00C72CC9" w:rsidP="00137567">
      <w:pPr>
        <w:spacing w:before="240" w:line="360" w:lineRule="auto"/>
        <w:jc w:val="both"/>
        <w:rPr>
          <w:rFonts w:ascii="Arial" w:hAnsi="Arial" w:cs="Arial"/>
          <w:sz w:val="24"/>
          <w:szCs w:val="24"/>
          <w:lang w:val="en-GB" w:eastAsia="en-GB"/>
        </w:rPr>
      </w:pPr>
    </w:p>
    <w:p w14:paraId="633CA4CB" w14:textId="77777777" w:rsidR="00974D5F" w:rsidRPr="00C362B0" w:rsidRDefault="00974D5F" w:rsidP="0023208B">
      <w:pPr>
        <w:pStyle w:val="Heading1"/>
        <w:jc w:val="center"/>
        <w:rPr>
          <w:rFonts w:eastAsia="Times New Roman"/>
          <w:lang w:val="en-GB" w:eastAsia="en-GB"/>
        </w:rPr>
      </w:pPr>
      <w:bookmarkStart w:id="13" w:name="_Toc239188494"/>
      <w:r w:rsidRPr="00C362B0">
        <w:rPr>
          <w:rFonts w:eastAsia="Times New Roman"/>
          <w:lang w:val="en-GB" w:eastAsia="en-GB"/>
        </w:rPr>
        <w:lastRenderedPageBreak/>
        <w:t>Chapter 2: Company Description</w:t>
      </w:r>
      <w:bookmarkEnd w:id="13"/>
    </w:p>
    <w:p w14:paraId="74EC1D14" w14:textId="1A4495EA" w:rsidR="00974D5F" w:rsidRPr="00C362B0" w:rsidRDefault="00974D5F" w:rsidP="0023208B">
      <w:pPr>
        <w:pStyle w:val="Heading2"/>
        <w:rPr>
          <w:rFonts w:eastAsia="Times New Roman"/>
          <w:lang w:val="en-GB" w:eastAsia="en-GB"/>
        </w:rPr>
      </w:pPr>
      <w:bookmarkStart w:id="14" w:name="_Toc239188495"/>
      <w:r w:rsidRPr="00C362B0">
        <w:rPr>
          <w:rFonts w:eastAsia="Times New Roman"/>
          <w:lang w:val="en-GB" w:eastAsia="en-GB"/>
        </w:rPr>
        <w:t>2.1 Business Identity and Legal Structure</w:t>
      </w:r>
      <w:bookmarkEnd w:id="14"/>
    </w:p>
    <w:p w14:paraId="11AE141B" w14:textId="14152603" w:rsidR="00974D5F" w:rsidRPr="00C362B0" w:rsidRDefault="001A5991"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is a proposed smart fitness and wellness centre intended to operate in </w:t>
      </w:r>
      <w:proofErr w:type="spellStart"/>
      <w:r w:rsidRPr="00C362B0">
        <w:rPr>
          <w:rFonts w:ascii="Arial" w:eastAsia="Times New Roman" w:hAnsi="Arial" w:cs="Arial"/>
          <w:sz w:val="24"/>
          <w:szCs w:val="24"/>
          <w:lang w:val="en-GB" w:eastAsia="en-GB"/>
        </w:rPr>
        <w:t>Levenshulme</w:t>
      </w:r>
      <w:proofErr w:type="spellEnd"/>
      <w:r w:rsidRPr="00C362B0">
        <w:rPr>
          <w:rFonts w:ascii="Arial" w:eastAsia="Times New Roman" w:hAnsi="Arial" w:cs="Arial"/>
          <w:sz w:val="24"/>
          <w:szCs w:val="24"/>
          <w:lang w:val="en-GB" w:eastAsia="en-GB"/>
        </w:rPr>
        <w:t>, Manchester, United Kingdom</w:t>
      </w:r>
      <w:r w:rsidR="00751DB9" w:rsidRPr="00C362B0">
        <w:rPr>
          <w:rFonts w:ascii="Arial" w:eastAsia="Times New Roman" w:hAnsi="Arial" w:cs="Arial"/>
          <w:sz w:val="24"/>
          <w:szCs w:val="24"/>
          <w:lang w:val="en-GB" w:eastAsia="en-GB"/>
        </w:rPr>
        <w:t xml:space="preserve">. </w:t>
      </w:r>
      <w:r w:rsidRPr="00C362B0">
        <w:rPr>
          <w:rFonts w:ascii="Arial" w:eastAsia="Times New Roman" w:hAnsi="Arial" w:cs="Arial"/>
          <w:sz w:val="24"/>
          <w:szCs w:val="24"/>
          <w:lang w:val="en-GB" w:eastAsia="en-GB"/>
        </w:rPr>
        <w:t>The venture is proposed to operate as a Private Limited Company (Ltd), subject to the outcome of the feasibility and implementation analysis</w:t>
      </w:r>
      <w:r w:rsidR="00751DB9" w:rsidRPr="00C362B0">
        <w:rPr>
          <w:rFonts w:ascii="Arial" w:eastAsia="Times New Roman" w:hAnsi="Arial" w:cs="Arial"/>
          <w:sz w:val="24"/>
          <w:szCs w:val="24"/>
          <w:lang w:val="en-GB" w:eastAsia="en-GB"/>
        </w:rPr>
        <w:t xml:space="preserve">. It suits an emerging business as it gives the shareholders limited liability and allows for a recognised corporate identity, as well as investment and controlled growth (Companies House, 2024). </w:t>
      </w:r>
      <w:r w:rsidR="004A5857" w:rsidRPr="00C362B0">
        <w:rPr>
          <w:rFonts w:ascii="Arial" w:eastAsia="Times New Roman" w:hAnsi="Arial" w:cs="Arial"/>
          <w:sz w:val="24"/>
          <w:szCs w:val="24"/>
          <w:lang w:val="en-GB" w:eastAsia="en-GB"/>
        </w:rPr>
        <w:t xml:space="preserve">The location also has commercially available premises, with current </w:t>
      </w:r>
      <w:proofErr w:type="spellStart"/>
      <w:r w:rsidR="004A5857" w:rsidRPr="00C362B0">
        <w:rPr>
          <w:rFonts w:ascii="Arial" w:eastAsia="Times New Roman" w:hAnsi="Arial" w:cs="Arial"/>
          <w:sz w:val="24"/>
          <w:szCs w:val="24"/>
          <w:lang w:val="en-GB" w:eastAsia="en-GB"/>
        </w:rPr>
        <w:t>Levenshulme</w:t>
      </w:r>
      <w:proofErr w:type="spellEnd"/>
      <w:r w:rsidR="004A5857" w:rsidRPr="00C362B0">
        <w:rPr>
          <w:rFonts w:ascii="Arial" w:eastAsia="Times New Roman" w:hAnsi="Arial" w:cs="Arial"/>
          <w:sz w:val="24"/>
          <w:szCs w:val="24"/>
          <w:lang w:val="en-GB" w:eastAsia="en-GB"/>
        </w:rPr>
        <w:t xml:space="preserve"> listings indicating examples of approximately £1,000–£1,200 per month, although suitability, size and final rental cost will require further assessment (</w:t>
      </w:r>
      <w:proofErr w:type="spellStart"/>
      <w:r w:rsidR="004A5857" w:rsidRPr="00C362B0">
        <w:rPr>
          <w:rFonts w:ascii="Arial" w:eastAsia="Times New Roman" w:hAnsi="Arial" w:cs="Arial"/>
          <w:sz w:val="24"/>
          <w:szCs w:val="24"/>
          <w:lang w:val="en-GB" w:eastAsia="en-GB"/>
        </w:rPr>
        <w:t>Rightmove</w:t>
      </w:r>
      <w:proofErr w:type="spellEnd"/>
      <w:r w:rsidR="004A5857" w:rsidRPr="00C362B0">
        <w:rPr>
          <w:rFonts w:ascii="Arial" w:eastAsia="Times New Roman" w:hAnsi="Arial" w:cs="Arial"/>
          <w:sz w:val="24"/>
          <w:szCs w:val="24"/>
          <w:lang w:val="en-GB" w:eastAsia="en-GB"/>
        </w:rPr>
        <w:t>, 2026).</w:t>
      </w:r>
    </w:p>
    <w:p w14:paraId="3F1877C5" w14:textId="25B11E29" w:rsidR="00974D5F" w:rsidRPr="00C362B0" w:rsidRDefault="00974D5F" w:rsidP="0023208B">
      <w:pPr>
        <w:pStyle w:val="Heading2"/>
        <w:rPr>
          <w:rFonts w:eastAsia="Times New Roman"/>
          <w:lang w:val="en-GB" w:eastAsia="en-GB"/>
        </w:rPr>
      </w:pPr>
      <w:bookmarkStart w:id="15" w:name="_Toc239188496"/>
      <w:r w:rsidRPr="00C362B0">
        <w:rPr>
          <w:rFonts w:eastAsia="Times New Roman"/>
          <w:lang w:val="en-GB" w:eastAsia="en-GB"/>
        </w:rPr>
        <w:t>2.2 Product and Service Offering</w:t>
      </w:r>
      <w:bookmarkEnd w:id="15"/>
    </w:p>
    <w:p w14:paraId="747F67AB" w14:textId="3F90CD73" w:rsidR="00C65039" w:rsidRPr="00C362B0" w:rsidRDefault="00C65039"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will integrate physical gym resources and personalized digital resources. Core services will comprise fitness assessment, AI-assisted coaching, personal training, group classes, nutrition consultation, wellness coaching and corporate wellness programmes. Members can use a mobile app to set their objectives and preferences, sync their compatible Apple Watch, Fitbit and Garmin data, and get AI-driven workout suggestions</w:t>
      </w:r>
      <w:r w:rsidR="0023208B" w:rsidRPr="00C362B0">
        <w:rPr>
          <w:rFonts w:ascii="Arial" w:eastAsia="Times New Roman" w:hAnsi="Arial" w:cs="Arial"/>
          <w:sz w:val="24"/>
          <w:szCs w:val="24"/>
          <w:lang w:val="en-GB" w:eastAsia="en-GB"/>
        </w:rPr>
        <w:t xml:space="preserve"> and progress updates.</w:t>
      </w:r>
    </w:p>
    <w:p w14:paraId="13DD41F0" w14:textId="0806D2E4" w:rsidR="00C65039" w:rsidRPr="00C362B0" w:rsidRDefault="00445244"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system will use member-approved data, including activity levels, training history and fitness goals, to generate personalised workout recommendations and progress updates. AI recommendations will remain under qualified human supervision, with trainers monitoring progress, reviewing plans and providing professional advice where required. Combination Access will allow members to combine in-gym sessions with online coaching. The goal is therefore a mid-market offering based on affordability, personalisation, human support and technology, rather than access to equipment alone</w:t>
      </w:r>
      <w:r w:rsidR="0023208B" w:rsidRPr="00C362B0">
        <w:rPr>
          <w:rFonts w:ascii="Arial" w:eastAsia="Times New Roman" w:hAnsi="Arial" w:cs="Arial"/>
          <w:sz w:val="24"/>
          <w:szCs w:val="24"/>
          <w:lang w:val="en-GB" w:eastAsia="en-GB"/>
        </w:rPr>
        <w:t>.</w:t>
      </w:r>
    </w:p>
    <w:p w14:paraId="25F0347E" w14:textId="62CD16C3" w:rsidR="00C65039" w:rsidRPr="00C362B0" w:rsidRDefault="00C65039" w:rsidP="0023208B">
      <w:pPr>
        <w:pStyle w:val="Heading2"/>
        <w:rPr>
          <w:rFonts w:eastAsia="Times New Roman"/>
          <w:lang w:val="en-GB" w:eastAsia="en-GB"/>
        </w:rPr>
      </w:pPr>
      <w:bookmarkStart w:id="16" w:name="_Toc239188497"/>
      <w:r w:rsidRPr="00C362B0">
        <w:rPr>
          <w:rFonts w:eastAsia="Times New Roman"/>
          <w:lang w:val="en-GB" w:eastAsia="en-GB"/>
        </w:rPr>
        <w:t>2.3 Founding Idea</w:t>
      </w:r>
      <w:bookmarkEnd w:id="16"/>
    </w:p>
    <w:p w14:paraId="202BAA84" w14:textId="3B50896C" w:rsidR="00974D5F" w:rsidRPr="00C362B0" w:rsidRDefault="00F26FF1"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idea emerged from secondary research into the UK fitness market and the potential for a differentiated mid-market proposition between low-cost self-service gyms and higher-cost personalised fitness services</w:t>
      </w:r>
      <w:r w:rsidR="00C65039" w:rsidRPr="00C362B0">
        <w:rPr>
          <w:rFonts w:ascii="Arial" w:eastAsia="Times New Roman" w:hAnsi="Arial" w:cs="Arial"/>
          <w:sz w:val="24"/>
          <w:szCs w:val="24"/>
          <w:lang w:val="en-GB" w:eastAsia="en-GB"/>
        </w:rPr>
        <w:t xml:space="preserve">. Established demand can be seen </w:t>
      </w:r>
      <w:r w:rsidR="00C65039" w:rsidRPr="00C362B0">
        <w:rPr>
          <w:rFonts w:ascii="Arial" w:eastAsia="Times New Roman" w:hAnsi="Arial" w:cs="Arial"/>
          <w:sz w:val="24"/>
          <w:szCs w:val="24"/>
          <w:lang w:val="en-GB" w:eastAsia="en-GB"/>
        </w:rPr>
        <w:lastRenderedPageBreak/>
        <w:t xml:space="preserve">from the growth in membership in the UK, with </w:t>
      </w:r>
      <w:proofErr w:type="spellStart"/>
      <w:r w:rsidR="00C65039" w:rsidRPr="00C362B0">
        <w:rPr>
          <w:rFonts w:ascii="Arial" w:eastAsia="Times New Roman" w:hAnsi="Arial" w:cs="Arial"/>
          <w:sz w:val="24"/>
          <w:szCs w:val="24"/>
          <w:lang w:val="en-GB" w:eastAsia="en-GB"/>
        </w:rPr>
        <w:t>Jetts</w:t>
      </w:r>
      <w:proofErr w:type="spellEnd"/>
      <w:r w:rsidR="00C65039" w:rsidRPr="00C362B0">
        <w:rPr>
          <w:rFonts w:ascii="Arial" w:eastAsia="Times New Roman" w:hAnsi="Arial" w:cs="Arial"/>
          <w:sz w:val="24"/>
          <w:szCs w:val="24"/>
          <w:lang w:val="en-GB" w:eastAsia="en-GB"/>
        </w:rPr>
        <w:t xml:space="preserve"> </w:t>
      </w:r>
      <w:proofErr w:type="spellStart"/>
      <w:r w:rsidR="00C65039" w:rsidRPr="00C362B0">
        <w:rPr>
          <w:rFonts w:ascii="Arial" w:eastAsia="Times New Roman" w:hAnsi="Arial" w:cs="Arial"/>
          <w:sz w:val="24"/>
          <w:szCs w:val="24"/>
          <w:lang w:val="en-GB" w:eastAsia="en-GB"/>
        </w:rPr>
        <w:t>Levenshulme</w:t>
      </w:r>
      <w:proofErr w:type="spellEnd"/>
      <w:r w:rsidR="00C65039" w:rsidRPr="00C362B0">
        <w:rPr>
          <w:rFonts w:ascii="Arial" w:eastAsia="Times New Roman" w:hAnsi="Arial" w:cs="Arial"/>
          <w:sz w:val="24"/>
          <w:szCs w:val="24"/>
          <w:lang w:val="en-GB" w:eastAsia="en-GB"/>
        </w:rPr>
        <w:t xml:space="preserve"> already comprising of 24/7 access, classes, personal training and connected equipment all for £32.95 per month (</w:t>
      </w:r>
      <w:proofErr w:type="spellStart"/>
      <w:r w:rsidR="00C65039" w:rsidRPr="00C362B0">
        <w:rPr>
          <w:rFonts w:ascii="Arial" w:eastAsia="Times New Roman" w:hAnsi="Arial" w:cs="Arial"/>
          <w:sz w:val="24"/>
          <w:szCs w:val="24"/>
          <w:lang w:val="en-GB" w:eastAsia="en-GB"/>
        </w:rPr>
        <w:t>Jetts</w:t>
      </w:r>
      <w:proofErr w:type="spellEnd"/>
      <w:r w:rsidR="00C65039" w:rsidRPr="00C362B0">
        <w:rPr>
          <w:rFonts w:ascii="Arial" w:eastAsia="Times New Roman" w:hAnsi="Arial" w:cs="Arial"/>
          <w:sz w:val="24"/>
          <w:szCs w:val="24"/>
          <w:lang w:val="en-GB" w:eastAsia="en-GB"/>
        </w:rPr>
        <w:t xml:space="preserve"> 2026). </w:t>
      </w:r>
      <w:r w:rsidR="00226606" w:rsidRPr="00C362B0">
        <w:rPr>
          <w:rFonts w:ascii="Arial" w:eastAsia="Times New Roman" w:hAnsi="Arial" w:cs="Arial"/>
          <w:sz w:val="24"/>
          <w:szCs w:val="24"/>
          <w:lang w:val="en-GB" w:eastAsia="en-GB"/>
        </w:rPr>
        <w:t xml:space="preserve">This indicates that low cost, extended access and connected technology alone may not provide sufficient differentiation for </w:t>
      </w:r>
      <w:proofErr w:type="spellStart"/>
      <w:r w:rsidR="00226606" w:rsidRPr="00C362B0">
        <w:rPr>
          <w:rFonts w:ascii="Arial" w:eastAsia="Times New Roman" w:hAnsi="Arial" w:cs="Arial"/>
          <w:sz w:val="24"/>
          <w:szCs w:val="24"/>
          <w:lang w:val="en-GB" w:eastAsia="en-GB"/>
        </w:rPr>
        <w:t>FitLife</w:t>
      </w:r>
      <w:proofErr w:type="spellEnd"/>
      <w:r w:rsidR="00C65039" w:rsidRPr="00C362B0">
        <w:rPr>
          <w:rFonts w:ascii="Arial" w:eastAsia="Times New Roman" w:hAnsi="Arial" w:cs="Arial"/>
          <w:sz w:val="24"/>
          <w:szCs w:val="24"/>
          <w:lang w:val="en-GB" w:eastAsia="en-GB"/>
        </w:rPr>
        <w:t xml:space="preserve">. </w:t>
      </w:r>
      <w:r w:rsidR="003657C6" w:rsidRPr="00C362B0">
        <w:rPr>
          <w:rFonts w:ascii="Arial" w:eastAsia="Times New Roman" w:hAnsi="Arial" w:cs="Arial"/>
          <w:sz w:val="24"/>
          <w:szCs w:val="24"/>
          <w:lang w:val="en-GB" w:eastAsia="en-GB"/>
        </w:rPr>
        <w:t>The concept is therefore to test whether integrated AI-assisted coaching, wearable-supported monitoring and human support can provide sufficient additional value</w:t>
      </w:r>
      <w:r w:rsidR="00C65039" w:rsidRPr="00C362B0">
        <w:rPr>
          <w:rFonts w:ascii="Arial" w:eastAsia="Times New Roman" w:hAnsi="Arial" w:cs="Arial"/>
          <w:sz w:val="24"/>
          <w:szCs w:val="24"/>
          <w:lang w:val="en-GB" w:eastAsia="en-GB"/>
        </w:rPr>
        <w:t>.</w:t>
      </w:r>
    </w:p>
    <w:p w14:paraId="203DD0DF" w14:textId="41DB1F17" w:rsidR="00974D5F" w:rsidRPr="00C362B0" w:rsidRDefault="00974D5F" w:rsidP="0023208B">
      <w:pPr>
        <w:pStyle w:val="Heading2"/>
        <w:rPr>
          <w:rFonts w:eastAsia="Times New Roman"/>
          <w:lang w:val="en-GB" w:eastAsia="en-GB"/>
        </w:rPr>
      </w:pPr>
      <w:bookmarkStart w:id="17" w:name="_Toc239188498"/>
      <w:r w:rsidRPr="00C362B0">
        <w:rPr>
          <w:rFonts w:eastAsia="Times New Roman"/>
          <w:lang w:val="en-GB" w:eastAsia="en-GB"/>
        </w:rPr>
        <w:t>2.4 Mission, Vision and Core Values</w:t>
      </w:r>
      <w:bookmarkEnd w:id="17"/>
    </w:p>
    <w:p w14:paraId="79FED9F4" w14:textId="5D89F7B7"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Mission:</w:t>
      </w:r>
      <w:r w:rsidRPr="00C362B0">
        <w:rPr>
          <w:rFonts w:ascii="Arial" w:eastAsia="Times New Roman" w:hAnsi="Arial" w:cs="Arial"/>
          <w:sz w:val="24"/>
          <w:szCs w:val="24"/>
          <w:lang w:val="en-GB" w:eastAsia="en-GB"/>
        </w:rPr>
        <w:t xml:space="preserve"> To improve individual health and wellbeing through affordable, personalised and technology-enabled fitness and wellness services that suppor</w:t>
      </w:r>
      <w:r w:rsidR="0023208B" w:rsidRPr="00C362B0">
        <w:rPr>
          <w:rFonts w:ascii="Arial" w:eastAsia="Times New Roman" w:hAnsi="Arial" w:cs="Arial"/>
          <w:sz w:val="24"/>
          <w:szCs w:val="24"/>
          <w:lang w:val="en-GB" w:eastAsia="en-GB"/>
        </w:rPr>
        <w:t>t sustainable lifestyle change.</w:t>
      </w:r>
    </w:p>
    <w:p w14:paraId="2CDEEC99" w14:textId="77BAD2C5"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Vision:</w:t>
      </w:r>
      <w:r w:rsidRPr="00C362B0">
        <w:rPr>
          <w:rFonts w:ascii="Arial" w:eastAsia="Times New Roman" w:hAnsi="Arial" w:cs="Arial"/>
          <w:sz w:val="24"/>
          <w:szCs w:val="24"/>
          <w:lang w:val="en-GB" w:eastAsia="en-GB"/>
        </w:rPr>
        <w:t xml:space="preserve"> To become a recognised smart fitness and wellness provider in Manchester, known for personalised customer experiences, responsible innovation and long-ter</w:t>
      </w:r>
      <w:r w:rsidR="0023208B" w:rsidRPr="00C362B0">
        <w:rPr>
          <w:rFonts w:ascii="Arial" w:eastAsia="Times New Roman" w:hAnsi="Arial" w:cs="Arial"/>
          <w:sz w:val="24"/>
          <w:szCs w:val="24"/>
          <w:lang w:val="en-GB" w:eastAsia="en-GB"/>
        </w:rPr>
        <w:t>m wellbeing.</w:t>
      </w:r>
    </w:p>
    <w:p w14:paraId="27BED0DE" w14:textId="7BDC0DE2" w:rsidR="00974D5F" w:rsidRPr="00C362B0" w:rsidRDefault="0023208B"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Core Values:</w:t>
      </w:r>
    </w:p>
    <w:p w14:paraId="5E5FA3D9"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Innovation </w:t>
      </w:r>
      <w:r w:rsidRPr="00C362B0">
        <w:rPr>
          <w:rFonts w:ascii="Arial" w:eastAsia="Times New Roman" w:hAnsi="Arial" w:cs="Arial"/>
          <w:sz w:val="24"/>
          <w:szCs w:val="24"/>
          <w:lang w:val="en-GB" w:eastAsia="en-GB"/>
        </w:rPr>
        <w:t>– using technology purposefully to improve fitness experiences.</w:t>
      </w:r>
    </w:p>
    <w:p w14:paraId="161D9573"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Customer Wellbeing</w:t>
      </w:r>
      <w:r w:rsidRPr="00C362B0">
        <w:rPr>
          <w:rFonts w:ascii="Arial" w:eastAsia="Times New Roman" w:hAnsi="Arial" w:cs="Arial"/>
          <w:sz w:val="24"/>
          <w:szCs w:val="24"/>
          <w:lang w:val="en-GB" w:eastAsia="en-GB"/>
        </w:rPr>
        <w:t xml:space="preserve"> – prioritising safe and holistic support.</w:t>
      </w:r>
    </w:p>
    <w:p w14:paraId="07FB198C"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Inclusivity </w:t>
      </w:r>
      <w:r w:rsidRPr="00C362B0">
        <w:rPr>
          <w:rFonts w:ascii="Arial" w:eastAsia="Times New Roman" w:hAnsi="Arial" w:cs="Arial"/>
          <w:sz w:val="24"/>
          <w:szCs w:val="24"/>
          <w:lang w:val="en-GB" w:eastAsia="en-GB"/>
        </w:rPr>
        <w:t>– designing services for diverse local customers.</w:t>
      </w:r>
    </w:p>
    <w:p w14:paraId="470FCF40"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Sustainability</w:t>
      </w:r>
      <w:r w:rsidRPr="00C362B0">
        <w:rPr>
          <w:rFonts w:ascii="Arial" w:eastAsia="Times New Roman" w:hAnsi="Arial" w:cs="Arial"/>
          <w:sz w:val="24"/>
          <w:szCs w:val="24"/>
          <w:lang w:val="en-GB" w:eastAsia="en-GB"/>
        </w:rPr>
        <w:t xml:space="preserve"> – reducing unnecessary resource use while supporting long-term community wellbeing.</w:t>
      </w:r>
    </w:p>
    <w:p w14:paraId="2D512E04" w14:textId="18854A51" w:rsidR="00974D5F" w:rsidRPr="00C362B0" w:rsidRDefault="00974D5F" w:rsidP="0023208B">
      <w:pPr>
        <w:pStyle w:val="Heading2"/>
        <w:rPr>
          <w:rFonts w:eastAsia="Times New Roman"/>
          <w:lang w:val="en-GB" w:eastAsia="en-GB"/>
        </w:rPr>
      </w:pPr>
      <w:bookmarkStart w:id="18" w:name="_Toc239188499"/>
      <w:r w:rsidRPr="00C362B0">
        <w:rPr>
          <w:rFonts w:eastAsia="Times New Roman"/>
          <w:lang w:val="en-GB" w:eastAsia="en-GB"/>
        </w:rPr>
        <w:t>2.</w:t>
      </w:r>
      <w:r w:rsidR="0089526A" w:rsidRPr="00C362B0">
        <w:rPr>
          <w:rFonts w:eastAsia="Times New Roman"/>
          <w:lang w:val="en-GB" w:eastAsia="en-GB"/>
        </w:rPr>
        <w:t>5 Business Objectives and Goals</w:t>
      </w:r>
      <w:bookmarkEnd w:id="18"/>
    </w:p>
    <w:p w14:paraId="3F702594" w14:textId="4423A845" w:rsidR="00974D5F" w:rsidRPr="00C362B0" w:rsidRDefault="00A960C0"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has established the following provisional SMART objectives as measurable planning targets, which will be tested and justified through the subsequent market, financial, operational and implementation analyses:</w:t>
      </w:r>
    </w:p>
    <w:p w14:paraId="0702DD6F" w14:textId="71EA81D8" w:rsidR="0089526A" w:rsidRPr="00C362B0" w:rsidRDefault="0089526A" w:rsidP="0023208B">
      <w:pPr>
        <w:pStyle w:val="Caption"/>
        <w:keepNext/>
        <w:spacing w:line="360" w:lineRule="auto"/>
        <w:jc w:val="both"/>
        <w:rPr>
          <w:rFonts w:ascii="Arial" w:hAnsi="Arial" w:cs="Arial"/>
          <w:sz w:val="24"/>
          <w:szCs w:val="24"/>
          <w:lang w:val="en-GB"/>
        </w:rPr>
      </w:pPr>
      <w:bookmarkStart w:id="19" w:name="_Toc239091686"/>
      <w:r w:rsidRPr="00C362B0">
        <w:rPr>
          <w:rFonts w:ascii="Arial" w:hAnsi="Arial" w:cs="Arial"/>
          <w:sz w:val="24"/>
          <w:szCs w:val="24"/>
          <w:lang w:val="en-GB"/>
        </w:rPr>
        <w:t xml:space="preserve">Table </w:t>
      </w:r>
      <w:r w:rsidRPr="00C362B0">
        <w:rPr>
          <w:rFonts w:ascii="Arial" w:hAnsi="Arial" w:cs="Arial"/>
          <w:sz w:val="24"/>
          <w:szCs w:val="24"/>
          <w:lang w:val="en-GB"/>
        </w:rPr>
        <w:fldChar w:fldCharType="begin"/>
      </w:r>
      <w:r w:rsidRPr="00C362B0">
        <w:rPr>
          <w:rFonts w:ascii="Arial" w:hAnsi="Arial" w:cs="Arial"/>
          <w:sz w:val="24"/>
          <w:szCs w:val="24"/>
          <w:lang w:val="en-GB"/>
        </w:rPr>
        <w:instrText xml:space="preserve"> SEQ Table \* ARABIC </w:instrText>
      </w:r>
      <w:r w:rsidRPr="00C362B0">
        <w:rPr>
          <w:rFonts w:ascii="Arial" w:hAnsi="Arial" w:cs="Arial"/>
          <w:sz w:val="24"/>
          <w:szCs w:val="24"/>
          <w:lang w:val="en-GB"/>
        </w:rPr>
        <w:fldChar w:fldCharType="separate"/>
      </w:r>
      <w:r w:rsidR="00415D83">
        <w:rPr>
          <w:rFonts w:ascii="Arial" w:hAnsi="Arial" w:cs="Arial"/>
          <w:noProof/>
          <w:sz w:val="24"/>
          <w:szCs w:val="24"/>
          <w:lang w:val="en-GB"/>
        </w:rPr>
        <w:t>2</w:t>
      </w:r>
      <w:r w:rsidRPr="00C362B0">
        <w:rPr>
          <w:rFonts w:ascii="Arial" w:hAnsi="Arial" w:cs="Arial"/>
          <w:sz w:val="24"/>
          <w:szCs w:val="24"/>
          <w:lang w:val="en-GB"/>
        </w:rPr>
        <w:fldChar w:fldCharType="end"/>
      </w:r>
      <w:r w:rsidRPr="00C362B0">
        <w:rPr>
          <w:rFonts w:ascii="Arial" w:hAnsi="Arial" w:cs="Arial"/>
          <w:sz w:val="24"/>
          <w:szCs w:val="24"/>
          <w:lang w:val="en-GB"/>
        </w:rPr>
        <w:t>.Business Objectives and Goals</w:t>
      </w:r>
      <w:bookmarkEnd w:id="19"/>
    </w:p>
    <w:tbl>
      <w:tblPr>
        <w:tblStyle w:val="TableGrid"/>
        <w:tblW w:w="0" w:type="auto"/>
        <w:tblLook w:val="04A0" w:firstRow="1" w:lastRow="0" w:firstColumn="1" w:lastColumn="0" w:noHBand="0" w:noVBand="1"/>
      </w:tblPr>
      <w:tblGrid>
        <w:gridCol w:w="4508"/>
        <w:gridCol w:w="4508"/>
      </w:tblGrid>
      <w:tr w:rsidR="009F5F32" w:rsidRPr="00C362B0" w14:paraId="61A54C70" w14:textId="77777777" w:rsidTr="009F5F32">
        <w:tc>
          <w:tcPr>
            <w:tcW w:w="4508" w:type="dxa"/>
          </w:tcPr>
          <w:p w14:paraId="55D3D395" w14:textId="77777777" w:rsidR="009F5F32" w:rsidRPr="00C362B0" w:rsidRDefault="009F5F32"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Objective</w:t>
            </w:r>
          </w:p>
        </w:tc>
        <w:tc>
          <w:tcPr>
            <w:tcW w:w="4508" w:type="dxa"/>
          </w:tcPr>
          <w:p w14:paraId="3A68CDA0" w14:textId="77777777" w:rsidR="009F5F32" w:rsidRPr="00C362B0" w:rsidRDefault="009F5F32"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SMART Target</w:t>
            </w:r>
          </w:p>
        </w:tc>
      </w:tr>
      <w:tr w:rsidR="009F5F32" w:rsidRPr="00C362B0" w14:paraId="4F078301" w14:textId="77777777" w:rsidTr="009F5F32">
        <w:tc>
          <w:tcPr>
            <w:tcW w:w="4508" w:type="dxa"/>
          </w:tcPr>
          <w:p w14:paraId="1D72524F"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Launch</w:t>
            </w:r>
          </w:p>
        </w:tc>
        <w:tc>
          <w:tcPr>
            <w:tcW w:w="4508" w:type="dxa"/>
          </w:tcPr>
          <w:p w14:paraId="45CC709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Secure suitable premises, complete setup and commence trading by 30 June 2027, subject to feasibility approval.</w:t>
            </w:r>
          </w:p>
        </w:tc>
      </w:tr>
      <w:tr w:rsidR="009F5F32" w:rsidRPr="00C362B0" w14:paraId="7641FB5B" w14:textId="77777777" w:rsidTr="009F5F32">
        <w:tc>
          <w:tcPr>
            <w:tcW w:w="4508" w:type="dxa"/>
          </w:tcPr>
          <w:p w14:paraId="6E39A1C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lastRenderedPageBreak/>
              <w:t>Membership</w:t>
            </w:r>
          </w:p>
        </w:tc>
        <w:tc>
          <w:tcPr>
            <w:tcW w:w="4508" w:type="dxa"/>
          </w:tcPr>
          <w:p w14:paraId="33FFC55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Reach 500 active paying members within 12 months of launch.</w:t>
            </w:r>
          </w:p>
        </w:tc>
      </w:tr>
      <w:tr w:rsidR="009F5F32" w:rsidRPr="00C362B0" w14:paraId="10B409E7" w14:textId="77777777" w:rsidTr="009F5F32">
        <w:tc>
          <w:tcPr>
            <w:tcW w:w="4508" w:type="dxa"/>
          </w:tcPr>
          <w:p w14:paraId="5C54DC1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Customer satisfaction</w:t>
            </w:r>
          </w:p>
        </w:tc>
        <w:tc>
          <w:tcPr>
            <w:tcW w:w="4508" w:type="dxa"/>
          </w:tcPr>
          <w:p w14:paraId="3E8BB538"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Achieve at least 90% positive satisfaction responses by the end of Year 1, measured through routine digital feedback.</w:t>
            </w:r>
          </w:p>
        </w:tc>
      </w:tr>
      <w:tr w:rsidR="009F5F32" w:rsidRPr="00C362B0" w14:paraId="286BBC84" w14:textId="77777777" w:rsidTr="009F5F32">
        <w:tc>
          <w:tcPr>
            <w:tcW w:w="4508" w:type="dxa"/>
          </w:tcPr>
          <w:p w14:paraId="65EC8D40"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Financial performance</w:t>
            </w:r>
          </w:p>
        </w:tc>
        <w:tc>
          <w:tcPr>
            <w:tcW w:w="4508" w:type="dxa"/>
          </w:tcPr>
          <w:p w14:paraId="3EF3C22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Reach operational break-even by the end of Year 2, with the required membership level confirmed through the financial model.</w:t>
            </w:r>
          </w:p>
        </w:tc>
      </w:tr>
      <w:tr w:rsidR="009F5F32" w:rsidRPr="00C362B0" w14:paraId="54BF79EC" w14:textId="77777777" w:rsidTr="009F5F32">
        <w:tc>
          <w:tcPr>
            <w:tcW w:w="4508" w:type="dxa"/>
          </w:tcPr>
          <w:p w14:paraId="482BDAD6"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Service quality</w:t>
            </w:r>
          </w:p>
        </w:tc>
        <w:tc>
          <w:tcPr>
            <w:tcW w:w="4508" w:type="dxa"/>
          </w:tcPr>
          <w:p w14:paraId="5577172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Ensure at least 90% of new members receive digital </w:t>
            </w:r>
            <w:proofErr w:type="spellStart"/>
            <w:r w:rsidRPr="00C362B0">
              <w:rPr>
                <w:rFonts w:ascii="Arial" w:eastAsia="Times New Roman" w:hAnsi="Arial" w:cs="Arial"/>
                <w:sz w:val="24"/>
                <w:szCs w:val="24"/>
                <w:lang w:val="en-GB" w:eastAsia="en-GB"/>
              </w:rPr>
              <w:t>onboarding</w:t>
            </w:r>
            <w:proofErr w:type="spellEnd"/>
            <w:r w:rsidRPr="00C362B0">
              <w:rPr>
                <w:rFonts w:ascii="Arial" w:eastAsia="Times New Roman" w:hAnsi="Arial" w:cs="Arial"/>
                <w:sz w:val="24"/>
                <w:szCs w:val="24"/>
                <w:lang w:val="en-GB" w:eastAsia="en-GB"/>
              </w:rPr>
              <w:t xml:space="preserve"> and an initial personalised training plan within 30 days of joining.</w:t>
            </w:r>
          </w:p>
        </w:tc>
      </w:tr>
      <w:tr w:rsidR="009F5F32" w:rsidRPr="00C362B0" w14:paraId="0E920E9D" w14:textId="77777777" w:rsidTr="009F5F32">
        <w:tc>
          <w:tcPr>
            <w:tcW w:w="4508" w:type="dxa"/>
          </w:tcPr>
          <w:p w14:paraId="50B5354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Growth</w:t>
            </w:r>
          </w:p>
        </w:tc>
        <w:tc>
          <w:tcPr>
            <w:tcW w:w="4508" w:type="dxa"/>
          </w:tcPr>
          <w:p w14:paraId="52C94612"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Complete a Greater Manchester expansion assessment by the end of Year 2, using financial, market and operational evidence before any expansion decision</w:t>
            </w:r>
          </w:p>
        </w:tc>
      </w:tr>
    </w:tbl>
    <w:p w14:paraId="4C83B25C" w14:textId="10CAA935"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These targets are measurable milestones rather than claims of guaranteed performance. Their achievability will be tested through the subsequent financial, marketing, human capit</w:t>
      </w:r>
      <w:r w:rsidR="0023208B" w:rsidRPr="00C362B0">
        <w:rPr>
          <w:rFonts w:ascii="Arial" w:eastAsia="Times New Roman" w:hAnsi="Arial" w:cs="Arial"/>
          <w:sz w:val="24"/>
          <w:szCs w:val="24"/>
          <w:lang w:val="en-GB" w:eastAsia="en-GB"/>
        </w:rPr>
        <w:t>al and implementation analyses.</w:t>
      </w:r>
    </w:p>
    <w:p w14:paraId="03E95377" w14:textId="45C12D16" w:rsidR="00974D5F" w:rsidRPr="00C362B0" w:rsidRDefault="00974D5F" w:rsidP="0023208B">
      <w:pPr>
        <w:pStyle w:val="Heading2"/>
        <w:rPr>
          <w:rFonts w:eastAsia="Times New Roman"/>
          <w:lang w:val="en-GB" w:eastAsia="en-GB"/>
        </w:rPr>
      </w:pPr>
      <w:bookmarkStart w:id="20" w:name="_Toc239188500"/>
      <w:r w:rsidRPr="00C362B0">
        <w:rPr>
          <w:rFonts w:eastAsia="Times New Roman"/>
          <w:lang w:val="en-GB" w:eastAsia="en-GB"/>
        </w:rPr>
        <w:t>2.6 Alignment with Trends and Market Opportuni</w:t>
      </w:r>
      <w:r w:rsidR="0023208B" w:rsidRPr="00C362B0">
        <w:rPr>
          <w:rFonts w:eastAsia="Times New Roman"/>
          <w:lang w:val="en-GB" w:eastAsia="en-GB"/>
        </w:rPr>
        <w:t>ty</w:t>
      </w:r>
      <w:bookmarkEnd w:id="20"/>
    </w:p>
    <w:p w14:paraId="348EAE0E" w14:textId="6A256AED" w:rsidR="00974D5F" w:rsidRPr="00C362B0" w:rsidRDefault="0023208B"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is in sync with the evolution of the industry towards technology-driven, personalized and flexible fitness. In 2024, the UK market had grown to 11.5 million members and in 2025, the total membership for the wider European market continued to increase (</w:t>
      </w:r>
      <w:proofErr w:type="spellStart"/>
      <w:r w:rsidRPr="00C362B0">
        <w:rPr>
          <w:rFonts w:ascii="Arial" w:eastAsia="Times New Roman" w:hAnsi="Arial" w:cs="Arial"/>
          <w:sz w:val="24"/>
          <w:szCs w:val="24"/>
          <w:lang w:val="en-GB" w:eastAsia="en-GB"/>
        </w:rPr>
        <w:t>ukactive</w:t>
      </w:r>
      <w:proofErr w:type="spellEnd"/>
      <w:r w:rsidRPr="00C362B0">
        <w:rPr>
          <w:rFonts w:ascii="Arial" w:eastAsia="Times New Roman" w:hAnsi="Arial" w:cs="Arial"/>
          <w:sz w:val="24"/>
          <w:szCs w:val="24"/>
          <w:lang w:val="en-GB" w:eastAsia="en-GB"/>
        </w:rPr>
        <w:t xml:space="preserve">, 2025; </w:t>
      </w:r>
      <w:proofErr w:type="spellStart"/>
      <w:r w:rsidRPr="00C362B0">
        <w:rPr>
          <w:rFonts w:ascii="Arial" w:eastAsia="Times New Roman" w:hAnsi="Arial" w:cs="Arial"/>
          <w:sz w:val="24"/>
          <w:szCs w:val="24"/>
          <w:lang w:val="en-GB" w:eastAsia="en-GB"/>
        </w:rPr>
        <w:t>EuropeActive</w:t>
      </w:r>
      <w:proofErr w:type="spellEnd"/>
      <w:r w:rsidRPr="00C362B0">
        <w:rPr>
          <w:rFonts w:ascii="Arial" w:eastAsia="Times New Roman" w:hAnsi="Arial" w:cs="Arial"/>
          <w:sz w:val="24"/>
          <w:szCs w:val="24"/>
          <w:lang w:val="en-GB" w:eastAsia="en-GB"/>
        </w:rPr>
        <w:t xml:space="preserve"> and Deloitte, 2026). The use of wearables and AI can aid data-informed personalisation, and hybrid delivery can offer more flexibility. But this is already happening in the local market: </w:t>
      </w:r>
      <w:proofErr w:type="spellStart"/>
      <w:r w:rsidRPr="00C362B0">
        <w:rPr>
          <w:rFonts w:ascii="Arial" w:eastAsia="Times New Roman" w:hAnsi="Arial" w:cs="Arial"/>
          <w:sz w:val="24"/>
          <w:szCs w:val="24"/>
          <w:lang w:val="en-GB" w:eastAsia="en-GB"/>
        </w:rPr>
        <w:t>Jetts</w:t>
      </w:r>
      <w:proofErr w:type="spellEnd"/>
      <w:r w:rsidRPr="00C362B0">
        <w:rPr>
          <w:rFonts w:ascii="Arial" w:eastAsia="Times New Roman" w:hAnsi="Arial" w:cs="Arial"/>
          <w:sz w:val="24"/>
          <w:szCs w:val="24"/>
          <w:lang w:val="en-GB" w:eastAsia="en-GB"/>
        </w:rPr>
        <w:t xml:space="preserve"> </w:t>
      </w:r>
      <w:proofErr w:type="spellStart"/>
      <w:r w:rsidRPr="00C362B0">
        <w:rPr>
          <w:rFonts w:ascii="Arial" w:eastAsia="Times New Roman" w:hAnsi="Arial" w:cs="Arial"/>
          <w:sz w:val="24"/>
          <w:szCs w:val="24"/>
          <w:lang w:val="en-GB" w:eastAsia="en-GB"/>
        </w:rPr>
        <w:t>Levenshulme</w:t>
      </w:r>
      <w:proofErr w:type="spellEnd"/>
      <w:r w:rsidRPr="00C362B0">
        <w:rPr>
          <w:rFonts w:ascii="Arial" w:eastAsia="Times New Roman" w:hAnsi="Arial" w:cs="Arial"/>
          <w:sz w:val="24"/>
          <w:szCs w:val="24"/>
          <w:lang w:val="en-GB" w:eastAsia="en-GB"/>
        </w:rPr>
        <w:t xml:space="preserve"> is a connected provider of equipment, classes and 24/7 access. </w:t>
      </w:r>
      <w:proofErr w:type="spellStart"/>
      <w:r w:rsidR="00F955BB" w:rsidRPr="00C362B0">
        <w:rPr>
          <w:rFonts w:ascii="Arial" w:eastAsia="Times New Roman" w:hAnsi="Arial" w:cs="Arial"/>
          <w:sz w:val="24"/>
          <w:szCs w:val="24"/>
          <w:lang w:val="en-GB" w:eastAsia="en-GB"/>
        </w:rPr>
        <w:t>FitLife</w:t>
      </w:r>
      <w:proofErr w:type="spellEnd"/>
      <w:r w:rsidR="00F955BB" w:rsidRPr="00C362B0">
        <w:rPr>
          <w:rFonts w:ascii="Arial" w:eastAsia="Times New Roman" w:hAnsi="Arial" w:cs="Arial"/>
          <w:sz w:val="24"/>
          <w:szCs w:val="24"/>
          <w:lang w:val="en-GB" w:eastAsia="en-GB"/>
        </w:rPr>
        <w:t xml:space="preserve"> will therefore need to demonstrate that its AI-assisted coaching, wearable integration, human support and </w:t>
      </w:r>
      <w:r w:rsidR="00F955BB" w:rsidRPr="00C362B0">
        <w:rPr>
          <w:rFonts w:ascii="Arial" w:eastAsia="Times New Roman" w:hAnsi="Arial" w:cs="Arial"/>
          <w:sz w:val="24"/>
          <w:szCs w:val="24"/>
          <w:lang w:val="en-GB" w:eastAsia="en-GB"/>
        </w:rPr>
        <w:lastRenderedPageBreak/>
        <w:t>pricing provide sufficient additional value. This is not assumed and will be assessed through the following chapters of the BDP</w:t>
      </w:r>
      <w:r w:rsidR="00974D5F" w:rsidRPr="00C362B0">
        <w:rPr>
          <w:rFonts w:ascii="Arial" w:eastAsia="Times New Roman" w:hAnsi="Arial" w:cs="Arial"/>
          <w:sz w:val="24"/>
          <w:szCs w:val="24"/>
          <w:lang w:val="en-GB" w:eastAsia="en-GB"/>
        </w:rPr>
        <w:t>.</w:t>
      </w:r>
    </w:p>
    <w:p w14:paraId="3883F43E" w14:textId="5220A574"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49782496" w14:textId="5051AB9C"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8314CEC" w14:textId="1AD836D1"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73BB9D8E" w14:textId="1A1B853A"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2CD2AEE1" w14:textId="2A1877F0"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7BE04D6" w14:textId="0D22E442"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E9B6072" w14:textId="2DB5952D"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2A28A389" w14:textId="34071C9E"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FE1A647" w14:textId="46E4CCC7"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290CEE0" w14:textId="432ACAF7"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BB932AE" w14:textId="6FF651EA"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7B15E24" w14:textId="4E9C839E"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5723324" w14:textId="2F86D1D1"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22C152B" w14:textId="19D3A945"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8118472" w14:textId="12C43D7B"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D776636" w14:textId="30862565"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65C336D" w14:textId="759C3ECB" w:rsidR="00904BE5" w:rsidRPr="00C362B0" w:rsidRDefault="00EE5DE2" w:rsidP="00EE5DE2">
      <w:pPr>
        <w:pStyle w:val="Heading1"/>
        <w:jc w:val="center"/>
        <w:rPr>
          <w:rFonts w:eastAsia="Times New Roman"/>
          <w:lang w:val="en-GB" w:eastAsia="en-GB"/>
        </w:rPr>
      </w:pPr>
      <w:bookmarkStart w:id="21" w:name="_Toc239188501"/>
      <w:r w:rsidRPr="00C362B0">
        <w:rPr>
          <w:rFonts w:eastAsia="Times New Roman"/>
          <w:lang w:val="en-GB" w:eastAsia="en-GB"/>
        </w:rPr>
        <w:lastRenderedPageBreak/>
        <w:t>3</w:t>
      </w:r>
      <w:r w:rsidR="00904BE5" w:rsidRPr="00C362B0">
        <w:rPr>
          <w:rFonts w:eastAsia="Times New Roman"/>
          <w:lang w:val="en-GB" w:eastAsia="en-GB"/>
        </w:rPr>
        <w:t>. Literature Review</w:t>
      </w:r>
      <w:bookmarkEnd w:id="21"/>
    </w:p>
    <w:p w14:paraId="4BC47E6C" w14:textId="2EA6F31B" w:rsidR="00904BE5" w:rsidRPr="00C362B0" w:rsidRDefault="00EE5DE2" w:rsidP="00EE5DE2">
      <w:pPr>
        <w:pStyle w:val="Heading2"/>
        <w:rPr>
          <w:rFonts w:eastAsia="Times New Roman"/>
          <w:lang w:val="en-GB" w:eastAsia="en-GB"/>
        </w:rPr>
      </w:pPr>
      <w:bookmarkStart w:id="22" w:name="_Toc239188502"/>
      <w:r w:rsidRPr="00C362B0">
        <w:rPr>
          <w:rFonts w:eastAsia="Times New Roman"/>
          <w:lang w:val="en-GB" w:eastAsia="en-GB"/>
        </w:rPr>
        <w:t>3</w:t>
      </w:r>
      <w:r w:rsidR="00904BE5" w:rsidRPr="00C362B0">
        <w:rPr>
          <w:rFonts w:eastAsia="Times New Roman"/>
          <w:lang w:val="en-GB" w:eastAsia="en-GB"/>
        </w:rPr>
        <w:t>.1 Introduction to the Literature Review</w:t>
      </w:r>
      <w:bookmarkEnd w:id="22"/>
    </w:p>
    <w:p w14:paraId="537B665E" w14:textId="24A51D63" w:rsidR="00904BE5" w:rsidRPr="00C362B0" w:rsidRDefault="004A6E35" w:rsidP="00904BE5">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literature review establishes the theoretical basis for evaluating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focusing on the integration of artificial intelligence, wearable technology, personalised coaching and digital health support. TAM, HBM, SDT and SERVQUAL provide perspectives on technology acceptance, health behaviour, motivation and service quality. PESTLE, Porter’s Five Forces, VRIO, SWOT and the Business Model Canvas will support subsequent analysis of the external environment, competition, capabilities, strategy and value creation</w:t>
      </w:r>
      <w:r w:rsidR="00EE5DE2" w:rsidRPr="00C362B0">
        <w:rPr>
          <w:rFonts w:ascii="Arial" w:eastAsia="Times New Roman" w:hAnsi="Arial" w:cs="Arial"/>
          <w:sz w:val="24"/>
          <w:szCs w:val="24"/>
          <w:lang w:val="en-GB" w:eastAsia="en-GB"/>
        </w:rPr>
        <w:t>.</w:t>
      </w:r>
    </w:p>
    <w:p w14:paraId="3555D12F" w14:textId="08D4404B" w:rsidR="00904BE5" w:rsidRPr="00C362B0" w:rsidRDefault="00EE5DE2" w:rsidP="00EE5DE2">
      <w:pPr>
        <w:pStyle w:val="Heading2"/>
        <w:rPr>
          <w:rFonts w:eastAsia="Times New Roman"/>
          <w:lang w:val="en-GB" w:eastAsia="en-GB"/>
        </w:rPr>
      </w:pPr>
      <w:bookmarkStart w:id="23" w:name="_Toc239188503"/>
      <w:r w:rsidRPr="00C362B0">
        <w:rPr>
          <w:rFonts w:eastAsia="Times New Roman"/>
          <w:lang w:val="en-GB" w:eastAsia="en-GB"/>
        </w:rPr>
        <w:t>3</w:t>
      </w:r>
      <w:r w:rsidR="00904BE5" w:rsidRPr="00C362B0">
        <w:rPr>
          <w:rFonts w:eastAsia="Times New Roman"/>
          <w:lang w:val="en-GB" w:eastAsia="en-GB"/>
        </w:rPr>
        <w:t>.2 Technology Acceptance Model (TAM)</w:t>
      </w:r>
      <w:bookmarkEnd w:id="23"/>
    </w:p>
    <w:p w14:paraId="65D4B1C3" w14:textId="6C15CA1C" w:rsidR="007F00D9"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Davis’ (1989) Technology Acceptance Model (TAM) explains technology adoption through perceived usefulness and perceived ease of use. Perceived usefulness refers to whether users believe technology improves their performance, while perceived ease of use concerns the effort required to use it (Davis, 1989). Later research also supports the importance of these constructs in explaining digital technology adoption (</w:t>
      </w:r>
      <w:proofErr w:type="spellStart"/>
      <w:r w:rsidRPr="00C362B0">
        <w:rPr>
          <w:rFonts w:ascii="Arial" w:eastAsia="Times New Roman" w:hAnsi="Arial" w:cs="Arial"/>
          <w:sz w:val="24"/>
          <w:szCs w:val="24"/>
          <w:lang w:val="en-GB" w:eastAsia="en-GB"/>
        </w:rPr>
        <w:t>Venkatesh</w:t>
      </w:r>
      <w:proofErr w:type="spellEnd"/>
      <w:r w:rsidRPr="00C362B0">
        <w:rPr>
          <w:rFonts w:ascii="Arial" w:eastAsia="Times New Roman" w:hAnsi="Arial" w:cs="Arial"/>
          <w:sz w:val="24"/>
          <w:szCs w:val="24"/>
          <w:lang w:val="en-GB" w:eastAsia="en-GB"/>
        </w:rPr>
        <w:t xml:space="preserve"> and Davis, 2000).</w:t>
      </w:r>
    </w:p>
    <w:p w14:paraId="426B4083" w14:textId="1A8616BA" w:rsidR="007F00D9"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TAM is relevant to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because its mobile app, AI-powered coaching and wearable integration require customer acceptance. If users perceive AI workout recommendations and wearable monitoring as useful and easy to use, adoption may increase. Conversely, complex interfaces, excessive data requirements or unclear recommendations may reduce uptake</w:t>
      </w:r>
    </w:p>
    <w:p w14:paraId="6C581831" w14:textId="145C62F7" w:rsidR="00904BE5"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However, TAM primarily explains technology acceptance rather than sustained participation in physical fitness activities. Therefore, TAM alone cannot fully explain long-term engagement or retention. For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it will be complemented by Self-Determination Theory, which provides greater insight into motivation and continued participation</w:t>
      </w:r>
      <w:r w:rsidR="00DE1821" w:rsidRPr="00C362B0">
        <w:rPr>
          <w:rFonts w:ascii="Arial" w:eastAsia="Times New Roman" w:hAnsi="Arial" w:cs="Arial"/>
          <w:sz w:val="24"/>
          <w:szCs w:val="24"/>
          <w:lang w:val="en-GB" w:eastAsia="en-GB"/>
        </w:rPr>
        <w:t>.</w:t>
      </w:r>
    </w:p>
    <w:p w14:paraId="768F68B2" w14:textId="05B86A29" w:rsidR="00904BE5" w:rsidRPr="00C362B0" w:rsidRDefault="00EE5DE2" w:rsidP="00EE5DE2">
      <w:pPr>
        <w:pStyle w:val="Heading2"/>
        <w:rPr>
          <w:rFonts w:eastAsia="Times New Roman"/>
          <w:lang w:val="en-GB" w:eastAsia="en-GB"/>
        </w:rPr>
      </w:pPr>
      <w:bookmarkStart w:id="24" w:name="_Toc239188504"/>
      <w:r w:rsidRPr="00C362B0">
        <w:rPr>
          <w:rFonts w:eastAsia="Times New Roman"/>
          <w:lang w:val="en-GB" w:eastAsia="en-GB"/>
        </w:rPr>
        <w:t>3</w:t>
      </w:r>
      <w:r w:rsidR="00904BE5" w:rsidRPr="00C362B0">
        <w:rPr>
          <w:rFonts w:eastAsia="Times New Roman"/>
          <w:lang w:val="en-GB" w:eastAsia="en-GB"/>
        </w:rPr>
        <w:t>.3 Health Belief Model (HBM)</w:t>
      </w:r>
      <w:bookmarkEnd w:id="24"/>
    </w:p>
    <w:p w14:paraId="4572DDCD" w14:textId="210356E7" w:rsidR="002B623B" w:rsidRPr="00C362B0" w:rsidRDefault="004257F5" w:rsidP="002B623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Health Belief Model (HBM) explains health-related behaviour through perceptions of susceptibility, severity, benefits, barriers, cues to action and self-efficacy </w:t>
      </w:r>
      <w:r w:rsidRPr="00C362B0">
        <w:rPr>
          <w:rFonts w:ascii="Arial" w:eastAsia="Times New Roman" w:hAnsi="Arial" w:cs="Arial"/>
          <w:sz w:val="24"/>
          <w:szCs w:val="24"/>
          <w:lang w:val="en-GB" w:eastAsia="en-GB"/>
        </w:rPr>
        <w:lastRenderedPageBreak/>
        <w:t>(</w:t>
      </w:r>
      <w:proofErr w:type="spellStart"/>
      <w:r w:rsidRPr="00C362B0">
        <w:rPr>
          <w:rFonts w:ascii="Arial" w:eastAsia="Times New Roman" w:hAnsi="Arial" w:cs="Arial"/>
          <w:sz w:val="24"/>
          <w:szCs w:val="24"/>
          <w:lang w:val="en-GB" w:eastAsia="en-GB"/>
        </w:rPr>
        <w:t>Rosenstock</w:t>
      </w:r>
      <w:proofErr w:type="spellEnd"/>
      <w:r w:rsidRPr="00C362B0">
        <w:rPr>
          <w:rFonts w:ascii="Arial" w:eastAsia="Times New Roman" w:hAnsi="Arial" w:cs="Arial"/>
          <w:sz w:val="24"/>
          <w:szCs w:val="24"/>
          <w:lang w:val="en-GB" w:eastAsia="en-GB"/>
        </w:rPr>
        <w:t xml:space="preserve">, </w:t>
      </w:r>
      <w:proofErr w:type="spellStart"/>
      <w:r w:rsidRPr="00C362B0">
        <w:rPr>
          <w:rFonts w:ascii="Arial" w:eastAsia="Times New Roman" w:hAnsi="Arial" w:cs="Arial"/>
          <w:sz w:val="24"/>
          <w:szCs w:val="24"/>
          <w:lang w:val="en-GB" w:eastAsia="en-GB"/>
        </w:rPr>
        <w:t>Strecher</w:t>
      </w:r>
      <w:proofErr w:type="spellEnd"/>
      <w:r w:rsidRPr="00C362B0">
        <w:rPr>
          <w:rFonts w:ascii="Arial" w:eastAsia="Times New Roman" w:hAnsi="Arial" w:cs="Arial"/>
          <w:sz w:val="24"/>
          <w:szCs w:val="24"/>
          <w:lang w:val="en-GB" w:eastAsia="en-GB"/>
        </w:rPr>
        <w:t xml:space="preserve"> and Becker, 1988). It suggests that individuals are more likely to adopt health behaviours when they recognise potential health risks, perceive these risks as serious, believe that action will provide benefits and consider barriers manageable. HBM is relevant to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preventive health and wellness positioning because personalised fitness guidance and wellness coaching can highlight the benefits of regular exercise and healthier lifestyles. Personalised support may strengthen self-efficacy, while digital reminders and progress notifications can act as cues to action. However, affordability, time, motivation and accessibility may remain barriers. HBM focuses primarily on individual perceptions of health risks and benefits and may not fully explain social motivation or continued engagement with fitness services. Therefore, it is used alongside SDT to provide a broader understanding of customer behaviour</w:t>
      </w:r>
      <w:r w:rsidR="00EE5DE2" w:rsidRPr="00C362B0">
        <w:rPr>
          <w:rFonts w:ascii="Arial" w:eastAsia="Times New Roman" w:hAnsi="Arial" w:cs="Arial"/>
          <w:sz w:val="24"/>
          <w:szCs w:val="24"/>
          <w:lang w:val="en-GB" w:eastAsia="en-GB"/>
        </w:rPr>
        <w:t>.</w:t>
      </w:r>
    </w:p>
    <w:p w14:paraId="29EB727C" w14:textId="3E1D6360" w:rsidR="002B623B" w:rsidRPr="00C362B0" w:rsidRDefault="00EE5DE2" w:rsidP="002B623B">
      <w:pPr>
        <w:spacing w:before="100" w:beforeAutospacing="1" w:after="100" w:afterAutospacing="1" w:line="360" w:lineRule="auto"/>
        <w:jc w:val="both"/>
        <w:rPr>
          <w:rFonts w:ascii="Arial" w:eastAsia="Times New Roman" w:hAnsi="Arial" w:cs="Arial"/>
          <w:sz w:val="24"/>
          <w:szCs w:val="24"/>
          <w:lang w:val="en-GB" w:eastAsia="en-GB"/>
        </w:rPr>
      </w:pPr>
      <w:bookmarkStart w:id="25" w:name="_Toc239188505"/>
      <w:r w:rsidRPr="00C362B0">
        <w:rPr>
          <w:rStyle w:val="Heading2Char"/>
          <w:lang w:val="en-GB" w:eastAsia="en-GB"/>
        </w:rPr>
        <w:t>3</w:t>
      </w:r>
      <w:r w:rsidR="002B623B" w:rsidRPr="00C362B0">
        <w:rPr>
          <w:rStyle w:val="Heading2Char"/>
          <w:lang w:val="en-GB" w:eastAsia="en-GB"/>
        </w:rPr>
        <w:t>.4 Self-Determination Theory (SDT</w:t>
      </w:r>
      <w:bookmarkEnd w:id="25"/>
      <w:r w:rsidRPr="00C362B0">
        <w:rPr>
          <w:rFonts w:ascii="Arial" w:eastAsia="Times New Roman" w:hAnsi="Arial" w:cs="Arial"/>
          <w:sz w:val="24"/>
          <w:szCs w:val="24"/>
          <w:lang w:val="en-GB" w:eastAsia="en-GB"/>
        </w:rPr>
        <w:t>)</w:t>
      </w:r>
    </w:p>
    <w:p w14:paraId="33318C18" w14:textId="30A8445E" w:rsidR="00904BE5" w:rsidRPr="00C362B0" w:rsidRDefault="0024412D" w:rsidP="00904BE5">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Self-Determination Theory proposes that sustained motivation is influenced by three psychological needs: autonomy, competence and relatedness (Ryan and </w:t>
      </w:r>
      <w:proofErr w:type="spellStart"/>
      <w:r w:rsidRPr="00C362B0">
        <w:rPr>
          <w:rFonts w:ascii="Arial" w:eastAsia="Times New Roman" w:hAnsi="Arial" w:cs="Arial"/>
          <w:sz w:val="24"/>
          <w:szCs w:val="24"/>
          <w:lang w:val="en-GB" w:eastAsia="en-GB"/>
        </w:rPr>
        <w:t>Deci</w:t>
      </w:r>
      <w:proofErr w:type="spellEnd"/>
      <w:r w:rsidRPr="00C362B0">
        <w:rPr>
          <w:rFonts w:ascii="Arial" w:eastAsia="Times New Roman" w:hAnsi="Arial" w:cs="Arial"/>
          <w:sz w:val="24"/>
          <w:szCs w:val="24"/>
          <w:lang w:val="en-GB" w:eastAsia="en-GB"/>
        </w:rPr>
        <w:t xml:space="preserve">, 2020). Autonomy refers to having control over one’s actions, competence concerns feeling capable of achieving desired outcomes, and relatedness reflects meaningful social connection. SDT is highly relevant to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because motivation, engagement and retention are important for sustained gym participation. Personalised coaching can support autonomy by allowing members to select individual goals and activities, while AI-assisted progress monitoring and achievable recommendations can strengthen competence. Human trainers and group classes can promote relatedness through professional and social support. Nevertheless, SDT does not directly address technology acceptance or competitive conditions. It is therefore used alongside TAM and strategic frameworks to provide a broader explanation of customer engagement</w:t>
      </w:r>
      <w:r w:rsidR="00904BE5" w:rsidRPr="00C362B0">
        <w:rPr>
          <w:rFonts w:ascii="Arial" w:eastAsia="Times New Roman" w:hAnsi="Arial" w:cs="Arial"/>
          <w:sz w:val="24"/>
          <w:szCs w:val="24"/>
          <w:lang w:val="en-GB" w:eastAsia="en-GB"/>
        </w:rPr>
        <w:t>.</w:t>
      </w:r>
    </w:p>
    <w:p w14:paraId="1B16D7F4" w14:textId="2BA5527C" w:rsidR="00904BE5" w:rsidRPr="00C362B0" w:rsidRDefault="00EE5DE2" w:rsidP="00EE5DE2">
      <w:pPr>
        <w:pStyle w:val="Heading2"/>
        <w:rPr>
          <w:rFonts w:eastAsia="Times New Roman"/>
          <w:lang w:val="en-GB" w:eastAsia="en-GB"/>
        </w:rPr>
      </w:pPr>
      <w:bookmarkStart w:id="26" w:name="_Toc239188506"/>
      <w:r w:rsidRPr="00C362B0">
        <w:rPr>
          <w:rFonts w:eastAsia="Times New Roman"/>
          <w:lang w:val="en-GB" w:eastAsia="en-GB"/>
        </w:rPr>
        <w:t>3</w:t>
      </w:r>
      <w:r w:rsidR="00904BE5" w:rsidRPr="00C362B0">
        <w:rPr>
          <w:rFonts w:eastAsia="Times New Roman"/>
          <w:lang w:val="en-GB" w:eastAsia="en-GB"/>
        </w:rPr>
        <w:t>.5 SERVQUAL and Service Quality Theory</w:t>
      </w:r>
      <w:bookmarkEnd w:id="26"/>
    </w:p>
    <w:p w14:paraId="65943692" w14:textId="0A78C24B" w:rsidR="008B67AC" w:rsidRPr="00C362B0" w:rsidRDefault="00DA6228" w:rsidP="008B67AC">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five dimensions of SERVQUAL are reliability, responsiveness, assurance, empathy and tangibles (</w:t>
      </w:r>
      <w:proofErr w:type="spellStart"/>
      <w:r w:rsidRPr="00C362B0">
        <w:rPr>
          <w:rFonts w:ascii="Arial" w:eastAsia="Times New Roman" w:hAnsi="Arial" w:cs="Arial"/>
          <w:sz w:val="24"/>
          <w:szCs w:val="24"/>
          <w:lang w:val="en-GB" w:eastAsia="en-GB"/>
        </w:rPr>
        <w:t>Parasuraman</w:t>
      </w:r>
      <w:proofErr w:type="spellEnd"/>
      <w:r w:rsidRPr="00C362B0">
        <w:rPr>
          <w:rFonts w:ascii="Arial" w:eastAsia="Times New Roman" w:hAnsi="Arial" w:cs="Arial"/>
          <w:sz w:val="24"/>
          <w:szCs w:val="24"/>
          <w:lang w:val="en-GB" w:eastAsia="en-GB"/>
        </w:rPr>
        <w:t xml:space="preserve">, </w:t>
      </w:r>
      <w:proofErr w:type="spellStart"/>
      <w:r w:rsidRPr="00C362B0">
        <w:rPr>
          <w:rFonts w:ascii="Arial" w:eastAsia="Times New Roman" w:hAnsi="Arial" w:cs="Arial"/>
          <w:sz w:val="24"/>
          <w:szCs w:val="24"/>
          <w:lang w:val="en-GB" w:eastAsia="en-GB"/>
        </w:rPr>
        <w:t>Zeithaml</w:t>
      </w:r>
      <w:proofErr w:type="spellEnd"/>
      <w:r w:rsidRPr="00C362B0">
        <w:rPr>
          <w:rFonts w:ascii="Arial" w:eastAsia="Times New Roman" w:hAnsi="Arial" w:cs="Arial"/>
          <w:sz w:val="24"/>
          <w:szCs w:val="24"/>
          <w:lang w:val="en-GB" w:eastAsia="en-GB"/>
        </w:rPr>
        <w:t xml:space="preserve"> and Berry, 1988). Reliability concerns delivering promised services, responsiveness concerns helping customers promptly, assurance reflects staff knowledge and professionalism, empathy concerns individual attention, and tangibles include physical facilities and equipment. SERVQUAL is </w:t>
      </w:r>
      <w:r w:rsidRPr="00C362B0">
        <w:rPr>
          <w:rFonts w:ascii="Arial" w:eastAsia="Times New Roman" w:hAnsi="Arial" w:cs="Arial"/>
          <w:sz w:val="24"/>
          <w:szCs w:val="24"/>
          <w:lang w:val="en-GB" w:eastAsia="en-GB"/>
        </w:rPr>
        <w:lastRenderedPageBreak/>
        <w:t xml:space="preserve">relevant to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because customer satisfaction will depend not only on technology but also on equipment reliability, staff behaviour, AI recommendation accuracy and personalised support. Human oversight of AI-generated recommendations can strengthen assurance, while personalised training can support empathy. SERVQUAL can therefore help assess service expectations and identify areas for differentiation. However, SERVQUAL was developed primarily for evaluating service quality and may require adaptation for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hybrid model, combining physical services with AI, mobile applications and wearable technologies. Digital usability, technology reliability and data-related trust may therefore complement traditional SERVQUAL dimensions</w:t>
      </w:r>
      <w:r w:rsidR="00EE5DE2" w:rsidRPr="00C362B0">
        <w:rPr>
          <w:rFonts w:ascii="Arial" w:eastAsia="Times New Roman" w:hAnsi="Arial" w:cs="Arial"/>
          <w:sz w:val="24"/>
          <w:szCs w:val="24"/>
          <w:lang w:val="en-GB" w:eastAsia="en-GB"/>
        </w:rPr>
        <w:t>.</w:t>
      </w:r>
    </w:p>
    <w:p w14:paraId="1A9DE81F" w14:textId="62A7EE69" w:rsidR="008B67AC" w:rsidRPr="00C362B0" w:rsidRDefault="00EE5DE2" w:rsidP="00EE5DE2">
      <w:pPr>
        <w:pStyle w:val="Heading2"/>
        <w:rPr>
          <w:rFonts w:eastAsia="Times New Roman"/>
          <w:lang w:val="en-GB" w:eastAsia="en-GB"/>
        </w:rPr>
      </w:pPr>
      <w:bookmarkStart w:id="27" w:name="_Toc239188507"/>
      <w:r w:rsidRPr="00C362B0">
        <w:rPr>
          <w:rFonts w:eastAsia="Times New Roman"/>
          <w:lang w:val="en-GB" w:eastAsia="en-GB"/>
        </w:rPr>
        <w:t>3</w:t>
      </w:r>
      <w:r w:rsidR="008B67AC" w:rsidRPr="00C362B0">
        <w:rPr>
          <w:rFonts w:eastAsia="Times New Roman"/>
          <w:lang w:val="en-GB" w:eastAsia="en-GB"/>
        </w:rPr>
        <w:t>.6 Strategic Frameworks</w:t>
      </w:r>
      <w:bookmarkEnd w:id="27"/>
    </w:p>
    <w:p w14:paraId="1828A230" w14:textId="68B77EB5"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Several practical frameworks will support the later strategic analysis of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w:t>
      </w:r>
    </w:p>
    <w:p w14:paraId="3DFBE390" w14:textId="661BF017"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PESTLE</w:t>
      </w:r>
      <w:r w:rsidRPr="00C362B0">
        <w:rPr>
          <w:rFonts w:ascii="Arial" w:eastAsia="Times New Roman" w:hAnsi="Arial" w:cs="Arial"/>
          <w:sz w:val="24"/>
          <w:szCs w:val="24"/>
          <w:lang w:val="en-GB" w:eastAsia="en-GB"/>
        </w:rPr>
        <w:t xml:space="preserve"> will assess the political, economic, social, technological, legal and environmental factors affecting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external environment in Chapter 6.</w:t>
      </w:r>
    </w:p>
    <w:p w14:paraId="122DB05E" w14:textId="633C0CDE"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Porter’s Five Forces</w:t>
      </w:r>
      <w:r w:rsidRPr="00C362B0">
        <w:rPr>
          <w:rFonts w:ascii="Arial" w:eastAsia="Times New Roman" w:hAnsi="Arial" w:cs="Arial"/>
          <w:sz w:val="24"/>
          <w:szCs w:val="24"/>
          <w:lang w:val="en-GB" w:eastAsia="en-GB"/>
        </w:rPr>
        <w:t xml:space="preserve"> will evaluate competitive intensity, including rivalry, buyer and supplier power, substitutes and new entrants, in Chapter 6 (Porter, 1980).</w:t>
      </w:r>
    </w:p>
    <w:p w14:paraId="402B8DC9" w14:textId="53D5D5FB"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VRIO </w:t>
      </w:r>
      <w:r w:rsidRPr="00C362B0">
        <w:rPr>
          <w:rFonts w:ascii="Arial" w:eastAsia="Times New Roman" w:hAnsi="Arial" w:cs="Arial"/>
          <w:sz w:val="24"/>
          <w:szCs w:val="24"/>
          <w:lang w:val="en-GB" w:eastAsia="en-GB"/>
        </w:rPr>
        <w:t xml:space="preserve">will assess whether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resources and capabilities, including AI technology, wearable integration and skilled employees, can support competitive advantage in Chapter 7 (Barney, 1991).</w:t>
      </w:r>
    </w:p>
    <w:p w14:paraId="1809C968" w14:textId="16B5B697"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SWOT</w:t>
      </w:r>
      <w:r w:rsidRPr="00C362B0">
        <w:rPr>
          <w:rFonts w:ascii="Arial" w:eastAsia="Times New Roman" w:hAnsi="Arial" w:cs="Arial"/>
          <w:sz w:val="24"/>
          <w:szCs w:val="24"/>
          <w:lang w:val="en-GB" w:eastAsia="en-GB"/>
        </w:rPr>
        <w:t xml:space="preserve"> will synthesise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internal strengths and weaknesses with external opportunities and threats to support strategic decision-making in Chapter 7.</w:t>
      </w:r>
    </w:p>
    <w:p w14:paraId="1681394F" w14:textId="54B9EA87" w:rsidR="005D1B6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Business Model Canvas will examine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value creation, delivery and capture mechanisms in Chapter 8 (</w:t>
      </w:r>
      <w:proofErr w:type="spellStart"/>
      <w:r w:rsidRPr="00C362B0">
        <w:rPr>
          <w:rFonts w:ascii="Arial" w:eastAsia="Times New Roman" w:hAnsi="Arial" w:cs="Arial"/>
          <w:sz w:val="24"/>
          <w:szCs w:val="24"/>
          <w:lang w:val="en-GB" w:eastAsia="en-GB"/>
        </w:rPr>
        <w:t>Osterwalder</w:t>
      </w:r>
      <w:proofErr w:type="spellEnd"/>
      <w:r w:rsidRPr="00C362B0">
        <w:rPr>
          <w:rFonts w:ascii="Arial" w:eastAsia="Times New Roman" w:hAnsi="Arial" w:cs="Arial"/>
          <w:sz w:val="24"/>
          <w:szCs w:val="24"/>
          <w:lang w:val="en-GB" w:eastAsia="en-GB"/>
        </w:rPr>
        <w:t xml:space="preserve"> and </w:t>
      </w:r>
      <w:proofErr w:type="spellStart"/>
      <w:r w:rsidRPr="00C362B0">
        <w:rPr>
          <w:rFonts w:ascii="Arial" w:eastAsia="Times New Roman" w:hAnsi="Arial" w:cs="Arial"/>
          <w:sz w:val="24"/>
          <w:szCs w:val="24"/>
          <w:lang w:val="en-GB" w:eastAsia="en-GB"/>
        </w:rPr>
        <w:t>Pigneur</w:t>
      </w:r>
      <w:proofErr w:type="spellEnd"/>
      <w:r w:rsidRPr="00C362B0">
        <w:rPr>
          <w:rFonts w:ascii="Arial" w:eastAsia="Times New Roman" w:hAnsi="Arial" w:cs="Arial"/>
          <w:sz w:val="24"/>
          <w:szCs w:val="24"/>
          <w:lang w:val="en-GB" w:eastAsia="en-GB"/>
        </w:rPr>
        <w:t>, 2010).</w:t>
      </w:r>
    </w:p>
    <w:p w14:paraId="787F72FD" w14:textId="5FFCC76F" w:rsidR="005D1B65" w:rsidRPr="00C362B0" w:rsidRDefault="005D1B65" w:rsidP="005D1B65">
      <w:pPr>
        <w:pStyle w:val="Heading2"/>
        <w:rPr>
          <w:rFonts w:eastAsia="Times New Roman"/>
          <w:lang w:val="en-GB" w:eastAsia="en-GB"/>
        </w:rPr>
      </w:pPr>
      <w:bookmarkStart w:id="28" w:name="_Toc239188508"/>
      <w:r w:rsidRPr="00C362B0">
        <w:rPr>
          <w:rFonts w:eastAsia="Times New Roman"/>
          <w:lang w:val="en-GB" w:eastAsia="en-GB"/>
        </w:rPr>
        <w:t>3.7 Chapter Summary</w:t>
      </w:r>
      <w:bookmarkEnd w:id="28"/>
    </w:p>
    <w:p w14:paraId="40BE8907" w14:textId="5C5DC6B1" w:rsidR="00C80C9F" w:rsidRPr="00C362B0" w:rsidRDefault="003146AD" w:rsidP="00EE109D">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literature review establishes TAM as a basis </w:t>
      </w:r>
      <w:r w:rsidR="005D1B65" w:rsidRPr="00C362B0">
        <w:rPr>
          <w:rFonts w:ascii="Arial" w:eastAsia="Times New Roman" w:hAnsi="Arial" w:cs="Arial"/>
          <w:sz w:val="24"/>
          <w:szCs w:val="24"/>
          <w:lang w:val="en-GB" w:eastAsia="en-GB"/>
        </w:rPr>
        <w:t>for understanding technology acceptance, HBM for health-related behaviour, SDT for motivation and retention, and SERVQUAL for service quality. PESTLE and Porter’s Five Forces will support market and competitive analysis, while VRIO, SWOT and the Business Model Canvas will inform strategic and business-model develop</w:t>
      </w:r>
      <w:r w:rsidR="00EE109D" w:rsidRPr="00C362B0">
        <w:rPr>
          <w:rFonts w:ascii="Arial" w:eastAsia="Times New Roman" w:hAnsi="Arial" w:cs="Arial"/>
          <w:sz w:val="24"/>
          <w:szCs w:val="24"/>
          <w:lang w:val="en-GB" w:eastAsia="en-GB"/>
        </w:rPr>
        <w:t>ment in the subsequent chapters.</w:t>
      </w:r>
    </w:p>
    <w:p w14:paraId="40963EEC" w14:textId="60FBB026" w:rsidR="00C80C9F" w:rsidRPr="00C362B0" w:rsidRDefault="00336F5B" w:rsidP="00336F5B">
      <w:pPr>
        <w:pStyle w:val="Heading1"/>
        <w:jc w:val="center"/>
        <w:rPr>
          <w:lang w:val="en-GB" w:eastAsia="en-GB"/>
        </w:rPr>
      </w:pPr>
      <w:bookmarkStart w:id="29" w:name="_Toc239188509"/>
      <w:r w:rsidRPr="00C362B0">
        <w:rPr>
          <w:lang w:val="en-GB" w:eastAsia="en-GB"/>
        </w:rPr>
        <w:lastRenderedPageBreak/>
        <w:t>Chapter 4</w:t>
      </w:r>
      <w:r w:rsidR="00C80C9F" w:rsidRPr="00C362B0">
        <w:rPr>
          <w:lang w:val="en-GB" w:eastAsia="en-GB"/>
        </w:rPr>
        <w:t>: Research Methodology</w:t>
      </w:r>
      <w:bookmarkEnd w:id="29"/>
    </w:p>
    <w:p w14:paraId="5EF8AE49" w14:textId="3EBACE5E" w:rsidR="00C80C9F" w:rsidRPr="00C362B0" w:rsidRDefault="00336F5B" w:rsidP="00336F5B">
      <w:pPr>
        <w:pStyle w:val="Heading2"/>
        <w:rPr>
          <w:lang w:val="en-GB" w:eastAsia="en-GB"/>
        </w:rPr>
      </w:pPr>
      <w:bookmarkStart w:id="30" w:name="_Toc239188510"/>
      <w:r w:rsidRPr="00C362B0">
        <w:rPr>
          <w:lang w:val="en-GB" w:eastAsia="en-GB"/>
        </w:rPr>
        <w:t>4</w:t>
      </w:r>
      <w:r w:rsidR="00C80C9F" w:rsidRPr="00C362B0">
        <w:rPr>
          <w:lang w:val="en-GB" w:eastAsia="en-GB"/>
        </w:rPr>
        <w:t>.1 Research Approach</w:t>
      </w:r>
      <w:bookmarkEnd w:id="30"/>
    </w:p>
    <w:p w14:paraId="05431C76" w14:textId="44D8E66E" w:rsidR="00C80C9F" w:rsidRPr="00C362B0" w:rsidRDefault="009779F0"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This Business Development Proposal (BDP) will adopt a secondary research approach to evaluate the proposed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Manchester. Secondary research is appropriate because the proposal can draw on existing government statistics, industry reports, academic literature, competitor information and commercial market data without conducting primary research (Saunders, Lewis and Thornhill, 2019). The study will combine quantitative and qualitative secondary evidence within an exploratory and analytical approach to examine market conditions, customer needs, competition, financial feasibility and operations. The research process follows a structured sequence of source identification, screening, selection, data extraction, triangulation and analysis, supporting a transparent and replicable methodology</w:t>
      </w:r>
      <w:r w:rsidR="00C80C9F" w:rsidRPr="00C362B0">
        <w:rPr>
          <w:rFonts w:ascii="Arial" w:hAnsi="Arial" w:cs="Arial"/>
          <w:sz w:val="24"/>
          <w:szCs w:val="24"/>
          <w:lang w:val="en-GB" w:eastAsia="en-GB"/>
        </w:rPr>
        <w:t>.</w:t>
      </w:r>
    </w:p>
    <w:p w14:paraId="7AA78A98" w14:textId="52DE9F29" w:rsidR="00C80C9F" w:rsidRPr="00C362B0" w:rsidRDefault="00336F5B" w:rsidP="00336F5B">
      <w:pPr>
        <w:pStyle w:val="Heading2"/>
        <w:rPr>
          <w:lang w:val="en-GB" w:eastAsia="en-GB"/>
        </w:rPr>
      </w:pPr>
      <w:bookmarkStart w:id="31" w:name="_Toc239188511"/>
      <w:r w:rsidRPr="00C362B0">
        <w:rPr>
          <w:lang w:val="en-GB" w:eastAsia="en-GB"/>
        </w:rPr>
        <w:t>4</w:t>
      </w:r>
      <w:r w:rsidR="00C80C9F" w:rsidRPr="00C362B0">
        <w:rPr>
          <w:lang w:val="en-GB" w:eastAsia="en-GB"/>
        </w:rPr>
        <w:t xml:space="preserve">.2 </w:t>
      </w:r>
      <w:r w:rsidR="003546B9" w:rsidRPr="00C362B0">
        <w:rPr>
          <w:lang w:val="en-GB" w:eastAsia="en-GB"/>
        </w:rPr>
        <w:t>Data Sources and Search Strategy</w:t>
      </w:r>
      <w:bookmarkEnd w:id="31"/>
    </w:p>
    <w:p w14:paraId="06634E7D" w14:textId="36FF5DE0" w:rsidR="00D2684D" w:rsidRPr="00C362B0" w:rsidRDefault="00777E77"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proposal will use secondary sources selected through a structured search strategy. Search terms will include “UK fitness industry”, “gym membership UK”, “digital fitness”, “AI fitness”, “wearable technology”, “personalised fitness”, “hybrid fitness”,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demographics”,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deprivation”, “Manchester physical activity”, “gym prices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“commercial property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and “fitness market Manchester”. The main evidence range will be 2020–2026, covering recent market and local developments. Geographical analysis will progress from the UK to Greater Manchester, Manchester and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Sources will include ONS, Manchester City Council, Sport England, TfGM, </w:t>
      </w:r>
      <w:proofErr w:type="spellStart"/>
      <w:r w:rsidRPr="00C362B0">
        <w:rPr>
          <w:rFonts w:ascii="Arial" w:hAnsi="Arial" w:cs="Arial"/>
          <w:sz w:val="24"/>
          <w:szCs w:val="24"/>
          <w:lang w:val="en-GB" w:eastAsia="en-GB"/>
        </w:rPr>
        <w:t>ukactive</w:t>
      </w:r>
      <w:proofErr w:type="spellEnd"/>
      <w:r w:rsidRPr="00C362B0">
        <w:rPr>
          <w:rFonts w:ascii="Arial" w:hAnsi="Arial" w:cs="Arial"/>
          <w:sz w:val="24"/>
          <w:szCs w:val="24"/>
          <w:lang w:val="en-GB" w:eastAsia="en-GB"/>
        </w:rPr>
        <w:t xml:space="preserve">, </w:t>
      </w:r>
      <w:proofErr w:type="spellStart"/>
      <w:r w:rsidRPr="00C362B0">
        <w:rPr>
          <w:rFonts w:ascii="Arial" w:hAnsi="Arial" w:cs="Arial"/>
          <w:sz w:val="24"/>
          <w:szCs w:val="24"/>
          <w:lang w:val="en-GB" w:eastAsia="en-GB"/>
        </w:rPr>
        <w:t>EuropeActive</w:t>
      </w:r>
      <w:proofErr w:type="spellEnd"/>
      <w:r w:rsidRPr="00C362B0">
        <w:rPr>
          <w:rFonts w:ascii="Arial" w:hAnsi="Arial" w:cs="Arial"/>
          <w:sz w:val="24"/>
          <w:szCs w:val="24"/>
          <w:lang w:val="en-GB" w:eastAsia="en-GB"/>
        </w:rPr>
        <w:t xml:space="preserve">/Deloitte, </w:t>
      </w:r>
      <w:proofErr w:type="spellStart"/>
      <w:r w:rsidRPr="00C362B0">
        <w:rPr>
          <w:rFonts w:ascii="Arial" w:hAnsi="Arial" w:cs="Arial"/>
          <w:sz w:val="24"/>
          <w:szCs w:val="24"/>
          <w:lang w:val="en-GB" w:eastAsia="en-GB"/>
        </w:rPr>
        <w:t>Rightmove</w:t>
      </w:r>
      <w:proofErr w:type="spellEnd"/>
      <w:r w:rsidRPr="00C362B0">
        <w:rPr>
          <w:rFonts w:ascii="Arial" w:hAnsi="Arial" w:cs="Arial"/>
          <w:sz w:val="24"/>
          <w:szCs w:val="24"/>
          <w:lang w:val="en-GB" w:eastAsia="en-GB"/>
        </w:rPr>
        <w:t xml:space="preserve"> Commercial, Savills, competitor websites, academic journals and industry reports. Foundational sources such as Davis (1989), Porter (1980), Barney (1991) and </w:t>
      </w:r>
      <w:proofErr w:type="spellStart"/>
      <w:r w:rsidRPr="00C362B0">
        <w:rPr>
          <w:rFonts w:ascii="Arial" w:hAnsi="Arial" w:cs="Arial"/>
          <w:sz w:val="24"/>
          <w:szCs w:val="24"/>
          <w:lang w:val="en-GB" w:eastAsia="en-GB"/>
        </w:rPr>
        <w:t>Parasuraman</w:t>
      </w:r>
      <w:proofErr w:type="spellEnd"/>
      <w:r w:rsidRPr="00C362B0">
        <w:rPr>
          <w:rFonts w:ascii="Arial" w:hAnsi="Arial" w:cs="Arial"/>
          <w:sz w:val="24"/>
          <w:szCs w:val="24"/>
          <w:lang w:val="en-GB" w:eastAsia="en-GB"/>
        </w:rPr>
        <w:t xml:space="preserve">, </w:t>
      </w:r>
      <w:proofErr w:type="spellStart"/>
      <w:r w:rsidRPr="00C362B0">
        <w:rPr>
          <w:rFonts w:ascii="Arial" w:hAnsi="Arial" w:cs="Arial"/>
          <w:sz w:val="24"/>
          <w:szCs w:val="24"/>
          <w:lang w:val="en-GB" w:eastAsia="en-GB"/>
        </w:rPr>
        <w:t>Zeithaml</w:t>
      </w:r>
      <w:proofErr w:type="spellEnd"/>
      <w:r w:rsidRPr="00C362B0">
        <w:rPr>
          <w:rFonts w:ascii="Arial" w:hAnsi="Arial" w:cs="Arial"/>
          <w:sz w:val="24"/>
          <w:szCs w:val="24"/>
          <w:lang w:val="en-GB" w:eastAsia="en-GB"/>
        </w:rPr>
        <w:t xml:space="preserve"> and Berry (1988) will be retained where theoretically necessary. Competitors will be selected by proximity, service similarity, target-customer overlap and publicly available pricing information. Sources will be selected based on relevance to the research questions, </w:t>
      </w:r>
      <w:proofErr w:type="spellStart"/>
      <w:r w:rsidRPr="00C362B0">
        <w:rPr>
          <w:rFonts w:ascii="Arial" w:hAnsi="Arial" w:cs="Arial"/>
          <w:sz w:val="24"/>
          <w:szCs w:val="24"/>
          <w:lang w:val="en-GB" w:eastAsia="en-GB"/>
        </w:rPr>
        <w:t>recency</w:t>
      </w:r>
      <w:proofErr w:type="spellEnd"/>
      <w:r w:rsidRPr="00C362B0">
        <w:rPr>
          <w:rFonts w:ascii="Arial" w:hAnsi="Arial" w:cs="Arial"/>
          <w:sz w:val="24"/>
          <w:szCs w:val="24"/>
          <w:lang w:val="en-GB" w:eastAsia="en-GB"/>
        </w:rPr>
        <w:t xml:space="preserve">, geographical relevance, methodological transparency and authority. Government statistics, peer-reviewed academic research and recognised industry sources will receive priority. Source </w:t>
      </w:r>
      <w:r w:rsidRPr="00C362B0">
        <w:rPr>
          <w:rFonts w:ascii="Arial" w:hAnsi="Arial" w:cs="Arial"/>
          <w:sz w:val="24"/>
          <w:szCs w:val="24"/>
          <w:lang w:val="en-GB" w:eastAsia="en-GB"/>
        </w:rPr>
        <w:lastRenderedPageBreak/>
        <w:t>credibility will be assessed by considering the publisher, publication date, methodology, transparency of data and potential commercial interests</w:t>
      </w:r>
      <w:r w:rsidR="00D2684D" w:rsidRPr="00C362B0">
        <w:rPr>
          <w:rFonts w:ascii="Arial" w:hAnsi="Arial" w:cs="Arial"/>
          <w:sz w:val="24"/>
          <w:szCs w:val="24"/>
          <w:lang w:val="en-GB" w:eastAsia="en-GB"/>
        </w:rPr>
        <w:t>.</w:t>
      </w:r>
    </w:p>
    <w:p w14:paraId="494C7407" w14:textId="02973935" w:rsidR="00C80C9F" w:rsidRPr="00C362B0" w:rsidRDefault="00336F5B" w:rsidP="00336F5B">
      <w:pPr>
        <w:pStyle w:val="Heading2"/>
        <w:rPr>
          <w:lang w:val="en-GB" w:eastAsia="en-GB"/>
        </w:rPr>
      </w:pPr>
      <w:bookmarkStart w:id="32" w:name="_Toc239188512"/>
      <w:r w:rsidRPr="00C362B0">
        <w:rPr>
          <w:lang w:val="en-GB" w:eastAsia="en-GB"/>
        </w:rPr>
        <w:t>4</w:t>
      </w:r>
      <w:r w:rsidR="00C80C9F" w:rsidRPr="00C362B0">
        <w:rPr>
          <w:lang w:val="en-GB" w:eastAsia="en-GB"/>
        </w:rPr>
        <w:t>.3 Quantitative and Qualitative Evidence</w:t>
      </w:r>
      <w:bookmarkEnd w:id="32"/>
    </w:p>
    <w:p w14:paraId="344C18D3" w14:textId="1BF695D5" w:rsidR="007A3BC5" w:rsidRPr="00C362B0" w:rsidRDefault="00AA40C7" w:rsidP="007A3B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quantitative evidence will include population, household and deprivation data, physical activity levels, UK fitness membership and market revenue, competitor prices, commercial rent estimates, expected membership numbers, operating costs and projected revenue. These measures will support assessment of market conditions and </w:t>
      </w:r>
      <w:proofErr w:type="spellStart"/>
      <w:r w:rsidRPr="00C362B0">
        <w:rPr>
          <w:rFonts w:ascii="Arial" w:hAnsi="Arial" w:cs="Arial"/>
          <w:sz w:val="24"/>
          <w:szCs w:val="24"/>
          <w:lang w:val="en-GB" w:eastAsia="en-GB"/>
        </w:rPr>
        <w:t>FitLife’s</w:t>
      </w:r>
      <w:proofErr w:type="spellEnd"/>
      <w:r w:rsidRPr="00C362B0">
        <w:rPr>
          <w:rFonts w:ascii="Arial" w:hAnsi="Arial" w:cs="Arial"/>
          <w:sz w:val="24"/>
          <w:szCs w:val="24"/>
          <w:lang w:val="en-GB" w:eastAsia="en-GB"/>
        </w:rPr>
        <w:t xml:space="preserve"> financial requirements. Qualitative evidence will cover consumer preferences, AI-enabled fitness, wearable technology, digital wellness, personalised and hybrid fitness services, competitor positioning, service quality and strategic developments. Academic literature and industry reports will be reviewed to identify recurring themes and market developments. Combining both forms of evidence will provide measurable indicators alongside contextual understanding of customer needs, competitive positioning and industry change</w:t>
      </w:r>
      <w:r w:rsidR="007A3BC5" w:rsidRPr="00C362B0">
        <w:rPr>
          <w:rFonts w:ascii="Arial" w:hAnsi="Arial" w:cs="Arial"/>
          <w:sz w:val="24"/>
          <w:szCs w:val="24"/>
          <w:lang w:val="en-GB" w:eastAsia="en-GB"/>
        </w:rPr>
        <w:t>.</w:t>
      </w:r>
    </w:p>
    <w:p w14:paraId="66612C98" w14:textId="71B29732" w:rsidR="007A3BC5" w:rsidRPr="00C362B0" w:rsidRDefault="00336F5B" w:rsidP="00336F5B">
      <w:pPr>
        <w:pStyle w:val="Heading2"/>
        <w:rPr>
          <w:lang w:val="en-GB" w:eastAsia="en-GB"/>
        </w:rPr>
      </w:pPr>
      <w:bookmarkStart w:id="33" w:name="_Toc239188513"/>
      <w:r w:rsidRPr="00C362B0">
        <w:rPr>
          <w:lang w:val="en-GB" w:eastAsia="en-GB"/>
        </w:rPr>
        <w:t>4</w:t>
      </w:r>
      <w:r w:rsidR="007A3BC5" w:rsidRPr="00C362B0">
        <w:rPr>
          <w:lang w:val="en-GB" w:eastAsia="en-GB"/>
        </w:rPr>
        <w:t>.4 Data Analysis</w:t>
      </w:r>
      <w:bookmarkEnd w:id="33"/>
    </w:p>
    <w:p w14:paraId="24772162" w14:textId="51891463"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Several analytical methods will be applied according to the characteristics of the secondary data. Descriptive analysis will summarise demographic, market and pricing data using frequencies, percentages, averages and comparisons where appropriate. Comparative analysis will assess competitors according to membership price, opening/access arrangements, services, personal training, technology and market positioning. Trend analysis will compare data across different years to identify changes in fitness membership, market revenue, technology adoption and wellness trends.</w:t>
      </w:r>
    </w:p>
    <w:p w14:paraId="3E1291F5" w14:textId="649C5EA3"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Academic and industry literature will be examined using thematic analysis, following the stages of familiarisation, coding, categorisation, theme development and interpretation (Braun and Clarke, 2021). This will identify recurring themes relating to technology adoption, customer motivation, personalisation, service quality and health behaviour.</w:t>
      </w:r>
    </w:p>
    <w:p w14:paraId="0A0132BA" w14:textId="568AAE93" w:rsidR="00C80C9F" w:rsidRPr="00C362B0" w:rsidRDefault="00FB1459"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Financial analysis will develop three- to five-year projections using membership assumptions, average pricing and expected customer numbers to estimate revenue, alongside fixed and variable costs including rent, staffing, equipment and technology. Break-even membership will be estimated by dividing fixed operating costs by </w:t>
      </w:r>
      <w:r w:rsidRPr="00C362B0">
        <w:rPr>
          <w:rFonts w:ascii="Arial" w:hAnsi="Arial" w:cs="Arial"/>
          <w:sz w:val="24"/>
          <w:szCs w:val="24"/>
          <w:lang w:val="en-GB" w:eastAsia="en-GB"/>
        </w:rPr>
        <w:lastRenderedPageBreak/>
        <w:t>contribution per member. Sensitivity analysis will compare base-case, best-case and worst-case scenarios by varying membership numbers, pricing and operating costs to assess financial robustness</w:t>
      </w:r>
      <w:r w:rsidR="00C80C9F" w:rsidRPr="00C362B0">
        <w:rPr>
          <w:rFonts w:ascii="Arial" w:hAnsi="Arial" w:cs="Arial"/>
          <w:sz w:val="24"/>
          <w:szCs w:val="24"/>
          <w:lang w:val="en-GB" w:eastAsia="en-GB"/>
        </w:rPr>
        <w:t xml:space="preserve">. </w:t>
      </w:r>
    </w:p>
    <w:p w14:paraId="0B8EEEFB" w14:textId="506F8789" w:rsidR="00C80C9F" w:rsidRPr="00C362B0" w:rsidRDefault="00336F5B" w:rsidP="00336F5B">
      <w:pPr>
        <w:pStyle w:val="Heading2"/>
        <w:rPr>
          <w:lang w:val="en-GB" w:eastAsia="en-GB"/>
        </w:rPr>
      </w:pPr>
      <w:bookmarkStart w:id="34" w:name="_Toc239188514"/>
      <w:r w:rsidRPr="00C362B0">
        <w:rPr>
          <w:lang w:val="en-GB" w:eastAsia="en-GB"/>
        </w:rPr>
        <w:t>4</w:t>
      </w:r>
      <w:r w:rsidR="00C80C9F" w:rsidRPr="00C362B0">
        <w:rPr>
          <w:lang w:val="en-GB" w:eastAsia="en-GB"/>
        </w:rPr>
        <w:t>.5 Application of Models and Frameworks</w:t>
      </w:r>
      <w:bookmarkEnd w:id="34"/>
    </w:p>
    <w:p w14:paraId="1F47928D" w14:textId="0484D415" w:rsidR="00C80C9F" w:rsidRPr="00C362B0" w:rsidRDefault="00C80C9F"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theoretical models introduced in the Literature Review will be directly connected to the subsequent analysis.</w:t>
      </w:r>
    </w:p>
    <w:p w14:paraId="6379BB41" w14:textId="2CC3F587" w:rsidR="001E339C" w:rsidRPr="00C362B0" w:rsidRDefault="001E339C" w:rsidP="001E339C">
      <w:pPr>
        <w:pStyle w:val="Caption"/>
        <w:keepNext/>
        <w:rPr>
          <w:rFonts w:ascii="Arial" w:hAnsi="Arial" w:cs="Arial"/>
          <w:sz w:val="24"/>
          <w:lang w:val="en-GB"/>
        </w:rPr>
      </w:pPr>
      <w:bookmarkStart w:id="35" w:name="_Toc239091687"/>
      <w:r w:rsidRPr="00C362B0">
        <w:rPr>
          <w:rFonts w:ascii="Arial" w:hAnsi="Arial" w:cs="Arial"/>
          <w:sz w:val="24"/>
          <w:lang w:val="en-GB"/>
        </w:rPr>
        <w:t xml:space="preserve">Table </w:t>
      </w:r>
      <w:r w:rsidRPr="00C362B0">
        <w:rPr>
          <w:rFonts w:ascii="Arial" w:hAnsi="Arial" w:cs="Arial"/>
          <w:sz w:val="24"/>
          <w:lang w:val="en-GB"/>
        </w:rPr>
        <w:fldChar w:fldCharType="begin"/>
      </w:r>
      <w:r w:rsidRPr="00C362B0">
        <w:rPr>
          <w:rFonts w:ascii="Arial" w:hAnsi="Arial" w:cs="Arial"/>
          <w:sz w:val="24"/>
          <w:lang w:val="en-GB"/>
        </w:rPr>
        <w:instrText xml:space="preserve"> SEQ Table \* ARABIC </w:instrText>
      </w:r>
      <w:r w:rsidRPr="00C362B0">
        <w:rPr>
          <w:rFonts w:ascii="Arial" w:hAnsi="Arial" w:cs="Arial"/>
          <w:sz w:val="24"/>
          <w:lang w:val="en-GB"/>
        </w:rPr>
        <w:fldChar w:fldCharType="separate"/>
      </w:r>
      <w:r w:rsidR="00415D83">
        <w:rPr>
          <w:rFonts w:ascii="Arial" w:hAnsi="Arial" w:cs="Arial"/>
          <w:noProof/>
          <w:sz w:val="24"/>
          <w:lang w:val="en-GB"/>
        </w:rPr>
        <w:t>3</w:t>
      </w:r>
      <w:r w:rsidRPr="00C362B0">
        <w:rPr>
          <w:rFonts w:ascii="Arial" w:hAnsi="Arial" w:cs="Arial"/>
          <w:sz w:val="24"/>
          <w:lang w:val="en-GB"/>
        </w:rPr>
        <w:fldChar w:fldCharType="end"/>
      </w:r>
      <w:r w:rsidRPr="00C362B0">
        <w:rPr>
          <w:rFonts w:ascii="Arial" w:hAnsi="Arial" w:cs="Arial"/>
          <w:sz w:val="24"/>
          <w:lang w:val="en-GB"/>
        </w:rPr>
        <w:t>.Application of Models and Frameworks</w:t>
      </w:r>
      <w:bookmarkEnd w:id="35"/>
    </w:p>
    <w:tbl>
      <w:tblPr>
        <w:tblStyle w:val="TableGrid"/>
        <w:tblW w:w="0" w:type="auto"/>
        <w:tblLook w:val="04A0" w:firstRow="1" w:lastRow="0" w:firstColumn="1" w:lastColumn="0" w:noHBand="0" w:noVBand="1"/>
      </w:tblPr>
      <w:tblGrid>
        <w:gridCol w:w="4508"/>
        <w:gridCol w:w="4508"/>
      </w:tblGrid>
      <w:tr w:rsidR="00313BDB" w:rsidRPr="00C362B0" w14:paraId="2B405E85" w14:textId="77777777" w:rsidTr="00313BDB">
        <w:tc>
          <w:tcPr>
            <w:tcW w:w="4508" w:type="dxa"/>
          </w:tcPr>
          <w:p w14:paraId="2F2696F1" w14:textId="77777777" w:rsidR="00313BDB" w:rsidRPr="00C362B0" w:rsidRDefault="00313BDB"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Framework</w:t>
            </w:r>
          </w:p>
        </w:tc>
        <w:tc>
          <w:tcPr>
            <w:tcW w:w="4508" w:type="dxa"/>
          </w:tcPr>
          <w:p w14:paraId="76796C65" w14:textId="77777777" w:rsidR="00313BDB" w:rsidRPr="00C362B0" w:rsidRDefault="00313BDB"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Application</w:t>
            </w:r>
          </w:p>
        </w:tc>
      </w:tr>
      <w:tr w:rsidR="00313BDB" w:rsidRPr="00C362B0" w14:paraId="376040D7" w14:textId="77777777" w:rsidTr="00313BDB">
        <w:tc>
          <w:tcPr>
            <w:tcW w:w="4508" w:type="dxa"/>
          </w:tcPr>
          <w:p w14:paraId="5F76E9A8"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TAM</w:t>
            </w:r>
          </w:p>
        </w:tc>
        <w:tc>
          <w:tcPr>
            <w:tcW w:w="4508" w:type="dxa"/>
          </w:tcPr>
          <w:p w14:paraId="6FEECDF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AI/digital adoption</w:t>
            </w:r>
          </w:p>
        </w:tc>
      </w:tr>
      <w:tr w:rsidR="00313BDB" w:rsidRPr="00C362B0" w14:paraId="12DA8B8C" w14:textId="77777777" w:rsidTr="00313BDB">
        <w:tc>
          <w:tcPr>
            <w:tcW w:w="4508" w:type="dxa"/>
          </w:tcPr>
          <w:p w14:paraId="02A4564B"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HBM</w:t>
            </w:r>
          </w:p>
        </w:tc>
        <w:tc>
          <w:tcPr>
            <w:tcW w:w="4508" w:type="dxa"/>
          </w:tcPr>
          <w:p w14:paraId="758F3B15"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Preventive health</w:t>
            </w:r>
          </w:p>
        </w:tc>
      </w:tr>
      <w:tr w:rsidR="00313BDB" w:rsidRPr="00C362B0" w14:paraId="45C1AF0D" w14:textId="77777777" w:rsidTr="00313BDB">
        <w:tc>
          <w:tcPr>
            <w:tcW w:w="4508" w:type="dxa"/>
          </w:tcPr>
          <w:p w14:paraId="6528281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SDT</w:t>
            </w:r>
          </w:p>
        </w:tc>
        <w:tc>
          <w:tcPr>
            <w:tcW w:w="4508" w:type="dxa"/>
          </w:tcPr>
          <w:p w14:paraId="5096D6F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Motivation/retention</w:t>
            </w:r>
          </w:p>
        </w:tc>
      </w:tr>
      <w:tr w:rsidR="00313BDB" w:rsidRPr="00C362B0" w14:paraId="5F56CA2B" w14:textId="77777777" w:rsidTr="00313BDB">
        <w:tc>
          <w:tcPr>
            <w:tcW w:w="4508" w:type="dxa"/>
          </w:tcPr>
          <w:p w14:paraId="3265601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SERVQUAL</w:t>
            </w:r>
          </w:p>
        </w:tc>
        <w:tc>
          <w:tcPr>
            <w:tcW w:w="4508" w:type="dxa"/>
          </w:tcPr>
          <w:p w14:paraId="76240813"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Service quality</w:t>
            </w:r>
          </w:p>
        </w:tc>
      </w:tr>
      <w:tr w:rsidR="00313BDB" w:rsidRPr="00C362B0" w14:paraId="760F01A9" w14:textId="77777777" w:rsidTr="00313BDB">
        <w:tc>
          <w:tcPr>
            <w:tcW w:w="4508" w:type="dxa"/>
          </w:tcPr>
          <w:p w14:paraId="1F96CAD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PESTLE</w:t>
            </w:r>
          </w:p>
        </w:tc>
        <w:tc>
          <w:tcPr>
            <w:tcW w:w="4508" w:type="dxa"/>
          </w:tcPr>
          <w:p w14:paraId="76F026D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Macro environment</w:t>
            </w:r>
          </w:p>
        </w:tc>
      </w:tr>
      <w:tr w:rsidR="00313BDB" w:rsidRPr="00C362B0" w14:paraId="6A50F055" w14:textId="77777777" w:rsidTr="00313BDB">
        <w:tc>
          <w:tcPr>
            <w:tcW w:w="4508" w:type="dxa"/>
          </w:tcPr>
          <w:p w14:paraId="38BF9E7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Five Forces</w:t>
            </w:r>
          </w:p>
        </w:tc>
        <w:tc>
          <w:tcPr>
            <w:tcW w:w="4508" w:type="dxa"/>
          </w:tcPr>
          <w:p w14:paraId="2A2F0EA1"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Competition</w:t>
            </w:r>
          </w:p>
        </w:tc>
      </w:tr>
      <w:tr w:rsidR="00313BDB" w:rsidRPr="00C362B0" w14:paraId="237666A9" w14:textId="77777777" w:rsidTr="00313BDB">
        <w:tc>
          <w:tcPr>
            <w:tcW w:w="4508" w:type="dxa"/>
          </w:tcPr>
          <w:p w14:paraId="3E20CF69"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VRIO</w:t>
            </w:r>
          </w:p>
        </w:tc>
        <w:tc>
          <w:tcPr>
            <w:tcW w:w="4508" w:type="dxa"/>
          </w:tcPr>
          <w:p w14:paraId="0BC1C384"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Internal resources</w:t>
            </w:r>
          </w:p>
        </w:tc>
      </w:tr>
      <w:tr w:rsidR="00313BDB" w:rsidRPr="00C362B0" w14:paraId="0B095E80" w14:textId="77777777" w:rsidTr="00313BDB">
        <w:tc>
          <w:tcPr>
            <w:tcW w:w="4508" w:type="dxa"/>
          </w:tcPr>
          <w:p w14:paraId="104D34B8"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SWOT</w:t>
            </w:r>
          </w:p>
        </w:tc>
        <w:tc>
          <w:tcPr>
            <w:tcW w:w="4508" w:type="dxa"/>
          </w:tcPr>
          <w:p w14:paraId="7CEC29B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Strategic position</w:t>
            </w:r>
          </w:p>
        </w:tc>
      </w:tr>
      <w:tr w:rsidR="00313BDB" w:rsidRPr="00C362B0" w14:paraId="6CEFF279" w14:textId="77777777" w:rsidTr="00313BDB">
        <w:tc>
          <w:tcPr>
            <w:tcW w:w="4508" w:type="dxa"/>
          </w:tcPr>
          <w:p w14:paraId="017B0249"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BMC</w:t>
            </w:r>
          </w:p>
        </w:tc>
        <w:tc>
          <w:tcPr>
            <w:tcW w:w="4508" w:type="dxa"/>
          </w:tcPr>
          <w:p w14:paraId="67135D52"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Value creation</w:t>
            </w:r>
          </w:p>
        </w:tc>
      </w:tr>
    </w:tbl>
    <w:p w14:paraId="4E52FB06" w14:textId="49BD78EC" w:rsidR="008C45E2" w:rsidRPr="00C362B0" w:rsidRDefault="008C45E2" w:rsidP="00336F5B">
      <w:pPr>
        <w:spacing w:before="240" w:line="360" w:lineRule="auto"/>
        <w:jc w:val="both"/>
        <w:rPr>
          <w:rFonts w:ascii="Arial" w:hAnsi="Arial" w:cs="Arial"/>
          <w:sz w:val="24"/>
          <w:szCs w:val="24"/>
          <w:lang w:val="en-GB" w:eastAsia="en-GB"/>
        </w:rPr>
      </w:pPr>
      <w:r w:rsidRPr="00C362B0">
        <w:rPr>
          <w:rFonts w:ascii="Arial" w:hAnsi="Arial" w:cs="Arial"/>
          <w:b/>
          <w:sz w:val="24"/>
          <w:szCs w:val="24"/>
          <w:lang w:val="en-GB" w:eastAsia="en-GB"/>
        </w:rPr>
        <w:t>Source:</w:t>
      </w:r>
      <w:r w:rsidRPr="00C362B0">
        <w:rPr>
          <w:rFonts w:ascii="Arial" w:hAnsi="Arial" w:cs="Arial"/>
          <w:sz w:val="24"/>
          <w:szCs w:val="24"/>
          <w:lang w:val="en-GB" w:eastAsia="en-GB"/>
        </w:rPr>
        <w:t xml:space="preserve"> Author's own framework based on Davis (1989), </w:t>
      </w:r>
      <w:proofErr w:type="spellStart"/>
      <w:r w:rsidRPr="00C362B0">
        <w:rPr>
          <w:rFonts w:ascii="Arial" w:hAnsi="Arial" w:cs="Arial"/>
          <w:sz w:val="24"/>
          <w:szCs w:val="24"/>
          <w:lang w:val="en-GB" w:eastAsia="en-GB"/>
        </w:rPr>
        <w:t>Rosenstock</w:t>
      </w:r>
      <w:proofErr w:type="spellEnd"/>
      <w:r w:rsidRPr="00C362B0">
        <w:rPr>
          <w:rFonts w:ascii="Arial" w:hAnsi="Arial" w:cs="Arial"/>
          <w:sz w:val="24"/>
          <w:szCs w:val="24"/>
          <w:lang w:val="en-GB" w:eastAsia="en-GB"/>
        </w:rPr>
        <w:t xml:space="preserve"> et al. (1988), Ryan and </w:t>
      </w:r>
      <w:proofErr w:type="spellStart"/>
      <w:r w:rsidRPr="00C362B0">
        <w:rPr>
          <w:rFonts w:ascii="Arial" w:hAnsi="Arial" w:cs="Arial"/>
          <w:sz w:val="24"/>
          <w:szCs w:val="24"/>
          <w:lang w:val="en-GB" w:eastAsia="en-GB"/>
        </w:rPr>
        <w:t>Deci</w:t>
      </w:r>
      <w:proofErr w:type="spellEnd"/>
      <w:r w:rsidRPr="00C362B0">
        <w:rPr>
          <w:rFonts w:ascii="Arial" w:hAnsi="Arial" w:cs="Arial"/>
          <w:sz w:val="24"/>
          <w:szCs w:val="24"/>
          <w:lang w:val="en-GB" w:eastAsia="en-GB"/>
        </w:rPr>
        <w:t xml:space="preserve"> (2020), </w:t>
      </w:r>
      <w:proofErr w:type="spellStart"/>
      <w:r w:rsidRPr="00C362B0">
        <w:rPr>
          <w:rFonts w:ascii="Arial" w:hAnsi="Arial" w:cs="Arial"/>
          <w:sz w:val="24"/>
          <w:szCs w:val="24"/>
          <w:lang w:val="en-GB" w:eastAsia="en-GB"/>
        </w:rPr>
        <w:t>Parasuraman</w:t>
      </w:r>
      <w:proofErr w:type="spellEnd"/>
      <w:r w:rsidRPr="00C362B0">
        <w:rPr>
          <w:rFonts w:ascii="Arial" w:hAnsi="Arial" w:cs="Arial"/>
          <w:sz w:val="24"/>
          <w:szCs w:val="24"/>
          <w:lang w:val="en-GB" w:eastAsia="en-GB"/>
        </w:rPr>
        <w:t xml:space="preserve"> et al. (1988), Porter (1980), Barney (1991) and </w:t>
      </w:r>
      <w:proofErr w:type="spellStart"/>
      <w:r w:rsidRPr="00C362B0">
        <w:rPr>
          <w:rFonts w:ascii="Arial" w:hAnsi="Arial" w:cs="Arial"/>
          <w:sz w:val="24"/>
          <w:szCs w:val="24"/>
          <w:lang w:val="en-GB" w:eastAsia="en-GB"/>
        </w:rPr>
        <w:t>Osterwalder</w:t>
      </w:r>
      <w:proofErr w:type="spellEnd"/>
      <w:r w:rsidRPr="00C362B0">
        <w:rPr>
          <w:rFonts w:ascii="Arial" w:hAnsi="Arial" w:cs="Arial"/>
          <w:sz w:val="24"/>
          <w:szCs w:val="24"/>
          <w:lang w:val="en-GB" w:eastAsia="en-GB"/>
        </w:rPr>
        <w:t xml:space="preserve"> and </w:t>
      </w:r>
      <w:proofErr w:type="spellStart"/>
      <w:r w:rsidRPr="00C362B0">
        <w:rPr>
          <w:rFonts w:ascii="Arial" w:hAnsi="Arial" w:cs="Arial"/>
          <w:sz w:val="24"/>
          <w:szCs w:val="24"/>
          <w:lang w:val="en-GB" w:eastAsia="en-GB"/>
        </w:rPr>
        <w:t>Pigneur</w:t>
      </w:r>
      <w:proofErr w:type="spellEnd"/>
      <w:r w:rsidRPr="00C362B0">
        <w:rPr>
          <w:rFonts w:ascii="Arial" w:hAnsi="Arial" w:cs="Arial"/>
          <w:sz w:val="24"/>
          <w:szCs w:val="24"/>
          <w:lang w:val="en-GB" w:eastAsia="en-GB"/>
        </w:rPr>
        <w:t xml:space="preserve"> (2010).</w:t>
      </w:r>
    </w:p>
    <w:p w14:paraId="6CBF9789" w14:textId="0F021739" w:rsidR="007A3BC5" w:rsidRPr="00C362B0" w:rsidRDefault="00336F5B" w:rsidP="00336F5B">
      <w:pPr>
        <w:pStyle w:val="Heading2"/>
        <w:rPr>
          <w:rFonts w:cs="Arial"/>
          <w:sz w:val="24"/>
          <w:szCs w:val="24"/>
          <w:lang w:val="en-GB" w:eastAsia="en-GB"/>
        </w:rPr>
      </w:pPr>
      <w:bookmarkStart w:id="36" w:name="_Toc239188515"/>
      <w:r w:rsidRPr="00C362B0">
        <w:rPr>
          <w:rFonts w:cs="Arial"/>
          <w:sz w:val="24"/>
          <w:szCs w:val="24"/>
          <w:lang w:val="en-GB" w:eastAsia="en-GB"/>
        </w:rPr>
        <w:t>4</w:t>
      </w:r>
      <w:r w:rsidR="007A3BC5" w:rsidRPr="00C362B0">
        <w:rPr>
          <w:lang w:val="en-GB" w:eastAsia="en-GB"/>
        </w:rPr>
        <w:t>.6 Reliability and Validity</w:t>
      </w:r>
      <w:bookmarkEnd w:id="36"/>
    </w:p>
    <w:p w14:paraId="0D2545D4" w14:textId="2D58397F" w:rsidR="007A3BC5" w:rsidRPr="00C362B0" w:rsidRDefault="00717BB1" w:rsidP="007A3B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Data triangulation and multiple secondary sources will be used to strengthen reliability and validity by cross-checking evidence across government, industry, commercial and academic sources. Reliability concerns whether evidence is consistent and reproducible, while validity concerns whether the selected data appropriately measure </w:t>
      </w:r>
      <w:r w:rsidRPr="00C362B0">
        <w:rPr>
          <w:rFonts w:ascii="Arial" w:hAnsi="Arial" w:cs="Arial"/>
          <w:sz w:val="24"/>
          <w:szCs w:val="24"/>
          <w:lang w:val="en-GB" w:eastAsia="en-GB"/>
        </w:rPr>
        <w:lastRenderedPageBreak/>
        <w:t>the issue being analysed. Where conflicting figures are identified, differences in publication date, definitions and methodology will be examined, with the most authoritative and current source prioritised and significant discrepancies transparently reported. Competitor websites and commercial property listings may contain promotional or commercial bias; therefore, such information will be cross-checked against independent or alternative sources where available. Multiple sources will be used rather than relying on a single dataset. Government sources such as ONS and Manchester City Council, alongside Sport England, recognised industry reports and peer-reviewed academic literature, will provide the principal evidence base. Source dates will also be considered, particularly for changing membership prices and rental costs</w:t>
      </w:r>
      <w:r w:rsidR="007A3BC5" w:rsidRPr="00C362B0">
        <w:rPr>
          <w:rFonts w:ascii="Arial" w:hAnsi="Arial" w:cs="Arial"/>
          <w:sz w:val="24"/>
          <w:szCs w:val="24"/>
          <w:lang w:val="en-GB" w:eastAsia="en-GB"/>
        </w:rPr>
        <w:t xml:space="preserve">. </w:t>
      </w:r>
    </w:p>
    <w:p w14:paraId="69F48E96" w14:textId="4535A101" w:rsidR="007A3BC5" w:rsidRPr="00C362B0" w:rsidRDefault="00336F5B" w:rsidP="00336F5B">
      <w:pPr>
        <w:pStyle w:val="Heading2"/>
        <w:rPr>
          <w:lang w:val="en-GB"/>
        </w:rPr>
      </w:pPr>
      <w:bookmarkStart w:id="37" w:name="_Toc239188516"/>
      <w:r w:rsidRPr="00C362B0">
        <w:rPr>
          <w:lang w:val="en-GB"/>
        </w:rPr>
        <w:t>4</w:t>
      </w:r>
      <w:r w:rsidR="007A3BC5" w:rsidRPr="00C362B0">
        <w:rPr>
          <w:lang w:val="en-GB"/>
        </w:rPr>
        <w:t>.7 Limitations and Ethical Considerations</w:t>
      </w:r>
      <w:bookmarkEnd w:id="37"/>
    </w:p>
    <w:p w14:paraId="39C4647B" w14:textId="202043B0" w:rsidR="00C80C9F" w:rsidRPr="00C362B0" w:rsidRDefault="00E13C23" w:rsidP="00B97ACC">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main limitation is the reliance on secondary data, particularly because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-specific evidence on gym demand, willingness to pay and fitness preferences is limited. The absence of primary surveys and interviews prevents direct measurement of prospective customers’ views. Competitor prices, promotional offers and commercial rents may change over time, while commercial data may have limited availability. Conflicting definitions across datasets may also affect direct comparability, and commercial sources may contain promotional bias. Furthermore, the rapid development of AI and digital fitness technologies may reduce the applicability of some existing evidence. Ethically, the research uses publicly available secondary data and involves no participant recruitment, surveys, interviews or personal data collection. Sources will be accurately cited using UWTSD Harvard (Cite Them Right), and evidence will not be fabricated or misrepresented. Customer-related findings will be interpreted responsibly. </w:t>
      </w:r>
    </w:p>
    <w:p w14:paraId="1089D95B" w14:textId="2FA2140C" w:rsidR="002576E9" w:rsidRPr="00C362B0" w:rsidRDefault="002576E9" w:rsidP="002576E9">
      <w:pPr>
        <w:pStyle w:val="Heading2"/>
        <w:rPr>
          <w:lang w:val="en-GB" w:eastAsia="en-GB"/>
        </w:rPr>
      </w:pPr>
      <w:bookmarkStart w:id="38" w:name="_Toc239188517"/>
      <w:r w:rsidRPr="00C362B0">
        <w:rPr>
          <w:lang w:val="en-GB" w:eastAsia="en-GB"/>
        </w:rPr>
        <w:t>4.8 Chapter Summary</w:t>
      </w:r>
      <w:bookmarkEnd w:id="38"/>
    </w:p>
    <w:p w14:paraId="7B527ADF" w14:textId="4CA5D9EB" w:rsidR="00FF5F31" w:rsidRPr="00C362B0" w:rsidRDefault="002576E9" w:rsidP="002576E9">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This chapter has established a transparent secondary research methodology for evaluating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The structured process of source selection, credibility assessment, data triangulation and mixed analytical techniques provides a consistent basis for the subsequent market, competitive, strategic, financial, operational and feasibility analyses.</w:t>
      </w:r>
    </w:p>
    <w:p w14:paraId="4EAD2679" w14:textId="77777777" w:rsidR="007F3C9C" w:rsidRPr="00C362B0" w:rsidRDefault="007F3C9C" w:rsidP="00C362B0">
      <w:pPr>
        <w:pStyle w:val="Heading1"/>
        <w:jc w:val="center"/>
        <w:rPr>
          <w:rFonts w:eastAsia="Times New Roman"/>
          <w:lang w:val="en-GB" w:eastAsia="en-GB"/>
        </w:rPr>
      </w:pPr>
      <w:bookmarkStart w:id="39" w:name="_Toc239188518"/>
      <w:r w:rsidRPr="00C362B0">
        <w:rPr>
          <w:rFonts w:eastAsia="Times New Roman"/>
          <w:lang w:val="en-GB" w:eastAsia="en-GB"/>
        </w:rPr>
        <w:lastRenderedPageBreak/>
        <w:t>Chapter 5 — Market Opportunity Analysis</w:t>
      </w:r>
      <w:bookmarkEnd w:id="39"/>
    </w:p>
    <w:p w14:paraId="6C87E128" w14:textId="77777777" w:rsidR="00C362B0" w:rsidRPr="00C362B0" w:rsidRDefault="00C362B0" w:rsidP="00C362B0">
      <w:pPr>
        <w:pStyle w:val="Heading2"/>
        <w:rPr>
          <w:lang w:val="en-GB"/>
        </w:rPr>
      </w:pPr>
      <w:bookmarkStart w:id="40" w:name="_Toc239188519"/>
      <w:r w:rsidRPr="00C362B0">
        <w:rPr>
          <w:lang w:val="en-GB"/>
        </w:rPr>
        <w:t>5.1 Scope and Market Definition</w:t>
      </w:r>
      <w:bookmarkEnd w:id="40"/>
    </w:p>
    <w:p w14:paraId="77213438" w14:textId="4156D93C" w:rsidR="004A0E5E" w:rsidRPr="00C362B0" w:rsidRDefault="00467C2B" w:rsidP="00460EDC">
      <w:pPr>
        <w:spacing w:before="240" w:line="360" w:lineRule="auto"/>
        <w:jc w:val="both"/>
        <w:rPr>
          <w:rFonts w:ascii="Arial" w:hAnsi="Arial" w:cs="Arial"/>
          <w:sz w:val="24"/>
          <w:szCs w:val="24"/>
          <w:lang w:val="en-GB"/>
        </w:rPr>
      </w:pPr>
      <w:r w:rsidRPr="00467C2B">
        <w:rPr>
          <w:rFonts w:ascii="Arial" w:hAnsi="Arial" w:cs="Arial"/>
          <w:sz w:val="24"/>
          <w:szCs w:val="24"/>
          <w:lang w:val="en-GB"/>
        </w:rPr>
        <w:t xml:space="preserve">For this analysis, the relevant market is defined as AI-powered hybrid gym and fitness/wellness services purchased by digitally receptive adult consumers within </w:t>
      </w:r>
      <w:proofErr w:type="spellStart"/>
      <w:r w:rsidRPr="00467C2B">
        <w:rPr>
          <w:rFonts w:ascii="Arial" w:hAnsi="Arial" w:cs="Arial"/>
          <w:sz w:val="24"/>
          <w:szCs w:val="24"/>
          <w:lang w:val="en-GB"/>
        </w:rPr>
        <w:t>Levenshulme</w:t>
      </w:r>
      <w:proofErr w:type="spellEnd"/>
      <w:r w:rsidRPr="00467C2B">
        <w:rPr>
          <w:rFonts w:ascii="Arial" w:hAnsi="Arial" w:cs="Arial"/>
          <w:sz w:val="24"/>
          <w:szCs w:val="24"/>
          <w:lang w:val="en-GB"/>
        </w:rPr>
        <w:t xml:space="preserve"> and a realistic surrounding Manchester catchment, delivered through a physical gym and supporting digital channels using current 2026 market evidence. The market therefore includes customers seeking conventional gym access alongside personalised fitness guidance, wearable-supported monitoring and digital engagement. The geographical boundary extends beyond </w:t>
      </w:r>
      <w:proofErr w:type="spellStart"/>
      <w:r w:rsidRPr="00467C2B">
        <w:rPr>
          <w:rFonts w:ascii="Arial" w:hAnsi="Arial" w:cs="Arial"/>
          <w:sz w:val="24"/>
          <w:szCs w:val="24"/>
          <w:lang w:val="en-GB"/>
        </w:rPr>
        <w:t>Levenshulme</w:t>
      </w:r>
      <w:proofErr w:type="spellEnd"/>
      <w:r w:rsidRPr="00467C2B">
        <w:rPr>
          <w:rFonts w:ascii="Arial" w:hAnsi="Arial" w:cs="Arial"/>
          <w:sz w:val="24"/>
          <w:szCs w:val="24"/>
          <w:lang w:val="en-GB"/>
        </w:rPr>
        <w:t xml:space="preserve"> itself because customers may travel from neighbouring areas where transport accessibility and travel time make the proposed facility realistically reachable. The channel boundary includes on-site membership and services together with app-based and digital support. This definition is commercially appropriate because it connects the proposed offer, identifiable customer group, realistic catchment and delivery model, rather than treating the wider UK fitness industry as </w:t>
      </w:r>
      <w:proofErr w:type="spellStart"/>
      <w:r w:rsidRPr="00467C2B">
        <w:rPr>
          <w:rFonts w:ascii="Arial" w:hAnsi="Arial" w:cs="Arial"/>
          <w:sz w:val="24"/>
          <w:szCs w:val="24"/>
          <w:lang w:val="en-GB"/>
        </w:rPr>
        <w:t>FitLife's</w:t>
      </w:r>
      <w:proofErr w:type="spellEnd"/>
      <w:r w:rsidRPr="00467C2B">
        <w:rPr>
          <w:rFonts w:ascii="Arial" w:hAnsi="Arial" w:cs="Arial"/>
          <w:sz w:val="24"/>
          <w:szCs w:val="24"/>
          <w:lang w:val="en-GB"/>
        </w:rPr>
        <w:t xml:space="preserve"> directly accessible market.</w:t>
      </w:r>
    </w:p>
    <w:p w14:paraId="4FDD421A" w14:textId="77777777" w:rsidR="004A0E5E" w:rsidRPr="00C362B0" w:rsidRDefault="004A0E5E" w:rsidP="00C362B0">
      <w:pPr>
        <w:pStyle w:val="Heading2"/>
        <w:rPr>
          <w:lang w:val="en-GB"/>
        </w:rPr>
      </w:pPr>
      <w:bookmarkStart w:id="41" w:name="_Toc239188520"/>
      <w:r w:rsidRPr="00C362B0">
        <w:rPr>
          <w:lang w:val="en-GB"/>
        </w:rPr>
        <w:t>5.2 Market Size and Growth</w:t>
      </w:r>
      <w:bookmarkEnd w:id="41"/>
    </w:p>
    <w:p w14:paraId="4120CB10" w14:textId="64BD177C" w:rsidR="00B2423C" w:rsidRPr="00B2423C" w:rsidRDefault="00B2423C" w:rsidP="00B2423C">
      <w:pPr>
        <w:spacing w:before="240" w:line="360" w:lineRule="auto"/>
        <w:jc w:val="both"/>
        <w:rPr>
          <w:rFonts w:ascii="Arial" w:hAnsi="Arial" w:cs="Arial"/>
          <w:sz w:val="24"/>
          <w:szCs w:val="24"/>
          <w:lang w:val="en-GB"/>
        </w:rPr>
      </w:pPr>
      <w:r w:rsidRPr="00B2423C">
        <w:rPr>
          <w:rFonts w:ascii="Arial" w:hAnsi="Arial" w:cs="Arial"/>
          <w:sz w:val="24"/>
          <w:szCs w:val="24"/>
          <w:lang w:val="en-GB"/>
        </w:rPr>
        <w:t>The UK health and fitness sector provides evidence of an established and expanding market. In 2025, 12.2 million people aged over 16 were members of a health and fitness club, representing an 18% penetration rate, while club visits increased to 679 million and total sector income reached £6.5 billion, compared with £5.7 billion in 2024 (</w:t>
      </w:r>
      <w:proofErr w:type="spellStart"/>
      <w:r w:rsidRPr="00B2423C">
        <w:rPr>
          <w:rFonts w:ascii="Arial" w:hAnsi="Arial" w:cs="Arial"/>
          <w:sz w:val="24"/>
          <w:szCs w:val="24"/>
          <w:lang w:val="en-GB"/>
        </w:rPr>
        <w:t>ukactive</w:t>
      </w:r>
      <w:proofErr w:type="spellEnd"/>
      <w:r w:rsidRPr="00B2423C">
        <w:rPr>
          <w:rFonts w:ascii="Arial" w:hAnsi="Arial" w:cs="Arial"/>
          <w:sz w:val="24"/>
          <w:szCs w:val="24"/>
          <w:lang w:val="en-GB"/>
        </w:rPr>
        <w:t xml:space="preserve">, 2026). The increase in visits and membership alongside income growth provides stronger evidence of expanding participation than revenue growth alone. Nevertheless, national market growth cannot be treated as </w:t>
      </w:r>
      <w:proofErr w:type="spellStart"/>
      <w:r w:rsidRPr="00B2423C">
        <w:rPr>
          <w:rFonts w:ascii="Arial" w:hAnsi="Arial" w:cs="Arial"/>
          <w:sz w:val="24"/>
          <w:szCs w:val="24"/>
          <w:lang w:val="en-GB"/>
        </w:rPr>
        <w:t>FitLife’s</w:t>
      </w:r>
      <w:proofErr w:type="spellEnd"/>
      <w:r w:rsidRPr="00B2423C">
        <w:rPr>
          <w:rFonts w:ascii="Arial" w:hAnsi="Arial" w:cs="Arial"/>
          <w:sz w:val="24"/>
          <w:szCs w:val="24"/>
          <w:lang w:val="en-GB"/>
        </w:rPr>
        <w:t xml:space="preserve"> directly accessible demand because geographical reach, customer characteristics and competitive </w:t>
      </w:r>
      <w:r>
        <w:rPr>
          <w:rFonts w:ascii="Arial" w:hAnsi="Arial" w:cs="Arial"/>
          <w:sz w:val="24"/>
          <w:szCs w:val="24"/>
          <w:lang w:val="en-GB"/>
        </w:rPr>
        <w:t>conditions differ considerably.</w:t>
      </w:r>
    </w:p>
    <w:p w14:paraId="7F520DBA" w14:textId="2B734972" w:rsidR="00B2423C" w:rsidRPr="00B2423C" w:rsidRDefault="00B2423C" w:rsidP="00B2423C">
      <w:pPr>
        <w:spacing w:before="240" w:line="360" w:lineRule="auto"/>
        <w:jc w:val="both"/>
        <w:rPr>
          <w:rFonts w:ascii="Arial" w:hAnsi="Arial" w:cs="Arial"/>
          <w:sz w:val="24"/>
          <w:szCs w:val="24"/>
          <w:lang w:val="en-GB"/>
        </w:rPr>
      </w:pPr>
      <w:r w:rsidRPr="00B2423C">
        <w:rPr>
          <w:rFonts w:ascii="Arial" w:hAnsi="Arial" w:cs="Arial"/>
          <w:sz w:val="24"/>
          <w:szCs w:val="24"/>
          <w:lang w:val="en-GB"/>
        </w:rPr>
        <w:t xml:space="preserve">The market can therefore be narrowed from TAM to SAM and SOM. At the broadest level, the UK fitness sector represents </w:t>
      </w:r>
      <w:proofErr w:type="spellStart"/>
      <w:r w:rsidRPr="00B2423C">
        <w:rPr>
          <w:rFonts w:ascii="Arial" w:hAnsi="Arial" w:cs="Arial"/>
          <w:sz w:val="24"/>
          <w:szCs w:val="24"/>
          <w:lang w:val="en-GB"/>
        </w:rPr>
        <w:t>FitLife’s</w:t>
      </w:r>
      <w:proofErr w:type="spellEnd"/>
      <w:r w:rsidRPr="00B2423C">
        <w:rPr>
          <w:rFonts w:ascii="Arial" w:hAnsi="Arial" w:cs="Arial"/>
          <w:sz w:val="24"/>
          <w:szCs w:val="24"/>
          <w:lang w:val="en-GB"/>
        </w:rPr>
        <w:t xml:space="preserve"> TAM context. Manchester provides the relevant urban market, with 551,937 residents recorded in the 2021 Census (Manchester City Council, 2026). The city contained 61,887 residents aged 20–24, 52,583 aged 25–29 and 47,999 aged 30–34, indicating a substantial working-age </w:t>
      </w:r>
      <w:r w:rsidRPr="00B2423C">
        <w:rPr>
          <w:rFonts w:ascii="Arial" w:hAnsi="Arial" w:cs="Arial"/>
          <w:sz w:val="24"/>
          <w:szCs w:val="24"/>
          <w:lang w:val="en-GB"/>
        </w:rPr>
        <w:lastRenderedPageBreak/>
        <w:t xml:space="preserve">population relevant to </w:t>
      </w:r>
      <w:proofErr w:type="spellStart"/>
      <w:r w:rsidRPr="00B2423C">
        <w:rPr>
          <w:rFonts w:ascii="Arial" w:hAnsi="Arial" w:cs="Arial"/>
          <w:sz w:val="24"/>
          <w:szCs w:val="24"/>
          <w:lang w:val="en-GB"/>
        </w:rPr>
        <w:t>FitLife’s</w:t>
      </w:r>
      <w:proofErr w:type="spellEnd"/>
      <w:r w:rsidRPr="00B2423C">
        <w:rPr>
          <w:rFonts w:ascii="Arial" w:hAnsi="Arial" w:cs="Arial"/>
          <w:sz w:val="24"/>
          <w:szCs w:val="24"/>
          <w:lang w:val="en-GB"/>
        </w:rPr>
        <w:t xml:space="preserve"> proposed digitally receptive customer segment (Manchester City Council, 2026). </w:t>
      </w:r>
    </w:p>
    <w:p w14:paraId="46D264E2" w14:textId="5F943819" w:rsidR="00B2423C" w:rsidRPr="00B2423C" w:rsidRDefault="00945E0C" w:rsidP="00B2423C">
      <w:pPr>
        <w:spacing w:before="240" w:line="360" w:lineRule="auto"/>
        <w:jc w:val="both"/>
        <w:rPr>
          <w:rFonts w:ascii="Arial" w:hAnsi="Arial" w:cs="Arial"/>
          <w:sz w:val="24"/>
          <w:szCs w:val="24"/>
          <w:lang w:val="en-GB"/>
        </w:rPr>
      </w:pPr>
      <w:r w:rsidRPr="00945E0C">
        <w:rPr>
          <w:rFonts w:ascii="Arial" w:hAnsi="Arial" w:cs="Arial"/>
          <w:sz w:val="24"/>
          <w:szCs w:val="24"/>
          <w:lang w:val="en-GB"/>
        </w:rPr>
        <w:t xml:space="preserve">For the more realistic SAM,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 provides the initial geographical focus, with 19,647 residents recorded in the 2021 Census. Applying Manchester’s 20–34 age distribution as an indicative benchmark gives an estimated 5,784 residents aged 20–34 in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 This is calculated by combining Manchester’s 20–24 (61,887), 25–29 (52,583) and 30–34 (47,999) populations, representing approximately 29.44% of Manchester’s 551,937 population, and applying this proportion to </w:t>
      </w:r>
      <w:proofErr w:type="spellStart"/>
      <w:r w:rsidRPr="00945E0C">
        <w:rPr>
          <w:rFonts w:ascii="Arial" w:hAnsi="Arial" w:cs="Arial"/>
          <w:sz w:val="24"/>
          <w:szCs w:val="24"/>
          <w:lang w:val="en-GB"/>
        </w:rPr>
        <w:t>Levenshulme’s</w:t>
      </w:r>
      <w:proofErr w:type="spellEnd"/>
      <w:r w:rsidRPr="00945E0C">
        <w:rPr>
          <w:rFonts w:ascii="Arial" w:hAnsi="Arial" w:cs="Arial"/>
          <w:sz w:val="24"/>
          <w:szCs w:val="24"/>
          <w:lang w:val="en-GB"/>
        </w:rPr>
        <w:t xml:space="preserve"> population. This is a derived estimate rather than a directly observed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-specific age figure and should therefore be interpreted cautiously (Manchester City Council, 2026). Applying the UK’s 18% fitness-membership penetration as a broad participation benchmark produces approximately 1,041 potential fitness participants within this estimated age group. However, this figure does not establish confirmed local demand for </w:t>
      </w:r>
      <w:proofErr w:type="spellStart"/>
      <w:r w:rsidRPr="00945E0C">
        <w:rPr>
          <w:rFonts w:ascii="Arial" w:hAnsi="Arial" w:cs="Arial"/>
          <w:sz w:val="24"/>
          <w:szCs w:val="24"/>
          <w:lang w:val="en-GB"/>
        </w:rPr>
        <w:t>FitLife</w:t>
      </w:r>
      <w:proofErr w:type="spellEnd"/>
      <w:r w:rsidRPr="00945E0C">
        <w:rPr>
          <w:rFonts w:ascii="Arial" w:hAnsi="Arial" w:cs="Arial"/>
          <w:sz w:val="24"/>
          <w:szCs w:val="24"/>
          <w:lang w:val="en-GB"/>
        </w:rPr>
        <w:t xml:space="preserve"> or willingness to pay fo</w:t>
      </w:r>
      <w:r>
        <w:rPr>
          <w:rFonts w:ascii="Arial" w:hAnsi="Arial" w:cs="Arial"/>
          <w:sz w:val="24"/>
          <w:szCs w:val="24"/>
          <w:lang w:val="en-GB"/>
        </w:rPr>
        <w:t>r AI-supported fitness services</w:t>
      </w:r>
      <w:r w:rsidR="00B2423C">
        <w:rPr>
          <w:rFonts w:ascii="Arial" w:hAnsi="Arial" w:cs="Arial"/>
          <w:sz w:val="24"/>
          <w:szCs w:val="24"/>
          <w:lang w:val="en-GB"/>
        </w:rPr>
        <w:t>.</w:t>
      </w:r>
    </w:p>
    <w:p w14:paraId="5DED4C2D" w14:textId="50769680" w:rsidR="004A0E5E" w:rsidRDefault="004A2239" w:rsidP="00B2423C">
      <w:pPr>
        <w:spacing w:before="240" w:line="360" w:lineRule="auto"/>
        <w:jc w:val="both"/>
        <w:rPr>
          <w:rFonts w:ascii="Arial" w:hAnsi="Arial" w:cs="Arial"/>
          <w:sz w:val="24"/>
          <w:szCs w:val="24"/>
          <w:lang w:val="en-GB"/>
        </w:rPr>
      </w:pPr>
      <w:r w:rsidRPr="004A2239">
        <w:rPr>
          <w:rFonts w:ascii="Arial" w:hAnsi="Arial" w:cs="Arial"/>
          <w:sz w:val="24"/>
          <w:szCs w:val="24"/>
          <w:lang w:val="en-GB"/>
        </w:rPr>
        <w:t xml:space="preserve">The SOM should therefore be based on </w:t>
      </w:r>
      <w:proofErr w:type="spellStart"/>
      <w:r w:rsidRPr="004A2239">
        <w:rPr>
          <w:rFonts w:ascii="Arial" w:hAnsi="Arial" w:cs="Arial"/>
          <w:sz w:val="24"/>
          <w:szCs w:val="24"/>
          <w:lang w:val="en-GB"/>
        </w:rPr>
        <w:t>FitLife’s</w:t>
      </w:r>
      <w:proofErr w:type="spellEnd"/>
      <w:r w:rsidRPr="004A2239">
        <w:rPr>
          <w:rFonts w:ascii="Arial" w:hAnsi="Arial" w:cs="Arial"/>
          <w:sz w:val="24"/>
          <w:szCs w:val="24"/>
          <w:lang w:val="en-GB"/>
        </w:rPr>
        <w:t xml:space="preserve"> achievable launch capacity rather than an arbitrary percentage of the market. Based on the estimated local fitness-participant pool of approximately 1,040 people, an initial target of 150 paying members would represent around 14.4% of this estimated pool. This should be treated as a conservative launch-capacity assumption rather than a guaranteed market share, and its achievability will depend on premises capacity, customer acquisition, conversion and retention. The assumption should therefore be tested through pre-launch registrations, customer surveys and early membership conversion data. Technology trends further support the opportunity, with wearable technology and mobile exercise applications ranking highly among glo</w:t>
      </w:r>
      <w:r>
        <w:rPr>
          <w:rFonts w:ascii="Arial" w:hAnsi="Arial" w:cs="Arial"/>
          <w:sz w:val="24"/>
          <w:szCs w:val="24"/>
          <w:lang w:val="en-GB"/>
        </w:rPr>
        <w:t>bal fitness trends (ACSM, 2024)</w:t>
      </w:r>
      <w:r w:rsidR="00C362B0" w:rsidRPr="00C362B0">
        <w:rPr>
          <w:rFonts w:ascii="Arial" w:hAnsi="Arial" w:cs="Arial"/>
          <w:sz w:val="24"/>
          <w:szCs w:val="24"/>
          <w:lang w:val="en-GB"/>
        </w:rPr>
        <w:t>.</w:t>
      </w:r>
    </w:p>
    <w:p w14:paraId="24B6F8A7" w14:textId="77777777" w:rsidR="004A2239" w:rsidRPr="00C362B0" w:rsidRDefault="004A2239" w:rsidP="00B2423C">
      <w:pPr>
        <w:spacing w:before="240" w:line="360" w:lineRule="auto"/>
        <w:jc w:val="both"/>
        <w:rPr>
          <w:rFonts w:ascii="Arial" w:hAnsi="Arial" w:cs="Arial"/>
          <w:sz w:val="24"/>
          <w:szCs w:val="24"/>
          <w:lang w:val="en-GB"/>
        </w:rPr>
      </w:pPr>
    </w:p>
    <w:p w14:paraId="73905347" w14:textId="77777777" w:rsidR="004A0E5E" w:rsidRPr="00C362B0" w:rsidRDefault="004A0E5E" w:rsidP="00C362B0">
      <w:pPr>
        <w:pStyle w:val="Heading2"/>
        <w:rPr>
          <w:lang w:val="en-GB"/>
        </w:rPr>
      </w:pPr>
      <w:bookmarkStart w:id="42" w:name="_Toc239188521"/>
      <w:r w:rsidRPr="00C362B0">
        <w:rPr>
          <w:lang w:val="en-GB"/>
        </w:rPr>
        <w:t>5.3 Market Segmentation and Target Customer</w:t>
      </w:r>
      <w:bookmarkEnd w:id="42"/>
    </w:p>
    <w:p w14:paraId="22CB7522" w14:textId="4AF69695" w:rsidR="0090495E" w:rsidRPr="0090495E" w:rsidRDefault="0090495E" w:rsidP="0090495E">
      <w:pPr>
        <w:spacing w:before="240" w:line="360" w:lineRule="auto"/>
        <w:jc w:val="both"/>
        <w:rPr>
          <w:rFonts w:ascii="Arial" w:hAnsi="Arial" w:cs="Arial"/>
          <w:sz w:val="24"/>
          <w:szCs w:val="24"/>
          <w:lang w:val="en-GB"/>
        </w:rPr>
      </w:pPr>
      <w:proofErr w:type="spellStart"/>
      <w:r w:rsidRPr="0090495E">
        <w:rPr>
          <w:rFonts w:ascii="Arial" w:hAnsi="Arial" w:cs="Arial"/>
          <w:sz w:val="24"/>
          <w:szCs w:val="24"/>
          <w:lang w:val="en-GB"/>
        </w:rPr>
        <w:t>FitLife’s</w:t>
      </w:r>
      <w:proofErr w:type="spellEnd"/>
      <w:r w:rsidRPr="0090495E">
        <w:rPr>
          <w:rFonts w:ascii="Arial" w:hAnsi="Arial" w:cs="Arial"/>
          <w:sz w:val="24"/>
          <w:szCs w:val="24"/>
          <w:lang w:val="en-GB"/>
        </w:rPr>
        <w:t xml:space="preserve"> market can be segmented geographically, demographically, </w:t>
      </w:r>
      <w:proofErr w:type="spellStart"/>
      <w:r w:rsidRPr="0090495E">
        <w:rPr>
          <w:rFonts w:ascii="Arial" w:hAnsi="Arial" w:cs="Arial"/>
          <w:sz w:val="24"/>
          <w:szCs w:val="24"/>
          <w:lang w:val="en-GB"/>
        </w:rPr>
        <w:t>psychographically</w:t>
      </w:r>
      <w:proofErr w:type="spellEnd"/>
      <w:r w:rsidRPr="0090495E">
        <w:rPr>
          <w:rFonts w:ascii="Arial" w:hAnsi="Arial" w:cs="Arial"/>
          <w:sz w:val="24"/>
          <w:szCs w:val="24"/>
          <w:lang w:val="en-GB"/>
        </w:rPr>
        <w:t xml:space="preserve"> and behaviourally to identify customers whose needs, accessibility and purchasing circumstances align with its proposed hybrid fitness model. Geographically, the primary catchment is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 with potential extension into neighbouring Manchester communities where customers can realistically access the </w:t>
      </w:r>
      <w:r w:rsidRPr="0090495E">
        <w:rPr>
          <w:rFonts w:ascii="Arial" w:hAnsi="Arial" w:cs="Arial"/>
          <w:sz w:val="24"/>
          <w:szCs w:val="24"/>
          <w:lang w:val="en-GB"/>
        </w:rPr>
        <w:lastRenderedPageBreak/>
        <w:t xml:space="preserve">facility. The 2021 Census recorded 19,647 residents and 7,235 households in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providing a substantial local population base (Manchester City Council, 2021). However, the ward should not automatically be treated as the entire customer market because actual catchment will depend on travel time, transport accessib</w:t>
      </w:r>
      <w:r>
        <w:rPr>
          <w:rFonts w:ascii="Arial" w:hAnsi="Arial" w:cs="Arial"/>
          <w:sz w:val="24"/>
          <w:szCs w:val="24"/>
          <w:lang w:val="en-GB"/>
        </w:rPr>
        <w:t>ility and competitor locations.</w:t>
      </w:r>
    </w:p>
    <w:p w14:paraId="6C3A9541" w14:textId="0B6623BD" w:rsidR="0090495E" w:rsidRPr="0090495E" w:rsidRDefault="0090495E" w:rsidP="0090495E">
      <w:pPr>
        <w:spacing w:before="240" w:line="360" w:lineRule="auto"/>
        <w:jc w:val="both"/>
        <w:rPr>
          <w:rFonts w:ascii="Arial" w:hAnsi="Arial" w:cs="Arial"/>
          <w:sz w:val="24"/>
          <w:szCs w:val="24"/>
          <w:lang w:val="en-GB"/>
        </w:rPr>
      </w:pPr>
      <w:r w:rsidRPr="0090495E">
        <w:rPr>
          <w:rFonts w:ascii="Arial" w:hAnsi="Arial" w:cs="Arial"/>
          <w:sz w:val="24"/>
          <w:szCs w:val="24"/>
          <w:lang w:val="en-GB"/>
        </w:rPr>
        <w:t xml:space="preserve">Demographically, Manchester has a relatively young population, including 61,887 people aged 20–24, 52,583 aged 25–29 and 47,999 aged 30–34, with a median age of 31 (Manchester City Council, 2021). This supports the relevance of working-age adults as a potential customer group, although these figures are Manchester-wide and cannot be assumed to represent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 precisely. </w:t>
      </w:r>
      <w:proofErr w:type="spellStart"/>
      <w:r w:rsidRPr="0090495E">
        <w:rPr>
          <w:rFonts w:ascii="Arial" w:hAnsi="Arial" w:cs="Arial"/>
          <w:sz w:val="24"/>
          <w:szCs w:val="24"/>
          <w:lang w:val="en-GB"/>
        </w:rPr>
        <w:t>Levenshulme’s</w:t>
      </w:r>
      <w:proofErr w:type="spellEnd"/>
      <w:r w:rsidRPr="0090495E">
        <w:rPr>
          <w:rFonts w:ascii="Arial" w:hAnsi="Arial" w:cs="Arial"/>
          <w:sz w:val="24"/>
          <w:szCs w:val="24"/>
          <w:lang w:val="en-GB"/>
        </w:rPr>
        <w:t xml:space="preserve"> household structure also includes 30.2% one-person households, which may indicate a relevant context for flexible and individually oriented leisure services; however, this should not be interpreted as direct evidence of demand for </w:t>
      </w:r>
      <w:proofErr w:type="spellStart"/>
      <w:r w:rsidRPr="0090495E">
        <w:rPr>
          <w:rFonts w:ascii="Arial" w:hAnsi="Arial" w:cs="Arial"/>
          <w:sz w:val="24"/>
          <w:szCs w:val="24"/>
          <w:lang w:val="en-GB"/>
        </w:rPr>
        <w:t>FitLife</w:t>
      </w:r>
      <w:proofErr w:type="spellEnd"/>
      <w:r w:rsidRPr="0090495E">
        <w:rPr>
          <w:rFonts w:ascii="Arial" w:hAnsi="Arial" w:cs="Arial"/>
          <w:sz w:val="24"/>
          <w:szCs w:val="24"/>
          <w:lang w:val="en-GB"/>
        </w:rPr>
        <w:t xml:space="preserve"> (</w:t>
      </w:r>
      <w:r>
        <w:rPr>
          <w:rFonts w:ascii="Arial" w:hAnsi="Arial" w:cs="Arial"/>
          <w:sz w:val="24"/>
          <w:szCs w:val="24"/>
          <w:lang w:val="en-GB"/>
        </w:rPr>
        <w:t>Manchester City Council, 2021).</w:t>
      </w:r>
    </w:p>
    <w:p w14:paraId="37490C00" w14:textId="6AFFFB72" w:rsidR="0090495E" w:rsidRPr="0090495E" w:rsidRDefault="0090495E" w:rsidP="0090495E">
      <w:pPr>
        <w:spacing w:before="240" w:line="360" w:lineRule="auto"/>
        <w:jc w:val="both"/>
        <w:rPr>
          <w:rFonts w:ascii="Arial" w:hAnsi="Arial" w:cs="Arial"/>
          <w:sz w:val="24"/>
          <w:szCs w:val="24"/>
          <w:lang w:val="en-GB"/>
        </w:rPr>
      </w:pPr>
      <w:proofErr w:type="spellStart"/>
      <w:r w:rsidRPr="0090495E">
        <w:rPr>
          <w:rFonts w:ascii="Arial" w:hAnsi="Arial" w:cs="Arial"/>
          <w:sz w:val="24"/>
          <w:szCs w:val="24"/>
          <w:lang w:val="en-GB"/>
        </w:rPr>
        <w:t>Psychographically</w:t>
      </w:r>
      <w:proofErr w:type="spellEnd"/>
      <w:r w:rsidRPr="0090495E">
        <w:rPr>
          <w:rFonts w:ascii="Arial" w:hAnsi="Arial" w:cs="Arial"/>
          <w:sz w:val="24"/>
          <w:szCs w:val="24"/>
          <w:lang w:val="en-GB"/>
        </w:rPr>
        <w:t xml:space="preserve">, </w:t>
      </w:r>
      <w:proofErr w:type="spellStart"/>
      <w:r w:rsidRPr="0090495E">
        <w:rPr>
          <w:rFonts w:ascii="Arial" w:hAnsi="Arial" w:cs="Arial"/>
          <w:sz w:val="24"/>
          <w:szCs w:val="24"/>
          <w:lang w:val="en-GB"/>
        </w:rPr>
        <w:t>FitLife</w:t>
      </w:r>
      <w:proofErr w:type="spellEnd"/>
      <w:r w:rsidRPr="0090495E">
        <w:rPr>
          <w:rFonts w:ascii="Arial" w:hAnsi="Arial" w:cs="Arial"/>
          <w:sz w:val="24"/>
          <w:szCs w:val="24"/>
          <w:lang w:val="en-GB"/>
        </w:rPr>
        <w:t xml:space="preserve"> is intended for consumers who value health and wellbeing, convenience, personalised support and technology-enabled fitness experiences. This is consistent with the wider importance of wearable technology and mobile exercise applications within contemporary fitness trends (ACSM, 2024). Behaviourally, the priority segment comprises existing or potential regular gym users who value exercise, progress monitoring, personalised guidance and convenient digital support. </w:t>
      </w:r>
    </w:p>
    <w:p w14:paraId="2410AB15" w14:textId="2B5F6615" w:rsidR="007D575E" w:rsidRPr="00C362B0" w:rsidRDefault="0090495E" w:rsidP="0090495E">
      <w:pPr>
        <w:spacing w:before="240" w:line="360" w:lineRule="auto"/>
        <w:jc w:val="both"/>
        <w:rPr>
          <w:rFonts w:ascii="Arial" w:hAnsi="Arial" w:cs="Arial"/>
          <w:sz w:val="24"/>
          <w:szCs w:val="24"/>
          <w:lang w:val="en-GB" w:eastAsia="en-GB"/>
        </w:rPr>
      </w:pPr>
      <w:r w:rsidRPr="0090495E">
        <w:rPr>
          <w:rFonts w:ascii="Arial" w:hAnsi="Arial" w:cs="Arial"/>
          <w:sz w:val="24"/>
          <w:szCs w:val="24"/>
          <w:lang w:val="en-GB"/>
        </w:rPr>
        <w:t xml:space="preserve">Therefore, </w:t>
      </w:r>
      <w:proofErr w:type="spellStart"/>
      <w:r w:rsidRPr="0090495E">
        <w:rPr>
          <w:rFonts w:ascii="Arial" w:hAnsi="Arial" w:cs="Arial"/>
          <w:sz w:val="24"/>
          <w:szCs w:val="24"/>
          <w:lang w:val="en-GB"/>
        </w:rPr>
        <w:t>FitLife’s</w:t>
      </w:r>
      <w:proofErr w:type="spellEnd"/>
      <w:r w:rsidRPr="0090495E">
        <w:rPr>
          <w:rFonts w:ascii="Arial" w:hAnsi="Arial" w:cs="Arial"/>
          <w:sz w:val="24"/>
          <w:szCs w:val="24"/>
          <w:lang w:val="en-GB"/>
        </w:rPr>
        <w:t xml:space="preserve"> priority segment is digitally receptive working-age adults in and around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 who seek affordable, convenient and personalised fitness support. This is an evidence-informed strategic segment rather than an invented persona. Nevertheless, the available evidence does not establish a sufficiently precise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-specific age, income or willingness-to-pay profile. This remains an important assumption requiring validation through customer research. </w:t>
      </w:r>
    </w:p>
    <w:p w14:paraId="1E98653B" w14:textId="7F67C3F9" w:rsidR="00507E1C" w:rsidRPr="00507E1C" w:rsidRDefault="00D81985" w:rsidP="00507E1C">
      <w:pPr>
        <w:pStyle w:val="Heading2"/>
        <w:rPr>
          <w:rFonts w:eastAsia="Times New Roman"/>
          <w:lang w:val="en-GB" w:eastAsia="en-GB"/>
        </w:rPr>
      </w:pPr>
      <w:bookmarkStart w:id="43" w:name="_Toc239188522"/>
      <w:r w:rsidRPr="00C362B0">
        <w:rPr>
          <w:rFonts w:eastAsia="Times New Roman"/>
          <w:lang w:val="en-GB" w:eastAsia="en-GB"/>
        </w:rPr>
        <w:t>5.4 Pain Points, Unmet Needs and Demand</w:t>
      </w:r>
      <w:bookmarkEnd w:id="43"/>
    </w:p>
    <w:p w14:paraId="0C4ED66D" w14:textId="3F15EAFF"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An important potential opportunity for </w:t>
      </w:r>
      <w:proofErr w:type="spellStart"/>
      <w:r w:rsidRPr="00507E1C">
        <w:rPr>
          <w:rFonts w:ascii="Arial" w:eastAsia="Times New Roman" w:hAnsi="Arial" w:cs="Arial"/>
          <w:sz w:val="24"/>
          <w:szCs w:val="24"/>
          <w:lang w:val="en-GB" w:eastAsia="en-GB"/>
        </w:rPr>
        <w:t>FitLife</w:t>
      </w:r>
      <w:proofErr w:type="spellEnd"/>
      <w:r w:rsidRPr="00507E1C">
        <w:rPr>
          <w:rFonts w:ascii="Arial" w:eastAsia="Times New Roman" w:hAnsi="Arial" w:cs="Arial"/>
          <w:sz w:val="24"/>
          <w:szCs w:val="24"/>
          <w:lang w:val="en-GB" w:eastAsia="en-GB"/>
        </w:rPr>
        <w:t xml:space="preserve"> arises from the growing interaction between conventional fitness provision and technology-enabled exercise. However, the existence of these trends does not, by itself, establish that local customers specifically experience a need for an AI-supported gym. UK health and fitness activity </w:t>
      </w:r>
      <w:r w:rsidRPr="00507E1C">
        <w:rPr>
          <w:rFonts w:ascii="Arial" w:eastAsia="Times New Roman" w:hAnsi="Arial" w:cs="Arial"/>
          <w:sz w:val="24"/>
          <w:szCs w:val="24"/>
          <w:lang w:val="en-GB" w:eastAsia="en-GB"/>
        </w:rPr>
        <w:lastRenderedPageBreak/>
        <w:t>nevertheless provides evidence of substantial engagement with formal fitness provision: health club visits reached 679 million in 2025, an increase of 10%, while membership reached 12.2 million (</w:t>
      </w:r>
      <w:proofErr w:type="spellStart"/>
      <w:r w:rsidRPr="00507E1C">
        <w:rPr>
          <w:rFonts w:ascii="Arial" w:eastAsia="Times New Roman" w:hAnsi="Arial" w:cs="Arial"/>
          <w:sz w:val="24"/>
          <w:szCs w:val="24"/>
          <w:lang w:val="en-GB" w:eastAsia="en-GB"/>
        </w:rPr>
        <w:t>ukactive</w:t>
      </w:r>
      <w:proofErr w:type="spellEnd"/>
      <w:r w:rsidRPr="00507E1C">
        <w:rPr>
          <w:rFonts w:ascii="Arial" w:eastAsia="Times New Roman" w:hAnsi="Arial" w:cs="Arial"/>
          <w:sz w:val="24"/>
          <w:szCs w:val="24"/>
          <w:lang w:val="en-GB" w:eastAsia="en-GB"/>
        </w:rPr>
        <w:t xml:space="preserve">, 2026). This demonstrates an established customer base for fitness services, although it cannot confirm demand for </w:t>
      </w:r>
      <w:proofErr w:type="spellStart"/>
      <w:r>
        <w:rPr>
          <w:rFonts w:ascii="Arial" w:eastAsia="Times New Roman" w:hAnsi="Arial" w:cs="Arial"/>
          <w:sz w:val="24"/>
          <w:szCs w:val="24"/>
          <w:lang w:val="en-GB" w:eastAsia="en-GB"/>
        </w:rPr>
        <w:t>FitLife’s</w:t>
      </w:r>
      <w:proofErr w:type="spellEnd"/>
      <w:r>
        <w:rPr>
          <w:rFonts w:ascii="Arial" w:eastAsia="Times New Roman" w:hAnsi="Arial" w:cs="Arial"/>
          <w:sz w:val="24"/>
          <w:szCs w:val="24"/>
          <w:lang w:val="en-GB" w:eastAsia="en-GB"/>
        </w:rPr>
        <w:t xml:space="preserve"> specific proposition.</w:t>
      </w:r>
    </w:p>
    <w:p w14:paraId="4C239215" w14:textId="3982F95F"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Technology adoption provides further evidence of a potentially relevant customer preference. Wearable technology and mobile exercise applications were among the leading global fitness trends for 2025, while data-driven training technology also ranked highly (ACSM, 2024). This suggests that technology-supported exercise, progress monitoring and data-informed training are becoming increasingly relevant to fitness consumers. However, this evidence establishes technology relevance rather than a confirmed local need for AI coaching. </w:t>
      </w:r>
      <w:proofErr w:type="spellStart"/>
      <w:r w:rsidRPr="00507E1C">
        <w:rPr>
          <w:rFonts w:ascii="Arial" w:eastAsia="Times New Roman" w:hAnsi="Arial" w:cs="Arial"/>
          <w:sz w:val="24"/>
          <w:szCs w:val="24"/>
          <w:lang w:val="en-GB" w:eastAsia="en-GB"/>
        </w:rPr>
        <w:t>FitLife’s</w:t>
      </w:r>
      <w:proofErr w:type="spellEnd"/>
      <w:r w:rsidRPr="00507E1C">
        <w:rPr>
          <w:rFonts w:ascii="Arial" w:eastAsia="Times New Roman" w:hAnsi="Arial" w:cs="Arial"/>
          <w:sz w:val="24"/>
          <w:szCs w:val="24"/>
          <w:lang w:val="en-GB" w:eastAsia="en-GB"/>
        </w:rPr>
        <w:t xml:space="preserve"> opportunity therefore depends on whether customers perceive the combination of AI-assisted guidance, wearable integration and human coaching as sufficiently useful to justify choosing the serv</w:t>
      </w:r>
      <w:r>
        <w:rPr>
          <w:rFonts w:ascii="Arial" w:eastAsia="Times New Roman" w:hAnsi="Arial" w:cs="Arial"/>
          <w:sz w:val="24"/>
          <w:szCs w:val="24"/>
          <w:lang w:val="en-GB" w:eastAsia="en-GB"/>
        </w:rPr>
        <w:t>ice over existing alternatives.</w:t>
      </w:r>
    </w:p>
    <w:p w14:paraId="49016C72" w14:textId="411D6C74"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Affordability represents an important constraint on demand. Gym membership is generally discretionary expenditure, meaning customers facing financial pressure may reduce usage, choose cheaper providers or substitute gym membership with home exercise and free digital fitness applications. This creates both a threat and an opportunity: </w:t>
      </w:r>
      <w:proofErr w:type="spellStart"/>
      <w:r w:rsidRPr="00507E1C">
        <w:rPr>
          <w:rFonts w:ascii="Arial" w:eastAsia="Times New Roman" w:hAnsi="Arial" w:cs="Arial"/>
          <w:sz w:val="24"/>
          <w:szCs w:val="24"/>
          <w:lang w:val="en-GB" w:eastAsia="en-GB"/>
        </w:rPr>
        <w:t>FitLife</w:t>
      </w:r>
      <w:proofErr w:type="spellEnd"/>
      <w:r w:rsidRPr="00507E1C">
        <w:rPr>
          <w:rFonts w:ascii="Arial" w:eastAsia="Times New Roman" w:hAnsi="Arial" w:cs="Arial"/>
          <w:sz w:val="24"/>
          <w:szCs w:val="24"/>
          <w:lang w:val="en-GB" w:eastAsia="en-GB"/>
        </w:rPr>
        <w:t xml:space="preserve"> could respond through an accessible, value-based membership structure that combines physical facilities with personalised digital support rather than attempting to compete solely on price. However, local evidence concerning willingness to pay specifically for AI-supported fitness remains limited, so any proposed membership price should initially be treated as an assumption requiring validation rather </w:t>
      </w:r>
      <w:r>
        <w:rPr>
          <w:rFonts w:ascii="Arial" w:eastAsia="Times New Roman" w:hAnsi="Arial" w:cs="Arial"/>
          <w:sz w:val="24"/>
          <w:szCs w:val="24"/>
          <w:lang w:val="en-GB" w:eastAsia="en-GB"/>
        </w:rPr>
        <w:t>than established market demand.</w:t>
      </w:r>
    </w:p>
    <w:p w14:paraId="027420EA" w14:textId="70BC4F47" w:rsidR="007D575E" w:rsidRPr="00C362B0"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Switching decisions are likely to involve price, location, convenience, service quality, personalisation, technology and the quality of customer support. Consequently, </w:t>
      </w:r>
      <w:proofErr w:type="spellStart"/>
      <w:r w:rsidRPr="00507E1C">
        <w:rPr>
          <w:rFonts w:ascii="Arial" w:eastAsia="Times New Roman" w:hAnsi="Arial" w:cs="Arial"/>
          <w:sz w:val="24"/>
          <w:szCs w:val="24"/>
          <w:lang w:val="en-GB" w:eastAsia="en-GB"/>
        </w:rPr>
        <w:t>FitLife</w:t>
      </w:r>
      <w:proofErr w:type="spellEnd"/>
      <w:r w:rsidRPr="00507E1C">
        <w:rPr>
          <w:rFonts w:ascii="Arial" w:eastAsia="Times New Roman" w:hAnsi="Arial" w:cs="Arial"/>
          <w:sz w:val="24"/>
          <w:szCs w:val="24"/>
          <w:lang w:val="en-GB" w:eastAsia="en-GB"/>
        </w:rPr>
        <w:t xml:space="preserve"> cannot rely on technology alone to motivate switching; it must demonstrate additional customer value compared with familiar alternatives. Demand may also display seasonality, particularly around New Year when health and fitness motivation typically increases. However, the scale and durability of such effects cannot be established from the available </w:t>
      </w:r>
      <w:proofErr w:type="spellStart"/>
      <w:r w:rsidRPr="00507E1C">
        <w:rPr>
          <w:rFonts w:ascii="Arial" w:eastAsia="Times New Roman" w:hAnsi="Arial" w:cs="Arial"/>
          <w:sz w:val="24"/>
          <w:szCs w:val="24"/>
          <w:lang w:val="en-GB" w:eastAsia="en-GB"/>
        </w:rPr>
        <w:t>Levenshulme</w:t>
      </w:r>
      <w:proofErr w:type="spellEnd"/>
      <w:r w:rsidRPr="00507E1C">
        <w:rPr>
          <w:rFonts w:ascii="Arial" w:eastAsia="Times New Roman" w:hAnsi="Arial" w:cs="Arial"/>
          <w:sz w:val="24"/>
          <w:szCs w:val="24"/>
          <w:lang w:val="en-GB" w:eastAsia="en-GB"/>
        </w:rPr>
        <w:t xml:space="preserve">-specific evidence. Overall, the evidence supports a </w:t>
      </w:r>
      <w:r w:rsidRPr="00507E1C">
        <w:rPr>
          <w:rFonts w:ascii="Arial" w:eastAsia="Times New Roman" w:hAnsi="Arial" w:cs="Arial"/>
          <w:sz w:val="24"/>
          <w:szCs w:val="24"/>
          <w:lang w:val="en-GB" w:eastAsia="en-GB"/>
        </w:rPr>
        <w:lastRenderedPageBreak/>
        <w:t>potential demand opportunity, but local willingness to pay, AI adoption and sustained customer engagement remain critical uncertain</w:t>
      </w:r>
      <w:r>
        <w:rPr>
          <w:rFonts w:ascii="Arial" w:eastAsia="Times New Roman" w:hAnsi="Arial" w:cs="Arial"/>
          <w:sz w:val="24"/>
          <w:szCs w:val="24"/>
          <w:lang w:val="en-GB" w:eastAsia="en-GB"/>
        </w:rPr>
        <w:t>ties to be tested before launch</w:t>
      </w:r>
      <w:r w:rsidR="00FF5F31" w:rsidRPr="00C362B0">
        <w:rPr>
          <w:rFonts w:ascii="Arial" w:eastAsia="Times New Roman" w:hAnsi="Arial" w:cs="Arial"/>
          <w:sz w:val="24"/>
          <w:szCs w:val="24"/>
          <w:lang w:val="en-GB" w:eastAsia="en-GB"/>
        </w:rPr>
        <w:t xml:space="preserve">. </w:t>
      </w:r>
    </w:p>
    <w:p w14:paraId="723C452F" w14:textId="77777777" w:rsidR="00FA400A" w:rsidRPr="00C362B0" w:rsidRDefault="00FA400A" w:rsidP="00C362B0">
      <w:pPr>
        <w:pStyle w:val="Heading2"/>
        <w:rPr>
          <w:rFonts w:eastAsia="Times New Roman"/>
          <w:lang w:val="en-GB" w:eastAsia="en-GB"/>
        </w:rPr>
      </w:pPr>
      <w:bookmarkStart w:id="44" w:name="_Toc239188523"/>
      <w:r w:rsidRPr="00C362B0">
        <w:rPr>
          <w:rFonts w:eastAsia="Times New Roman"/>
          <w:lang w:val="en-GB" w:eastAsia="en-GB"/>
        </w:rPr>
        <w:t>5.5 Economic and Geographic Conditions</w:t>
      </w:r>
      <w:bookmarkEnd w:id="44"/>
    </w:p>
    <w:p w14:paraId="4C354429" w14:textId="1198B188" w:rsidR="004D498B" w:rsidRPr="004D498B"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 xml:space="preserve">Economic conditions are significant because gym membership is generally a discretionary expenditure, making affordability and price sensitivity important to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demand. In 2026, CPI inflation rose by 2.6% in the year to June, while CPIH inflation increased by 2.8% (ONS, 2026). Although inflation has moderated compared with previous periods, continuing price increases can constrain disposable income and encourage consumers to compare gym prices, reduce discretionary spending or select lower-cost alternatives. This creates a potential constraint for </w:t>
      </w:r>
      <w:proofErr w:type="spellStart"/>
      <w:r w:rsidRPr="004D498B">
        <w:rPr>
          <w:rFonts w:ascii="Arial" w:eastAsia="Times New Roman" w:hAnsi="Arial" w:cs="Arial"/>
          <w:sz w:val="24"/>
          <w:szCs w:val="24"/>
          <w:lang w:val="en-GB" w:eastAsia="en-GB"/>
        </w:rPr>
        <w:t>FitLife</w:t>
      </w:r>
      <w:proofErr w:type="spellEnd"/>
      <w:r w:rsidRPr="004D498B">
        <w:rPr>
          <w:rFonts w:ascii="Arial" w:eastAsia="Times New Roman" w:hAnsi="Arial" w:cs="Arial"/>
          <w:sz w:val="24"/>
          <w:szCs w:val="24"/>
          <w:lang w:val="en-GB" w:eastAsia="en-GB"/>
        </w:rPr>
        <w:t xml:space="preserve"> because the additional cost of AI, wearable integration and human coaching may make a substantial price premium difficult to sustain. However, affordability pressure does not eliminate demand; instead, it may increase the attractiveness of flexible memberships, introductory offers and value-based packages. </w:t>
      </w:r>
      <w:proofErr w:type="spellStart"/>
      <w:r w:rsidRPr="004D498B">
        <w:rPr>
          <w:rFonts w:ascii="Arial" w:eastAsia="Times New Roman" w:hAnsi="Arial" w:cs="Arial"/>
          <w:sz w:val="24"/>
          <w:szCs w:val="24"/>
          <w:lang w:val="en-GB" w:eastAsia="en-GB"/>
        </w:rPr>
        <w:t>FitLife</w:t>
      </w:r>
      <w:proofErr w:type="spellEnd"/>
      <w:r w:rsidRPr="004D498B">
        <w:rPr>
          <w:rFonts w:ascii="Arial" w:eastAsia="Times New Roman" w:hAnsi="Arial" w:cs="Arial"/>
          <w:sz w:val="24"/>
          <w:szCs w:val="24"/>
          <w:lang w:val="en-GB" w:eastAsia="en-GB"/>
        </w:rPr>
        <w:t xml:space="preserve"> should therefore compete through perceived value rather than simply</w:t>
      </w:r>
      <w:r>
        <w:rPr>
          <w:rFonts w:ascii="Arial" w:eastAsia="Times New Roman" w:hAnsi="Arial" w:cs="Arial"/>
          <w:sz w:val="24"/>
          <w:szCs w:val="24"/>
          <w:lang w:val="en-GB" w:eastAsia="en-GB"/>
        </w:rPr>
        <w:t xml:space="preserve"> charging a technology premium.</w:t>
      </w:r>
    </w:p>
    <w:p w14:paraId="273CCE4F" w14:textId="04037043" w:rsidR="004D498B" w:rsidRPr="004D498B"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 xml:space="preserve">Local socioeconomic conditions further reinforce the need for segmentation. In the 2021 Census, 39% of </w:t>
      </w:r>
      <w:proofErr w:type="spellStart"/>
      <w:r w:rsidRPr="004D498B">
        <w:rPr>
          <w:rFonts w:ascii="Arial" w:eastAsia="Times New Roman" w:hAnsi="Arial" w:cs="Arial"/>
          <w:sz w:val="24"/>
          <w:szCs w:val="24"/>
          <w:lang w:val="en-GB" w:eastAsia="en-GB"/>
        </w:rPr>
        <w:t>Levenshulme</w:t>
      </w:r>
      <w:proofErr w:type="spellEnd"/>
      <w:r w:rsidRPr="004D498B">
        <w:rPr>
          <w:rFonts w:ascii="Arial" w:eastAsia="Times New Roman" w:hAnsi="Arial" w:cs="Arial"/>
          <w:sz w:val="24"/>
          <w:szCs w:val="24"/>
          <w:lang w:val="en-GB" w:eastAsia="en-GB"/>
        </w:rPr>
        <w:t xml:space="preserve"> households were not deprived in any dimension, while 61% experienced deprivation in at least one dimension (Manchester City Council, 2021). This indicates variation in household circumstances and purchasing capacity rather than uniform affordability constraints. Consequently, </w:t>
      </w:r>
      <w:proofErr w:type="spellStart"/>
      <w:r w:rsidRPr="004D498B">
        <w:rPr>
          <w:rFonts w:ascii="Arial" w:eastAsia="Times New Roman" w:hAnsi="Arial" w:cs="Arial"/>
          <w:sz w:val="24"/>
          <w:szCs w:val="24"/>
          <w:lang w:val="en-GB" w:eastAsia="en-GB"/>
        </w:rPr>
        <w:t>FitLife</w:t>
      </w:r>
      <w:proofErr w:type="spellEnd"/>
      <w:r w:rsidRPr="004D498B">
        <w:rPr>
          <w:rFonts w:ascii="Arial" w:eastAsia="Times New Roman" w:hAnsi="Arial" w:cs="Arial"/>
          <w:sz w:val="24"/>
          <w:szCs w:val="24"/>
          <w:lang w:val="en-GB" w:eastAsia="en-GB"/>
        </w:rPr>
        <w:t xml:space="preserve"> should avoid assuming that all local residents have the same ability or willingness to pay and should instead consider dif</w:t>
      </w:r>
      <w:r>
        <w:rPr>
          <w:rFonts w:ascii="Arial" w:eastAsia="Times New Roman" w:hAnsi="Arial" w:cs="Arial"/>
          <w:sz w:val="24"/>
          <w:szCs w:val="24"/>
          <w:lang w:val="en-GB" w:eastAsia="en-GB"/>
        </w:rPr>
        <w:t>ferentiated membership options.</w:t>
      </w:r>
    </w:p>
    <w:p w14:paraId="286DF6BD" w14:textId="62C369D7" w:rsidR="007D575E" w:rsidRPr="00C362B0"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 xml:space="preserve">Geographically, </w:t>
      </w:r>
      <w:proofErr w:type="spellStart"/>
      <w:r w:rsidRPr="004D498B">
        <w:rPr>
          <w:rFonts w:ascii="Arial" w:eastAsia="Times New Roman" w:hAnsi="Arial" w:cs="Arial"/>
          <w:sz w:val="24"/>
          <w:szCs w:val="24"/>
          <w:lang w:val="en-GB" w:eastAsia="en-GB"/>
        </w:rPr>
        <w:t>Levenshulme</w:t>
      </w:r>
      <w:proofErr w:type="spellEnd"/>
      <w:r w:rsidRPr="004D498B">
        <w:rPr>
          <w:rFonts w:ascii="Arial" w:eastAsia="Times New Roman" w:hAnsi="Arial" w:cs="Arial"/>
          <w:sz w:val="24"/>
          <w:szCs w:val="24"/>
          <w:lang w:val="en-GB" w:eastAsia="en-GB"/>
        </w:rPr>
        <w:t xml:space="preserve"> provides an immediate population base of 19,647 residents and approximately 7,234 households, but the ward should not automatically be treated as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complete customer catchment (Manchester City Council, 2021). The realistic market can extend into neighbouring communities where customers can reach the facility conveniently. Greater Manchester’s Bee Network integrates bus, tram, walking and cycling provision, while planned accessibility improvements include step-free access at </w:t>
      </w:r>
      <w:proofErr w:type="spellStart"/>
      <w:r w:rsidRPr="004D498B">
        <w:rPr>
          <w:rFonts w:ascii="Arial" w:eastAsia="Times New Roman" w:hAnsi="Arial" w:cs="Arial"/>
          <w:sz w:val="24"/>
          <w:szCs w:val="24"/>
          <w:lang w:val="en-GB" w:eastAsia="en-GB"/>
        </w:rPr>
        <w:t>Levenshulme</w:t>
      </w:r>
      <w:proofErr w:type="spellEnd"/>
      <w:r w:rsidRPr="004D498B">
        <w:rPr>
          <w:rFonts w:ascii="Arial" w:eastAsia="Times New Roman" w:hAnsi="Arial" w:cs="Arial"/>
          <w:sz w:val="24"/>
          <w:szCs w:val="24"/>
          <w:lang w:val="en-GB" w:eastAsia="en-GB"/>
        </w:rPr>
        <w:t xml:space="preserve"> railway station (TfGM, 2026). Local active-travel initiatives also support walking and cycling access. These conditions can widen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practical catchment beyond the ward itself, although actual reach will depend on travel time, customer convenience and the location of competing gyms. Thus, </w:t>
      </w:r>
      <w:r w:rsidRPr="004D498B">
        <w:rPr>
          <w:rFonts w:ascii="Arial" w:eastAsia="Times New Roman" w:hAnsi="Arial" w:cs="Arial"/>
          <w:sz w:val="24"/>
          <w:szCs w:val="24"/>
          <w:lang w:val="en-GB" w:eastAsia="en-GB"/>
        </w:rPr>
        <w:lastRenderedPageBreak/>
        <w:t xml:space="preserve">geographic accessibility strengthens the opportunity, but </w:t>
      </w:r>
      <w:proofErr w:type="spellStart"/>
      <w:r w:rsidRPr="004D498B">
        <w:rPr>
          <w:rFonts w:ascii="Arial" w:eastAsia="Times New Roman" w:hAnsi="Arial" w:cs="Arial"/>
          <w:sz w:val="24"/>
          <w:szCs w:val="24"/>
          <w:lang w:val="en-GB" w:eastAsia="en-GB"/>
        </w:rPr>
        <w:t>Levenshulme’s</w:t>
      </w:r>
      <w:proofErr w:type="spellEnd"/>
      <w:r w:rsidRPr="004D498B">
        <w:rPr>
          <w:rFonts w:ascii="Arial" w:eastAsia="Times New Roman" w:hAnsi="Arial" w:cs="Arial"/>
          <w:sz w:val="24"/>
          <w:szCs w:val="24"/>
          <w:lang w:val="en-GB" w:eastAsia="en-GB"/>
        </w:rPr>
        <w:t xml:space="preserve"> population should not be equated automatically with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available customer base.</w:t>
      </w:r>
      <w:r w:rsidR="006F45D0" w:rsidRPr="00C362B0">
        <w:rPr>
          <w:rFonts w:ascii="Arial" w:eastAsia="Times New Roman" w:hAnsi="Arial" w:cs="Arial"/>
          <w:sz w:val="24"/>
          <w:szCs w:val="24"/>
          <w:lang w:val="en-GB" w:eastAsia="en-GB"/>
        </w:rPr>
        <w:t xml:space="preserve">). </w:t>
      </w:r>
    </w:p>
    <w:p w14:paraId="26821AFB" w14:textId="77777777" w:rsidR="004A0E5E" w:rsidRPr="00C362B0" w:rsidRDefault="004A0E5E" w:rsidP="00C362B0">
      <w:pPr>
        <w:pStyle w:val="Heading2"/>
        <w:rPr>
          <w:rFonts w:eastAsia="Times New Roman"/>
          <w:lang w:val="en-GB" w:eastAsia="en-GB"/>
        </w:rPr>
      </w:pPr>
      <w:bookmarkStart w:id="45" w:name="_Toc239188524"/>
      <w:r w:rsidRPr="00C362B0">
        <w:rPr>
          <w:rFonts w:eastAsia="Times New Roman"/>
          <w:lang w:val="en-GB" w:eastAsia="en-GB"/>
        </w:rPr>
        <w:t>5.6 Research Findings and Opportunity Synthesis</w:t>
      </w:r>
      <w:bookmarkEnd w:id="45"/>
    </w:p>
    <w:p w14:paraId="1F249A2D" w14:textId="02320343"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 xml:space="preserve">Overall, the evidence indicates a conditional market opportunity for </w:t>
      </w: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Smart Gym rather than an immediately confirmed commercially viable opportunity. The analysis demonstrates an established and growing UK fitness market, with health and fitness club membership reaching 12.2 million and sector income increasing to £6.5 billion in 2025 (</w:t>
      </w:r>
      <w:proofErr w:type="spellStart"/>
      <w:r w:rsidRPr="008A5783">
        <w:rPr>
          <w:rFonts w:ascii="Arial" w:eastAsia="Times New Roman" w:hAnsi="Arial" w:cs="Arial"/>
          <w:sz w:val="24"/>
          <w:szCs w:val="24"/>
          <w:lang w:val="en-GB" w:eastAsia="en-GB"/>
        </w:rPr>
        <w:t>ukactive</w:t>
      </w:r>
      <w:proofErr w:type="spellEnd"/>
      <w:r w:rsidRPr="008A5783">
        <w:rPr>
          <w:rFonts w:ascii="Arial" w:eastAsia="Times New Roman" w:hAnsi="Arial" w:cs="Arial"/>
          <w:sz w:val="24"/>
          <w:szCs w:val="24"/>
          <w:lang w:val="en-GB" w:eastAsia="en-GB"/>
        </w:rPr>
        <w:t xml:space="preserve">, 2026). The Manchester population also provides a substantial urban customer base, while </w:t>
      </w:r>
      <w:proofErr w:type="spellStart"/>
      <w:r w:rsidRPr="008A5783">
        <w:rPr>
          <w:rFonts w:ascii="Arial" w:eastAsia="Times New Roman" w:hAnsi="Arial" w:cs="Arial"/>
          <w:sz w:val="24"/>
          <w:szCs w:val="24"/>
          <w:lang w:val="en-GB" w:eastAsia="en-GB"/>
        </w:rPr>
        <w:t>Levenshulme</w:t>
      </w:r>
      <w:proofErr w:type="spellEnd"/>
      <w:r w:rsidRPr="008A5783">
        <w:rPr>
          <w:rFonts w:ascii="Arial" w:eastAsia="Times New Roman" w:hAnsi="Arial" w:cs="Arial"/>
          <w:sz w:val="24"/>
          <w:szCs w:val="24"/>
          <w:lang w:val="en-GB" w:eastAsia="en-GB"/>
        </w:rPr>
        <w:t xml:space="preserve"> offers a more focused initial catchment of 19,647 residents (Manchester City Council, 2026). These factors strengthen the potential scale and ac</w:t>
      </w:r>
      <w:r>
        <w:rPr>
          <w:rFonts w:ascii="Arial" w:eastAsia="Times New Roman" w:hAnsi="Arial" w:cs="Arial"/>
          <w:sz w:val="24"/>
          <w:szCs w:val="24"/>
          <w:lang w:val="en-GB" w:eastAsia="en-GB"/>
        </w:rPr>
        <w:t>cessibility of the opportunity.</w:t>
      </w:r>
    </w:p>
    <w:p w14:paraId="38764D84" w14:textId="12C30A26"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 xml:space="preserve">The demand case is further supported by the growing importance of wearable technology, mobile exercise applications and data-driven training, which indicates favourable conditions for </w:t>
      </w:r>
      <w:proofErr w:type="spellStart"/>
      <w:r w:rsidRPr="008A5783">
        <w:rPr>
          <w:rFonts w:ascii="Arial" w:eastAsia="Times New Roman" w:hAnsi="Arial" w:cs="Arial"/>
          <w:sz w:val="24"/>
          <w:szCs w:val="24"/>
          <w:lang w:val="en-GB" w:eastAsia="en-GB"/>
        </w:rPr>
        <w:t>FitLife’s</w:t>
      </w:r>
      <w:proofErr w:type="spellEnd"/>
      <w:r w:rsidRPr="008A5783">
        <w:rPr>
          <w:rFonts w:ascii="Arial" w:eastAsia="Times New Roman" w:hAnsi="Arial" w:cs="Arial"/>
          <w:sz w:val="24"/>
          <w:szCs w:val="24"/>
          <w:lang w:val="en-GB" w:eastAsia="en-GB"/>
        </w:rPr>
        <w:t xml:space="preserve"> technology-enabled proposition (ACSM, 2024). However, these national and global trends do not establish that </w:t>
      </w:r>
      <w:proofErr w:type="spellStart"/>
      <w:r w:rsidRPr="008A5783">
        <w:rPr>
          <w:rFonts w:ascii="Arial" w:eastAsia="Times New Roman" w:hAnsi="Arial" w:cs="Arial"/>
          <w:sz w:val="24"/>
          <w:szCs w:val="24"/>
          <w:lang w:val="en-GB" w:eastAsia="en-GB"/>
        </w:rPr>
        <w:t>Levenshulme</w:t>
      </w:r>
      <w:proofErr w:type="spellEnd"/>
      <w:r w:rsidRPr="008A5783">
        <w:rPr>
          <w:rFonts w:ascii="Arial" w:eastAsia="Times New Roman" w:hAnsi="Arial" w:cs="Arial"/>
          <w:sz w:val="24"/>
          <w:szCs w:val="24"/>
          <w:lang w:val="en-GB" w:eastAsia="en-GB"/>
        </w:rPr>
        <w:t xml:space="preserve"> customers will specifically adopt AI-supported gym services or pay a premium for them. Similarly, the estimated local segment provides an indication of potential market scale rather tha</w:t>
      </w:r>
      <w:r>
        <w:rPr>
          <w:rFonts w:ascii="Arial" w:eastAsia="Times New Roman" w:hAnsi="Arial" w:cs="Arial"/>
          <w:sz w:val="24"/>
          <w:szCs w:val="24"/>
          <w:lang w:val="en-GB" w:eastAsia="en-GB"/>
        </w:rPr>
        <w:t>n guaranteed membership demand.</w:t>
      </w:r>
    </w:p>
    <w:p w14:paraId="6C7C115B" w14:textId="4453DC6B"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 xml:space="preserve">Against the six opportunity criteria, need strength, market scale and technological relevance are relatively favourable, while target accessibility and demand quality remain conditional on local customer acquisition and willingness to pay. Economic pressures may also encourage customers to compare </w:t>
      </w: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with lower-cost gyms and free digital alternatives. Consequently, evidence confidence is moderate rather than high, particularly because </w:t>
      </w:r>
      <w:proofErr w:type="spellStart"/>
      <w:r w:rsidRPr="008A5783">
        <w:rPr>
          <w:rFonts w:ascii="Arial" w:eastAsia="Times New Roman" w:hAnsi="Arial" w:cs="Arial"/>
          <w:sz w:val="24"/>
          <w:szCs w:val="24"/>
          <w:lang w:val="en-GB" w:eastAsia="en-GB"/>
        </w:rPr>
        <w:t>Levenshulme</w:t>
      </w:r>
      <w:proofErr w:type="spellEnd"/>
      <w:r w:rsidRPr="008A5783">
        <w:rPr>
          <w:rFonts w:ascii="Arial" w:eastAsia="Times New Roman" w:hAnsi="Arial" w:cs="Arial"/>
          <w:sz w:val="24"/>
          <w:szCs w:val="24"/>
          <w:lang w:val="en-GB" w:eastAsia="en-GB"/>
        </w:rPr>
        <w:t>-specific evidence on AI adoption and will</w:t>
      </w:r>
      <w:r>
        <w:rPr>
          <w:rFonts w:ascii="Arial" w:eastAsia="Times New Roman" w:hAnsi="Arial" w:cs="Arial"/>
          <w:sz w:val="24"/>
          <w:szCs w:val="24"/>
          <w:lang w:val="en-GB" w:eastAsia="en-GB"/>
        </w:rPr>
        <w:t>ingness to pay remains limited.</w:t>
      </w:r>
    </w:p>
    <w:p w14:paraId="4F49E529" w14:textId="2A9EF83F" w:rsidR="007F3C9C" w:rsidRPr="00FF2927" w:rsidRDefault="008A5783" w:rsidP="00FF2927">
      <w:pPr>
        <w:spacing w:before="240" w:line="360" w:lineRule="auto"/>
        <w:jc w:val="both"/>
        <w:rPr>
          <w:rFonts w:ascii="Arial" w:eastAsia="Times New Roman" w:hAnsi="Arial" w:cs="Arial"/>
          <w:sz w:val="24"/>
          <w:szCs w:val="24"/>
          <w:lang w:val="en-GB" w:eastAsia="en-GB"/>
        </w:rPr>
      </w:pP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should therefore pursue the opportunity through accessible value-based pricing, conservative initial membership assumptions and demand validation before substantial technology investment. Overall, the opportunity is most credible if </w:t>
      </w: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can convert sufficient local customers, achieve strong retention and demonstrate that integrated AI, wearable monitoring and human coaching create enough additional value to justify its costs.</w:t>
      </w:r>
      <w:r w:rsidR="00AF6DBE" w:rsidRPr="00C362B0">
        <w:rPr>
          <w:rFonts w:ascii="Arial" w:eastAsia="Times New Roman" w:hAnsi="Arial" w:cs="Arial"/>
          <w:sz w:val="24"/>
          <w:szCs w:val="24"/>
          <w:lang w:val="en-GB" w:eastAsia="en-GB"/>
        </w:rPr>
        <w:t xml:space="preserve"> </w:t>
      </w:r>
    </w:p>
    <w:p w14:paraId="60E92C36" w14:textId="77777777" w:rsidR="007F3C9C" w:rsidRPr="00402F9F" w:rsidRDefault="007F3C9C" w:rsidP="00B32EC1">
      <w:pPr>
        <w:pStyle w:val="Heading1"/>
        <w:jc w:val="center"/>
        <w:rPr>
          <w:rFonts w:eastAsia="Times New Roman"/>
          <w:lang w:val="en-GB" w:eastAsia="en-GB"/>
        </w:rPr>
      </w:pPr>
      <w:bookmarkStart w:id="46" w:name="_Toc239188525"/>
      <w:r w:rsidRPr="00402F9F">
        <w:rPr>
          <w:rFonts w:eastAsia="Times New Roman"/>
          <w:lang w:val="en-GB" w:eastAsia="en-GB"/>
        </w:rPr>
        <w:lastRenderedPageBreak/>
        <w:t>Chapter 6 — Competitive Environment Analysis</w:t>
      </w:r>
      <w:bookmarkEnd w:id="46"/>
    </w:p>
    <w:p w14:paraId="0EB7DBE3" w14:textId="4B7114E8" w:rsidR="002152EC" w:rsidRPr="002152EC" w:rsidRDefault="006D2A89" w:rsidP="002152EC">
      <w:pPr>
        <w:pStyle w:val="Heading2"/>
        <w:rPr>
          <w:rFonts w:eastAsia="Times New Roman"/>
          <w:lang w:val="en-GB" w:eastAsia="en-GB"/>
        </w:rPr>
      </w:pPr>
      <w:bookmarkStart w:id="47" w:name="_Toc239188526"/>
      <w:r w:rsidRPr="00402F9F">
        <w:rPr>
          <w:rFonts w:eastAsia="Times New Roman"/>
          <w:lang w:val="en-GB" w:eastAsia="en-GB"/>
        </w:rPr>
        <w:t>6.1 Introduction</w:t>
      </w:r>
      <w:bookmarkEnd w:id="47"/>
    </w:p>
    <w:p w14:paraId="1CF83F39" w14:textId="7FA0F27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This chapter evaluates the competitive environment facing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Smart Gym and assesses how external industry conditions affect its ability to establish a sustainable position in the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and wider Manchester catchment. The analysis applies competitor landscape analysis, Porter’s Five Forces and PESTLE to assess competitive intensity, external pressures and industry attractiveness (Porter, 1980; Porter, 2008). Competitor analysis establishes the basis for comparing price, accessibility, services and positioning, while Five Forces evaluates rivalry, buyer and supplier power, entry barriers and substitutes. PESTLE is used selectively to identify external factors with direct implications for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The chapter concludes by identifying key success factors and a potential differentiation space that informs the s</w:t>
      </w:r>
      <w:r w:rsidR="00A94592">
        <w:rPr>
          <w:rFonts w:ascii="Arial" w:hAnsi="Arial" w:cs="Arial"/>
          <w:sz w:val="24"/>
          <w:szCs w:val="24"/>
          <w:lang w:val="en-GB" w:eastAsia="en-GB"/>
        </w:rPr>
        <w:t>trategic analysis in Chapter 7.</w:t>
      </w:r>
    </w:p>
    <w:p w14:paraId="1FCD955A" w14:textId="71BECD28" w:rsidR="002152EC" w:rsidRPr="00A94592" w:rsidRDefault="002152EC" w:rsidP="00A94592">
      <w:pPr>
        <w:pStyle w:val="Heading2"/>
        <w:rPr>
          <w:lang w:val="en-GB" w:eastAsia="en-GB"/>
        </w:rPr>
      </w:pPr>
      <w:bookmarkStart w:id="48" w:name="_Toc239188527"/>
      <w:r w:rsidRPr="002152EC">
        <w:rPr>
          <w:lang w:val="en-GB" w:eastAsia="en-GB"/>
        </w:rPr>
        <w:t>6.2 Local Competitor Landscape</w:t>
      </w:r>
      <w:bookmarkEnd w:id="48"/>
    </w:p>
    <w:p w14:paraId="4310406A" w14:textId="774E76E0" w:rsidR="002152EC" w:rsidRPr="002152EC" w:rsidRDefault="002152EC" w:rsidP="002152EC">
      <w:pPr>
        <w:spacing w:line="360" w:lineRule="auto"/>
        <w:jc w:val="both"/>
        <w:rPr>
          <w:rFonts w:ascii="Arial" w:hAnsi="Arial" w:cs="Arial"/>
          <w:sz w:val="24"/>
          <w:szCs w:val="24"/>
          <w:lang w:val="en-GB" w:eastAsia="en-GB"/>
        </w:rPr>
      </w:pP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would enter a competitive market containing both direct gym competitors and indirect fitness substitutes. The direct competitive set should reflect the realistic catchment rather than all fitness providers across Greater Manchester.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is the most immediate direct competitor because it is physically located on Stockport Road, is close to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station and provides 24/7 access. Its current membership is £32.95 per month, with unlimited access and classes included. It also promotes connected equipment, personal trainers and a community-orie</w:t>
      </w:r>
      <w:r w:rsidR="00A94592">
        <w:rPr>
          <w:rFonts w:ascii="Arial" w:hAnsi="Arial" w:cs="Arial"/>
          <w:sz w:val="24"/>
          <w:szCs w:val="24"/>
          <w:lang w:val="en-GB" w:eastAsia="en-GB"/>
        </w:rPr>
        <w:t>nted environment (</w:t>
      </w:r>
      <w:proofErr w:type="spellStart"/>
      <w:r w:rsidR="00A94592">
        <w:rPr>
          <w:rFonts w:ascii="Arial" w:hAnsi="Arial" w:cs="Arial"/>
          <w:sz w:val="24"/>
          <w:szCs w:val="24"/>
          <w:lang w:val="en-GB" w:eastAsia="en-GB"/>
        </w:rPr>
        <w:t>Jetts</w:t>
      </w:r>
      <w:proofErr w:type="spellEnd"/>
      <w:r w:rsidR="00A94592">
        <w:rPr>
          <w:rFonts w:ascii="Arial" w:hAnsi="Arial" w:cs="Arial"/>
          <w:sz w:val="24"/>
          <w:szCs w:val="24"/>
          <w:lang w:val="en-GB" w:eastAsia="en-GB"/>
        </w:rPr>
        <w:t>, 2026).</w:t>
      </w:r>
    </w:p>
    <w:p w14:paraId="1CA61456" w14:textId="6C849132" w:rsidR="002152EC" w:rsidRPr="002152EC" w:rsidRDefault="002152EC" w:rsidP="002152EC">
      <w:pPr>
        <w:spacing w:line="360" w:lineRule="auto"/>
        <w:jc w:val="both"/>
        <w:rPr>
          <w:rFonts w:ascii="Arial" w:hAnsi="Arial" w:cs="Arial"/>
          <w:sz w:val="24"/>
          <w:szCs w:val="24"/>
          <w:lang w:val="en-GB" w:eastAsia="en-GB"/>
        </w:rPr>
      </w:pP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is also relevant because its Manchester gyms near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provide a low-cost alternative.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identifies Manchester </w:t>
      </w:r>
      <w:proofErr w:type="spellStart"/>
      <w:r w:rsidRPr="002152EC">
        <w:rPr>
          <w:rFonts w:ascii="Arial" w:hAnsi="Arial" w:cs="Arial"/>
          <w:sz w:val="24"/>
          <w:szCs w:val="24"/>
          <w:lang w:val="en-GB" w:eastAsia="en-GB"/>
        </w:rPr>
        <w:t>Debdale</w:t>
      </w:r>
      <w:proofErr w:type="spellEnd"/>
      <w:r w:rsidRPr="002152EC">
        <w:rPr>
          <w:rFonts w:ascii="Arial" w:hAnsi="Arial" w:cs="Arial"/>
          <w:sz w:val="24"/>
          <w:szCs w:val="24"/>
          <w:lang w:val="en-GB" w:eastAsia="en-GB"/>
        </w:rPr>
        <w:t xml:space="preserve"> and Denton as nearby locations, with memberships from £17.99 per month plus a joining fee. The gyms provide 24-hour access, flexible contract-free memberships, more than 220 pieces of equipment and over 50 classes per week across the relev</w:t>
      </w:r>
      <w:r w:rsidR="00A94592">
        <w:rPr>
          <w:rFonts w:ascii="Arial" w:hAnsi="Arial" w:cs="Arial"/>
          <w:sz w:val="24"/>
          <w:szCs w:val="24"/>
          <w:lang w:val="en-GB" w:eastAsia="en-GB"/>
        </w:rPr>
        <w:t>ant facilities (</w:t>
      </w:r>
      <w:proofErr w:type="spellStart"/>
      <w:r w:rsidR="00A94592">
        <w:rPr>
          <w:rFonts w:ascii="Arial" w:hAnsi="Arial" w:cs="Arial"/>
          <w:sz w:val="24"/>
          <w:szCs w:val="24"/>
          <w:lang w:val="en-GB" w:eastAsia="en-GB"/>
        </w:rPr>
        <w:t>PureGym</w:t>
      </w:r>
      <w:proofErr w:type="spellEnd"/>
      <w:r w:rsidR="00A94592">
        <w:rPr>
          <w:rFonts w:ascii="Arial" w:hAnsi="Arial" w:cs="Arial"/>
          <w:sz w:val="24"/>
          <w:szCs w:val="24"/>
          <w:lang w:val="en-GB" w:eastAsia="en-GB"/>
        </w:rPr>
        <w:t>, 2026).</w:t>
      </w:r>
    </w:p>
    <w:p w14:paraId="6E2AD01B" w14:textId="0EFB62BB"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A wider catchment also exposes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to JD Gyms and independent/leisure facilities. JD Gyms operates several Manchester-area sites and competes through equipment, classes, flexible memberships and relatively accessible pricing (JD Gyms, 2026). Within approximately 1–2 miles of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facilities listed by </w:t>
      </w:r>
      <w:proofErr w:type="spellStart"/>
      <w:r w:rsidRPr="002152EC">
        <w:rPr>
          <w:rFonts w:ascii="Arial" w:hAnsi="Arial" w:cs="Arial"/>
          <w:sz w:val="24"/>
          <w:szCs w:val="24"/>
          <w:lang w:val="en-GB" w:eastAsia="en-GB"/>
        </w:rPr>
        <w:t>Hussle</w:t>
      </w:r>
      <w:proofErr w:type="spellEnd"/>
      <w:r w:rsidRPr="002152EC">
        <w:rPr>
          <w:rFonts w:ascii="Arial" w:hAnsi="Arial" w:cs="Arial"/>
          <w:sz w:val="24"/>
          <w:szCs w:val="24"/>
          <w:lang w:val="en-GB" w:eastAsia="en-GB"/>
        </w:rPr>
        <w:t xml:space="preserve"> include </w:t>
      </w:r>
      <w:proofErr w:type="spellStart"/>
      <w:r w:rsidRPr="002152EC">
        <w:rPr>
          <w:rFonts w:ascii="Arial" w:hAnsi="Arial" w:cs="Arial"/>
          <w:sz w:val="24"/>
          <w:szCs w:val="24"/>
          <w:lang w:val="en-GB" w:eastAsia="en-GB"/>
        </w:rPr>
        <w:lastRenderedPageBreak/>
        <w:t>Levenshulme</w:t>
      </w:r>
      <w:proofErr w:type="spellEnd"/>
      <w:r w:rsidRPr="002152EC">
        <w:rPr>
          <w:rFonts w:ascii="Arial" w:hAnsi="Arial" w:cs="Arial"/>
          <w:sz w:val="24"/>
          <w:szCs w:val="24"/>
          <w:lang w:val="en-GB" w:eastAsia="en-GB"/>
        </w:rPr>
        <w:t xml:space="preserve"> High School Gym, Kingfisher Health Club, Platt Lane Sports Complex and Life Leisure </w:t>
      </w:r>
      <w:proofErr w:type="spellStart"/>
      <w:r w:rsidRPr="002152EC">
        <w:rPr>
          <w:rFonts w:ascii="Arial" w:hAnsi="Arial" w:cs="Arial"/>
          <w:sz w:val="24"/>
          <w:szCs w:val="24"/>
          <w:lang w:val="en-GB" w:eastAsia="en-GB"/>
        </w:rPr>
        <w:t>Houldsworth</w:t>
      </w:r>
      <w:proofErr w:type="spellEnd"/>
      <w:r w:rsidRPr="002152EC">
        <w:rPr>
          <w:rFonts w:ascii="Arial" w:hAnsi="Arial" w:cs="Arial"/>
          <w:sz w:val="24"/>
          <w:szCs w:val="24"/>
          <w:lang w:val="en-GB" w:eastAsia="en-GB"/>
        </w:rPr>
        <w:t xml:space="preserve"> Village, demonstrating that consumers have alternatives ranging from low-cost community facilities to higher-pric</w:t>
      </w:r>
      <w:r w:rsidR="00A94592">
        <w:rPr>
          <w:rFonts w:ascii="Arial" w:hAnsi="Arial" w:cs="Arial"/>
          <w:sz w:val="24"/>
          <w:szCs w:val="24"/>
          <w:lang w:val="en-GB" w:eastAsia="en-GB"/>
        </w:rPr>
        <w:t>ed health clubs (</w:t>
      </w:r>
      <w:proofErr w:type="spellStart"/>
      <w:r w:rsidR="00A94592">
        <w:rPr>
          <w:rFonts w:ascii="Arial" w:hAnsi="Arial" w:cs="Arial"/>
          <w:sz w:val="24"/>
          <w:szCs w:val="24"/>
          <w:lang w:val="en-GB" w:eastAsia="en-GB"/>
        </w:rPr>
        <w:t>Hussle</w:t>
      </w:r>
      <w:proofErr w:type="spellEnd"/>
      <w:r w:rsidR="00A94592">
        <w:rPr>
          <w:rFonts w:ascii="Arial" w:hAnsi="Arial" w:cs="Arial"/>
          <w:sz w:val="24"/>
          <w:szCs w:val="24"/>
          <w:lang w:val="en-GB" w:eastAsia="en-GB"/>
        </w:rPr>
        <w:t>, 2026).</w:t>
      </w:r>
    </w:p>
    <w:p w14:paraId="257895D7" w14:textId="054B20CC" w:rsidR="00A94592" w:rsidRPr="00A94592" w:rsidRDefault="00A94592" w:rsidP="00A94592">
      <w:pPr>
        <w:pStyle w:val="Caption"/>
        <w:keepNext/>
        <w:spacing w:line="360" w:lineRule="auto"/>
        <w:jc w:val="both"/>
        <w:rPr>
          <w:rFonts w:ascii="Arial" w:hAnsi="Arial" w:cs="Arial"/>
          <w:sz w:val="24"/>
        </w:rPr>
      </w:pPr>
      <w:bookmarkStart w:id="49" w:name="_Toc239091688"/>
      <w:r w:rsidRPr="00A94592">
        <w:rPr>
          <w:rFonts w:ascii="Arial" w:hAnsi="Arial" w:cs="Arial"/>
          <w:sz w:val="24"/>
        </w:rPr>
        <w:t xml:space="preserve">Table </w:t>
      </w:r>
      <w:r w:rsidRPr="00A94592">
        <w:rPr>
          <w:rFonts w:ascii="Arial" w:hAnsi="Arial" w:cs="Arial"/>
          <w:sz w:val="24"/>
        </w:rPr>
        <w:fldChar w:fldCharType="begin"/>
      </w:r>
      <w:r w:rsidRPr="00A94592">
        <w:rPr>
          <w:rFonts w:ascii="Arial" w:hAnsi="Arial" w:cs="Arial"/>
          <w:sz w:val="24"/>
        </w:rPr>
        <w:instrText xml:space="preserve"> SEQ Table \* ARABIC </w:instrText>
      </w:r>
      <w:r w:rsidRPr="00A94592">
        <w:rPr>
          <w:rFonts w:ascii="Arial" w:hAnsi="Arial" w:cs="Arial"/>
          <w:sz w:val="24"/>
        </w:rPr>
        <w:fldChar w:fldCharType="separate"/>
      </w:r>
      <w:r w:rsidR="00415D83">
        <w:rPr>
          <w:rFonts w:ascii="Arial" w:hAnsi="Arial" w:cs="Arial"/>
          <w:noProof/>
          <w:sz w:val="24"/>
        </w:rPr>
        <w:t>4</w:t>
      </w:r>
      <w:r w:rsidRPr="00A94592">
        <w:rPr>
          <w:rFonts w:ascii="Arial" w:hAnsi="Arial" w:cs="Arial"/>
          <w:sz w:val="24"/>
        </w:rPr>
        <w:fldChar w:fldCharType="end"/>
      </w:r>
      <w:r w:rsidRPr="00A94592">
        <w:rPr>
          <w:rFonts w:ascii="Arial" w:hAnsi="Arial" w:cs="Arial"/>
          <w:sz w:val="24"/>
        </w:rPr>
        <w:t>.: Local Competitive Landscape</w:t>
      </w:r>
      <w:bookmarkEnd w:id="49"/>
    </w:p>
    <w:tbl>
      <w:tblPr>
        <w:tblStyle w:val="TableGrid"/>
        <w:tblW w:w="0" w:type="auto"/>
        <w:tblLook w:val="04A0" w:firstRow="1" w:lastRow="0" w:firstColumn="1" w:lastColumn="0" w:noHBand="0" w:noVBand="1"/>
      </w:tblPr>
      <w:tblGrid>
        <w:gridCol w:w="1219"/>
        <w:gridCol w:w="1436"/>
        <w:gridCol w:w="1248"/>
        <w:gridCol w:w="1530"/>
        <w:gridCol w:w="2063"/>
        <w:gridCol w:w="1520"/>
      </w:tblGrid>
      <w:tr w:rsidR="00A94592" w:rsidRPr="00A94592" w14:paraId="7C3B1942" w14:textId="77777777" w:rsidTr="00A94592">
        <w:tc>
          <w:tcPr>
            <w:tcW w:w="1234" w:type="dxa"/>
          </w:tcPr>
          <w:p w14:paraId="4868B085"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Competitor</w:t>
            </w:r>
          </w:p>
        </w:tc>
        <w:tc>
          <w:tcPr>
            <w:tcW w:w="1452" w:type="dxa"/>
          </w:tcPr>
          <w:p w14:paraId="7348B7EE"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Catchment relevance</w:t>
            </w:r>
          </w:p>
        </w:tc>
        <w:tc>
          <w:tcPr>
            <w:tcW w:w="1262" w:type="dxa"/>
          </w:tcPr>
          <w:p w14:paraId="47C50897"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Indicative price</w:t>
            </w:r>
          </w:p>
        </w:tc>
        <w:tc>
          <w:tcPr>
            <w:tcW w:w="1442" w:type="dxa"/>
          </w:tcPr>
          <w:p w14:paraId="6CE76EAE"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Access/services</w:t>
            </w:r>
          </w:p>
        </w:tc>
        <w:tc>
          <w:tcPr>
            <w:tcW w:w="2088" w:type="dxa"/>
          </w:tcPr>
          <w:p w14:paraId="058E03A6"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Technology/PT</w:t>
            </w:r>
          </w:p>
        </w:tc>
        <w:tc>
          <w:tcPr>
            <w:tcW w:w="1538" w:type="dxa"/>
          </w:tcPr>
          <w:p w14:paraId="342EA34A"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Positioning</w:t>
            </w:r>
          </w:p>
        </w:tc>
      </w:tr>
      <w:tr w:rsidR="00A94592" w:rsidRPr="00A94592" w14:paraId="6FA87972" w14:textId="77777777" w:rsidTr="00A94592">
        <w:tc>
          <w:tcPr>
            <w:tcW w:w="1234" w:type="dxa"/>
          </w:tcPr>
          <w:p w14:paraId="0244EED8" w14:textId="77777777" w:rsidR="00A94592" w:rsidRPr="00A94592" w:rsidRDefault="00A94592" w:rsidP="00E72878">
            <w:pPr>
              <w:spacing w:line="360" w:lineRule="auto"/>
              <w:jc w:val="both"/>
              <w:rPr>
                <w:rFonts w:ascii="Arial" w:hAnsi="Arial" w:cs="Arial"/>
                <w:sz w:val="24"/>
                <w:szCs w:val="24"/>
                <w:lang w:val="en-GB" w:eastAsia="en-GB"/>
              </w:rPr>
            </w:pPr>
            <w:proofErr w:type="spellStart"/>
            <w:r w:rsidRPr="00A94592">
              <w:rPr>
                <w:rFonts w:ascii="Arial" w:hAnsi="Arial" w:cs="Arial"/>
                <w:sz w:val="24"/>
                <w:szCs w:val="24"/>
                <w:lang w:val="en-GB" w:eastAsia="en-GB"/>
              </w:rPr>
              <w:t>Jetts</w:t>
            </w:r>
            <w:proofErr w:type="spellEnd"/>
            <w:r w:rsidRPr="00A94592">
              <w:rPr>
                <w:rFonts w:ascii="Arial" w:hAnsi="Arial" w:cs="Arial"/>
                <w:sz w:val="24"/>
                <w:szCs w:val="24"/>
                <w:lang w:val="en-GB" w:eastAsia="en-GB"/>
              </w:rPr>
              <w:t xml:space="preserve"> </w:t>
            </w:r>
            <w:proofErr w:type="spellStart"/>
            <w:r w:rsidRPr="00A94592">
              <w:rPr>
                <w:rFonts w:ascii="Arial" w:hAnsi="Arial" w:cs="Arial"/>
                <w:sz w:val="24"/>
                <w:szCs w:val="24"/>
                <w:lang w:val="en-GB" w:eastAsia="en-GB"/>
              </w:rPr>
              <w:t>Levenshulme</w:t>
            </w:r>
            <w:proofErr w:type="spellEnd"/>
          </w:p>
        </w:tc>
        <w:tc>
          <w:tcPr>
            <w:tcW w:w="1452" w:type="dxa"/>
          </w:tcPr>
          <w:p w14:paraId="298B7D4E"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Very high; physically in </w:t>
            </w:r>
            <w:proofErr w:type="spellStart"/>
            <w:r w:rsidRPr="00A94592">
              <w:rPr>
                <w:rFonts w:ascii="Arial" w:hAnsi="Arial" w:cs="Arial"/>
                <w:sz w:val="24"/>
                <w:szCs w:val="24"/>
                <w:lang w:val="en-GB" w:eastAsia="en-GB"/>
              </w:rPr>
              <w:t>Levenshulme</w:t>
            </w:r>
            <w:proofErr w:type="spellEnd"/>
          </w:p>
        </w:tc>
        <w:tc>
          <w:tcPr>
            <w:tcW w:w="1262" w:type="dxa"/>
          </w:tcPr>
          <w:p w14:paraId="6752F2F3"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£32.95/month</w:t>
            </w:r>
          </w:p>
        </w:tc>
        <w:tc>
          <w:tcPr>
            <w:tcW w:w="1442" w:type="dxa"/>
          </w:tcPr>
          <w:p w14:paraId="743F4E68"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24/7, classes, connected equipment</w:t>
            </w:r>
          </w:p>
        </w:tc>
        <w:tc>
          <w:tcPr>
            <w:tcW w:w="2088" w:type="dxa"/>
          </w:tcPr>
          <w:p w14:paraId="3BAFEED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Connected equipment, PT</w:t>
            </w:r>
          </w:p>
        </w:tc>
        <w:tc>
          <w:tcPr>
            <w:tcW w:w="1538" w:type="dxa"/>
          </w:tcPr>
          <w:p w14:paraId="676A2F61"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Accessible 24/7 local gym</w:t>
            </w:r>
          </w:p>
        </w:tc>
      </w:tr>
      <w:tr w:rsidR="00A94592" w:rsidRPr="00A94592" w14:paraId="25A01B63" w14:textId="77777777" w:rsidTr="00A94592">
        <w:tc>
          <w:tcPr>
            <w:tcW w:w="1234" w:type="dxa"/>
          </w:tcPr>
          <w:p w14:paraId="2D48091F" w14:textId="77777777" w:rsidR="00A94592" w:rsidRPr="00A94592" w:rsidRDefault="00A94592" w:rsidP="00E72878">
            <w:pPr>
              <w:spacing w:line="360" w:lineRule="auto"/>
              <w:jc w:val="both"/>
              <w:rPr>
                <w:rFonts w:ascii="Arial" w:hAnsi="Arial" w:cs="Arial"/>
                <w:sz w:val="24"/>
                <w:szCs w:val="24"/>
                <w:lang w:val="en-GB" w:eastAsia="en-GB"/>
              </w:rPr>
            </w:pPr>
            <w:proofErr w:type="spellStart"/>
            <w:r w:rsidRPr="00A94592">
              <w:rPr>
                <w:rFonts w:ascii="Arial" w:hAnsi="Arial" w:cs="Arial"/>
                <w:sz w:val="24"/>
                <w:szCs w:val="24"/>
                <w:lang w:val="en-GB" w:eastAsia="en-GB"/>
              </w:rPr>
              <w:t>PureGym</w:t>
            </w:r>
            <w:proofErr w:type="spellEnd"/>
          </w:p>
        </w:tc>
        <w:tc>
          <w:tcPr>
            <w:tcW w:w="1452" w:type="dxa"/>
          </w:tcPr>
          <w:p w14:paraId="3F92A3B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High; </w:t>
            </w:r>
            <w:proofErr w:type="spellStart"/>
            <w:r w:rsidRPr="00A94592">
              <w:rPr>
                <w:rFonts w:ascii="Arial" w:hAnsi="Arial" w:cs="Arial"/>
                <w:sz w:val="24"/>
                <w:szCs w:val="24"/>
                <w:lang w:val="en-GB" w:eastAsia="en-GB"/>
              </w:rPr>
              <w:t>Debdale</w:t>
            </w:r>
            <w:proofErr w:type="spellEnd"/>
            <w:r w:rsidRPr="00A94592">
              <w:rPr>
                <w:rFonts w:ascii="Arial" w:hAnsi="Arial" w:cs="Arial"/>
                <w:sz w:val="24"/>
                <w:szCs w:val="24"/>
                <w:lang w:val="en-GB" w:eastAsia="en-GB"/>
              </w:rPr>
              <w:t>/Denton serve nearby catchment</w:t>
            </w:r>
          </w:p>
        </w:tc>
        <w:tc>
          <w:tcPr>
            <w:tcW w:w="1262" w:type="dxa"/>
          </w:tcPr>
          <w:p w14:paraId="77A022FC"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From £17.99/month</w:t>
            </w:r>
          </w:p>
        </w:tc>
        <w:tc>
          <w:tcPr>
            <w:tcW w:w="1442" w:type="dxa"/>
          </w:tcPr>
          <w:p w14:paraId="556B068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24-hour access, 220+ equipment, 50+ classes</w:t>
            </w:r>
          </w:p>
        </w:tc>
        <w:tc>
          <w:tcPr>
            <w:tcW w:w="2088" w:type="dxa"/>
          </w:tcPr>
          <w:p w14:paraId="05E6089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Digital membership infrastructure</w:t>
            </w:r>
          </w:p>
        </w:tc>
        <w:tc>
          <w:tcPr>
            <w:tcW w:w="1538" w:type="dxa"/>
          </w:tcPr>
          <w:p w14:paraId="64E44E63"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Low-cost/flexible</w:t>
            </w:r>
          </w:p>
        </w:tc>
      </w:tr>
      <w:tr w:rsidR="00A94592" w:rsidRPr="00A94592" w14:paraId="287DC329" w14:textId="77777777" w:rsidTr="00A94592">
        <w:tc>
          <w:tcPr>
            <w:tcW w:w="1234" w:type="dxa"/>
          </w:tcPr>
          <w:p w14:paraId="0A475C44"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JD Gyms</w:t>
            </w:r>
          </w:p>
        </w:tc>
        <w:tc>
          <w:tcPr>
            <w:tcW w:w="1452" w:type="dxa"/>
          </w:tcPr>
          <w:p w14:paraId="6EAB5220"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Wider Manchester catchment</w:t>
            </w:r>
          </w:p>
        </w:tc>
        <w:tc>
          <w:tcPr>
            <w:tcW w:w="1262" w:type="dxa"/>
          </w:tcPr>
          <w:p w14:paraId="3D7A830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From £26.99/month across Manchester*</w:t>
            </w:r>
          </w:p>
        </w:tc>
        <w:tc>
          <w:tcPr>
            <w:tcW w:w="1442" w:type="dxa"/>
          </w:tcPr>
          <w:p w14:paraId="2001382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Equipment, classes, many 24/7 sites</w:t>
            </w:r>
          </w:p>
        </w:tc>
        <w:tc>
          <w:tcPr>
            <w:tcW w:w="2088" w:type="dxa"/>
          </w:tcPr>
          <w:p w14:paraId="69D3E1C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PT and fitness technology</w:t>
            </w:r>
          </w:p>
        </w:tc>
        <w:tc>
          <w:tcPr>
            <w:tcW w:w="1538" w:type="dxa"/>
          </w:tcPr>
          <w:p w14:paraId="008925DA"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Value-focused full-service gym</w:t>
            </w:r>
          </w:p>
        </w:tc>
      </w:tr>
      <w:tr w:rsidR="00A94592" w:rsidRPr="00A94592" w14:paraId="5879145C" w14:textId="77777777" w:rsidTr="00A94592">
        <w:tc>
          <w:tcPr>
            <w:tcW w:w="1234" w:type="dxa"/>
          </w:tcPr>
          <w:p w14:paraId="7BB4C0C0" w14:textId="77777777" w:rsidR="00A94592" w:rsidRPr="00A94592" w:rsidRDefault="00A94592" w:rsidP="00E72878">
            <w:pPr>
              <w:spacing w:line="360" w:lineRule="auto"/>
              <w:jc w:val="both"/>
              <w:rPr>
                <w:rFonts w:ascii="Arial" w:hAnsi="Arial" w:cs="Arial"/>
                <w:sz w:val="24"/>
                <w:szCs w:val="24"/>
                <w:lang w:val="en-GB" w:eastAsia="en-GB"/>
              </w:rPr>
            </w:pPr>
            <w:proofErr w:type="spellStart"/>
            <w:r w:rsidRPr="00A94592">
              <w:rPr>
                <w:rFonts w:ascii="Arial" w:hAnsi="Arial" w:cs="Arial"/>
                <w:sz w:val="24"/>
                <w:szCs w:val="24"/>
                <w:lang w:val="en-GB" w:eastAsia="en-GB"/>
              </w:rPr>
              <w:t>Levenshulme</w:t>
            </w:r>
            <w:proofErr w:type="spellEnd"/>
            <w:r w:rsidRPr="00A94592">
              <w:rPr>
                <w:rFonts w:ascii="Arial" w:hAnsi="Arial" w:cs="Arial"/>
                <w:sz w:val="24"/>
                <w:szCs w:val="24"/>
                <w:lang w:val="en-GB" w:eastAsia="en-GB"/>
              </w:rPr>
              <w:t xml:space="preserve"> High School Gym</w:t>
            </w:r>
          </w:p>
        </w:tc>
        <w:tc>
          <w:tcPr>
            <w:tcW w:w="1452" w:type="dxa"/>
          </w:tcPr>
          <w:p w14:paraId="60538EAE"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Very high; local community facility</w:t>
            </w:r>
          </w:p>
        </w:tc>
        <w:tc>
          <w:tcPr>
            <w:tcW w:w="1262" w:type="dxa"/>
          </w:tcPr>
          <w:p w14:paraId="0095944A"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Day pass £3.22 via </w:t>
            </w:r>
            <w:proofErr w:type="spellStart"/>
            <w:r w:rsidRPr="00A94592">
              <w:rPr>
                <w:rFonts w:ascii="Arial" w:hAnsi="Arial" w:cs="Arial"/>
                <w:sz w:val="24"/>
                <w:szCs w:val="24"/>
                <w:lang w:val="en-GB" w:eastAsia="en-GB"/>
              </w:rPr>
              <w:t>Hussle</w:t>
            </w:r>
            <w:proofErr w:type="spellEnd"/>
          </w:p>
        </w:tc>
        <w:tc>
          <w:tcPr>
            <w:tcW w:w="1442" w:type="dxa"/>
          </w:tcPr>
          <w:p w14:paraId="05667DA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Gym, sports facilities, classes</w:t>
            </w:r>
          </w:p>
        </w:tc>
        <w:tc>
          <w:tcPr>
            <w:tcW w:w="2088" w:type="dxa"/>
          </w:tcPr>
          <w:p w14:paraId="47EF2DEF"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Conventional/community provision</w:t>
            </w:r>
          </w:p>
        </w:tc>
        <w:tc>
          <w:tcPr>
            <w:tcW w:w="1538" w:type="dxa"/>
          </w:tcPr>
          <w:p w14:paraId="3DC20CFD"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Community/value</w:t>
            </w:r>
          </w:p>
        </w:tc>
      </w:tr>
      <w:tr w:rsidR="00A94592" w:rsidRPr="00A94592" w14:paraId="0B631B97" w14:textId="77777777" w:rsidTr="00A94592">
        <w:tc>
          <w:tcPr>
            <w:tcW w:w="1234" w:type="dxa"/>
          </w:tcPr>
          <w:p w14:paraId="380EEE1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lastRenderedPageBreak/>
              <w:t>Kingfisher Health Club</w:t>
            </w:r>
          </w:p>
        </w:tc>
        <w:tc>
          <w:tcPr>
            <w:tcW w:w="1452" w:type="dxa"/>
          </w:tcPr>
          <w:p w14:paraId="2FD05B3F"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Approx. 1.4 miles</w:t>
            </w:r>
          </w:p>
        </w:tc>
        <w:tc>
          <w:tcPr>
            <w:tcW w:w="1262" w:type="dxa"/>
          </w:tcPr>
          <w:p w14:paraId="67493B8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£66/month via </w:t>
            </w:r>
            <w:proofErr w:type="spellStart"/>
            <w:r w:rsidRPr="00A94592">
              <w:rPr>
                <w:rFonts w:ascii="Arial" w:hAnsi="Arial" w:cs="Arial"/>
                <w:sz w:val="24"/>
                <w:szCs w:val="24"/>
                <w:lang w:val="en-GB" w:eastAsia="en-GB"/>
              </w:rPr>
              <w:t>Hussle</w:t>
            </w:r>
            <w:proofErr w:type="spellEnd"/>
          </w:p>
        </w:tc>
        <w:tc>
          <w:tcPr>
            <w:tcW w:w="1442" w:type="dxa"/>
          </w:tcPr>
          <w:p w14:paraId="7F7D9A5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Pool, sauna, spa, PT, classes</w:t>
            </w:r>
          </w:p>
        </w:tc>
        <w:tc>
          <w:tcPr>
            <w:tcW w:w="2088" w:type="dxa"/>
          </w:tcPr>
          <w:p w14:paraId="10979FF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Conventional premium services</w:t>
            </w:r>
          </w:p>
        </w:tc>
        <w:tc>
          <w:tcPr>
            <w:tcW w:w="1538" w:type="dxa"/>
          </w:tcPr>
          <w:p w14:paraId="23E10AAC"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Premium health club</w:t>
            </w:r>
          </w:p>
        </w:tc>
      </w:tr>
    </w:tbl>
    <w:p w14:paraId="69D29128" w14:textId="1E94F651" w:rsidR="002152EC" w:rsidRPr="002152EC" w:rsidRDefault="002152EC" w:rsidP="002152EC">
      <w:pPr>
        <w:spacing w:line="360" w:lineRule="auto"/>
        <w:jc w:val="both"/>
        <w:rPr>
          <w:rFonts w:ascii="Arial" w:hAnsi="Arial" w:cs="Arial"/>
          <w:sz w:val="24"/>
          <w:szCs w:val="24"/>
          <w:lang w:val="en-GB" w:eastAsia="en-GB"/>
        </w:rPr>
      </w:pPr>
    </w:p>
    <w:p w14:paraId="7B2D1399" w14:textId="0D7C33BA"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Indirect substitutes are equally important. Customers can choose home workouts, free online fitness content, mobile exercise applications, outdoor running and self-directed wearable-based training instead of paying for gym membership. This is commercially significant because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is not only competing against gyms for expenditure but against alternative ways of achieving fitness outcomes. </w:t>
      </w:r>
      <w:r w:rsidR="00E72878">
        <w:rPr>
          <w:rFonts w:ascii="Arial" w:hAnsi="Arial" w:cs="Arial"/>
          <w:sz w:val="24"/>
          <w:szCs w:val="24"/>
          <w:lang w:val="en-GB" w:eastAsia="en-GB"/>
        </w:rPr>
        <w:t>(ACSM, 2024).</w:t>
      </w:r>
    </w:p>
    <w:p w14:paraId="7597A2EF" w14:textId="52023D47" w:rsidR="002152EC" w:rsidRPr="00E72878" w:rsidRDefault="002152EC" w:rsidP="00E72878">
      <w:pPr>
        <w:pStyle w:val="Heading2"/>
        <w:rPr>
          <w:lang w:val="en-GB" w:eastAsia="en-GB"/>
        </w:rPr>
      </w:pPr>
      <w:bookmarkStart w:id="50" w:name="_Toc239188528"/>
      <w:r w:rsidRPr="002152EC">
        <w:rPr>
          <w:lang w:val="en-GB" w:eastAsia="en-GB"/>
        </w:rPr>
        <w:t>6.3 Competitor Strengths and Weaknesses</w:t>
      </w:r>
      <w:bookmarkEnd w:id="50"/>
    </w:p>
    <w:p w14:paraId="23F794CE" w14:textId="0727FA5C"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principal competitors possess different sources of competitive strength.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has a particularly strong location and convenience advantage because its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site provides 24/7 access and is positioned close to the local railway station. Its £32.95 monthly price includes classes, while connected equipment and personal trainers broaden the service proposition beyond basic equipment access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w:t>
      </w:r>
      <w:r w:rsidR="00E72878">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PureGym's</w:t>
      </w:r>
      <w:proofErr w:type="spellEnd"/>
      <w:r w:rsidRPr="002152EC">
        <w:rPr>
          <w:rFonts w:ascii="Arial" w:hAnsi="Arial" w:cs="Arial"/>
          <w:sz w:val="24"/>
          <w:szCs w:val="24"/>
          <w:lang w:val="en-GB" w:eastAsia="en-GB"/>
        </w:rPr>
        <w:t xml:space="preserve"> major strength is its low-cost and flexible proposition. Its nearby Manchester gyms offer 24-hour access, contract-free membership, substantial equipment and classes at a significantly lower entry price than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2026). Its scale and established operating model also make price-based competiti</w:t>
      </w:r>
      <w:r w:rsidR="00E72878">
        <w:rPr>
          <w:rFonts w:ascii="Arial" w:hAnsi="Arial" w:cs="Arial"/>
          <w:sz w:val="24"/>
          <w:szCs w:val="24"/>
          <w:lang w:val="en-GB" w:eastAsia="en-GB"/>
        </w:rPr>
        <w:t>on difficult for a new entrant.</w:t>
      </w:r>
    </w:p>
    <w:p w14:paraId="0F5B1F1C" w14:textId="26845AAA"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Community and leisure facilities provide another form of competition.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High School's Energy Box offers a gym, sports hall, 3G pitch and classes to the general public during evenings and weekends, creating a locally accessible alternative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High School, 2026). Kingfisher Health Club represents a different competitive tier, offering facilities such as a swimming pool, spa, sauna, personal training, fitness studio and group activities (</w:t>
      </w:r>
      <w:proofErr w:type="spellStart"/>
      <w:r w:rsidRPr="002152EC">
        <w:rPr>
          <w:rFonts w:ascii="Arial" w:hAnsi="Arial" w:cs="Arial"/>
          <w:sz w:val="24"/>
          <w:szCs w:val="24"/>
          <w:lang w:val="en-GB" w:eastAsia="en-GB"/>
        </w:rPr>
        <w:t>Hussle</w:t>
      </w:r>
      <w:proofErr w:type="spellEnd"/>
      <w:r w:rsidRPr="002152EC">
        <w:rPr>
          <w:rFonts w:ascii="Arial" w:hAnsi="Arial" w:cs="Arial"/>
          <w:sz w:val="24"/>
          <w:szCs w:val="24"/>
          <w:lang w:val="en-GB" w:eastAsia="en-GB"/>
        </w:rPr>
        <w:t>, 2026</w:t>
      </w:r>
      <w:r w:rsidR="00E72878">
        <w:rPr>
          <w:rFonts w:ascii="Arial" w:hAnsi="Arial" w:cs="Arial"/>
          <w:sz w:val="24"/>
          <w:szCs w:val="24"/>
          <w:lang w:val="en-GB" w:eastAsia="en-GB"/>
        </w:rPr>
        <w:t xml:space="preserve">). </w:t>
      </w:r>
      <w:r w:rsidRPr="002152EC">
        <w:rPr>
          <w:rFonts w:ascii="Arial" w:hAnsi="Arial" w:cs="Arial"/>
          <w:sz w:val="24"/>
          <w:szCs w:val="24"/>
          <w:lang w:val="en-GB" w:eastAsia="en-GB"/>
        </w:rPr>
        <w:t xml:space="preserve">This leaves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with a potential opportunity to integrate AI-supported personalisation, wearable monitoring and human coaching rather than claiming that individual compe</w:t>
      </w:r>
      <w:r w:rsidR="00E72878">
        <w:rPr>
          <w:rFonts w:ascii="Arial" w:hAnsi="Arial" w:cs="Arial"/>
          <w:sz w:val="24"/>
          <w:szCs w:val="24"/>
          <w:lang w:val="en-GB" w:eastAsia="en-GB"/>
        </w:rPr>
        <w:t>titors lack these capabilities.</w:t>
      </w:r>
    </w:p>
    <w:p w14:paraId="6B52DBD5" w14:textId="76149AEF" w:rsidR="002152EC" w:rsidRPr="00E72878" w:rsidRDefault="002152EC" w:rsidP="00E72878">
      <w:pPr>
        <w:pStyle w:val="Heading2"/>
        <w:rPr>
          <w:lang w:val="en-GB" w:eastAsia="en-GB"/>
        </w:rPr>
      </w:pPr>
      <w:bookmarkStart w:id="51" w:name="_Toc239188529"/>
      <w:r w:rsidRPr="002152EC">
        <w:rPr>
          <w:lang w:val="en-GB" w:eastAsia="en-GB"/>
        </w:rPr>
        <w:t>6.4 Strategic Positioning</w:t>
      </w:r>
      <w:bookmarkEnd w:id="51"/>
    </w:p>
    <w:p w14:paraId="78CEA690" w14:textId="2976AC8A" w:rsidR="002152EC" w:rsidRPr="002152EC" w:rsidRDefault="002152EC" w:rsidP="002152EC">
      <w:pPr>
        <w:spacing w:line="360" w:lineRule="auto"/>
        <w:jc w:val="both"/>
        <w:rPr>
          <w:rFonts w:ascii="Arial" w:hAnsi="Arial" w:cs="Arial"/>
          <w:sz w:val="24"/>
          <w:szCs w:val="24"/>
          <w:lang w:val="en-GB" w:eastAsia="en-GB"/>
        </w:rPr>
      </w:pP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proposed competitive position can be understood through two dimensions: price/accessibility and personalisation/technology integration.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occupies the </w:t>
      </w:r>
      <w:r w:rsidRPr="002152EC">
        <w:rPr>
          <w:rFonts w:ascii="Arial" w:hAnsi="Arial" w:cs="Arial"/>
          <w:sz w:val="24"/>
          <w:szCs w:val="24"/>
          <w:lang w:val="en-GB" w:eastAsia="en-GB"/>
        </w:rPr>
        <w:lastRenderedPageBreak/>
        <w:t xml:space="preserve">lower-price, high-convenience end of the market, whereas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combines accessible pricing with 24/7 access, classes and connected equipment. Premium health clubs such as Kingfisher occupy a higher-price position based on broader facilities and services.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should therefore avoid positioning itself as another low-cost gym because established operators possess scale, brand recogni</w:t>
      </w:r>
      <w:r w:rsidR="00E72878">
        <w:rPr>
          <w:rFonts w:ascii="Arial" w:hAnsi="Arial" w:cs="Arial"/>
          <w:sz w:val="24"/>
          <w:szCs w:val="24"/>
          <w:lang w:val="en-GB" w:eastAsia="en-GB"/>
        </w:rPr>
        <w:t>tion and purchasing advantages.</w:t>
      </w:r>
    </w:p>
    <w:p w14:paraId="2AD8CEF6" w14:textId="0C63258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Instead, the proposed position is mid-market/accessibly priced with high personalisation, technology integration and human support. The objective is not to offer the lowest membership price but to create greater perceived value per customer through a more integrated service experience. </w:t>
      </w:r>
    </w:p>
    <w:p w14:paraId="346FBCD0" w14:textId="77777777" w:rsidR="00BA1C87" w:rsidRDefault="00BA1C87" w:rsidP="00BA1C87">
      <w:pPr>
        <w:keepNext/>
        <w:spacing w:line="360" w:lineRule="auto"/>
        <w:jc w:val="center"/>
      </w:pPr>
      <w:r>
        <w:rPr>
          <w:rFonts w:ascii="Arial" w:hAnsi="Arial" w:cs="Arial"/>
          <w:noProof/>
          <w:sz w:val="24"/>
          <w:szCs w:val="24"/>
          <w:lang w:val="en-GB" w:eastAsia="en-GB"/>
          <w14:ligatures w14:val="standardContextual"/>
        </w:rPr>
        <w:drawing>
          <wp:inline distT="0" distB="0" distL="0" distR="0" wp14:anchorId="60EC8CEF" wp14:editId="1820FE98">
            <wp:extent cx="3491997" cy="2105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827_00492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99468" cy="2109529"/>
                    </a:xfrm>
                    <a:prstGeom prst="rect">
                      <a:avLst/>
                    </a:prstGeom>
                  </pic:spPr>
                </pic:pic>
              </a:graphicData>
            </a:graphic>
          </wp:inline>
        </w:drawing>
      </w:r>
    </w:p>
    <w:p w14:paraId="1E8F3457" w14:textId="2F318371" w:rsidR="002152EC" w:rsidRPr="00BA1C87" w:rsidRDefault="00BA1C87" w:rsidP="00BA1C87">
      <w:pPr>
        <w:pStyle w:val="Caption"/>
        <w:jc w:val="center"/>
        <w:rPr>
          <w:rFonts w:ascii="Arial" w:hAnsi="Arial" w:cs="Arial"/>
          <w:sz w:val="36"/>
          <w:szCs w:val="24"/>
          <w:lang w:val="en-GB" w:eastAsia="en-GB"/>
        </w:rPr>
      </w:pPr>
      <w:bookmarkStart w:id="52" w:name="_Toc239091510"/>
      <w:r w:rsidRPr="00BA1C87">
        <w:rPr>
          <w:rFonts w:ascii="Arial" w:hAnsi="Arial" w:cs="Arial"/>
          <w:sz w:val="24"/>
        </w:rPr>
        <w:t xml:space="preserve">Figure </w:t>
      </w:r>
      <w:r w:rsidRPr="00BA1C87">
        <w:rPr>
          <w:rFonts w:ascii="Arial" w:hAnsi="Arial" w:cs="Arial"/>
          <w:sz w:val="24"/>
        </w:rPr>
        <w:fldChar w:fldCharType="begin"/>
      </w:r>
      <w:r w:rsidRPr="00BA1C87">
        <w:rPr>
          <w:rFonts w:ascii="Arial" w:hAnsi="Arial" w:cs="Arial"/>
          <w:sz w:val="24"/>
        </w:rPr>
        <w:instrText xml:space="preserve"> SEQ Figure \* ARABIC </w:instrText>
      </w:r>
      <w:r w:rsidRPr="00BA1C87">
        <w:rPr>
          <w:rFonts w:ascii="Arial" w:hAnsi="Arial" w:cs="Arial"/>
          <w:sz w:val="24"/>
        </w:rPr>
        <w:fldChar w:fldCharType="separate"/>
      </w:r>
      <w:r w:rsidR="00D45C36">
        <w:rPr>
          <w:rFonts w:ascii="Arial" w:hAnsi="Arial" w:cs="Arial"/>
          <w:noProof/>
          <w:sz w:val="24"/>
        </w:rPr>
        <w:t>1</w:t>
      </w:r>
      <w:r w:rsidRPr="00BA1C87">
        <w:rPr>
          <w:rFonts w:ascii="Arial" w:hAnsi="Arial" w:cs="Arial"/>
          <w:sz w:val="24"/>
        </w:rPr>
        <w:fldChar w:fldCharType="end"/>
      </w:r>
      <w:r w:rsidRPr="00BA1C87">
        <w:rPr>
          <w:rFonts w:ascii="Arial" w:hAnsi="Arial" w:cs="Arial"/>
          <w:sz w:val="24"/>
        </w:rPr>
        <w:t>: Proposed Competitive Positioning Map</w:t>
      </w:r>
      <w:bookmarkEnd w:id="52"/>
    </w:p>
    <w:p w14:paraId="49DE0DB4" w14:textId="5EB9AB6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map represents a strategic proposition rather than a measured market-space claim. Its attractiveness depends on whether customers perceive the additional personalisation and technology as sufficiently valuable to ju</w:t>
      </w:r>
      <w:r w:rsidR="00BA1C87">
        <w:rPr>
          <w:rFonts w:ascii="Arial" w:hAnsi="Arial" w:cs="Arial"/>
          <w:sz w:val="24"/>
          <w:szCs w:val="24"/>
          <w:lang w:val="en-GB" w:eastAsia="en-GB"/>
        </w:rPr>
        <w:t xml:space="preserve">stify </w:t>
      </w:r>
      <w:proofErr w:type="spellStart"/>
      <w:r w:rsidR="00BA1C87">
        <w:rPr>
          <w:rFonts w:ascii="Arial" w:hAnsi="Arial" w:cs="Arial"/>
          <w:sz w:val="24"/>
          <w:szCs w:val="24"/>
          <w:lang w:val="en-GB" w:eastAsia="en-GB"/>
        </w:rPr>
        <w:t>FitLife's</w:t>
      </w:r>
      <w:proofErr w:type="spellEnd"/>
      <w:r w:rsidR="00BA1C87">
        <w:rPr>
          <w:rFonts w:ascii="Arial" w:hAnsi="Arial" w:cs="Arial"/>
          <w:sz w:val="24"/>
          <w:szCs w:val="24"/>
          <w:lang w:val="en-GB" w:eastAsia="en-GB"/>
        </w:rPr>
        <w:t xml:space="preserve"> intended price.</w:t>
      </w:r>
    </w:p>
    <w:p w14:paraId="06C1A33A" w14:textId="7FA458E3" w:rsidR="002152EC" w:rsidRPr="00BA1C87" w:rsidRDefault="002152EC" w:rsidP="00BA1C87">
      <w:pPr>
        <w:pStyle w:val="Heading2"/>
        <w:rPr>
          <w:lang w:val="en-GB" w:eastAsia="en-GB"/>
        </w:rPr>
      </w:pPr>
      <w:bookmarkStart w:id="53" w:name="_Toc239188530"/>
      <w:r w:rsidRPr="002152EC">
        <w:rPr>
          <w:lang w:val="en-GB" w:eastAsia="en-GB"/>
        </w:rPr>
        <w:t>6.5 Porter’s Five Forces</w:t>
      </w:r>
      <w:bookmarkEnd w:id="53"/>
    </w:p>
    <w:p w14:paraId="7E3925E0" w14:textId="1E4618C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Porter's Five Forces provides a systematic assessment of the structural attractiveness of the fitness industry (</w:t>
      </w:r>
      <w:r w:rsidR="00BA1C87">
        <w:rPr>
          <w:rFonts w:ascii="Arial" w:hAnsi="Arial" w:cs="Arial"/>
          <w:sz w:val="24"/>
          <w:szCs w:val="24"/>
          <w:lang w:val="en-GB" w:eastAsia="en-GB"/>
        </w:rPr>
        <w:t>Porter, 1980; 2008).</w:t>
      </w:r>
    </w:p>
    <w:p w14:paraId="485B9530" w14:textId="33C1A2AE" w:rsidR="002152EC" w:rsidRPr="00BA1C87" w:rsidRDefault="00BA1C87"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Competitive Rivalry — High</w:t>
      </w:r>
    </w:p>
    <w:p w14:paraId="5F2AF8A3"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Competitive rivalry is high because consumers have multiple gym options across different price and service levels.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directly operates in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at £32.95 per month, while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offers nearby low-cost alternatives from £17.99 per month. Other leisure and health facilities provide further alternatives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w:t>
      </w:r>
      <w:r w:rsidRPr="002152EC">
        <w:rPr>
          <w:rFonts w:ascii="Arial" w:hAnsi="Arial" w:cs="Arial"/>
          <w:sz w:val="24"/>
          <w:szCs w:val="24"/>
          <w:lang w:val="en-GB" w:eastAsia="en-GB"/>
        </w:rPr>
        <w:lastRenderedPageBreak/>
        <w:t xml:space="preserve">2026; </w:t>
      </w:r>
      <w:proofErr w:type="spellStart"/>
      <w:r w:rsidRPr="002152EC">
        <w:rPr>
          <w:rFonts w:ascii="Arial" w:hAnsi="Arial" w:cs="Arial"/>
          <w:sz w:val="24"/>
          <w:szCs w:val="24"/>
          <w:lang w:val="en-GB" w:eastAsia="en-GB"/>
        </w:rPr>
        <w:t>Hussle</w:t>
      </w:r>
      <w:proofErr w:type="spellEnd"/>
      <w:r w:rsidRPr="002152EC">
        <w:rPr>
          <w:rFonts w:ascii="Arial" w:hAnsi="Arial" w:cs="Arial"/>
          <w:sz w:val="24"/>
          <w:szCs w:val="24"/>
          <w:lang w:val="en-GB" w:eastAsia="en-GB"/>
        </w:rPr>
        <w:t>, 2026). The UK sector also contains 5,842 health and fitness clubs, demonstrating the breadth of existing provision (</w:t>
      </w:r>
      <w:proofErr w:type="spellStart"/>
      <w:r w:rsidRPr="002152EC">
        <w:rPr>
          <w:rFonts w:ascii="Arial" w:hAnsi="Arial" w:cs="Arial"/>
          <w:sz w:val="24"/>
          <w:szCs w:val="24"/>
          <w:lang w:val="en-GB" w:eastAsia="en-GB"/>
        </w:rPr>
        <w:t>ukactive</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therefore faces substantial rivalry and cannot rely on gym access alone. </w:t>
      </w:r>
    </w:p>
    <w:p w14:paraId="03D626DD" w14:textId="560D181C"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differentiation through integrated service quality, personalisation and customer experie</w:t>
      </w:r>
      <w:r w:rsidR="00BA1C87">
        <w:rPr>
          <w:rFonts w:ascii="Arial" w:hAnsi="Arial" w:cs="Arial"/>
          <w:sz w:val="24"/>
          <w:szCs w:val="24"/>
          <w:lang w:val="en-GB" w:eastAsia="en-GB"/>
        </w:rPr>
        <w:t>nce is strategically necessary.</w:t>
      </w:r>
    </w:p>
    <w:p w14:paraId="400F419D" w14:textId="782645A7" w:rsidR="002152EC" w:rsidRPr="00BA1C87" w:rsidRDefault="002152EC"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Threat of New Entran</w:t>
      </w:r>
      <w:r w:rsidR="00BA1C87" w:rsidRPr="00BA1C87">
        <w:rPr>
          <w:rFonts w:ascii="Arial" w:hAnsi="Arial" w:cs="Arial"/>
          <w:b/>
          <w:sz w:val="24"/>
          <w:szCs w:val="24"/>
          <w:lang w:val="en-GB" w:eastAsia="en-GB"/>
        </w:rPr>
        <w:t>ts — Moderate</w:t>
      </w:r>
    </w:p>
    <w:p w14:paraId="1744383F"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Entry is possible, but it is not frictionless. A new gym requires suitable premises, equipment, insurance, staffing, technology, marketing and sufficient initial capital. An AI-enabled model adds further requirements involving software integration, data governance, technology maintenance and specialist capabilities. However, the continued expansion of the UK fitness sector indicates that entry remains commercially possible; the number of clubs increased to 5,842 in 2025 (</w:t>
      </w:r>
      <w:proofErr w:type="spellStart"/>
      <w:r w:rsidRPr="002152EC">
        <w:rPr>
          <w:rFonts w:ascii="Arial" w:hAnsi="Arial" w:cs="Arial"/>
          <w:sz w:val="24"/>
          <w:szCs w:val="24"/>
          <w:lang w:val="en-GB" w:eastAsia="en-GB"/>
        </w:rPr>
        <w:t>ukactive</w:t>
      </w:r>
      <w:proofErr w:type="spellEnd"/>
      <w:r w:rsidRPr="002152EC">
        <w:rPr>
          <w:rFonts w:ascii="Arial" w:hAnsi="Arial" w:cs="Arial"/>
          <w:sz w:val="24"/>
          <w:szCs w:val="24"/>
          <w:lang w:val="en-GB" w:eastAsia="en-GB"/>
        </w:rPr>
        <w:t xml:space="preserve">, 2026). </w:t>
      </w:r>
    </w:p>
    <w:p w14:paraId="6C378510" w14:textId="7117E1A2"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needs capabilities that are difficult to reproduce quickly, particularly integrated customer data, service proces</w:t>
      </w:r>
      <w:r w:rsidR="00BA1C87">
        <w:rPr>
          <w:rFonts w:ascii="Arial" w:hAnsi="Arial" w:cs="Arial"/>
          <w:sz w:val="24"/>
          <w:szCs w:val="24"/>
          <w:lang w:val="en-GB" w:eastAsia="en-GB"/>
        </w:rPr>
        <w:t>ses and customer relationships.</w:t>
      </w:r>
    </w:p>
    <w:p w14:paraId="63E61BFF" w14:textId="510EFF7C" w:rsidR="002152EC" w:rsidRPr="00BA1C87" w:rsidRDefault="00BA1C87"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Buyer Power — High</w:t>
      </w:r>
    </w:p>
    <w:p w14:paraId="710EBC94"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Buyer power is high because customers can compare membership prices and switch between competing gyms. </w:t>
      </w:r>
      <w:proofErr w:type="spellStart"/>
      <w:r w:rsidRPr="002152EC">
        <w:rPr>
          <w:rFonts w:ascii="Arial" w:hAnsi="Arial" w:cs="Arial"/>
          <w:sz w:val="24"/>
          <w:szCs w:val="24"/>
          <w:lang w:val="en-GB" w:eastAsia="en-GB"/>
        </w:rPr>
        <w:t>PureGym's</w:t>
      </w:r>
      <w:proofErr w:type="spellEnd"/>
      <w:r w:rsidRPr="002152EC">
        <w:rPr>
          <w:rFonts w:ascii="Arial" w:hAnsi="Arial" w:cs="Arial"/>
          <w:sz w:val="24"/>
          <w:szCs w:val="24"/>
          <w:lang w:val="en-GB" w:eastAsia="en-GB"/>
        </w:rPr>
        <w:t xml:space="preserve"> contract-free model explicitly allows customers to move or leave, while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also promotes no lock-in contracts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In addition, customers can substitute gym membership with free digital content, home exercise or outdoor activity. </w:t>
      </w:r>
    </w:p>
    <w:p w14:paraId="0C940439" w14:textId="1B7EF877"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must demonstrate benefits that justify the membership price and create retention through progress, conven</w:t>
      </w:r>
      <w:r w:rsidR="00BA1C87">
        <w:rPr>
          <w:rFonts w:ascii="Arial" w:hAnsi="Arial" w:cs="Arial"/>
          <w:sz w:val="24"/>
          <w:szCs w:val="24"/>
          <w:lang w:val="en-GB" w:eastAsia="en-GB"/>
        </w:rPr>
        <w:t>ience and personalised support.</w:t>
      </w:r>
    </w:p>
    <w:p w14:paraId="3B3071FF" w14:textId="6BBFA766" w:rsidR="002152EC" w:rsidRPr="00BA1C87" w:rsidRDefault="00BA1C87" w:rsidP="002152EC">
      <w:pPr>
        <w:spacing w:line="360" w:lineRule="auto"/>
        <w:jc w:val="both"/>
        <w:rPr>
          <w:rFonts w:ascii="Arial" w:hAnsi="Arial" w:cs="Arial"/>
          <w:b/>
          <w:sz w:val="24"/>
          <w:szCs w:val="24"/>
          <w:lang w:val="en-GB" w:eastAsia="en-GB"/>
        </w:rPr>
      </w:pPr>
      <w:r>
        <w:rPr>
          <w:rFonts w:ascii="Arial" w:hAnsi="Arial" w:cs="Arial"/>
          <w:b/>
          <w:sz w:val="24"/>
          <w:szCs w:val="24"/>
          <w:lang w:val="en-GB" w:eastAsia="en-GB"/>
        </w:rPr>
        <w:t>Supplier Power — Moderate</w:t>
      </w:r>
    </w:p>
    <w:p w14:paraId="5E8A355C"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Supplier power varies by resource. Standard gym equipment can generally be sourced from multiple providers, reducing dependence on individual suppliers. However, specialist AI software, wearable integration, app infrastructure and skilled fitness professionals may create greater dependency. Switching technology suppliers could also generate integration, training and data-transfer costs. This suggests that supplier power is moderate rather than uniformly high. The importance of technology is </w:t>
      </w:r>
      <w:r w:rsidRPr="002152EC">
        <w:rPr>
          <w:rFonts w:ascii="Arial" w:hAnsi="Arial" w:cs="Arial"/>
          <w:sz w:val="24"/>
          <w:szCs w:val="24"/>
          <w:lang w:val="en-GB" w:eastAsia="en-GB"/>
        </w:rPr>
        <w:lastRenderedPageBreak/>
        <w:t xml:space="preserve">reinforced by the prominence of wearable technology, mobile exercise applications and data-driven training in ACSM's fitness trends (ACSM, 2024). </w:t>
      </w:r>
    </w:p>
    <w:p w14:paraId="1E6D2CE1" w14:textId="59816D3B"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should avoid excessive dependence on a single technology provider and use contractual service levels, interoperability and alternativ</w:t>
      </w:r>
      <w:r w:rsidR="00BA1C87">
        <w:rPr>
          <w:rFonts w:ascii="Arial" w:hAnsi="Arial" w:cs="Arial"/>
          <w:sz w:val="24"/>
          <w:szCs w:val="24"/>
          <w:lang w:val="en-GB" w:eastAsia="en-GB"/>
        </w:rPr>
        <w:t>e suppliers where feasible.</w:t>
      </w:r>
    </w:p>
    <w:p w14:paraId="3396B1A8" w14:textId="6009E0CD" w:rsidR="002152EC" w:rsidRPr="00BA1C87" w:rsidRDefault="00BA1C87" w:rsidP="002152EC">
      <w:pPr>
        <w:spacing w:line="360" w:lineRule="auto"/>
        <w:jc w:val="both"/>
        <w:rPr>
          <w:rFonts w:ascii="Arial" w:hAnsi="Arial" w:cs="Arial"/>
          <w:b/>
          <w:sz w:val="24"/>
          <w:szCs w:val="24"/>
          <w:lang w:val="en-GB" w:eastAsia="en-GB"/>
        </w:rPr>
      </w:pPr>
      <w:r>
        <w:rPr>
          <w:rFonts w:ascii="Arial" w:hAnsi="Arial" w:cs="Arial"/>
          <w:b/>
          <w:sz w:val="24"/>
          <w:szCs w:val="24"/>
          <w:lang w:val="en-GB" w:eastAsia="en-GB"/>
        </w:rPr>
        <w:t>Threat of Substitutes — High</w:t>
      </w:r>
    </w:p>
    <w:p w14:paraId="7697F6EB"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Substitution pressure is high because customers can achieve some fitness outcomes without traditional gym membership. Home workouts, free online content, mobile applications, outdoor exercise and wearable-led self-monitoring can all reduce the need for physical gym access. ACSM's ranking of wearable technology and mobile exercise applications demonstrates the increasing availability of technology-supported alternatives (ACSM, 2024). </w:t>
      </w:r>
    </w:p>
    <w:p w14:paraId="6D8187F3" w14:textId="781756CF"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must offer benefits that substitutes cannot easily replicate, particularly the combination of physical facilities, human coaching, AI-supported reco</w:t>
      </w:r>
      <w:r w:rsidR="00BA1C87">
        <w:rPr>
          <w:rFonts w:ascii="Arial" w:hAnsi="Arial" w:cs="Arial"/>
          <w:sz w:val="24"/>
          <w:szCs w:val="24"/>
          <w:lang w:val="en-GB" w:eastAsia="en-GB"/>
        </w:rPr>
        <w:t>mmendations and accountability.</w:t>
      </w:r>
    </w:p>
    <w:p w14:paraId="237DC044" w14:textId="4520773B"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Overall, the Five Forces indicate a challenging but potentially attractive industry. High rivalry, buyer power and substitutes make price competition unattractive, while moderate entry and supplier barriers mean that operational capability is important f</w:t>
      </w:r>
      <w:r w:rsidR="00BA1C87">
        <w:rPr>
          <w:rFonts w:ascii="Arial" w:hAnsi="Arial" w:cs="Arial"/>
          <w:sz w:val="24"/>
          <w:szCs w:val="24"/>
          <w:lang w:val="en-GB" w:eastAsia="en-GB"/>
        </w:rPr>
        <w:t>or sustainable differentiation.</w:t>
      </w:r>
    </w:p>
    <w:p w14:paraId="2A45BD95" w14:textId="77777777" w:rsidR="002152EC" w:rsidRPr="002152EC" w:rsidRDefault="002152EC" w:rsidP="00BA1C87">
      <w:pPr>
        <w:pStyle w:val="Heading2"/>
        <w:rPr>
          <w:lang w:val="en-GB" w:eastAsia="en-GB"/>
        </w:rPr>
      </w:pPr>
      <w:bookmarkStart w:id="54" w:name="_Toc239188531"/>
      <w:r w:rsidRPr="002152EC">
        <w:rPr>
          <w:lang w:val="en-GB" w:eastAsia="en-GB"/>
        </w:rPr>
        <w:t>6.6 PESTLE Analysis</w:t>
      </w:r>
      <w:bookmarkEnd w:id="54"/>
    </w:p>
    <w:p w14:paraId="63669E9A" w14:textId="42023964" w:rsidR="00BA1C87" w:rsidRPr="00BA1C87" w:rsidRDefault="00BA1C87" w:rsidP="00BA1C87">
      <w:pPr>
        <w:pStyle w:val="Caption"/>
        <w:keepNext/>
        <w:jc w:val="both"/>
        <w:rPr>
          <w:rFonts w:ascii="Arial" w:hAnsi="Arial" w:cs="Arial"/>
          <w:sz w:val="24"/>
        </w:rPr>
      </w:pPr>
      <w:bookmarkStart w:id="55" w:name="_Toc239091689"/>
      <w:r w:rsidRPr="00BA1C87">
        <w:rPr>
          <w:rFonts w:ascii="Arial" w:hAnsi="Arial" w:cs="Arial"/>
          <w:sz w:val="24"/>
        </w:rPr>
        <w:t xml:space="preserve">Table </w:t>
      </w:r>
      <w:r w:rsidRPr="00BA1C87">
        <w:rPr>
          <w:rFonts w:ascii="Arial" w:hAnsi="Arial" w:cs="Arial"/>
          <w:sz w:val="24"/>
        </w:rPr>
        <w:fldChar w:fldCharType="begin"/>
      </w:r>
      <w:r w:rsidRPr="00BA1C87">
        <w:rPr>
          <w:rFonts w:ascii="Arial" w:hAnsi="Arial" w:cs="Arial"/>
          <w:sz w:val="24"/>
        </w:rPr>
        <w:instrText xml:space="preserve"> SEQ Table \* ARABIC </w:instrText>
      </w:r>
      <w:r w:rsidRPr="00BA1C87">
        <w:rPr>
          <w:rFonts w:ascii="Arial" w:hAnsi="Arial" w:cs="Arial"/>
          <w:sz w:val="24"/>
        </w:rPr>
        <w:fldChar w:fldCharType="separate"/>
      </w:r>
      <w:r w:rsidR="00415D83">
        <w:rPr>
          <w:rFonts w:ascii="Arial" w:hAnsi="Arial" w:cs="Arial"/>
          <w:noProof/>
          <w:sz w:val="24"/>
        </w:rPr>
        <w:t>5</w:t>
      </w:r>
      <w:r w:rsidRPr="00BA1C87">
        <w:rPr>
          <w:rFonts w:ascii="Arial" w:hAnsi="Arial" w:cs="Arial"/>
          <w:sz w:val="24"/>
        </w:rPr>
        <w:fldChar w:fldCharType="end"/>
      </w:r>
      <w:r w:rsidRPr="00BA1C87">
        <w:rPr>
          <w:rFonts w:ascii="Arial" w:hAnsi="Arial" w:cs="Arial"/>
          <w:sz w:val="24"/>
        </w:rPr>
        <w:t>.PESTLE Analysis</w:t>
      </w:r>
      <w:bookmarkEnd w:id="55"/>
    </w:p>
    <w:tbl>
      <w:tblPr>
        <w:tblStyle w:val="TableGrid"/>
        <w:tblW w:w="0" w:type="auto"/>
        <w:tblLook w:val="04A0" w:firstRow="1" w:lastRow="0" w:firstColumn="1" w:lastColumn="0" w:noHBand="0" w:noVBand="1"/>
      </w:tblPr>
      <w:tblGrid>
        <w:gridCol w:w="4508"/>
        <w:gridCol w:w="4508"/>
      </w:tblGrid>
      <w:tr w:rsidR="00BA1C87" w:rsidRPr="00BA1C87" w14:paraId="5E8CA9D7" w14:textId="77777777" w:rsidTr="00BA1C87">
        <w:tc>
          <w:tcPr>
            <w:tcW w:w="4508" w:type="dxa"/>
          </w:tcPr>
          <w:p w14:paraId="19A2F8B5"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Factor</w:t>
            </w:r>
          </w:p>
        </w:tc>
        <w:tc>
          <w:tcPr>
            <w:tcW w:w="4508" w:type="dxa"/>
          </w:tcPr>
          <w:p w14:paraId="1C2BFCC4"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Evidence and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implication</w:t>
            </w:r>
          </w:p>
        </w:tc>
      </w:tr>
      <w:tr w:rsidR="00BA1C87" w:rsidRPr="00BA1C87" w14:paraId="67B8F335" w14:textId="77777777" w:rsidTr="00BA1C87">
        <w:tc>
          <w:tcPr>
            <w:tcW w:w="4508" w:type="dxa"/>
          </w:tcPr>
          <w:p w14:paraId="555C979D"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Political</w:t>
            </w:r>
          </w:p>
        </w:tc>
        <w:tc>
          <w:tcPr>
            <w:tcW w:w="4508" w:type="dxa"/>
          </w:tcPr>
          <w:p w14:paraId="5C313B33"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UK health and fitness services increasingly contribute to public health and physical activity objectives. The sector generated an estimated £7.5 billion in attributable social value in 2025, reinforcing the wider policy relevance of fitness participation (</w:t>
            </w:r>
            <w:proofErr w:type="spellStart"/>
            <w:r w:rsidRPr="00BA1C87">
              <w:rPr>
                <w:rFonts w:ascii="Arial" w:hAnsi="Arial" w:cs="Arial"/>
                <w:sz w:val="24"/>
                <w:szCs w:val="24"/>
                <w:lang w:val="en-GB" w:eastAsia="en-GB"/>
              </w:rPr>
              <w:t>ukactive</w:t>
            </w:r>
            <w:proofErr w:type="spellEnd"/>
            <w:r w:rsidRPr="00BA1C87">
              <w:rPr>
                <w:rFonts w:ascii="Arial" w:hAnsi="Arial" w:cs="Arial"/>
                <w:sz w:val="24"/>
                <w:szCs w:val="24"/>
                <w:lang w:val="en-GB" w:eastAsia="en-GB"/>
              </w:rPr>
              <w:t xml:space="preserve">, 2026). Implication: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can align its proposition with preventative health and </w:t>
            </w:r>
            <w:r w:rsidRPr="00BA1C87">
              <w:rPr>
                <w:rFonts w:ascii="Arial" w:hAnsi="Arial" w:cs="Arial"/>
                <w:sz w:val="24"/>
                <w:szCs w:val="24"/>
                <w:lang w:val="en-GB" w:eastAsia="en-GB"/>
              </w:rPr>
              <w:lastRenderedPageBreak/>
              <w:t>physical activity objectives, although it should not represent itself as a healthcare provider without appropriate evidence or governance.</w:t>
            </w:r>
          </w:p>
        </w:tc>
      </w:tr>
      <w:tr w:rsidR="00BA1C87" w:rsidRPr="00BA1C87" w14:paraId="63F5BE40" w14:textId="77777777" w:rsidTr="00BA1C87">
        <w:tc>
          <w:tcPr>
            <w:tcW w:w="4508" w:type="dxa"/>
          </w:tcPr>
          <w:p w14:paraId="3D5736BC"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lastRenderedPageBreak/>
              <w:t>Economic</w:t>
            </w:r>
          </w:p>
        </w:tc>
        <w:tc>
          <w:tcPr>
            <w:tcW w:w="4508" w:type="dxa"/>
          </w:tcPr>
          <w:p w14:paraId="55DB9526"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Rising operating costs and cost-of-living pressures remain challenges for the fitness sector (</w:t>
            </w:r>
            <w:proofErr w:type="spellStart"/>
            <w:r w:rsidRPr="00BA1C87">
              <w:rPr>
                <w:rFonts w:ascii="Arial" w:hAnsi="Arial" w:cs="Arial"/>
                <w:sz w:val="24"/>
                <w:szCs w:val="24"/>
                <w:lang w:val="en-GB" w:eastAsia="en-GB"/>
              </w:rPr>
              <w:t>ukactive</w:t>
            </w:r>
            <w:proofErr w:type="spellEnd"/>
            <w:r w:rsidRPr="00BA1C87">
              <w:rPr>
                <w:rFonts w:ascii="Arial" w:hAnsi="Arial" w:cs="Arial"/>
                <w:sz w:val="24"/>
                <w:szCs w:val="24"/>
                <w:lang w:val="en-GB" w:eastAsia="en-GB"/>
              </w:rPr>
              <w:t xml:space="preserve">, 2026). Implication: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requires accessible/value-based pricing and careful control of technology, staffing and premises costs.</w:t>
            </w:r>
          </w:p>
        </w:tc>
      </w:tr>
      <w:tr w:rsidR="00BA1C87" w:rsidRPr="00BA1C87" w14:paraId="47E72279" w14:textId="77777777" w:rsidTr="00BA1C87">
        <w:tc>
          <w:tcPr>
            <w:tcW w:w="4508" w:type="dxa"/>
          </w:tcPr>
          <w:p w14:paraId="65908938"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Social</w:t>
            </w:r>
          </w:p>
        </w:tc>
        <w:tc>
          <w:tcPr>
            <w:tcW w:w="4508" w:type="dxa"/>
          </w:tcPr>
          <w:p w14:paraId="74ED1FBA"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Fitness participation is expanding, with 18% of UK over-16s holding health and fitness club memberships in 2025. The sector also reports changing motivations around activities, social interaction and wellbeing (</w:t>
            </w:r>
            <w:proofErr w:type="spellStart"/>
            <w:r w:rsidRPr="00BA1C87">
              <w:rPr>
                <w:rFonts w:ascii="Arial" w:hAnsi="Arial" w:cs="Arial"/>
                <w:sz w:val="24"/>
                <w:szCs w:val="24"/>
                <w:lang w:val="en-GB" w:eastAsia="en-GB"/>
              </w:rPr>
              <w:t>ukactive</w:t>
            </w:r>
            <w:proofErr w:type="spellEnd"/>
            <w:r w:rsidRPr="00BA1C87">
              <w:rPr>
                <w:rFonts w:ascii="Arial" w:hAnsi="Arial" w:cs="Arial"/>
                <w:sz w:val="24"/>
                <w:szCs w:val="24"/>
                <w:lang w:val="en-GB" w:eastAsia="en-GB"/>
              </w:rPr>
              <w:t xml:space="preserve">, 2026). Implication: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can emphasise health, consistency, accountability and community rather than equipment alone.</w:t>
            </w:r>
          </w:p>
        </w:tc>
      </w:tr>
      <w:tr w:rsidR="00BA1C87" w:rsidRPr="00BA1C87" w14:paraId="2322C28D" w14:textId="77777777" w:rsidTr="00BA1C87">
        <w:tc>
          <w:tcPr>
            <w:tcW w:w="4508" w:type="dxa"/>
          </w:tcPr>
          <w:p w14:paraId="09225833"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Technological</w:t>
            </w:r>
          </w:p>
        </w:tc>
        <w:tc>
          <w:tcPr>
            <w:tcW w:w="4508" w:type="dxa"/>
          </w:tcPr>
          <w:p w14:paraId="059E40A6"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Wearable technology, mobile exercise applications and data-driven training technology are prominent fitness trends (ACSM, 2024). Implication: technology supports </w:t>
            </w:r>
            <w:proofErr w:type="spellStart"/>
            <w:r w:rsidRPr="00BA1C87">
              <w:rPr>
                <w:rFonts w:ascii="Arial" w:hAnsi="Arial" w:cs="Arial"/>
                <w:sz w:val="24"/>
                <w:szCs w:val="24"/>
                <w:lang w:val="en-GB" w:eastAsia="en-GB"/>
              </w:rPr>
              <w:t>FitLife's</w:t>
            </w:r>
            <w:proofErr w:type="spellEnd"/>
            <w:r w:rsidRPr="00BA1C87">
              <w:rPr>
                <w:rFonts w:ascii="Arial" w:hAnsi="Arial" w:cs="Arial"/>
                <w:sz w:val="24"/>
                <w:szCs w:val="24"/>
                <w:lang w:val="en-GB" w:eastAsia="en-GB"/>
              </w:rPr>
              <w:t xml:space="preserve"> proposed proposition but creates investment, reliability and obsolescence risks.</w:t>
            </w:r>
          </w:p>
        </w:tc>
      </w:tr>
      <w:tr w:rsidR="00BA1C87" w:rsidRPr="00BA1C87" w14:paraId="32978FDF" w14:textId="77777777" w:rsidTr="00BA1C87">
        <w:tc>
          <w:tcPr>
            <w:tcW w:w="4508" w:type="dxa"/>
          </w:tcPr>
          <w:p w14:paraId="078E4F14"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Legal</w:t>
            </w:r>
          </w:p>
        </w:tc>
        <w:tc>
          <w:tcPr>
            <w:tcW w:w="4508" w:type="dxa"/>
          </w:tcPr>
          <w:p w14:paraId="797C5A0D"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Fitness and wearable data can involve personal and potentially health-related information. The ICO notes that data from wearable devices may constitute health data depending on context and purpose, with additional safeguards </w:t>
            </w:r>
            <w:r w:rsidRPr="00BA1C87">
              <w:rPr>
                <w:rFonts w:ascii="Arial" w:hAnsi="Arial" w:cs="Arial"/>
                <w:sz w:val="24"/>
                <w:szCs w:val="24"/>
                <w:lang w:val="en-GB" w:eastAsia="en-GB"/>
              </w:rPr>
              <w:lastRenderedPageBreak/>
              <w:t>required for special-category data (ICO, 2022). Implication: consent, lawful processing, data minimisation, security and appropriate governance must be embedded in the business model.</w:t>
            </w:r>
          </w:p>
        </w:tc>
      </w:tr>
      <w:tr w:rsidR="00BA1C87" w:rsidRPr="002152EC" w14:paraId="151C6730" w14:textId="77777777" w:rsidTr="00BA1C87">
        <w:tc>
          <w:tcPr>
            <w:tcW w:w="4508" w:type="dxa"/>
          </w:tcPr>
          <w:p w14:paraId="7B772E42"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lastRenderedPageBreak/>
              <w:t>Environmental</w:t>
            </w:r>
          </w:p>
        </w:tc>
        <w:tc>
          <w:tcPr>
            <w:tcW w:w="4508" w:type="dxa"/>
          </w:tcPr>
          <w:p w14:paraId="2636886C" w14:textId="77777777" w:rsidR="00BA1C87" w:rsidRPr="002152EC"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A physical gym is exposed to energy, equipment and resource-use requirements. Implication: energy-efficient equipment, responsible maintenance and resource management can reduce operating costs while supporting sustainability expectations.</w:t>
            </w:r>
          </w:p>
        </w:tc>
      </w:tr>
    </w:tbl>
    <w:p w14:paraId="2F6022D2" w14:textId="01509D7B" w:rsidR="002152EC" w:rsidRPr="002152EC" w:rsidRDefault="002152EC" w:rsidP="002152EC">
      <w:pPr>
        <w:spacing w:line="360" w:lineRule="auto"/>
        <w:jc w:val="both"/>
        <w:rPr>
          <w:rFonts w:ascii="Arial" w:hAnsi="Arial" w:cs="Arial"/>
          <w:sz w:val="24"/>
          <w:szCs w:val="24"/>
          <w:lang w:val="en-GB" w:eastAsia="en-GB"/>
        </w:rPr>
      </w:pPr>
    </w:p>
    <w:p w14:paraId="145A28CA" w14:textId="575C5041"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PESTLE therefore reinforces the conclusion that </w:t>
      </w: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opportunity is supported by social and technological developments but constrained by economic, lega</w:t>
      </w:r>
      <w:r w:rsidR="00170C56">
        <w:rPr>
          <w:rFonts w:ascii="Arial" w:hAnsi="Arial" w:cs="Arial"/>
          <w:sz w:val="24"/>
          <w:szCs w:val="24"/>
          <w:lang w:val="en-GB" w:eastAsia="en-GB"/>
        </w:rPr>
        <w:t>l and operational requirements.</w:t>
      </w:r>
    </w:p>
    <w:p w14:paraId="61DB868D" w14:textId="77777777" w:rsidR="002152EC" w:rsidRPr="002152EC" w:rsidRDefault="002152EC" w:rsidP="00170C56">
      <w:pPr>
        <w:pStyle w:val="Heading2"/>
        <w:rPr>
          <w:lang w:val="en-GB" w:eastAsia="en-GB"/>
        </w:rPr>
      </w:pPr>
      <w:bookmarkStart w:id="56" w:name="_Toc239188532"/>
      <w:r w:rsidRPr="002152EC">
        <w:rPr>
          <w:lang w:val="en-GB" w:eastAsia="en-GB"/>
        </w:rPr>
        <w:t>6.7 Key Success Factors and Industry Attractiveness</w:t>
      </w:r>
      <w:bookmarkEnd w:id="56"/>
    </w:p>
    <w:p w14:paraId="3DC5BFC4" w14:textId="77777777" w:rsidR="002152EC" w:rsidRPr="002152EC" w:rsidRDefault="002152EC" w:rsidP="002152EC">
      <w:pPr>
        <w:spacing w:line="360" w:lineRule="auto"/>
        <w:jc w:val="both"/>
        <w:rPr>
          <w:rFonts w:ascii="Arial" w:hAnsi="Arial" w:cs="Arial"/>
          <w:sz w:val="24"/>
          <w:szCs w:val="24"/>
          <w:lang w:val="en-GB" w:eastAsia="en-GB"/>
        </w:rPr>
      </w:pPr>
    </w:p>
    <w:p w14:paraId="3C1E6F4F" w14:textId="5E35606C"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analysis identifies five priorities rather than treating all succes</w:t>
      </w:r>
      <w:r w:rsidR="00170C56">
        <w:rPr>
          <w:rFonts w:ascii="Arial" w:hAnsi="Arial" w:cs="Arial"/>
          <w:sz w:val="24"/>
          <w:szCs w:val="24"/>
          <w:lang w:val="en-GB" w:eastAsia="en-GB"/>
        </w:rPr>
        <w:t>s factors as equally important.</w:t>
      </w:r>
    </w:p>
    <w:p w14:paraId="3A8D7533" w14:textId="0E6F1ADF" w:rsidR="00170C56" w:rsidRPr="00170C56" w:rsidRDefault="00170C56" w:rsidP="00170C56">
      <w:pPr>
        <w:pStyle w:val="Caption"/>
        <w:keepNext/>
        <w:jc w:val="both"/>
        <w:rPr>
          <w:rFonts w:ascii="Arial" w:hAnsi="Arial" w:cs="Arial"/>
          <w:sz w:val="24"/>
        </w:rPr>
      </w:pPr>
      <w:bookmarkStart w:id="57" w:name="_Toc239091690"/>
      <w:r w:rsidRPr="00170C56">
        <w:rPr>
          <w:rFonts w:ascii="Arial" w:hAnsi="Arial" w:cs="Arial"/>
          <w:sz w:val="24"/>
        </w:rPr>
        <w:t xml:space="preserve">Table </w:t>
      </w:r>
      <w:r w:rsidRPr="00170C56">
        <w:rPr>
          <w:rFonts w:ascii="Arial" w:hAnsi="Arial" w:cs="Arial"/>
          <w:sz w:val="24"/>
        </w:rPr>
        <w:fldChar w:fldCharType="begin"/>
      </w:r>
      <w:r w:rsidRPr="00170C56">
        <w:rPr>
          <w:rFonts w:ascii="Arial" w:hAnsi="Arial" w:cs="Arial"/>
          <w:sz w:val="24"/>
        </w:rPr>
        <w:instrText xml:space="preserve"> SEQ Table \* ARABIC </w:instrText>
      </w:r>
      <w:r w:rsidRPr="00170C56">
        <w:rPr>
          <w:rFonts w:ascii="Arial" w:hAnsi="Arial" w:cs="Arial"/>
          <w:sz w:val="24"/>
        </w:rPr>
        <w:fldChar w:fldCharType="separate"/>
      </w:r>
      <w:r w:rsidR="00415D83">
        <w:rPr>
          <w:rFonts w:ascii="Arial" w:hAnsi="Arial" w:cs="Arial"/>
          <w:noProof/>
          <w:sz w:val="24"/>
        </w:rPr>
        <w:t>6</w:t>
      </w:r>
      <w:r w:rsidRPr="00170C56">
        <w:rPr>
          <w:rFonts w:ascii="Arial" w:hAnsi="Arial" w:cs="Arial"/>
          <w:sz w:val="24"/>
        </w:rPr>
        <w:fldChar w:fldCharType="end"/>
      </w:r>
      <w:r w:rsidRPr="00170C56">
        <w:rPr>
          <w:rFonts w:ascii="Arial" w:hAnsi="Arial" w:cs="Arial"/>
          <w:sz w:val="24"/>
        </w:rPr>
        <w:t>.Key Success Factors</w:t>
      </w:r>
      <w:bookmarkEnd w:id="57"/>
    </w:p>
    <w:tbl>
      <w:tblPr>
        <w:tblStyle w:val="TableGrid"/>
        <w:tblW w:w="0" w:type="auto"/>
        <w:tblLook w:val="04A0" w:firstRow="1" w:lastRow="0" w:firstColumn="1" w:lastColumn="0" w:noHBand="0" w:noVBand="1"/>
      </w:tblPr>
      <w:tblGrid>
        <w:gridCol w:w="2195"/>
        <w:gridCol w:w="2217"/>
        <w:gridCol w:w="2226"/>
        <w:gridCol w:w="2378"/>
      </w:tblGrid>
      <w:tr w:rsidR="00170C56" w:rsidRPr="00170C56" w14:paraId="34BA0D05" w14:textId="77777777" w:rsidTr="00170C56">
        <w:tc>
          <w:tcPr>
            <w:tcW w:w="2195" w:type="dxa"/>
          </w:tcPr>
          <w:p w14:paraId="0BA5F061"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Priority</w:t>
            </w:r>
          </w:p>
        </w:tc>
        <w:tc>
          <w:tcPr>
            <w:tcW w:w="2217" w:type="dxa"/>
          </w:tcPr>
          <w:p w14:paraId="78037C39"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Key success factor</w:t>
            </w:r>
          </w:p>
        </w:tc>
        <w:tc>
          <w:tcPr>
            <w:tcW w:w="2226" w:type="dxa"/>
          </w:tcPr>
          <w:p w14:paraId="38C17F62"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 xml:space="preserve">How </w:t>
            </w:r>
            <w:proofErr w:type="spellStart"/>
            <w:r w:rsidRPr="00632A83">
              <w:rPr>
                <w:rFonts w:ascii="Arial" w:hAnsi="Arial" w:cs="Arial"/>
                <w:b/>
                <w:sz w:val="24"/>
                <w:szCs w:val="24"/>
                <w:lang w:val="en-GB" w:eastAsia="en-GB"/>
              </w:rPr>
              <w:t>FitLife</w:t>
            </w:r>
            <w:proofErr w:type="spellEnd"/>
            <w:r w:rsidRPr="00632A83">
              <w:rPr>
                <w:rFonts w:ascii="Arial" w:hAnsi="Arial" w:cs="Arial"/>
                <w:b/>
                <w:sz w:val="24"/>
                <w:szCs w:val="24"/>
                <w:lang w:val="en-GB" w:eastAsia="en-GB"/>
              </w:rPr>
              <w:t xml:space="preserve"> should secure it</w:t>
            </w:r>
          </w:p>
        </w:tc>
        <w:tc>
          <w:tcPr>
            <w:tcW w:w="2378" w:type="dxa"/>
          </w:tcPr>
          <w:p w14:paraId="7240A2FF"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Measurement</w:t>
            </w:r>
          </w:p>
        </w:tc>
      </w:tr>
      <w:tr w:rsidR="00170C56" w:rsidRPr="00170C56" w14:paraId="6EBE1BD1" w14:textId="77777777" w:rsidTr="00170C56">
        <w:tc>
          <w:tcPr>
            <w:tcW w:w="2195" w:type="dxa"/>
          </w:tcPr>
          <w:p w14:paraId="6092405F"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1</w:t>
            </w:r>
          </w:p>
        </w:tc>
        <w:tc>
          <w:tcPr>
            <w:tcW w:w="2217" w:type="dxa"/>
          </w:tcPr>
          <w:p w14:paraId="65BC684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Customer retention</w:t>
            </w:r>
          </w:p>
        </w:tc>
        <w:tc>
          <w:tcPr>
            <w:tcW w:w="2226" w:type="dxa"/>
          </w:tcPr>
          <w:p w14:paraId="07F88D76"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Personalised goals, progress monitoring and human support</w:t>
            </w:r>
          </w:p>
        </w:tc>
        <w:tc>
          <w:tcPr>
            <w:tcW w:w="2378" w:type="dxa"/>
          </w:tcPr>
          <w:p w14:paraId="6557A768"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Monthly retention/churn</w:t>
            </w:r>
          </w:p>
        </w:tc>
      </w:tr>
      <w:tr w:rsidR="00170C56" w:rsidRPr="00170C56" w14:paraId="02FBECDC" w14:textId="77777777" w:rsidTr="00170C56">
        <w:tc>
          <w:tcPr>
            <w:tcW w:w="2195" w:type="dxa"/>
          </w:tcPr>
          <w:p w14:paraId="0E3E155E"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2</w:t>
            </w:r>
          </w:p>
        </w:tc>
        <w:tc>
          <w:tcPr>
            <w:tcW w:w="2217" w:type="dxa"/>
          </w:tcPr>
          <w:p w14:paraId="7EC6751C"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Technology reliability</w:t>
            </w:r>
          </w:p>
        </w:tc>
        <w:tc>
          <w:tcPr>
            <w:tcW w:w="2226" w:type="dxa"/>
          </w:tcPr>
          <w:p w14:paraId="1E87BBB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Supplier testing, maintenance and service-level agreements</w:t>
            </w:r>
          </w:p>
        </w:tc>
        <w:tc>
          <w:tcPr>
            <w:tcW w:w="2378" w:type="dxa"/>
          </w:tcPr>
          <w:p w14:paraId="58384D57"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System uptime/error rate</w:t>
            </w:r>
          </w:p>
        </w:tc>
      </w:tr>
      <w:tr w:rsidR="00170C56" w:rsidRPr="00170C56" w14:paraId="0BD2FB7E" w14:textId="77777777" w:rsidTr="00170C56">
        <w:tc>
          <w:tcPr>
            <w:tcW w:w="2195" w:type="dxa"/>
          </w:tcPr>
          <w:p w14:paraId="15BA56C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lastRenderedPageBreak/>
              <w:t>3</w:t>
            </w:r>
          </w:p>
        </w:tc>
        <w:tc>
          <w:tcPr>
            <w:tcW w:w="2217" w:type="dxa"/>
          </w:tcPr>
          <w:p w14:paraId="289F627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Value-based pricing</w:t>
            </w:r>
          </w:p>
        </w:tc>
        <w:tc>
          <w:tcPr>
            <w:tcW w:w="2226" w:type="dxa"/>
          </w:tcPr>
          <w:p w14:paraId="05904D3D"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Tiered memberships and regular price/value testing</w:t>
            </w:r>
          </w:p>
        </w:tc>
        <w:tc>
          <w:tcPr>
            <w:tcW w:w="2378" w:type="dxa"/>
          </w:tcPr>
          <w:p w14:paraId="0BEFDBE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Conversion and churn</w:t>
            </w:r>
          </w:p>
        </w:tc>
      </w:tr>
      <w:tr w:rsidR="00170C56" w:rsidRPr="00170C56" w14:paraId="169D4F48" w14:textId="77777777" w:rsidTr="00170C56">
        <w:tc>
          <w:tcPr>
            <w:tcW w:w="2195" w:type="dxa"/>
          </w:tcPr>
          <w:p w14:paraId="3806BF7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4</w:t>
            </w:r>
          </w:p>
        </w:tc>
        <w:tc>
          <w:tcPr>
            <w:tcW w:w="2217" w:type="dxa"/>
          </w:tcPr>
          <w:p w14:paraId="75EBA53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Qualified trainers</w:t>
            </w:r>
          </w:p>
        </w:tc>
        <w:tc>
          <w:tcPr>
            <w:tcW w:w="2226" w:type="dxa"/>
          </w:tcPr>
          <w:p w14:paraId="6C2D6A1E"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Appropriate recruitment, training and CPD</w:t>
            </w:r>
          </w:p>
        </w:tc>
        <w:tc>
          <w:tcPr>
            <w:tcW w:w="2378" w:type="dxa"/>
          </w:tcPr>
          <w:p w14:paraId="254D03F3"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Qualification and customer-performance measures</w:t>
            </w:r>
          </w:p>
        </w:tc>
      </w:tr>
      <w:tr w:rsidR="00170C56" w:rsidRPr="00170C56" w14:paraId="393A0C90" w14:textId="77777777" w:rsidTr="00170C56">
        <w:tc>
          <w:tcPr>
            <w:tcW w:w="2195" w:type="dxa"/>
          </w:tcPr>
          <w:p w14:paraId="2BF7340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5</w:t>
            </w:r>
          </w:p>
        </w:tc>
        <w:tc>
          <w:tcPr>
            <w:tcW w:w="2217" w:type="dxa"/>
          </w:tcPr>
          <w:p w14:paraId="4592E2B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Trust and data privacy</w:t>
            </w:r>
          </w:p>
        </w:tc>
        <w:tc>
          <w:tcPr>
            <w:tcW w:w="2226" w:type="dxa"/>
          </w:tcPr>
          <w:p w14:paraId="2F0FF326"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Consent, governance, security and transparent data practices</w:t>
            </w:r>
          </w:p>
        </w:tc>
        <w:tc>
          <w:tcPr>
            <w:tcW w:w="2378" w:type="dxa"/>
          </w:tcPr>
          <w:p w14:paraId="11EFD7E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Data incidents/complaints</w:t>
            </w:r>
          </w:p>
        </w:tc>
      </w:tr>
    </w:tbl>
    <w:p w14:paraId="521C1446" w14:textId="77777777" w:rsidR="002152EC" w:rsidRPr="002152EC" w:rsidRDefault="002152EC" w:rsidP="002152EC">
      <w:pPr>
        <w:spacing w:line="360" w:lineRule="auto"/>
        <w:jc w:val="both"/>
        <w:rPr>
          <w:rFonts w:ascii="Arial" w:hAnsi="Arial" w:cs="Arial"/>
          <w:sz w:val="24"/>
          <w:szCs w:val="24"/>
          <w:lang w:val="en-GB" w:eastAsia="en-GB"/>
        </w:rPr>
      </w:pPr>
    </w:p>
    <w:p w14:paraId="0B8FF21C" w14:textId="214891B7"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industry is therefore conditionally attractive. The positive case is supported by an established market, rising participation and growing technology adoption. UK membership reached 12.2 million in 2025 and visits reached 679 million, while wearable technology and mobile exercise applications remain prominent fitness trends (</w:t>
      </w:r>
      <w:proofErr w:type="spellStart"/>
      <w:r w:rsidRPr="002152EC">
        <w:rPr>
          <w:rFonts w:ascii="Arial" w:hAnsi="Arial" w:cs="Arial"/>
          <w:sz w:val="24"/>
          <w:szCs w:val="24"/>
          <w:lang w:val="en-GB" w:eastAsia="en-GB"/>
        </w:rPr>
        <w:t>ukactive</w:t>
      </w:r>
      <w:proofErr w:type="spellEnd"/>
      <w:r w:rsidRPr="002152EC">
        <w:rPr>
          <w:rFonts w:ascii="Arial" w:hAnsi="Arial" w:cs="Arial"/>
          <w:sz w:val="24"/>
          <w:szCs w:val="24"/>
          <w:lang w:val="en-GB" w:eastAsia="en-GB"/>
        </w:rPr>
        <w:t xml:space="preserve">, 2026; ACSM, 2024). </w:t>
      </w:r>
    </w:p>
    <w:p w14:paraId="586656F4" w14:textId="2C55B7C3" w:rsidR="002152EC" w:rsidRPr="00632A83" w:rsidRDefault="002152EC" w:rsidP="00632A83">
      <w:pPr>
        <w:pStyle w:val="Heading2"/>
        <w:rPr>
          <w:lang w:val="en-GB" w:eastAsia="en-GB"/>
        </w:rPr>
      </w:pPr>
      <w:bookmarkStart w:id="58" w:name="_Toc239188533"/>
      <w:r w:rsidRPr="002152EC">
        <w:rPr>
          <w:lang w:val="en-GB" w:eastAsia="en-GB"/>
        </w:rPr>
        <w:t>6.8 Market Gaps and Strategic Implications</w:t>
      </w:r>
      <w:bookmarkEnd w:id="58"/>
    </w:p>
    <w:p w14:paraId="71306DA8" w14:textId="15615D9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competitive analysis does not establish a completely unserved market. Existing providers already offer several elements of </w:t>
      </w: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proposed proposition.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for example, combines 24/7 access, classes, connected equipment and personal trainers, while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combines low-cost access, equipment, classes and flexible membership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2026). Technology-enabled fitness alternatives are also increasingly available through wearables and mo</w:t>
      </w:r>
      <w:r w:rsidR="00632A83">
        <w:rPr>
          <w:rFonts w:ascii="Arial" w:hAnsi="Arial" w:cs="Arial"/>
          <w:sz w:val="24"/>
          <w:szCs w:val="24"/>
          <w:lang w:val="en-GB" w:eastAsia="en-GB"/>
        </w:rPr>
        <w:t>bile applications (ACSM, 2024).</w:t>
      </w:r>
    </w:p>
    <w:p w14:paraId="11A2C5B1" w14:textId="38B4007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potential opportunity is therefore better described as a differentiation space rather than a confirmed market gap.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proposes to integrate AI-assisted personalisation, wearable-supported monitoring, human coaching, physical gym access and digital engagement into one customer experience. The potential advantage arises from integration, rather than claiming that AI, wearables or coaching individually are unique.</w:t>
      </w:r>
    </w:p>
    <w:p w14:paraId="4C658BB6" w14:textId="1CD65DE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lastRenderedPageBreak/>
        <w:t xml:space="preserve">However, this positioning remains conditional. Local willingness to pay for AI-supported membership has not yet been conclusively established, competitors could introduce similar services, and technology and staffing costs may reduce margins. </w:t>
      </w:r>
    </w:p>
    <w:p w14:paraId="16C342A7" w14:textId="36EAC753" w:rsidR="002152EC" w:rsidRPr="00632A83" w:rsidRDefault="002152EC" w:rsidP="00632A83">
      <w:pPr>
        <w:pStyle w:val="Heading2"/>
        <w:rPr>
          <w:lang w:val="en-GB" w:eastAsia="en-GB"/>
        </w:rPr>
      </w:pPr>
      <w:bookmarkStart w:id="59" w:name="_Toc239188534"/>
      <w:r w:rsidRPr="002152EC">
        <w:rPr>
          <w:lang w:val="en-GB" w:eastAsia="en-GB"/>
        </w:rPr>
        <w:t>6.9 Chapter Summary</w:t>
      </w:r>
      <w:bookmarkEnd w:id="59"/>
    </w:p>
    <w:p w14:paraId="20CC01BC" w14:textId="761789F6" w:rsidR="00045BE0"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analysis indicates that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would enter a highly competitive but potentially attractive fitness environment.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provides strong local convenience, while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and other providers create significant price and service alternatives. Buyer power and substitution threats are high, whereas entry and supplier barriers are moderate. Consequently, competing primarily on price would be difficult. </w:t>
      </w: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potential differentiation lies instead in integrating AI-assisted personalisation, wearable monitoring and human coaching. This conditional differentiation, supported by reliable technology, qualified trainers, value-based pricing, retention and strong data governance, provides the str</w:t>
      </w:r>
      <w:r>
        <w:rPr>
          <w:rFonts w:ascii="Arial" w:hAnsi="Arial" w:cs="Arial"/>
          <w:sz w:val="24"/>
          <w:szCs w:val="24"/>
          <w:lang w:val="en-GB" w:eastAsia="en-GB"/>
        </w:rPr>
        <w:t>ategic foundation for Chapter 7</w:t>
      </w:r>
      <w:r w:rsidR="00045BE0" w:rsidRPr="00402F9F">
        <w:rPr>
          <w:rFonts w:ascii="Arial" w:hAnsi="Arial" w:cs="Arial"/>
          <w:sz w:val="24"/>
          <w:szCs w:val="24"/>
          <w:lang w:val="en-GB" w:eastAsia="en-GB"/>
        </w:rPr>
        <w:t>.</w:t>
      </w:r>
    </w:p>
    <w:p w14:paraId="62C06E5C" w14:textId="336FDB2A" w:rsidR="00A47AF4" w:rsidRDefault="00A47AF4" w:rsidP="00402F9F">
      <w:pPr>
        <w:spacing w:line="360" w:lineRule="auto"/>
        <w:jc w:val="both"/>
        <w:rPr>
          <w:rFonts w:ascii="Arial" w:hAnsi="Arial" w:cs="Arial"/>
          <w:sz w:val="24"/>
          <w:szCs w:val="24"/>
          <w:lang w:val="en-GB" w:eastAsia="en-GB"/>
        </w:rPr>
      </w:pPr>
    </w:p>
    <w:p w14:paraId="65379FCA" w14:textId="631EDCFC" w:rsidR="00A47AF4" w:rsidRDefault="00A47AF4" w:rsidP="00402F9F">
      <w:pPr>
        <w:spacing w:line="360" w:lineRule="auto"/>
        <w:jc w:val="both"/>
        <w:rPr>
          <w:rFonts w:ascii="Arial" w:hAnsi="Arial" w:cs="Arial"/>
          <w:sz w:val="24"/>
          <w:szCs w:val="24"/>
          <w:lang w:val="en-GB" w:eastAsia="en-GB"/>
        </w:rPr>
      </w:pPr>
    </w:p>
    <w:p w14:paraId="32109A05" w14:textId="6489501B" w:rsidR="00A47AF4" w:rsidRDefault="00A47AF4" w:rsidP="00402F9F">
      <w:pPr>
        <w:spacing w:line="360" w:lineRule="auto"/>
        <w:jc w:val="both"/>
        <w:rPr>
          <w:rFonts w:ascii="Arial" w:hAnsi="Arial" w:cs="Arial"/>
          <w:sz w:val="24"/>
          <w:szCs w:val="24"/>
          <w:lang w:val="en-GB" w:eastAsia="en-GB"/>
        </w:rPr>
      </w:pPr>
    </w:p>
    <w:p w14:paraId="02D30802" w14:textId="4B18FA16" w:rsidR="00A47AF4" w:rsidRDefault="00A47AF4" w:rsidP="00402F9F">
      <w:pPr>
        <w:spacing w:line="360" w:lineRule="auto"/>
        <w:jc w:val="both"/>
        <w:rPr>
          <w:rFonts w:ascii="Arial" w:hAnsi="Arial" w:cs="Arial"/>
          <w:sz w:val="24"/>
          <w:szCs w:val="24"/>
          <w:lang w:val="en-GB" w:eastAsia="en-GB"/>
        </w:rPr>
      </w:pPr>
    </w:p>
    <w:p w14:paraId="183EFE6D" w14:textId="1CBF91C7" w:rsidR="00A47AF4" w:rsidRDefault="00A47AF4" w:rsidP="00402F9F">
      <w:pPr>
        <w:spacing w:line="360" w:lineRule="auto"/>
        <w:jc w:val="both"/>
        <w:rPr>
          <w:rFonts w:ascii="Arial" w:hAnsi="Arial" w:cs="Arial"/>
          <w:sz w:val="24"/>
          <w:szCs w:val="24"/>
          <w:lang w:val="en-GB" w:eastAsia="en-GB"/>
        </w:rPr>
      </w:pPr>
    </w:p>
    <w:p w14:paraId="7C483829" w14:textId="4A26F614" w:rsidR="00A47AF4" w:rsidRDefault="00A47AF4" w:rsidP="00402F9F">
      <w:pPr>
        <w:spacing w:line="360" w:lineRule="auto"/>
        <w:jc w:val="both"/>
        <w:rPr>
          <w:rFonts w:ascii="Arial" w:hAnsi="Arial" w:cs="Arial"/>
          <w:sz w:val="24"/>
          <w:szCs w:val="24"/>
          <w:lang w:val="en-GB" w:eastAsia="en-GB"/>
        </w:rPr>
      </w:pPr>
    </w:p>
    <w:p w14:paraId="53BB3D9F" w14:textId="45EEA993" w:rsidR="00A47AF4" w:rsidRDefault="00A47AF4" w:rsidP="00402F9F">
      <w:pPr>
        <w:spacing w:line="360" w:lineRule="auto"/>
        <w:jc w:val="both"/>
        <w:rPr>
          <w:rFonts w:ascii="Arial" w:hAnsi="Arial" w:cs="Arial"/>
          <w:sz w:val="24"/>
          <w:szCs w:val="24"/>
          <w:lang w:val="en-GB" w:eastAsia="en-GB"/>
        </w:rPr>
      </w:pPr>
    </w:p>
    <w:p w14:paraId="6FEC5320" w14:textId="6A09C756" w:rsidR="00A47AF4" w:rsidRDefault="00A47AF4" w:rsidP="00402F9F">
      <w:pPr>
        <w:spacing w:line="360" w:lineRule="auto"/>
        <w:jc w:val="both"/>
        <w:rPr>
          <w:rFonts w:ascii="Arial" w:hAnsi="Arial" w:cs="Arial"/>
          <w:sz w:val="24"/>
          <w:szCs w:val="24"/>
          <w:lang w:val="en-GB" w:eastAsia="en-GB"/>
        </w:rPr>
      </w:pPr>
    </w:p>
    <w:p w14:paraId="14312861" w14:textId="0CA0FBF2" w:rsidR="00A47AF4" w:rsidRDefault="00A47AF4" w:rsidP="00402F9F">
      <w:pPr>
        <w:spacing w:line="360" w:lineRule="auto"/>
        <w:jc w:val="both"/>
        <w:rPr>
          <w:rFonts w:ascii="Arial" w:hAnsi="Arial" w:cs="Arial"/>
          <w:sz w:val="24"/>
          <w:szCs w:val="24"/>
          <w:lang w:val="en-GB" w:eastAsia="en-GB"/>
        </w:rPr>
      </w:pPr>
    </w:p>
    <w:p w14:paraId="16EE2EEF" w14:textId="7E8C420B" w:rsidR="00A47AF4" w:rsidRDefault="00A47AF4" w:rsidP="00402F9F">
      <w:pPr>
        <w:spacing w:line="360" w:lineRule="auto"/>
        <w:jc w:val="both"/>
        <w:rPr>
          <w:rFonts w:ascii="Arial" w:hAnsi="Arial" w:cs="Arial"/>
          <w:sz w:val="24"/>
          <w:szCs w:val="24"/>
          <w:lang w:val="en-GB" w:eastAsia="en-GB"/>
        </w:rPr>
      </w:pPr>
    </w:p>
    <w:p w14:paraId="0B015C22" w14:textId="5E67C01A" w:rsidR="002F1D43" w:rsidRDefault="002F1D43" w:rsidP="00045BE0">
      <w:pPr>
        <w:spacing w:after="0" w:line="240" w:lineRule="auto"/>
        <w:rPr>
          <w:rFonts w:ascii="Times New Roman" w:eastAsia="Times New Roman" w:hAnsi="Times New Roman" w:cs="Times New Roman"/>
          <w:sz w:val="24"/>
          <w:szCs w:val="24"/>
          <w:lang w:val="en-GB" w:eastAsia="en-GB"/>
        </w:rPr>
      </w:pPr>
    </w:p>
    <w:p w14:paraId="4853BC12" w14:textId="5E3E0180" w:rsidR="002F1D43" w:rsidRDefault="002F1D43" w:rsidP="00045BE0">
      <w:pPr>
        <w:spacing w:after="0" w:line="240" w:lineRule="auto"/>
        <w:rPr>
          <w:rFonts w:ascii="Times New Roman" w:eastAsia="Times New Roman" w:hAnsi="Times New Roman" w:cs="Times New Roman"/>
          <w:sz w:val="24"/>
          <w:szCs w:val="24"/>
          <w:lang w:val="en-GB" w:eastAsia="en-GB"/>
        </w:rPr>
      </w:pPr>
    </w:p>
    <w:p w14:paraId="5CCA44FB" w14:textId="47623A9D" w:rsidR="002F1D43" w:rsidRDefault="002F1D43" w:rsidP="00045BE0">
      <w:pPr>
        <w:spacing w:after="0" w:line="240" w:lineRule="auto"/>
        <w:rPr>
          <w:rFonts w:ascii="Times New Roman" w:eastAsia="Times New Roman" w:hAnsi="Times New Roman" w:cs="Times New Roman"/>
          <w:sz w:val="24"/>
          <w:szCs w:val="24"/>
          <w:lang w:val="en-GB" w:eastAsia="en-GB"/>
        </w:rPr>
      </w:pPr>
    </w:p>
    <w:p w14:paraId="54CF2326" w14:textId="57C67BFB" w:rsidR="002F1D43" w:rsidRDefault="002F1D43" w:rsidP="00045BE0">
      <w:pPr>
        <w:spacing w:after="0" w:line="240" w:lineRule="auto"/>
        <w:rPr>
          <w:rFonts w:ascii="Times New Roman" w:eastAsia="Times New Roman" w:hAnsi="Times New Roman" w:cs="Times New Roman"/>
          <w:sz w:val="24"/>
          <w:szCs w:val="24"/>
          <w:lang w:val="en-GB" w:eastAsia="en-GB"/>
        </w:rPr>
      </w:pPr>
    </w:p>
    <w:p w14:paraId="251952BD" w14:textId="66E897E0" w:rsidR="00027E3A" w:rsidRPr="003822FD" w:rsidRDefault="002F1D43" w:rsidP="00C02C66">
      <w:pPr>
        <w:pStyle w:val="Heading1"/>
        <w:jc w:val="center"/>
        <w:rPr>
          <w:rFonts w:eastAsia="Times New Roman"/>
          <w:bCs/>
          <w:lang w:val="en-GB" w:eastAsia="en-GB"/>
        </w:rPr>
      </w:pPr>
      <w:bookmarkStart w:id="60" w:name="_Toc239188535"/>
      <w:r w:rsidRPr="003822FD">
        <w:lastRenderedPageBreak/>
        <w:t xml:space="preserve">Chapter </w:t>
      </w:r>
      <w:r w:rsidR="00027E3A" w:rsidRPr="003822FD">
        <w:t>7</w:t>
      </w:r>
      <w:r w:rsidRPr="003822FD">
        <w:t xml:space="preserve"> — Business </w:t>
      </w:r>
      <w:r w:rsidR="00C02C66" w:rsidRPr="003822FD">
        <w:t>Strategy</w:t>
      </w:r>
      <w:bookmarkEnd w:id="60"/>
    </w:p>
    <w:p w14:paraId="2336F466" w14:textId="6D7C0732" w:rsidR="00233662" w:rsidRPr="003822FD" w:rsidRDefault="00027E3A" w:rsidP="00C02C66">
      <w:pPr>
        <w:pStyle w:val="Heading2"/>
      </w:pPr>
      <w:bookmarkStart w:id="61" w:name="_Toc239188536"/>
      <w:r w:rsidRPr="003822FD">
        <w:rPr>
          <w:rFonts w:eastAsia="Times New Roman"/>
          <w:lang w:val="en-GB" w:eastAsia="en-GB"/>
        </w:rPr>
        <w:t>7.</w:t>
      </w:r>
      <w:r w:rsidR="00233662" w:rsidRPr="003822FD">
        <w:rPr>
          <w:rFonts w:eastAsia="Times New Roman"/>
          <w:lang w:val="en-GB" w:eastAsia="en-GB"/>
        </w:rPr>
        <w:t>1 Introduction and Strategic Framework</w:t>
      </w:r>
      <w:bookmarkEnd w:id="61"/>
    </w:p>
    <w:p w14:paraId="1AD9FCF7" w14:textId="387E5137" w:rsidR="002F1D43" w:rsidRPr="003822FD" w:rsidRDefault="001B320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Chapter 7 converts the market opportunity and competitive evidence discovered in Chapters 5 and 6 into a sensible business plan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Smart Gym. Strategic management should match the features of the environment and the organisation's internal resources and capabilities (Barney, 1991). Therefore, VRIO will evaluate the resources and capabilities that </w:t>
      </w:r>
      <w:proofErr w:type="spellStart"/>
      <w:r w:rsidRPr="003822FD">
        <w:rPr>
          <w:rFonts w:ascii="Arial" w:eastAsia="Times New Roman" w:hAnsi="Arial" w:cs="Arial"/>
          <w:sz w:val="24"/>
          <w:szCs w:val="24"/>
          <w:lang w:val="en-GB" w:eastAsia="en-GB"/>
        </w:rPr>
        <w:t>Vrio</w:t>
      </w:r>
      <w:proofErr w:type="spellEnd"/>
      <w:r w:rsidRPr="003822FD">
        <w:rPr>
          <w:rFonts w:ascii="Arial" w:eastAsia="Times New Roman" w:hAnsi="Arial" w:cs="Arial"/>
          <w:sz w:val="24"/>
          <w:szCs w:val="24"/>
          <w:lang w:val="en-GB" w:eastAsia="en-GB"/>
        </w:rPr>
        <w:t xml:space="preserve"> will make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and SWOT will combine factors of strength and weaknesses of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with opportunity and threat of external factors. The chapter will then back up the strategic selection, competitive positioning, unique selling proposition (USP) and value proposition. Finally, how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 achieve the critical success factors necessary to establish and maintain competitive advantage, especially in the areas of technology, personalisation, service quality and customer retention (Porter, 1985) will be discussed.</w:t>
      </w:r>
    </w:p>
    <w:p w14:paraId="06B54CED" w14:textId="5F381105" w:rsidR="00233662" w:rsidRPr="003822FD" w:rsidRDefault="00027E3A" w:rsidP="00C02C66">
      <w:pPr>
        <w:pStyle w:val="Heading2"/>
        <w:rPr>
          <w:rFonts w:eastAsia="Times New Roman"/>
          <w:lang w:val="en-GB" w:eastAsia="en-GB"/>
        </w:rPr>
      </w:pPr>
      <w:bookmarkStart w:id="62" w:name="_Toc239188537"/>
      <w:r w:rsidRPr="003822FD">
        <w:rPr>
          <w:rFonts w:eastAsia="Times New Roman"/>
          <w:lang w:val="en-GB" w:eastAsia="en-GB"/>
        </w:rPr>
        <w:t>7</w:t>
      </w:r>
      <w:r w:rsidR="00233662" w:rsidRPr="003822FD">
        <w:rPr>
          <w:rFonts w:eastAsia="Times New Roman"/>
          <w:lang w:val="en-GB" w:eastAsia="en-GB"/>
        </w:rPr>
        <w:t>.2 Strategic Situation: External Analysis</w:t>
      </w:r>
      <w:bookmarkEnd w:id="62"/>
    </w:p>
    <w:p w14:paraId="3D45C50D" w14:textId="3EC25B08" w:rsidR="006C4681" w:rsidRPr="003822FD" w:rsidRDefault="006C4681"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FitLife's</w:t>
      </w:r>
      <w:proofErr w:type="spellEnd"/>
      <w:r w:rsidRPr="003822FD">
        <w:rPr>
          <w:rFonts w:ascii="Arial" w:eastAsia="Times New Roman" w:hAnsi="Arial" w:cs="Arial"/>
          <w:sz w:val="24"/>
          <w:szCs w:val="24"/>
          <w:lang w:val="en-GB" w:eastAsia="en-GB"/>
        </w:rPr>
        <w:t xml:space="preserve"> external indicators suggest that there are opportunities and important strategic constraints in the market it serves. Chapter 5 had already pointed to the potential for convenient, personalised and digitally supported fitness services, especially for customers with an interest in technology-supported monitoring and flexible access to fitness services. </w:t>
      </w:r>
      <w:r w:rsidR="00E56DAD" w:rsidRPr="00E56DAD">
        <w:rPr>
          <w:rFonts w:ascii="Arial" w:eastAsia="Times New Roman" w:hAnsi="Arial" w:cs="Arial"/>
          <w:sz w:val="24"/>
          <w:szCs w:val="24"/>
          <w:lang w:val="en-GB" w:eastAsia="en-GB"/>
        </w:rPr>
        <w:t>The increasing prominence of wearable technology, mobile exercise applications and data-driven training indicates favourable conditions for technology-supported fitness services (ACSM, 2024)</w:t>
      </w:r>
    </w:p>
    <w:p w14:paraId="38A54FB3"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There is also a strong competitive pressure problem due to the competitive environment found in Chapter 6. Low-cost gyms and alternatives that are accessible make it hard for a new gym to compete on price, create choice for customers, and strengthen the buyer's power. Porter (1985) suggests that differentiation is a way of building competitive advantage which is other than cost based.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means personalisation, service level, human coaching and technology combination should be the foundation of strategic positioning.</w:t>
      </w:r>
    </w:p>
    <w:p w14:paraId="38EF66E9"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Economic conditions are also a restriction and a consideration. As consumers become more price-conscious due to inflation and cost of living pressures, they will demand low-cost and flexible memberships to gain access to discretionary fitness services. </w:t>
      </w:r>
      <w:r w:rsidRPr="003822FD">
        <w:rPr>
          <w:rFonts w:ascii="Arial" w:eastAsia="Times New Roman" w:hAnsi="Arial" w:cs="Arial"/>
          <w:sz w:val="24"/>
          <w:szCs w:val="24"/>
          <w:lang w:val="en-GB" w:eastAsia="en-GB"/>
        </w:rPr>
        <w:lastRenderedPageBreak/>
        <w:t xml:space="preserve">These pressures could also lead to opportunities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to provide differentiation in their packages, not just by the price tag, but by the value they can deliver.</w:t>
      </w:r>
    </w:p>
    <w:p w14:paraId="534BCD2A" w14:textId="1463AD81"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Last, but not least, on the technology-investment and data-protection requirements side, there are implementation risks due to the need for reliable AI and wearable systems. However, innovation needs to be balanced with affordability, operational reliability and customer trust; which is why it's imperative that the company,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strikes a balance. </w:t>
      </w:r>
    </w:p>
    <w:p w14:paraId="17BEFE00" w14:textId="775217CE" w:rsidR="006C4681" w:rsidRPr="00C02C66" w:rsidRDefault="006C4681" w:rsidP="00C02C66">
      <w:pPr>
        <w:pStyle w:val="Heading2"/>
        <w:rPr>
          <w:rFonts w:eastAsia="Times New Roman"/>
          <w:lang w:val="en-GB" w:eastAsia="en-GB"/>
        </w:rPr>
      </w:pPr>
      <w:bookmarkStart w:id="63" w:name="_Toc239188538"/>
      <w:r w:rsidRPr="003822FD">
        <w:rPr>
          <w:rFonts w:eastAsia="Times New Roman"/>
          <w:lang w:val="en-GB" w:eastAsia="en-GB"/>
        </w:rPr>
        <w:t>7.3 Internal Analysis: VRIO</w:t>
      </w:r>
      <w:bookmarkEnd w:id="63"/>
    </w:p>
    <w:p w14:paraId="471ABF81" w14:textId="229B189A" w:rsidR="0000756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To determine if the proposed resources and capabilities of the company,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 create a competitive advantage, the VRIO framework was used to assess whether the resources and capabilities are valuable, rare, difficult to imitate, and have the right organisational arrangements (Barney, 1991). The analysis suggests that the value of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is more likely to result from the integration of resources, rather than any particular technology</w:t>
      </w:r>
      <w:r w:rsidR="00C02C66">
        <w:rPr>
          <w:rFonts w:ascii="Arial" w:eastAsia="Times New Roman" w:hAnsi="Arial" w:cs="Arial"/>
          <w:sz w:val="24"/>
          <w:szCs w:val="24"/>
          <w:lang w:val="en-GB" w:eastAsia="en-GB"/>
        </w:rPr>
        <w:t>.</w:t>
      </w:r>
    </w:p>
    <w:p w14:paraId="6E35F416" w14:textId="49CB9004" w:rsidR="00C02C66" w:rsidRPr="00C02C66" w:rsidRDefault="00C02C66" w:rsidP="00C02C66">
      <w:pPr>
        <w:pStyle w:val="Caption"/>
        <w:keepNext/>
        <w:rPr>
          <w:rFonts w:ascii="Arial" w:hAnsi="Arial" w:cs="Arial"/>
          <w:sz w:val="24"/>
        </w:rPr>
      </w:pPr>
      <w:bookmarkStart w:id="64" w:name="_Toc239091691"/>
      <w:r w:rsidRPr="00C02C66">
        <w:rPr>
          <w:rFonts w:ascii="Arial" w:hAnsi="Arial" w:cs="Arial"/>
          <w:sz w:val="24"/>
        </w:rPr>
        <w:t xml:space="preserve">Table </w:t>
      </w:r>
      <w:r w:rsidRPr="00C02C66">
        <w:rPr>
          <w:rFonts w:ascii="Arial" w:hAnsi="Arial" w:cs="Arial"/>
          <w:sz w:val="24"/>
        </w:rPr>
        <w:fldChar w:fldCharType="begin"/>
      </w:r>
      <w:r w:rsidRPr="00C02C66">
        <w:rPr>
          <w:rFonts w:ascii="Arial" w:hAnsi="Arial" w:cs="Arial"/>
          <w:sz w:val="24"/>
        </w:rPr>
        <w:instrText xml:space="preserve"> SEQ Table \* ARABIC </w:instrText>
      </w:r>
      <w:r w:rsidRPr="00C02C66">
        <w:rPr>
          <w:rFonts w:ascii="Arial" w:hAnsi="Arial" w:cs="Arial"/>
          <w:sz w:val="24"/>
        </w:rPr>
        <w:fldChar w:fldCharType="separate"/>
      </w:r>
      <w:r w:rsidR="00415D83">
        <w:rPr>
          <w:rFonts w:ascii="Arial" w:hAnsi="Arial" w:cs="Arial"/>
          <w:noProof/>
          <w:sz w:val="24"/>
        </w:rPr>
        <w:t>7</w:t>
      </w:r>
      <w:r w:rsidRPr="00C02C66">
        <w:rPr>
          <w:rFonts w:ascii="Arial" w:hAnsi="Arial" w:cs="Arial"/>
          <w:sz w:val="24"/>
        </w:rPr>
        <w:fldChar w:fldCharType="end"/>
      </w:r>
      <w:r w:rsidRPr="00C02C66">
        <w:rPr>
          <w:rFonts w:ascii="Arial" w:hAnsi="Arial" w:cs="Arial"/>
          <w:sz w:val="24"/>
        </w:rPr>
        <w:t>.Internal Analysis: VRIO</w:t>
      </w:r>
      <w:bookmarkEnd w:id="64"/>
    </w:p>
    <w:tbl>
      <w:tblPr>
        <w:tblStyle w:val="TableGrid"/>
        <w:tblW w:w="0" w:type="auto"/>
        <w:tblLook w:val="04A0" w:firstRow="1" w:lastRow="0" w:firstColumn="1" w:lastColumn="0" w:noHBand="0" w:noVBand="1"/>
      </w:tblPr>
      <w:tblGrid>
        <w:gridCol w:w="2217"/>
        <w:gridCol w:w="1211"/>
        <w:gridCol w:w="1397"/>
        <w:gridCol w:w="1248"/>
        <w:gridCol w:w="1385"/>
        <w:gridCol w:w="1558"/>
      </w:tblGrid>
      <w:tr w:rsidR="00027E3A" w:rsidRPr="003822FD" w14:paraId="4DBD354B" w14:textId="77777777" w:rsidTr="00C02C66">
        <w:tc>
          <w:tcPr>
            <w:tcW w:w="2217" w:type="dxa"/>
          </w:tcPr>
          <w:p w14:paraId="7DDD23F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Resource/Capability</w:t>
            </w:r>
          </w:p>
        </w:tc>
        <w:tc>
          <w:tcPr>
            <w:tcW w:w="1211" w:type="dxa"/>
          </w:tcPr>
          <w:p w14:paraId="27BA8D0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Valuable?</w:t>
            </w:r>
          </w:p>
        </w:tc>
        <w:tc>
          <w:tcPr>
            <w:tcW w:w="1397" w:type="dxa"/>
          </w:tcPr>
          <w:p w14:paraId="3AC149F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Rare?</w:t>
            </w:r>
          </w:p>
        </w:tc>
        <w:tc>
          <w:tcPr>
            <w:tcW w:w="1248" w:type="dxa"/>
          </w:tcPr>
          <w:p w14:paraId="243E7AD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Difficult to imitate?</w:t>
            </w:r>
          </w:p>
        </w:tc>
        <w:tc>
          <w:tcPr>
            <w:tcW w:w="1385" w:type="dxa"/>
          </w:tcPr>
          <w:p w14:paraId="0BFA7C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Organised?</w:t>
            </w:r>
          </w:p>
        </w:tc>
        <w:tc>
          <w:tcPr>
            <w:tcW w:w="1558" w:type="dxa"/>
          </w:tcPr>
          <w:p w14:paraId="238F5BB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Strategic implication</w:t>
            </w:r>
          </w:p>
        </w:tc>
      </w:tr>
      <w:tr w:rsidR="00027E3A" w:rsidRPr="003822FD" w14:paraId="3121C618" w14:textId="77777777" w:rsidTr="00C02C66">
        <w:tc>
          <w:tcPr>
            <w:tcW w:w="2217" w:type="dxa"/>
          </w:tcPr>
          <w:p w14:paraId="6EB26D9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AI-assisted personalisation</w:t>
            </w:r>
          </w:p>
        </w:tc>
        <w:tc>
          <w:tcPr>
            <w:tcW w:w="1211" w:type="dxa"/>
          </w:tcPr>
          <w:p w14:paraId="4E23108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323EAAD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292CEE1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3BB6EF7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740CFB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advantage</w:t>
            </w:r>
          </w:p>
        </w:tc>
      </w:tr>
      <w:tr w:rsidR="00027E3A" w:rsidRPr="003822FD" w14:paraId="0EFA0665" w14:textId="77777777" w:rsidTr="00C02C66">
        <w:tc>
          <w:tcPr>
            <w:tcW w:w="2217" w:type="dxa"/>
          </w:tcPr>
          <w:p w14:paraId="77B9511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Wearable integration</w:t>
            </w:r>
          </w:p>
        </w:tc>
        <w:tc>
          <w:tcPr>
            <w:tcW w:w="1211" w:type="dxa"/>
          </w:tcPr>
          <w:p w14:paraId="1B69FA4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4BB2BAA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Partly</w:t>
            </w:r>
          </w:p>
        </w:tc>
        <w:tc>
          <w:tcPr>
            <w:tcW w:w="1248" w:type="dxa"/>
          </w:tcPr>
          <w:p w14:paraId="22B04CA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No/partly</w:t>
            </w:r>
          </w:p>
        </w:tc>
        <w:tc>
          <w:tcPr>
            <w:tcW w:w="1385" w:type="dxa"/>
          </w:tcPr>
          <w:p w14:paraId="60785E6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04CB86A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Temporary advantage</w:t>
            </w:r>
          </w:p>
        </w:tc>
      </w:tr>
      <w:tr w:rsidR="00027E3A" w:rsidRPr="003822FD" w14:paraId="4C6180C7" w14:textId="77777777" w:rsidTr="00C02C66">
        <w:tc>
          <w:tcPr>
            <w:tcW w:w="2217" w:type="dxa"/>
          </w:tcPr>
          <w:p w14:paraId="28D413F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Human coaching</w:t>
            </w:r>
          </w:p>
        </w:tc>
        <w:tc>
          <w:tcPr>
            <w:tcW w:w="1211" w:type="dxa"/>
          </w:tcPr>
          <w:p w14:paraId="6B0F3C0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427DD89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0EA033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5C8A85A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49368A3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Competitive parity</w:t>
            </w:r>
          </w:p>
        </w:tc>
      </w:tr>
      <w:tr w:rsidR="00027E3A" w:rsidRPr="003822FD" w14:paraId="314E1B8A" w14:textId="77777777" w:rsidTr="00C02C66">
        <w:tc>
          <w:tcPr>
            <w:tcW w:w="2217" w:type="dxa"/>
          </w:tcPr>
          <w:p w14:paraId="5396247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Integrated physical + digital model</w:t>
            </w:r>
          </w:p>
        </w:tc>
        <w:tc>
          <w:tcPr>
            <w:tcW w:w="1211" w:type="dxa"/>
          </w:tcPr>
          <w:p w14:paraId="4202B33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7CA21C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7234B39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6ADA34F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502EDFD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differentiation</w:t>
            </w:r>
          </w:p>
        </w:tc>
      </w:tr>
      <w:tr w:rsidR="00027E3A" w:rsidRPr="003822FD" w14:paraId="06320492" w14:textId="77777777" w:rsidTr="00C02C66">
        <w:tc>
          <w:tcPr>
            <w:tcW w:w="2217" w:type="dxa"/>
          </w:tcPr>
          <w:p w14:paraId="1C834E3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Customer data capability</w:t>
            </w:r>
          </w:p>
        </w:tc>
        <w:tc>
          <w:tcPr>
            <w:tcW w:w="1211" w:type="dxa"/>
          </w:tcPr>
          <w:p w14:paraId="745C0F4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0AC2462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5A0ACEB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6BAA10C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Requires governance</w:t>
            </w:r>
          </w:p>
        </w:tc>
        <w:tc>
          <w:tcPr>
            <w:tcW w:w="1558" w:type="dxa"/>
          </w:tcPr>
          <w:p w14:paraId="7653C17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advantage</w:t>
            </w:r>
          </w:p>
        </w:tc>
      </w:tr>
      <w:tr w:rsidR="00027E3A" w:rsidRPr="003822FD" w14:paraId="344268EE" w14:textId="77777777" w:rsidTr="00C02C66">
        <w:tc>
          <w:tcPr>
            <w:tcW w:w="2217" w:type="dxa"/>
          </w:tcPr>
          <w:p w14:paraId="47E5FEC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Local accessibility</w:t>
            </w:r>
          </w:p>
        </w:tc>
        <w:tc>
          <w:tcPr>
            <w:tcW w:w="1211" w:type="dxa"/>
          </w:tcPr>
          <w:p w14:paraId="5D6BD27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0C74EAB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Locationally</w:t>
            </w:r>
            <w:proofErr w:type="spellEnd"/>
          </w:p>
        </w:tc>
        <w:tc>
          <w:tcPr>
            <w:tcW w:w="1248" w:type="dxa"/>
          </w:tcPr>
          <w:p w14:paraId="7C5DCBD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3561007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655CCD7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Local advantage</w:t>
            </w:r>
          </w:p>
        </w:tc>
      </w:tr>
      <w:tr w:rsidR="00027E3A" w:rsidRPr="003822FD" w14:paraId="5BE06CA7" w14:textId="77777777" w:rsidTr="00C02C66">
        <w:tc>
          <w:tcPr>
            <w:tcW w:w="2217" w:type="dxa"/>
          </w:tcPr>
          <w:p w14:paraId="72C0361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Qualified trainers</w:t>
            </w:r>
          </w:p>
        </w:tc>
        <w:tc>
          <w:tcPr>
            <w:tcW w:w="1211" w:type="dxa"/>
          </w:tcPr>
          <w:p w14:paraId="52E91DE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542DDED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ECAE4D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48B9631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0B1C687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Competitive parity</w:t>
            </w:r>
          </w:p>
        </w:tc>
      </w:tr>
      <w:tr w:rsidR="00027E3A" w:rsidRPr="003822FD" w14:paraId="70D269AB" w14:textId="77777777" w:rsidTr="00C02C66">
        <w:tc>
          <w:tcPr>
            <w:tcW w:w="2217" w:type="dxa"/>
          </w:tcPr>
          <w:p w14:paraId="4BB5313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Brand reputation</w:t>
            </w:r>
          </w:p>
        </w:tc>
        <w:tc>
          <w:tcPr>
            <w:tcW w:w="1211" w:type="dxa"/>
          </w:tcPr>
          <w:p w14:paraId="012CD53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New venture</w:t>
            </w:r>
          </w:p>
        </w:tc>
        <w:tc>
          <w:tcPr>
            <w:tcW w:w="1397" w:type="dxa"/>
          </w:tcPr>
          <w:p w14:paraId="2FFC12C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468D21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7451202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Developing</w:t>
            </w:r>
          </w:p>
        </w:tc>
        <w:tc>
          <w:tcPr>
            <w:tcW w:w="1558" w:type="dxa"/>
          </w:tcPr>
          <w:p w14:paraId="674C2FC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Weak initially</w:t>
            </w:r>
          </w:p>
        </w:tc>
      </w:tr>
    </w:tbl>
    <w:p w14:paraId="656A7BA5" w14:textId="77777777" w:rsidR="00007561" w:rsidRPr="003822FD" w:rsidRDefault="00007561" w:rsidP="003822FD">
      <w:pPr>
        <w:spacing w:before="240" w:line="360" w:lineRule="auto"/>
        <w:jc w:val="both"/>
        <w:rPr>
          <w:rFonts w:ascii="Arial" w:eastAsia="Times New Roman" w:hAnsi="Arial" w:cs="Arial"/>
          <w:sz w:val="24"/>
          <w:szCs w:val="24"/>
          <w:lang w:val="en-GB" w:eastAsia="en-GB"/>
        </w:rPr>
      </w:pPr>
    </w:p>
    <w:p w14:paraId="52C2630C" w14:textId="15AF1420" w:rsidR="00AE2BB9"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AI-assisted personalisation is useful because it could empower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to scale up their recommendations and progress monitoring. But that's the technology of AI itself that is so widely available that it shouldn't automatically seem rare and difficult to copy. The promise is to be able to merge AI recommendations with the physical gym and coaching with wearables – into one customer experience. Wearable integration can reinforce monitoring and personalisation but is only partially unique due to the emergence of similar connected devices and services compatible with wearables. This means that it's more likely to offer a short-term benefit until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 improve their </w:t>
      </w:r>
      <w:r w:rsidR="00702DCA">
        <w:rPr>
          <w:rFonts w:ascii="Arial" w:eastAsia="Times New Roman" w:hAnsi="Arial" w:cs="Arial"/>
          <w:sz w:val="24"/>
          <w:szCs w:val="24"/>
          <w:lang w:val="en-GB" w:eastAsia="en-GB"/>
        </w:rPr>
        <w:t>integrated customer experience.</w:t>
      </w:r>
    </w:p>
    <w:p w14:paraId="6847D1C3" w14:textId="5BB93C66" w:rsidR="00AE2BB9"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There are human coaches and qualified trainers that are valuable, but relatively common in the fitness industry. They are not likely to build a competitive advantage, but they will be more likely to build a competitive parity. But a human and AI-driven recommendation may</w:t>
      </w:r>
      <w:r w:rsidR="00702DCA">
        <w:rPr>
          <w:rFonts w:ascii="Arial" w:eastAsia="Times New Roman" w:hAnsi="Arial" w:cs="Arial"/>
          <w:sz w:val="24"/>
          <w:szCs w:val="24"/>
          <w:lang w:val="en-GB" w:eastAsia="en-GB"/>
        </w:rPr>
        <w:t xml:space="preserve"> provide added strategic value   </w:t>
      </w:r>
      <w:r w:rsidRPr="003822FD">
        <w:rPr>
          <w:rFonts w:ascii="Arial" w:eastAsia="Times New Roman" w:hAnsi="Arial" w:cs="Arial"/>
          <w:sz w:val="24"/>
          <w:szCs w:val="24"/>
          <w:lang w:val="en-GB" w:eastAsia="en-GB"/>
        </w:rPr>
        <w:t>Trusted customer data may be a major asset as customer data capability could become a major asset as accumulated, responsibly managed customer information may support incr</w:t>
      </w:r>
      <w:r w:rsidR="00702DCA">
        <w:rPr>
          <w:rFonts w:ascii="Arial" w:eastAsia="Times New Roman" w:hAnsi="Arial" w:cs="Arial"/>
          <w:sz w:val="24"/>
          <w:szCs w:val="24"/>
          <w:lang w:val="en-GB" w:eastAsia="en-GB"/>
        </w:rPr>
        <w:t>easingly personalised services.</w:t>
      </w:r>
    </w:p>
    <w:p w14:paraId="26471A5B" w14:textId="77777777" w:rsidR="00AE2BB9" w:rsidRPr="003822FD" w:rsidRDefault="00AE2BB9" w:rsidP="003822FD">
      <w:pPr>
        <w:spacing w:before="240" w:line="360" w:lineRule="auto"/>
        <w:jc w:val="both"/>
        <w:rPr>
          <w:rFonts w:ascii="Arial" w:eastAsia="Times New Roman" w:hAnsi="Arial" w:cs="Arial"/>
          <w:sz w:val="24"/>
          <w:szCs w:val="24"/>
          <w:lang w:val="en-GB" w:eastAsia="en-GB"/>
        </w:rPr>
      </w:pPr>
    </w:p>
    <w:p w14:paraId="2101798A" w14:textId="457FE8B2" w:rsidR="00460368" w:rsidRPr="003822FD" w:rsidRDefault="00460368" w:rsidP="003822FD">
      <w:pPr>
        <w:spacing w:before="240" w:line="360" w:lineRule="auto"/>
        <w:jc w:val="both"/>
        <w:rPr>
          <w:rFonts w:ascii="Arial" w:eastAsia="Times New Roman" w:hAnsi="Arial" w:cs="Arial"/>
          <w:sz w:val="24"/>
          <w:szCs w:val="24"/>
          <w:lang w:val="en-GB" w:eastAsia="en-GB"/>
        </w:rPr>
      </w:pPr>
      <w:proofErr w:type="spellStart"/>
      <w:r w:rsidRPr="00460368">
        <w:rPr>
          <w:rFonts w:ascii="Arial" w:eastAsia="Times New Roman" w:hAnsi="Arial" w:cs="Arial"/>
          <w:sz w:val="24"/>
          <w:szCs w:val="24"/>
          <w:lang w:val="en-GB" w:eastAsia="en-GB"/>
        </w:rPr>
        <w:lastRenderedPageBreak/>
        <w:t>FitLife</w:t>
      </w:r>
      <w:proofErr w:type="spellEnd"/>
      <w:r w:rsidRPr="00460368">
        <w:rPr>
          <w:rFonts w:ascii="Arial" w:eastAsia="Times New Roman" w:hAnsi="Arial" w:cs="Arial"/>
          <w:sz w:val="24"/>
          <w:szCs w:val="24"/>
          <w:lang w:val="en-GB" w:eastAsia="en-GB"/>
        </w:rPr>
        <w:t xml:space="preserve"> should not treat AI, wearable technology or qualified trainers as independently sustainable sources of competitive advantage. Instead, the potential advantage lies in combining these resources with customer data, physical facilities, human coaching and digital engagement within an integrated customer experience.</w:t>
      </w:r>
    </w:p>
    <w:p w14:paraId="07D9B230" w14:textId="0B853688" w:rsidR="00AE2BB9" w:rsidRPr="00702DCA" w:rsidRDefault="00AE2BB9" w:rsidP="00702DCA">
      <w:pPr>
        <w:pStyle w:val="Heading2"/>
        <w:rPr>
          <w:rFonts w:eastAsia="Times New Roman"/>
          <w:lang w:val="en-GB" w:eastAsia="en-GB"/>
        </w:rPr>
      </w:pPr>
      <w:bookmarkStart w:id="65" w:name="_Toc239188539"/>
      <w:r w:rsidRPr="003822FD">
        <w:rPr>
          <w:rFonts w:eastAsia="Times New Roman"/>
          <w:lang w:val="en-GB" w:eastAsia="en-GB"/>
        </w:rPr>
        <w:t>7.4 SWOT Analysis</w:t>
      </w:r>
      <w:bookmarkEnd w:id="65"/>
    </w:p>
    <w:p w14:paraId="1BC13314" w14:textId="0CE2BB04" w:rsidR="00167EB0" w:rsidRPr="00167EB0" w:rsidRDefault="00167EB0" w:rsidP="00167EB0">
      <w:pPr>
        <w:spacing w:before="240" w:line="360" w:lineRule="auto"/>
        <w:jc w:val="both"/>
        <w:rPr>
          <w:rFonts w:ascii="Arial" w:eastAsia="Times New Roman" w:hAnsi="Arial" w:cs="Arial"/>
          <w:sz w:val="24"/>
          <w:szCs w:val="24"/>
          <w:lang w:val="en-GB" w:eastAsia="en-GB"/>
        </w:rPr>
      </w:pPr>
      <w:proofErr w:type="spellStart"/>
      <w:r w:rsidRPr="00167EB0">
        <w:rPr>
          <w:rFonts w:ascii="Arial" w:eastAsia="Times New Roman" w:hAnsi="Arial" w:cs="Arial"/>
          <w:sz w:val="24"/>
          <w:szCs w:val="24"/>
          <w:lang w:val="en-GB" w:eastAsia="en-GB"/>
        </w:rPr>
        <w:t>FitLife</w:t>
      </w:r>
      <w:proofErr w:type="spellEnd"/>
      <w:r w:rsidRPr="00167EB0">
        <w:rPr>
          <w:rFonts w:ascii="Arial" w:eastAsia="Times New Roman" w:hAnsi="Arial" w:cs="Arial"/>
          <w:sz w:val="24"/>
          <w:szCs w:val="24"/>
          <w:lang w:val="en-GB" w:eastAsia="en-GB"/>
        </w:rPr>
        <w:t xml:space="preserve"> Smart Gym’s strategic position can be synthesised through a SWOT analysis, bringing together the internal capabilities identified through VRIO and the external conditions established in Chapters 5 and 6. Rather than repeating the detailed market and competitive analysis, the SWOT identifies the factors most relevan</w:t>
      </w:r>
      <w:r>
        <w:rPr>
          <w:rFonts w:ascii="Arial" w:eastAsia="Times New Roman" w:hAnsi="Arial" w:cs="Arial"/>
          <w:sz w:val="24"/>
          <w:szCs w:val="24"/>
          <w:lang w:val="en-GB" w:eastAsia="en-GB"/>
        </w:rPr>
        <w:t>t to strategic decision-making.</w:t>
      </w:r>
    </w:p>
    <w:p w14:paraId="41C8BB5B" w14:textId="1EA5D925"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Strengths.</w:t>
      </w:r>
      <w:r w:rsidRPr="00167EB0">
        <w:rPr>
          <w:rFonts w:ascii="Arial" w:eastAsia="Times New Roman" w:hAnsi="Arial" w:cs="Arial"/>
          <w:sz w:val="24"/>
          <w:szCs w:val="24"/>
          <w:lang w:val="en-GB" w:eastAsia="en-GB"/>
        </w:rPr>
        <w:t xml:space="preserve"> </w:t>
      </w:r>
      <w:proofErr w:type="spellStart"/>
      <w:r w:rsidRPr="00167EB0">
        <w:rPr>
          <w:rFonts w:ascii="Arial" w:eastAsia="Times New Roman" w:hAnsi="Arial" w:cs="Arial"/>
          <w:sz w:val="24"/>
          <w:szCs w:val="24"/>
          <w:lang w:val="en-GB" w:eastAsia="en-GB"/>
        </w:rPr>
        <w:t>FitLife’s</w:t>
      </w:r>
      <w:proofErr w:type="spellEnd"/>
      <w:r w:rsidRPr="00167EB0">
        <w:rPr>
          <w:rFonts w:ascii="Arial" w:eastAsia="Times New Roman" w:hAnsi="Arial" w:cs="Arial"/>
          <w:sz w:val="24"/>
          <w:szCs w:val="24"/>
          <w:lang w:val="en-GB" w:eastAsia="en-GB"/>
        </w:rPr>
        <w:t xml:space="preserve"> principal strength is its proposed integration of physical and digital fitness provision. AI-assisted personalisation can support more tailored exercise recommendations, while wearable-supported monitoring can provide customers with greater visibility of their progress. These capabilities are reinforced by qualified human coaching, which can provide accountability and professional oversight. Local accessibility is also strategically important because the proposed model focuses on customers within a realistic </w:t>
      </w:r>
      <w:proofErr w:type="spellStart"/>
      <w:r w:rsidRPr="00167EB0">
        <w:rPr>
          <w:rFonts w:ascii="Arial" w:eastAsia="Times New Roman" w:hAnsi="Arial" w:cs="Arial"/>
          <w:sz w:val="24"/>
          <w:szCs w:val="24"/>
          <w:lang w:val="en-GB" w:eastAsia="en-GB"/>
        </w:rPr>
        <w:t>Levenshulme</w:t>
      </w:r>
      <w:proofErr w:type="spellEnd"/>
      <w:r w:rsidRPr="00167EB0">
        <w:rPr>
          <w:rFonts w:ascii="Arial" w:eastAsia="Times New Roman" w:hAnsi="Arial" w:cs="Arial"/>
          <w:sz w:val="24"/>
          <w:szCs w:val="24"/>
          <w:lang w:val="en-GB" w:eastAsia="en-GB"/>
        </w:rPr>
        <w:t xml:space="preserve"> and surrounding Manchester catchment. Together, these resources provide the foundation for a differentiated customer experience rather than a purely e</w:t>
      </w:r>
      <w:r>
        <w:rPr>
          <w:rFonts w:ascii="Arial" w:eastAsia="Times New Roman" w:hAnsi="Arial" w:cs="Arial"/>
          <w:sz w:val="24"/>
          <w:szCs w:val="24"/>
          <w:lang w:val="en-GB" w:eastAsia="en-GB"/>
        </w:rPr>
        <w:t>quipment-based gym proposition.</w:t>
      </w:r>
    </w:p>
    <w:p w14:paraId="3EBDD54A" w14:textId="33A7C1E4"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Weaknesses.</w:t>
      </w:r>
      <w:r w:rsidRPr="00167EB0">
        <w:rPr>
          <w:rFonts w:ascii="Arial" w:eastAsia="Times New Roman" w:hAnsi="Arial" w:cs="Arial"/>
          <w:sz w:val="24"/>
          <w:szCs w:val="24"/>
          <w:lang w:val="en-GB" w:eastAsia="en-GB"/>
        </w:rPr>
        <w:t xml:space="preserve"> As a new venture, </w:t>
      </w:r>
      <w:proofErr w:type="spellStart"/>
      <w:r w:rsidRPr="00167EB0">
        <w:rPr>
          <w:rFonts w:ascii="Arial" w:eastAsia="Times New Roman" w:hAnsi="Arial" w:cs="Arial"/>
          <w:sz w:val="24"/>
          <w:szCs w:val="24"/>
          <w:lang w:val="en-GB" w:eastAsia="en-GB"/>
        </w:rPr>
        <w:t>FitLife</w:t>
      </w:r>
      <w:proofErr w:type="spellEnd"/>
      <w:r w:rsidRPr="00167EB0">
        <w:rPr>
          <w:rFonts w:ascii="Arial" w:eastAsia="Times New Roman" w:hAnsi="Arial" w:cs="Arial"/>
          <w:sz w:val="24"/>
          <w:szCs w:val="24"/>
          <w:lang w:val="en-GB" w:eastAsia="en-GB"/>
        </w:rPr>
        <w:t xml:space="preserve"> will initially lack an established brand reputation and an existing customer base. The proposed technology-enabled model may also require significant investment in AI, app infrastructure, wearable integration and maintenance. Dependence on qualified trainers creates an additional capability requirement, while customer-data governance introduces operational and compliance responsibilities. These weaknesses suggest that the venture should avoid excessive complexity during the initial launch and prioritise capabilities that directl</w:t>
      </w:r>
      <w:r>
        <w:rPr>
          <w:rFonts w:ascii="Arial" w:eastAsia="Times New Roman" w:hAnsi="Arial" w:cs="Arial"/>
          <w:sz w:val="24"/>
          <w:szCs w:val="24"/>
          <w:lang w:val="en-GB" w:eastAsia="en-GB"/>
        </w:rPr>
        <w:t>y contribute to customer value.</w:t>
      </w:r>
    </w:p>
    <w:p w14:paraId="53D9629D" w14:textId="49900911"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Opportunities.</w:t>
      </w:r>
      <w:r w:rsidRPr="00167EB0">
        <w:rPr>
          <w:rFonts w:ascii="Arial" w:eastAsia="Times New Roman" w:hAnsi="Arial" w:cs="Arial"/>
          <w:sz w:val="24"/>
          <w:szCs w:val="24"/>
          <w:lang w:val="en-GB" w:eastAsia="en-GB"/>
        </w:rPr>
        <w:t xml:space="preserve"> The growing relevance of digital fitness, wearable technology and personalised exercise creates an opportunity for </w:t>
      </w:r>
      <w:proofErr w:type="spellStart"/>
      <w:r w:rsidRPr="00167EB0">
        <w:rPr>
          <w:rFonts w:ascii="Arial" w:eastAsia="Times New Roman" w:hAnsi="Arial" w:cs="Arial"/>
          <w:sz w:val="24"/>
          <w:szCs w:val="24"/>
          <w:lang w:val="en-GB" w:eastAsia="en-GB"/>
        </w:rPr>
        <w:t>FitLife</w:t>
      </w:r>
      <w:proofErr w:type="spellEnd"/>
      <w:r w:rsidRPr="00167EB0">
        <w:rPr>
          <w:rFonts w:ascii="Arial" w:eastAsia="Times New Roman" w:hAnsi="Arial" w:cs="Arial"/>
          <w:sz w:val="24"/>
          <w:szCs w:val="24"/>
          <w:lang w:val="en-GB" w:eastAsia="en-GB"/>
        </w:rPr>
        <w:t xml:space="preserve"> to combine physical and digital services into a coherent hybrid proposition (ACSM, 2024). The local market opportunity identified in Chapter 5 further supports a focused approach, particularly </w:t>
      </w:r>
      <w:r w:rsidRPr="00167EB0">
        <w:rPr>
          <w:rFonts w:ascii="Arial" w:eastAsia="Times New Roman" w:hAnsi="Arial" w:cs="Arial"/>
          <w:sz w:val="24"/>
          <w:szCs w:val="24"/>
          <w:lang w:val="en-GB" w:eastAsia="en-GB"/>
        </w:rPr>
        <w:lastRenderedPageBreak/>
        <w:t>among customers who value convenience, personalisation and</w:t>
      </w:r>
      <w:r>
        <w:rPr>
          <w:rFonts w:ascii="Arial" w:eastAsia="Times New Roman" w:hAnsi="Arial" w:cs="Arial"/>
          <w:sz w:val="24"/>
          <w:szCs w:val="24"/>
          <w:lang w:val="en-GB" w:eastAsia="en-GB"/>
        </w:rPr>
        <w:t xml:space="preserve"> technology-supported progress.</w:t>
      </w:r>
    </w:p>
    <w:p w14:paraId="4E205B62" w14:textId="79B1E817"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Threats.</w:t>
      </w:r>
      <w:r w:rsidRPr="00167EB0">
        <w:rPr>
          <w:rFonts w:ascii="Arial" w:eastAsia="Times New Roman" w:hAnsi="Arial" w:cs="Arial"/>
          <w:sz w:val="24"/>
          <w:szCs w:val="24"/>
          <w:lang w:val="en-GB" w:eastAsia="en-GB"/>
        </w:rPr>
        <w:t xml:space="preserve"> </w:t>
      </w:r>
      <w:proofErr w:type="spellStart"/>
      <w:r w:rsidRPr="00167EB0">
        <w:rPr>
          <w:rFonts w:ascii="Arial" w:eastAsia="Times New Roman" w:hAnsi="Arial" w:cs="Arial"/>
          <w:sz w:val="24"/>
          <w:szCs w:val="24"/>
          <w:lang w:val="en-GB" w:eastAsia="en-GB"/>
        </w:rPr>
        <w:t>FitLife</w:t>
      </w:r>
      <w:proofErr w:type="spellEnd"/>
      <w:r w:rsidRPr="00167EB0">
        <w:rPr>
          <w:rFonts w:ascii="Arial" w:eastAsia="Times New Roman" w:hAnsi="Arial" w:cs="Arial"/>
          <w:sz w:val="24"/>
          <w:szCs w:val="24"/>
          <w:lang w:val="en-GB" w:eastAsia="en-GB"/>
        </w:rPr>
        <w:t xml:space="preserve"> faces established competitors such as </w:t>
      </w:r>
      <w:proofErr w:type="spellStart"/>
      <w:r w:rsidRPr="00167EB0">
        <w:rPr>
          <w:rFonts w:ascii="Arial" w:eastAsia="Times New Roman" w:hAnsi="Arial" w:cs="Arial"/>
          <w:sz w:val="24"/>
          <w:szCs w:val="24"/>
          <w:lang w:val="en-GB" w:eastAsia="en-GB"/>
        </w:rPr>
        <w:t>PureGym</w:t>
      </w:r>
      <w:proofErr w:type="spellEnd"/>
      <w:r w:rsidRPr="00167EB0">
        <w:rPr>
          <w:rFonts w:ascii="Arial" w:eastAsia="Times New Roman" w:hAnsi="Arial" w:cs="Arial"/>
          <w:sz w:val="24"/>
          <w:szCs w:val="24"/>
          <w:lang w:val="en-GB" w:eastAsia="en-GB"/>
        </w:rPr>
        <w:t xml:space="preserve"> and </w:t>
      </w:r>
      <w:proofErr w:type="spellStart"/>
      <w:r w:rsidRPr="00167EB0">
        <w:rPr>
          <w:rFonts w:ascii="Arial" w:eastAsia="Times New Roman" w:hAnsi="Arial" w:cs="Arial"/>
          <w:sz w:val="24"/>
          <w:szCs w:val="24"/>
          <w:lang w:val="en-GB" w:eastAsia="en-GB"/>
        </w:rPr>
        <w:t>Jetts</w:t>
      </w:r>
      <w:proofErr w:type="spellEnd"/>
      <w:r w:rsidRPr="00167EB0">
        <w:rPr>
          <w:rFonts w:ascii="Arial" w:eastAsia="Times New Roman" w:hAnsi="Arial" w:cs="Arial"/>
          <w:sz w:val="24"/>
          <w:szCs w:val="24"/>
          <w:lang w:val="en-GB" w:eastAsia="en-GB"/>
        </w:rPr>
        <w:t>, strong price competition and substitutes including home workouts and free digital fitness content. Economic cost pressures may constrain customers’ willingness to pay, while rapid technological change can increase obsolescence risk. Data protection requirements also create an ong</w:t>
      </w:r>
      <w:r>
        <w:rPr>
          <w:rFonts w:ascii="Arial" w:eastAsia="Times New Roman" w:hAnsi="Arial" w:cs="Arial"/>
          <w:sz w:val="24"/>
          <w:szCs w:val="24"/>
          <w:lang w:val="en-GB" w:eastAsia="en-GB"/>
        </w:rPr>
        <w:t>oing governance responsibility.</w:t>
      </w:r>
    </w:p>
    <w:p w14:paraId="38C28EE9" w14:textId="1C962682" w:rsidR="00C04ACD" w:rsidRPr="003822FD"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Strategic meaning.</w:t>
      </w:r>
      <w:r w:rsidRPr="00167EB0">
        <w:rPr>
          <w:rFonts w:ascii="Arial" w:eastAsia="Times New Roman" w:hAnsi="Arial" w:cs="Arial"/>
          <w:sz w:val="24"/>
          <w:szCs w:val="24"/>
          <w:lang w:val="en-GB" w:eastAsia="en-GB"/>
        </w:rPr>
        <w:t xml:space="preserve"> Overall, the SWOT indicates that </w:t>
      </w:r>
      <w:proofErr w:type="spellStart"/>
      <w:r w:rsidRPr="00167EB0">
        <w:rPr>
          <w:rFonts w:ascii="Arial" w:eastAsia="Times New Roman" w:hAnsi="Arial" w:cs="Arial"/>
          <w:sz w:val="24"/>
          <w:szCs w:val="24"/>
          <w:lang w:val="en-GB" w:eastAsia="en-GB"/>
        </w:rPr>
        <w:t>FitLife’s</w:t>
      </w:r>
      <w:proofErr w:type="spellEnd"/>
      <w:r w:rsidRPr="00167EB0">
        <w:rPr>
          <w:rFonts w:ascii="Arial" w:eastAsia="Times New Roman" w:hAnsi="Arial" w:cs="Arial"/>
          <w:sz w:val="24"/>
          <w:szCs w:val="24"/>
          <w:lang w:val="en-GB" w:eastAsia="en-GB"/>
        </w:rPr>
        <w:t xml:space="preserve"> strongest strategic route is to exploit its integrated technology-and-human-support capabilities while avoiding direct price competition. However, the strategy remains conditional on controlling technology and staffing costs and demonstrating sufficient customer willingness to adopt and pay for the proposed service. This provides the basis for evaluating alternative strategic options in Section 7.5.</w:t>
      </w:r>
    </w:p>
    <w:p w14:paraId="36434E93" w14:textId="54EBD315" w:rsidR="00C04ACD" w:rsidRPr="00771400" w:rsidRDefault="00C04ACD" w:rsidP="00771400">
      <w:pPr>
        <w:pStyle w:val="Heading2"/>
        <w:rPr>
          <w:rFonts w:eastAsia="Times New Roman"/>
          <w:lang w:val="en-GB" w:eastAsia="en-GB"/>
        </w:rPr>
      </w:pPr>
      <w:bookmarkStart w:id="66" w:name="_Toc239188540"/>
      <w:r w:rsidRPr="003822FD">
        <w:rPr>
          <w:rFonts w:eastAsia="Times New Roman"/>
          <w:lang w:val="en-GB" w:eastAsia="en-GB"/>
        </w:rPr>
        <w:t>7.5 Strategy Selection</w:t>
      </w:r>
      <w:bookmarkEnd w:id="66"/>
    </w:p>
    <w:p w14:paraId="6BB3F196" w14:textId="271F4543" w:rsidR="00661A72" w:rsidRPr="00661A72" w:rsidRDefault="00661A72" w:rsidP="00661A72">
      <w:pPr>
        <w:spacing w:before="240" w:line="360" w:lineRule="auto"/>
        <w:jc w:val="both"/>
        <w:rPr>
          <w:rFonts w:ascii="Arial" w:eastAsia="Times New Roman" w:hAnsi="Arial" w:cs="Arial"/>
          <w:sz w:val="24"/>
          <w:szCs w:val="24"/>
          <w:lang w:val="en-GB" w:eastAsia="en-GB"/>
        </w:rPr>
      </w:pPr>
      <w:proofErr w:type="spellStart"/>
      <w:r w:rsidRPr="00661A72">
        <w:rPr>
          <w:rFonts w:ascii="Arial" w:eastAsia="Times New Roman" w:hAnsi="Arial" w:cs="Arial"/>
          <w:sz w:val="24"/>
          <w:szCs w:val="24"/>
          <w:lang w:val="en-GB" w:eastAsia="en-GB"/>
        </w:rPr>
        <w:t>FitLife’s</w:t>
      </w:r>
      <w:proofErr w:type="spellEnd"/>
      <w:r w:rsidRPr="00661A72">
        <w:rPr>
          <w:rFonts w:ascii="Arial" w:eastAsia="Times New Roman" w:hAnsi="Arial" w:cs="Arial"/>
          <w:sz w:val="24"/>
          <w:szCs w:val="24"/>
          <w:lang w:val="en-GB" w:eastAsia="en-GB"/>
        </w:rPr>
        <w:t xml:space="preserve"> strategic options are evaluated using suitability, feasibility and acceptability, ensuring that the preferred strategy reflects the evidence from Chapters 5 and 6 rather than strategic preference alone. This approach is consistent with research showing that generic strategies can have different performance implications depending on their configuration and competitive context (Lee</w:t>
      </w:r>
      <w:r>
        <w:rPr>
          <w:rFonts w:ascii="Arial" w:eastAsia="Times New Roman" w:hAnsi="Arial" w:cs="Arial"/>
          <w:sz w:val="24"/>
          <w:szCs w:val="24"/>
          <w:lang w:val="en-GB" w:eastAsia="en-GB"/>
        </w:rPr>
        <w:t xml:space="preserve">, </w:t>
      </w:r>
      <w:proofErr w:type="spellStart"/>
      <w:r>
        <w:rPr>
          <w:rFonts w:ascii="Arial" w:eastAsia="Times New Roman" w:hAnsi="Arial" w:cs="Arial"/>
          <w:sz w:val="24"/>
          <w:szCs w:val="24"/>
          <w:lang w:val="en-GB" w:eastAsia="en-GB"/>
        </w:rPr>
        <w:t>Hoehn</w:t>
      </w:r>
      <w:proofErr w:type="spellEnd"/>
      <w:r>
        <w:rPr>
          <w:rFonts w:ascii="Arial" w:eastAsia="Times New Roman" w:hAnsi="Arial" w:cs="Arial"/>
          <w:sz w:val="24"/>
          <w:szCs w:val="24"/>
          <w:lang w:val="en-GB" w:eastAsia="en-GB"/>
        </w:rPr>
        <w:t>-Weiss and Karim, 2021).</w:t>
      </w:r>
    </w:p>
    <w:p w14:paraId="63426C3F" w14:textId="211D6DBF" w:rsidR="00661A72" w:rsidRPr="00661A72" w:rsidRDefault="00661A72" w:rsidP="00661A72">
      <w:pPr>
        <w:pStyle w:val="Caption"/>
        <w:keepNext/>
        <w:rPr>
          <w:rFonts w:ascii="Arial" w:hAnsi="Arial" w:cs="Arial"/>
          <w:sz w:val="24"/>
        </w:rPr>
      </w:pPr>
      <w:bookmarkStart w:id="67" w:name="_Toc239091692"/>
      <w:r w:rsidRPr="00661A72">
        <w:rPr>
          <w:rFonts w:ascii="Arial" w:hAnsi="Arial" w:cs="Arial"/>
          <w:sz w:val="24"/>
        </w:rPr>
        <w:t xml:space="preserve">Table </w:t>
      </w:r>
      <w:r w:rsidRPr="00661A72">
        <w:rPr>
          <w:rFonts w:ascii="Arial" w:hAnsi="Arial" w:cs="Arial"/>
          <w:sz w:val="24"/>
        </w:rPr>
        <w:fldChar w:fldCharType="begin"/>
      </w:r>
      <w:r w:rsidRPr="00661A72">
        <w:rPr>
          <w:rFonts w:ascii="Arial" w:hAnsi="Arial" w:cs="Arial"/>
          <w:sz w:val="24"/>
        </w:rPr>
        <w:instrText xml:space="preserve"> SEQ Table \* ARABIC </w:instrText>
      </w:r>
      <w:r w:rsidRPr="00661A72">
        <w:rPr>
          <w:rFonts w:ascii="Arial" w:hAnsi="Arial" w:cs="Arial"/>
          <w:sz w:val="24"/>
        </w:rPr>
        <w:fldChar w:fldCharType="separate"/>
      </w:r>
      <w:r w:rsidR="00415D83">
        <w:rPr>
          <w:rFonts w:ascii="Arial" w:hAnsi="Arial" w:cs="Arial"/>
          <w:noProof/>
          <w:sz w:val="24"/>
        </w:rPr>
        <w:t>8</w:t>
      </w:r>
      <w:r w:rsidRPr="00661A72">
        <w:rPr>
          <w:rFonts w:ascii="Arial" w:hAnsi="Arial" w:cs="Arial"/>
          <w:sz w:val="24"/>
        </w:rPr>
        <w:fldChar w:fldCharType="end"/>
      </w:r>
      <w:r w:rsidRPr="00661A72">
        <w:rPr>
          <w:rFonts w:ascii="Arial" w:hAnsi="Arial" w:cs="Arial"/>
          <w:sz w:val="24"/>
        </w:rPr>
        <w:t>.Strategy Selection</w:t>
      </w:r>
      <w:bookmarkEnd w:id="67"/>
    </w:p>
    <w:tbl>
      <w:tblPr>
        <w:tblStyle w:val="TableGrid"/>
        <w:tblW w:w="0" w:type="auto"/>
        <w:tblLook w:val="04A0" w:firstRow="1" w:lastRow="0" w:firstColumn="1" w:lastColumn="0" w:noHBand="0" w:noVBand="1"/>
      </w:tblPr>
      <w:tblGrid>
        <w:gridCol w:w="1803"/>
        <w:gridCol w:w="1803"/>
        <w:gridCol w:w="1803"/>
        <w:gridCol w:w="1803"/>
        <w:gridCol w:w="1804"/>
      </w:tblGrid>
      <w:tr w:rsidR="00661A72" w:rsidRPr="00661A72" w14:paraId="27FB66C6" w14:textId="77777777" w:rsidTr="00661A72">
        <w:tc>
          <w:tcPr>
            <w:tcW w:w="1803" w:type="dxa"/>
          </w:tcPr>
          <w:p w14:paraId="6023C27C"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Strategic option</w:t>
            </w:r>
          </w:p>
        </w:tc>
        <w:tc>
          <w:tcPr>
            <w:tcW w:w="1803" w:type="dxa"/>
          </w:tcPr>
          <w:p w14:paraId="56E8E79D"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Suitability</w:t>
            </w:r>
          </w:p>
        </w:tc>
        <w:tc>
          <w:tcPr>
            <w:tcW w:w="1803" w:type="dxa"/>
          </w:tcPr>
          <w:p w14:paraId="400A4BCD"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Feasibility</w:t>
            </w:r>
          </w:p>
        </w:tc>
        <w:tc>
          <w:tcPr>
            <w:tcW w:w="1803" w:type="dxa"/>
          </w:tcPr>
          <w:p w14:paraId="660AC22D"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Acceptability</w:t>
            </w:r>
          </w:p>
        </w:tc>
        <w:tc>
          <w:tcPr>
            <w:tcW w:w="1804" w:type="dxa"/>
          </w:tcPr>
          <w:p w14:paraId="45C815DC"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Decision</w:t>
            </w:r>
          </w:p>
        </w:tc>
      </w:tr>
      <w:tr w:rsidR="00661A72" w:rsidRPr="00661A72" w14:paraId="7A42E4C6" w14:textId="77777777" w:rsidTr="00661A72">
        <w:tc>
          <w:tcPr>
            <w:tcW w:w="1803" w:type="dxa"/>
          </w:tcPr>
          <w:p w14:paraId="72A28933"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Cost leadership</w:t>
            </w:r>
          </w:p>
        </w:tc>
        <w:tc>
          <w:tcPr>
            <w:tcW w:w="1803" w:type="dxa"/>
          </w:tcPr>
          <w:p w14:paraId="60767079"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Low</w:t>
            </w:r>
          </w:p>
        </w:tc>
        <w:tc>
          <w:tcPr>
            <w:tcW w:w="1803" w:type="dxa"/>
          </w:tcPr>
          <w:p w14:paraId="3AC5B10B"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Low</w:t>
            </w:r>
          </w:p>
        </w:tc>
        <w:tc>
          <w:tcPr>
            <w:tcW w:w="1803" w:type="dxa"/>
          </w:tcPr>
          <w:p w14:paraId="4D25B9BA"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w:t>
            </w:r>
          </w:p>
        </w:tc>
        <w:tc>
          <w:tcPr>
            <w:tcW w:w="1804" w:type="dxa"/>
          </w:tcPr>
          <w:p w14:paraId="3B53006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Reject</w:t>
            </w:r>
          </w:p>
        </w:tc>
      </w:tr>
      <w:tr w:rsidR="00661A72" w:rsidRPr="00661A72" w14:paraId="3D6F6823" w14:textId="77777777" w:rsidTr="00661A72">
        <w:tc>
          <w:tcPr>
            <w:tcW w:w="1803" w:type="dxa"/>
          </w:tcPr>
          <w:p w14:paraId="734F8812"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Broad differentiation</w:t>
            </w:r>
          </w:p>
        </w:tc>
        <w:tc>
          <w:tcPr>
            <w:tcW w:w="1803" w:type="dxa"/>
          </w:tcPr>
          <w:p w14:paraId="4D241C64"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w:t>
            </w:r>
          </w:p>
        </w:tc>
        <w:tc>
          <w:tcPr>
            <w:tcW w:w="1803" w:type="dxa"/>
          </w:tcPr>
          <w:p w14:paraId="7D61F9EC"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Moderate/Low</w:t>
            </w:r>
          </w:p>
        </w:tc>
        <w:tc>
          <w:tcPr>
            <w:tcW w:w="1803" w:type="dxa"/>
          </w:tcPr>
          <w:p w14:paraId="32BDCB8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w:t>
            </w:r>
          </w:p>
        </w:tc>
        <w:tc>
          <w:tcPr>
            <w:tcW w:w="1804" w:type="dxa"/>
          </w:tcPr>
          <w:p w14:paraId="36357FAA"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Reject</w:t>
            </w:r>
          </w:p>
        </w:tc>
      </w:tr>
      <w:tr w:rsidR="00661A72" w:rsidRPr="00661A72" w14:paraId="7AEA0F60" w14:textId="77777777" w:rsidTr="00661A72">
        <w:tc>
          <w:tcPr>
            <w:tcW w:w="1803" w:type="dxa"/>
          </w:tcPr>
          <w:p w14:paraId="75FAD636"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Focused differentiation</w:t>
            </w:r>
          </w:p>
        </w:tc>
        <w:tc>
          <w:tcPr>
            <w:tcW w:w="1803" w:type="dxa"/>
          </w:tcPr>
          <w:p w14:paraId="32F8CB1B"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High</w:t>
            </w:r>
          </w:p>
        </w:tc>
        <w:tc>
          <w:tcPr>
            <w:tcW w:w="1803" w:type="dxa"/>
          </w:tcPr>
          <w:p w14:paraId="0D949D7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Conditional</w:t>
            </w:r>
          </w:p>
        </w:tc>
        <w:tc>
          <w:tcPr>
            <w:tcW w:w="1803" w:type="dxa"/>
          </w:tcPr>
          <w:p w14:paraId="1969526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High if value is demonstrated</w:t>
            </w:r>
          </w:p>
        </w:tc>
        <w:tc>
          <w:tcPr>
            <w:tcW w:w="1804" w:type="dxa"/>
          </w:tcPr>
          <w:p w14:paraId="788AABB4"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Select</w:t>
            </w:r>
          </w:p>
        </w:tc>
      </w:tr>
    </w:tbl>
    <w:p w14:paraId="3C3EADDC" w14:textId="053F2D0D" w:rsidR="00661A72" w:rsidRPr="00661A72"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lastRenderedPageBreak/>
        <w:t xml:space="preserve">Cost leadership has low suitability because </w:t>
      </w:r>
      <w:proofErr w:type="spellStart"/>
      <w:r w:rsidRPr="00661A72">
        <w:rPr>
          <w:rFonts w:ascii="Arial" w:eastAsia="Times New Roman" w:hAnsi="Arial" w:cs="Arial"/>
          <w:sz w:val="24"/>
          <w:szCs w:val="24"/>
          <w:lang w:val="en-GB" w:eastAsia="en-GB"/>
        </w:rPr>
        <w:t>FitLife</w:t>
      </w:r>
      <w:proofErr w:type="spellEnd"/>
      <w:r w:rsidRPr="00661A72">
        <w:rPr>
          <w:rFonts w:ascii="Arial" w:eastAsia="Times New Roman" w:hAnsi="Arial" w:cs="Arial"/>
          <w:sz w:val="24"/>
          <w:szCs w:val="24"/>
          <w:lang w:val="en-GB" w:eastAsia="en-GB"/>
        </w:rPr>
        <w:t xml:space="preserve"> would compete against established low-cost providers with greater scale and purchasing advantages. Its proposed combination of AI, wearable integration, physical facilities and qualified coaching also creates additional technology and staffing costs, making sustained low-cost positioning difficult. Recent research cautions that combining cost-focused approaches with other strategic positions can create performance disadvantages when firms lack an underlying cost advantage (Lee</w:t>
      </w:r>
      <w:r w:rsidR="00113FA5">
        <w:rPr>
          <w:rFonts w:ascii="Arial" w:eastAsia="Times New Roman" w:hAnsi="Arial" w:cs="Arial"/>
          <w:sz w:val="24"/>
          <w:szCs w:val="24"/>
          <w:lang w:val="en-GB" w:eastAsia="en-GB"/>
        </w:rPr>
        <w:t xml:space="preserve">, </w:t>
      </w:r>
      <w:proofErr w:type="spellStart"/>
      <w:r w:rsidR="00113FA5">
        <w:rPr>
          <w:rFonts w:ascii="Arial" w:eastAsia="Times New Roman" w:hAnsi="Arial" w:cs="Arial"/>
          <w:sz w:val="24"/>
          <w:szCs w:val="24"/>
          <w:lang w:val="en-GB" w:eastAsia="en-GB"/>
        </w:rPr>
        <w:t>Hoehn</w:t>
      </w:r>
      <w:proofErr w:type="spellEnd"/>
      <w:r w:rsidR="00113FA5">
        <w:rPr>
          <w:rFonts w:ascii="Arial" w:eastAsia="Times New Roman" w:hAnsi="Arial" w:cs="Arial"/>
          <w:sz w:val="24"/>
          <w:szCs w:val="24"/>
          <w:lang w:val="en-GB" w:eastAsia="en-GB"/>
        </w:rPr>
        <w:t>-Weiss and Karim, 2021).</w:t>
      </w:r>
    </w:p>
    <w:p w14:paraId="6F535A88" w14:textId="2F5C6335" w:rsidR="00661A72" w:rsidRPr="00661A72"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Broad differentiation is moderately suitable because technology-enabled personalisation could appeal to a wider Manchester market. However, broad targeting would require greater marketing, customer-acquisition and operational resources, creating feasibility concerns for a new venture. Although wearable technology and mobile exercise applications remain major fitness trends, technology adoption alone does not guarantee customer willingness t</w:t>
      </w:r>
      <w:r w:rsidR="00113FA5">
        <w:rPr>
          <w:rFonts w:ascii="Arial" w:eastAsia="Times New Roman" w:hAnsi="Arial" w:cs="Arial"/>
          <w:sz w:val="24"/>
          <w:szCs w:val="24"/>
          <w:lang w:val="en-GB" w:eastAsia="en-GB"/>
        </w:rPr>
        <w:t>o pay (ACSM, 2025; ACSM, 2026).</w:t>
      </w:r>
    </w:p>
    <w:p w14:paraId="02E17599" w14:textId="05E8915A" w:rsidR="00661A72" w:rsidRPr="00661A72"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 xml:space="preserve">Focused differentiation provides the strongest strategic fit. It allows </w:t>
      </w:r>
      <w:proofErr w:type="spellStart"/>
      <w:r w:rsidRPr="00661A72">
        <w:rPr>
          <w:rFonts w:ascii="Arial" w:eastAsia="Times New Roman" w:hAnsi="Arial" w:cs="Arial"/>
          <w:sz w:val="24"/>
          <w:szCs w:val="24"/>
          <w:lang w:val="en-GB" w:eastAsia="en-GB"/>
        </w:rPr>
        <w:t>FitLife</w:t>
      </w:r>
      <w:proofErr w:type="spellEnd"/>
      <w:r w:rsidRPr="00661A72">
        <w:rPr>
          <w:rFonts w:ascii="Arial" w:eastAsia="Times New Roman" w:hAnsi="Arial" w:cs="Arial"/>
          <w:sz w:val="24"/>
          <w:szCs w:val="24"/>
          <w:lang w:val="en-GB" w:eastAsia="en-GB"/>
        </w:rPr>
        <w:t xml:space="preserve"> to concentrate resources on digitally receptive working-age adults within </w:t>
      </w:r>
      <w:proofErr w:type="spellStart"/>
      <w:r w:rsidRPr="00661A72">
        <w:rPr>
          <w:rFonts w:ascii="Arial" w:eastAsia="Times New Roman" w:hAnsi="Arial" w:cs="Arial"/>
          <w:sz w:val="24"/>
          <w:szCs w:val="24"/>
          <w:lang w:val="en-GB" w:eastAsia="en-GB"/>
        </w:rPr>
        <w:t>Levenshulme</w:t>
      </w:r>
      <w:proofErr w:type="spellEnd"/>
      <w:r w:rsidRPr="00661A72">
        <w:rPr>
          <w:rFonts w:ascii="Arial" w:eastAsia="Times New Roman" w:hAnsi="Arial" w:cs="Arial"/>
          <w:sz w:val="24"/>
          <w:szCs w:val="24"/>
          <w:lang w:val="en-GB" w:eastAsia="en-GB"/>
        </w:rPr>
        <w:t xml:space="preserve"> and its realistic surrounding catchment who value convenience, personalisation, progress monitoring and human support. The strategy is feasible conditionally, depending on willingness to pay, controlled technology costs, qualified trainer availability, cust</w:t>
      </w:r>
      <w:r w:rsidR="00113FA5">
        <w:rPr>
          <w:rFonts w:ascii="Arial" w:eastAsia="Times New Roman" w:hAnsi="Arial" w:cs="Arial"/>
          <w:sz w:val="24"/>
          <w:szCs w:val="24"/>
          <w:lang w:val="en-GB" w:eastAsia="en-GB"/>
        </w:rPr>
        <w:t>omer acquisition and retention.</w:t>
      </w:r>
    </w:p>
    <w:p w14:paraId="0E782C88" w14:textId="40501027" w:rsidR="00C04ACD"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 xml:space="preserve">Strategic decision: </w:t>
      </w:r>
      <w:proofErr w:type="spellStart"/>
      <w:r w:rsidRPr="00661A72">
        <w:rPr>
          <w:rFonts w:ascii="Arial" w:eastAsia="Times New Roman" w:hAnsi="Arial" w:cs="Arial"/>
          <w:sz w:val="24"/>
          <w:szCs w:val="24"/>
          <w:lang w:val="en-GB" w:eastAsia="en-GB"/>
        </w:rPr>
        <w:t>FitLife</w:t>
      </w:r>
      <w:proofErr w:type="spellEnd"/>
      <w:r w:rsidRPr="00661A72">
        <w:rPr>
          <w:rFonts w:ascii="Arial" w:eastAsia="Times New Roman" w:hAnsi="Arial" w:cs="Arial"/>
          <w:sz w:val="24"/>
          <w:szCs w:val="24"/>
          <w:lang w:val="en-GB" w:eastAsia="en-GB"/>
        </w:rPr>
        <w:t xml:space="preserve"> should therefore pursue focused differentiation, using an accessible/mid-market position supported by AI-assisted personalisation, wearable monitoring and qualified human coaching. However, this is a testable strategic proposition rather than a guaranteed competitive advantage. Customer willingness to pay, technology economics, staffing capability and retention should be validated through the financial and implement</w:t>
      </w:r>
      <w:r>
        <w:rPr>
          <w:rFonts w:ascii="Arial" w:eastAsia="Times New Roman" w:hAnsi="Arial" w:cs="Arial"/>
          <w:sz w:val="24"/>
          <w:szCs w:val="24"/>
          <w:lang w:val="en-GB" w:eastAsia="en-GB"/>
        </w:rPr>
        <w:t>ation analysis in Chapters 9–11</w:t>
      </w:r>
      <w:r w:rsidR="00C04ACD" w:rsidRPr="003822FD">
        <w:rPr>
          <w:rFonts w:ascii="Arial" w:eastAsia="Times New Roman" w:hAnsi="Arial" w:cs="Arial"/>
          <w:sz w:val="24"/>
          <w:szCs w:val="24"/>
          <w:lang w:val="en-GB" w:eastAsia="en-GB"/>
        </w:rPr>
        <w:t>.</w:t>
      </w:r>
    </w:p>
    <w:p w14:paraId="3A6D6B33" w14:textId="1C3D13F3" w:rsidR="00BC414F" w:rsidRPr="00BC414F" w:rsidRDefault="00BC414F" w:rsidP="00BC414F">
      <w:pPr>
        <w:pStyle w:val="Heading2"/>
      </w:pPr>
      <w:bookmarkStart w:id="68" w:name="_Toc239188541"/>
      <w:r w:rsidRPr="00BC414F">
        <w:t>7</w:t>
      </w:r>
      <w:r w:rsidRPr="00BC414F">
        <w:rPr>
          <w:rStyle w:val="Heading2Char"/>
          <w:b/>
        </w:rPr>
        <w:t>.6 Strategic Positioning</w:t>
      </w:r>
      <w:bookmarkEnd w:id="68"/>
      <w:r w:rsidRPr="00BC414F">
        <w:t xml:space="preserve"> </w:t>
      </w:r>
    </w:p>
    <w:p w14:paraId="5A889171" w14:textId="12B66370" w:rsidR="00BC414F" w:rsidRPr="003822FD" w:rsidRDefault="00BC414F" w:rsidP="00BC414F">
      <w:pPr>
        <w:spacing w:before="240" w:line="360" w:lineRule="auto"/>
        <w:jc w:val="both"/>
        <w:rPr>
          <w:rFonts w:ascii="Arial" w:eastAsia="Times New Roman" w:hAnsi="Arial" w:cs="Arial"/>
          <w:sz w:val="24"/>
          <w:szCs w:val="24"/>
          <w:lang w:val="en-GB" w:eastAsia="en-GB"/>
        </w:rPr>
      </w:pPr>
      <w:proofErr w:type="spellStart"/>
      <w:r w:rsidRPr="00BC414F">
        <w:rPr>
          <w:rFonts w:ascii="Arial" w:eastAsia="Times New Roman" w:hAnsi="Arial" w:cs="Arial"/>
          <w:sz w:val="24"/>
          <w:szCs w:val="24"/>
          <w:lang w:val="en-GB" w:eastAsia="en-GB"/>
        </w:rPr>
        <w:t>FitLife</w:t>
      </w:r>
      <w:proofErr w:type="spellEnd"/>
      <w:r w:rsidRPr="00BC414F">
        <w:rPr>
          <w:rFonts w:ascii="Arial" w:eastAsia="Times New Roman" w:hAnsi="Arial" w:cs="Arial"/>
          <w:sz w:val="24"/>
          <w:szCs w:val="24"/>
          <w:lang w:val="en-GB" w:eastAsia="en-GB"/>
        </w:rPr>
        <w:t xml:space="preserve"> will adopt an accessible/mid-market positioning rather than competing primarily on the lowest membership price. This reflects the competitive pressure created by established low-cost gyms and </w:t>
      </w:r>
      <w:proofErr w:type="spellStart"/>
      <w:r w:rsidRPr="00BC414F">
        <w:rPr>
          <w:rFonts w:ascii="Arial" w:eastAsia="Times New Roman" w:hAnsi="Arial" w:cs="Arial"/>
          <w:sz w:val="24"/>
          <w:szCs w:val="24"/>
          <w:lang w:val="en-GB" w:eastAsia="en-GB"/>
        </w:rPr>
        <w:t>FitLife’s</w:t>
      </w:r>
      <w:proofErr w:type="spellEnd"/>
      <w:r w:rsidRPr="00BC414F">
        <w:rPr>
          <w:rFonts w:ascii="Arial" w:eastAsia="Times New Roman" w:hAnsi="Arial" w:cs="Arial"/>
          <w:sz w:val="24"/>
          <w:szCs w:val="24"/>
          <w:lang w:val="en-GB" w:eastAsia="en-GB"/>
        </w:rPr>
        <w:t xml:space="preserve"> higher costs associated with technology, equipment and qualified human support. The proposed position combines high personalisation, technology integration and human coaching to create greater </w:t>
      </w:r>
      <w:r w:rsidRPr="00BC414F">
        <w:rPr>
          <w:rFonts w:ascii="Arial" w:eastAsia="Times New Roman" w:hAnsi="Arial" w:cs="Arial"/>
          <w:sz w:val="24"/>
          <w:szCs w:val="24"/>
          <w:lang w:val="en-GB" w:eastAsia="en-GB"/>
        </w:rPr>
        <w:lastRenderedPageBreak/>
        <w:t xml:space="preserve">perceived customer value. AI-assisted recommendations and wearable-supported progress monitoring will be complemented by trainers who provide professional guidance, accountability and oversight. This integrated proposition supports the focused-differentiation strategy selected in Section 7.5. Therefore, </w:t>
      </w:r>
      <w:proofErr w:type="spellStart"/>
      <w:r w:rsidRPr="00BC414F">
        <w:rPr>
          <w:rFonts w:ascii="Arial" w:eastAsia="Times New Roman" w:hAnsi="Arial" w:cs="Arial"/>
          <w:sz w:val="24"/>
          <w:szCs w:val="24"/>
          <w:lang w:val="en-GB" w:eastAsia="en-GB"/>
        </w:rPr>
        <w:t>FitLife</w:t>
      </w:r>
      <w:proofErr w:type="spellEnd"/>
      <w:r w:rsidRPr="00BC414F">
        <w:rPr>
          <w:rFonts w:ascii="Arial" w:eastAsia="Times New Roman" w:hAnsi="Arial" w:cs="Arial"/>
          <w:sz w:val="24"/>
          <w:szCs w:val="24"/>
          <w:lang w:val="en-GB" w:eastAsia="en-GB"/>
        </w:rPr>
        <w:t xml:space="preserve"> will not compete primarily by being the cheapest gym; it will compete by offering greater integrated customer value (Porter, 1985; </w:t>
      </w:r>
      <w:proofErr w:type="spellStart"/>
      <w:r w:rsidRPr="00BC414F">
        <w:rPr>
          <w:rFonts w:ascii="Arial" w:eastAsia="Times New Roman" w:hAnsi="Arial" w:cs="Arial"/>
          <w:sz w:val="24"/>
          <w:szCs w:val="24"/>
          <w:lang w:val="en-GB" w:eastAsia="en-GB"/>
        </w:rPr>
        <w:t>Teece</w:t>
      </w:r>
      <w:proofErr w:type="spellEnd"/>
      <w:r w:rsidRPr="00BC414F">
        <w:rPr>
          <w:rFonts w:ascii="Arial" w:eastAsia="Times New Roman" w:hAnsi="Arial" w:cs="Arial"/>
          <w:sz w:val="24"/>
          <w:szCs w:val="24"/>
          <w:lang w:val="en-GB" w:eastAsia="en-GB"/>
        </w:rPr>
        <w:t>, 2018).</w:t>
      </w:r>
    </w:p>
    <w:p w14:paraId="4B85374B" w14:textId="1A94A525" w:rsidR="00C04ACD" w:rsidRPr="00771400" w:rsidRDefault="00BC414F" w:rsidP="00771400">
      <w:pPr>
        <w:pStyle w:val="Heading2"/>
        <w:rPr>
          <w:rFonts w:eastAsia="Times New Roman"/>
          <w:lang w:val="en-GB" w:eastAsia="en-GB"/>
        </w:rPr>
      </w:pPr>
      <w:bookmarkStart w:id="69" w:name="_Toc239188542"/>
      <w:r>
        <w:rPr>
          <w:rFonts w:eastAsia="Times New Roman"/>
          <w:lang w:val="en-GB" w:eastAsia="en-GB"/>
        </w:rPr>
        <w:t>7.7</w:t>
      </w:r>
      <w:r w:rsidR="00C04ACD" w:rsidRPr="003822FD">
        <w:rPr>
          <w:rFonts w:eastAsia="Times New Roman"/>
          <w:lang w:val="en-GB" w:eastAsia="en-GB"/>
        </w:rPr>
        <w:t xml:space="preserve"> USP and Value Proposition</w:t>
      </w:r>
      <w:bookmarkEnd w:id="69"/>
    </w:p>
    <w:p w14:paraId="760B699C" w14:textId="1EB42726" w:rsidR="007838AA" w:rsidRPr="003822FD" w:rsidRDefault="007B6510" w:rsidP="003822FD">
      <w:pPr>
        <w:spacing w:before="240" w:line="360" w:lineRule="auto"/>
        <w:jc w:val="both"/>
        <w:rPr>
          <w:rFonts w:ascii="Arial" w:eastAsia="Times New Roman" w:hAnsi="Arial" w:cs="Arial"/>
          <w:sz w:val="24"/>
          <w:szCs w:val="24"/>
          <w:lang w:val="en-GB" w:eastAsia="en-GB"/>
        </w:rPr>
      </w:pPr>
      <w:proofErr w:type="spellStart"/>
      <w:r w:rsidRPr="007B6510">
        <w:rPr>
          <w:rFonts w:ascii="Arial" w:eastAsia="Times New Roman" w:hAnsi="Arial" w:cs="Arial"/>
          <w:sz w:val="24"/>
          <w:szCs w:val="24"/>
          <w:lang w:val="en-GB" w:eastAsia="en-GB"/>
        </w:rPr>
        <w:t>FitLife's</w:t>
      </w:r>
      <w:proofErr w:type="spellEnd"/>
      <w:r w:rsidRPr="007B6510">
        <w:rPr>
          <w:rFonts w:ascii="Arial" w:eastAsia="Times New Roman" w:hAnsi="Arial" w:cs="Arial"/>
          <w:sz w:val="24"/>
          <w:szCs w:val="24"/>
          <w:lang w:val="en-GB" w:eastAsia="en-GB"/>
        </w:rPr>
        <w:t xml:space="preserve"> proposed USP is the integration of AI-assisted personalised fitness guidance, wearable-supported progress monitoring and qualified human coaching within a convenient physical and digital fitness experience. </w:t>
      </w:r>
      <w:r w:rsidR="00C04ACD" w:rsidRPr="003822FD">
        <w:rPr>
          <w:rFonts w:ascii="Arial" w:eastAsia="Times New Roman" w:hAnsi="Arial" w:cs="Arial"/>
          <w:sz w:val="24"/>
          <w:szCs w:val="24"/>
          <w:lang w:val="en-GB" w:eastAsia="en-GB"/>
        </w:rPr>
        <w:t>An experience of a smart-gym where the AI technology assists the users with customised fitness tracking, data collection through their wearables and human coaching, all wrapped up in an integrated physical and digital fitness space</w:t>
      </w:r>
    </w:p>
    <w:p w14:paraId="4DC12F56" w14:textId="4EE37A84" w:rsidR="007838AA" w:rsidRPr="003822FD" w:rsidRDefault="007838A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This proposition responds to several customer needs identi</w:t>
      </w:r>
      <w:r w:rsidR="009A0624">
        <w:rPr>
          <w:rFonts w:ascii="Arial" w:eastAsia="Times New Roman" w:hAnsi="Arial" w:cs="Arial"/>
          <w:sz w:val="24"/>
          <w:szCs w:val="24"/>
          <w:lang w:val="en-GB" w:eastAsia="en-GB"/>
        </w:rPr>
        <w:t>fied in the preceding analysis</w:t>
      </w:r>
    </w:p>
    <w:p w14:paraId="4CD3F1DE" w14:textId="3111B898" w:rsidR="00771400" w:rsidRPr="00771400" w:rsidRDefault="00771400" w:rsidP="00771400">
      <w:pPr>
        <w:pStyle w:val="Caption"/>
        <w:keepNext/>
        <w:rPr>
          <w:rFonts w:ascii="Arial" w:hAnsi="Arial" w:cs="Arial"/>
          <w:sz w:val="24"/>
        </w:rPr>
      </w:pPr>
      <w:bookmarkStart w:id="70" w:name="_Toc239091693"/>
      <w:r w:rsidRPr="00771400">
        <w:rPr>
          <w:rFonts w:ascii="Arial" w:hAnsi="Arial" w:cs="Arial"/>
          <w:sz w:val="24"/>
        </w:rPr>
        <w:t xml:space="preserve">Table </w:t>
      </w:r>
      <w:r w:rsidRPr="00771400">
        <w:rPr>
          <w:rFonts w:ascii="Arial" w:hAnsi="Arial" w:cs="Arial"/>
          <w:sz w:val="24"/>
        </w:rPr>
        <w:fldChar w:fldCharType="begin"/>
      </w:r>
      <w:r w:rsidRPr="00771400">
        <w:rPr>
          <w:rFonts w:ascii="Arial" w:hAnsi="Arial" w:cs="Arial"/>
          <w:sz w:val="24"/>
        </w:rPr>
        <w:instrText xml:space="preserve"> SEQ Table \* ARABIC </w:instrText>
      </w:r>
      <w:r w:rsidRPr="00771400">
        <w:rPr>
          <w:rFonts w:ascii="Arial" w:hAnsi="Arial" w:cs="Arial"/>
          <w:sz w:val="24"/>
        </w:rPr>
        <w:fldChar w:fldCharType="separate"/>
      </w:r>
      <w:r w:rsidR="00415D83">
        <w:rPr>
          <w:rFonts w:ascii="Arial" w:hAnsi="Arial" w:cs="Arial"/>
          <w:noProof/>
          <w:sz w:val="24"/>
        </w:rPr>
        <w:t>9</w:t>
      </w:r>
      <w:r w:rsidRPr="00771400">
        <w:rPr>
          <w:rFonts w:ascii="Arial" w:hAnsi="Arial" w:cs="Arial"/>
          <w:sz w:val="24"/>
        </w:rPr>
        <w:fldChar w:fldCharType="end"/>
      </w:r>
      <w:r w:rsidRPr="00771400">
        <w:rPr>
          <w:rFonts w:ascii="Arial" w:hAnsi="Arial" w:cs="Arial"/>
          <w:sz w:val="24"/>
        </w:rPr>
        <w:t>.The preceding analysis</w:t>
      </w:r>
      <w:bookmarkEnd w:id="70"/>
    </w:p>
    <w:tbl>
      <w:tblPr>
        <w:tblStyle w:val="TableGrid"/>
        <w:tblW w:w="0" w:type="auto"/>
        <w:tblLook w:val="04A0" w:firstRow="1" w:lastRow="0" w:firstColumn="1" w:lastColumn="0" w:noHBand="0" w:noVBand="1"/>
      </w:tblPr>
      <w:tblGrid>
        <w:gridCol w:w="3005"/>
        <w:gridCol w:w="3005"/>
        <w:gridCol w:w="3006"/>
      </w:tblGrid>
      <w:tr w:rsidR="00027E3A" w:rsidRPr="003822FD" w14:paraId="79C3C8A6" w14:textId="77777777" w:rsidTr="00027E3A">
        <w:tc>
          <w:tcPr>
            <w:tcW w:w="3005" w:type="dxa"/>
          </w:tcPr>
          <w:p w14:paraId="6486448E"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r w:rsidRPr="009A0624">
              <w:rPr>
                <w:rFonts w:ascii="Arial" w:eastAsia="Times New Roman" w:hAnsi="Arial" w:cs="Arial"/>
                <w:b/>
                <w:sz w:val="24"/>
                <w:szCs w:val="24"/>
                <w:lang w:val="en-GB" w:eastAsia="en-GB"/>
              </w:rPr>
              <w:t>Customer issue</w:t>
            </w:r>
          </w:p>
        </w:tc>
        <w:tc>
          <w:tcPr>
            <w:tcW w:w="3005" w:type="dxa"/>
          </w:tcPr>
          <w:p w14:paraId="0E00F0DA"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proofErr w:type="spellStart"/>
            <w:r w:rsidRPr="009A0624">
              <w:rPr>
                <w:rFonts w:ascii="Arial" w:eastAsia="Times New Roman" w:hAnsi="Arial" w:cs="Arial"/>
                <w:b/>
                <w:sz w:val="24"/>
                <w:szCs w:val="24"/>
                <w:lang w:val="en-GB" w:eastAsia="en-GB"/>
              </w:rPr>
              <w:t>FitLife</w:t>
            </w:r>
            <w:proofErr w:type="spellEnd"/>
            <w:r w:rsidRPr="009A0624">
              <w:rPr>
                <w:rFonts w:ascii="Arial" w:eastAsia="Times New Roman" w:hAnsi="Arial" w:cs="Arial"/>
                <w:b/>
                <w:sz w:val="24"/>
                <w:szCs w:val="24"/>
                <w:lang w:val="en-GB" w:eastAsia="en-GB"/>
              </w:rPr>
              <w:t xml:space="preserve"> response</w:t>
            </w:r>
          </w:p>
        </w:tc>
        <w:tc>
          <w:tcPr>
            <w:tcW w:w="3006" w:type="dxa"/>
          </w:tcPr>
          <w:p w14:paraId="5524A466"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r w:rsidRPr="009A0624">
              <w:rPr>
                <w:rFonts w:ascii="Arial" w:eastAsia="Times New Roman" w:hAnsi="Arial" w:cs="Arial"/>
                <w:b/>
                <w:sz w:val="24"/>
                <w:szCs w:val="24"/>
                <w:lang w:val="en-GB" w:eastAsia="en-GB"/>
              </w:rPr>
              <w:t>Customer benefit</w:t>
            </w:r>
          </w:p>
        </w:tc>
      </w:tr>
      <w:tr w:rsidR="00027E3A" w:rsidRPr="003822FD" w14:paraId="20008F26" w14:textId="77777777" w:rsidTr="00027E3A">
        <w:tc>
          <w:tcPr>
            <w:tcW w:w="3005" w:type="dxa"/>
          </w:tcPr>
          <w:p w14:paraId="66F5823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Generic workout guidance</w:t>
            </w:r>
          </w:p>
        </w:tc>
        <w:tc>
          <w:tcPr>
            <w:tcW w:w="3005" w:type="dxa"/>
          </w:tcPr>
          <w:p w14:paraId="73913FD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AI-assisted personalisation</w:t>
            </w:r>
          </w:p>
        </w:tc>
        <w:tc>
          <w:tcPr>
            <w:tcW w:w="3006" w:type="dxa"/>
          </w:tcPr>
          <w:p w14:paraId="264AD60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More relevant guidance</w:t>
            </w:r>
          </w:p>
        </w:tc>
      </w:tr>
      <w:tr w:rsidR="00027E3A" w:rsidRPr="003822FD" w14:paraId="0B662F6D" w14:textId="77777777" w:rsidTr="00027E3A">
        <w:tc>
          <w:tcPr>
            <w:tcW w:w="3005" w:type="dxa"/>
          </w:tcPr>
          <w:p w14:paraId="508073C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Motivation and consistency problems</w:t>
            </w:r>
          </w:p>
        </w:tc>
        <w:tc>
          <w:tcPr>
            <w:tcW w:w="3005" w:type="dxa"/>
          </w:tcPr>
          <w:p w14:paraId="6AE6845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Progress tracking and coaching</w:t>
            </w:r>
          </w:p>
        </w:tc>
        <w:tc>
          <w:tcPr>
            <w:tcW w:w="3006" w:type="dxa"/>
          </w:tcPr>
          <w:p w14:paraId="2870D34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Greater accountability</w:t>
            </w:r>
          </w:p>
        </w:tc>
      </w:tr>
      <w:tr w:rsidR="00027E3A" w:rsidRPr="003822FD" w14:paraId="572E8A17" w14:textId="77777777" w:rsidTr="00027E3A">
        <w:tc>
          <w:tcPr>
            <w:tcW w:w="3005" w:type="dxa"/>
          </w:tcPr>
          <w:p w14:paraId="6A3619E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Fragmented fitness experience</w:t>
            </w:r>
          </w:p>
        </w:tc>
        <w:tc>
          <w:tcPr>
            <w:tcW w:w="3005" w:type="dxa"/>
          </w:tcPr>
          <w:p w14:paraId="388C7A5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Gym + app + wearable integration</w:t>
            </w:r>
          </w:p>
        </w:tc>
        <w:tc>
          <w:tcPr>
            <w:tcW w:w="3006" w:type="dxa"/>
          </w:tcPr>
          <w:p w14:paraId="003D9FF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Greater convenience</w:t>
            </w:r>
          </w:p>
        </w:tc>
      </w:tr>
      <w:tr w:rsidR="00027E3A" w:rsidRPr="003822FD" w14:paraId="0B932C35" w14:textId="77777777" w:rsidTr="00027E3A">
        <w:tc>
          <w:tcPr>
            <w:tcW w:w="3005" w:type="dxa"/>
          </w:tcPr>
          <w:p w14:paraId="2F74798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Limited human support</w:t>
            </w:r>
          </w:p>
        </w:tc>
        <w:tc>
          <w:tcPr>
            <w:tcW w:w="3005" w:type="dxa"/>
          </w:tcPr>
          <w:p w14:paraId="226660B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Qualified trainers</w:t>
            </w:r>
          </w:p>
        </w:tc>
        <w:tc>
          <w:tcPr>
            <w:tcW w:w="3006" w:type="dxa"/>
          </w:tcPr>
          <w:p w14:paraId="4C9858C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Trust and professional guidance</w:t>
            </w:r>
          </w:p>
        </w:tc>
      </w:tr>
      <w:tr w:rsidR="00027E3A" w:rsidRPr="003822FD" w14:paraId="5D4DC28D" w14:textId="77777777" w:rsidTr="00027E3A">
        <w:tc>
          <w:tcPr>
            <w:tcW w:w="3005" w:type="dxa"/>
          </w:tcPr>
          <w:p w14:paraId="2813932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Difficulty monitoring progress</w:t>
            </w:r>
          </w:p>
        </w:tc>
        <w:tc>
          <w:tcPr>
            <w:tcW w:w="3005" w:type="dxa"/>
          </w:tcPr>
          <w:p w14:paraId="1201AF0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Wearable integration</w:t>
            </w:r>
          </w:p>
        </w:tc>
        <w:tc>
          <w:tcPr>
            <w:tcW w:w="3006" w:type="dxa"/>
          </w:tcPr>
          <w:p w14:paraId="65A3F07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Better progress monitoring</w:t>
            </w:r>
          </w:p>
        </w:tc>
      </w:tr>
    </w:tbl>
    <w:p w14:paraId="0312CD0E" w14:textId="4DDFA3CA" w:rsidR="00F927B2"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 xml:space="preserve">The value proposition is therefore that of furnishing personalised, convenient and accountable fitness services, instead of just gym equipment. Customers would be provided with digital guidance and human interactions will be available to complement </w:t>
      </w:r>
      <w:r w:rsidR="009A0624">
        <w:rPr>
          <w:rFonts w:ascii="Arial" w:eastAsia="Times New Roman" w:hAnsi="Arial" w:cs="Arial"/>
          <w:sz w:val="24"/>
          <w:szCs w:val="24"/>
          <w:lang w:val="en-GB" w:eastAsia="en-GB"/>
        </w:rPr>
        <w:t>the technology, not replace it.</w:t>
      </w:r>
    </w:p>
    <w:p w14:paraId="1B026300" w14:textId="2BE0F5BF" w:rsidR="007838AA"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This separation is a strategic one. AI, wearable and mobile applications are not standalone resources. One of the differentiators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could be the amalgamation of these components with the physical elements and human coaching within the same customer journey. </w:t>
      </w:r>
    </w:p>
    <w:p w14:paraId="4EBAEB5B" w14:textId="4A04E48D" w:rsidR="00BC414F" w:rsidRPr="00BC414F" w:rsidRDefault="00BC414F" w:rsidP="00BC414F">
      <w:pPr>
        <w:pStyle w:val="Heading2"/>
        <w:rPr>
          <w:rFonts w:eastAsia="Times New Roman"/>
          <w:lang w:val="en-GB" w:eastAsia="en-GB"/>
        </w:rPr>
      </w:pPr>
      <w:bookmarkStart w:id="71" w:name="_Toc239188543"/>
      <w:r w:rsidRPr="00BC414F">
        <w:rPr>
          <w:rFonts w:eastAsia="Times New Roman"/>
          <w:lang w:val="en-GB" w:eastAsia="en-GB"/>
        </w:rPr>
        <w:t>7.8 Competitive Advantage</w:t>
      </w:r>
      <w:bookmarkEnd w:id="71"/>
    </w:p>
    <w:p w14:paraId="090A4620" w14:textId="0FA0C27D" w:rsidR="00BC414F" w:rsidRPr="00BC414F" w:rsidRDefault="00BC414F" w:rsidP="00BC414F">
      <w:pPr>
        <w:spacing w:before="240" w:line="360" w:lineRule="auto"/>
        <w:jc w:val="both"/>
        <w:rPr>
          <w:rFonts w:ascii="Arial" w:eastAsia="Times New Roman" w:hAnsi="Arial" w:cs="Arial"/>
          <w:sz w:val="24"/>
          <w:szCs w:val="24"/>
          <w:lang w:val="en-GB" w:eastAsia="en-GB"/>
        </w:rPr>
      </w:pPr>
      <w:proofErr w:type="spellStart"/>
      <w:r w:rsidRPr="00BC414F">
        <w:rPr>
          <w:rFonts w:ascii="Arial" w:eastAsia="Times New Roman" w:hAnsi="Arial" w:cs="Arial"/>
          <w:sz w:val="24"/>
          <w:szCs w:val="24"/>
          <w:lang w:val="en-GB" w:eastAsia="en-GB"/>
        </w:rPr>
        <w:t>FitLife’s</w:t>
      </w:r>
      <w:proofErr w:type="spellEnd"/>
      <w:r w:rsidRPr="00BC414F">
        <w:rPr>
          <w:rFonts w:ascii="Arial" w:eastAsia="Times New Roman" w:hAnsi="Arial" w:cs="Arial"/>
          <w:sz w:val="24"/>
          <w:szCs w:val="24"/>
          <w:lang w:val="en-GB" w:eastAsia="en-GB"/>
        </w:rPr>
        <w:t xml:space="preserve"> potential competitive advantage should not be attributed automatically to individual resources such as AI, wearable technology or human trainers. AI technology is increasingly accessible, while wearable devices and qualified fitness professionals can also be acquired or imitated by competitors. Therefore, these resources are better understood as valuable but individually insufficient sources of sustainable advantage. The strategic significance arises from how </w:t>
      </w:r>
      <w:proofErr w:type="spellStart"/>
      <w:r w:rsidRPr="00BC414F">
        <w:rPr>
          <w:rFonts w:ascii="Arial" w:eastAsia="Times New Roman" w:hAnsi="Arial" w:cs="Arial"/>
          <w:sz w:val="24"/>
          <w:szCs w:val="24"/>
          <w:lang w:val="en-GB" w:eastAsia="en-GB"/>
        </w:rPr>
        <w:t>FitLife</w:t>
      </w:r>
      <w:proofErr w:type="spellEnd"/>
      <w:r w:rsidRPr="00BC414F">
        <w:rPr>
          <w:rFonts w:ascii="Arial" w:eastAsia="Times New Roman" w:hAnsi="Arial" w:cs="Arial"/>
          <w:sz w:val="24"/>
          <w:szCs w:val="24"/>
          <w:lang w:val="en-GB" w:eastAsia="en-GB"/>
        </w:rPr>
        <w:t xml:space="preserve"> combines them into an </w:t>
      </w:r>
      <w:r>
        <w:rPr>
          <w:rFonts w:ascii="Arial" w:eastAsia="Times New Roman" w:hAnsi="Arial" w:cs="Arial"/>
          <w:sz w:val="24"/>
          <w:szCs w:val="24"/>
          <w:lang w:val="en-GB" w:eastAsia="en-GB"/>
        </w:rPr>
        <w:t>integrated customer experience.</w:t>
      </w:r>
    </w:p>
    <w:p w14:paraId="71BFD338" w14:textId="58C8C387"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AI-assisted personalisation can improve the relevance of exercise recommendations, but AI itself is not necessarily rare or difficult to imitate. Similarly, wearable integration can strengthen progress monitoring but is increasingly available across the fitness market. Human coaching adds accountability, expertise and reassurance, but competing gyms can also employ qualified trainers. Consequently, the stronger potential source of differentiation is the integration of these capabilities within one physi</w:t>
      </w:r>
      <w:r>
        <w:rPr>
          <w:rFonts w:ascii="Arial" w:eastAsia="Times New Roman" w:hAnsi="Arial" w:cs="Arial"/>
          <w:sz w:val="24"/>
          <w:szCs w:val="24"/>
          <w:lang w:val="en-GB" w:eastAsia="en-GB"/>
        </w:rPr>
        <w:t>cal and digital service system.</w:t>
      </w:r>
    </w:p>
    <w:p w14:paraId="77A4A850" w14:textId="368C5D2D"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This integrated model can potentially create competitive advantage when AI recommendations, wearable-generated information, trainer expertise, customer data and gym-based services operate as complementary elements rather than isolated features. The resulting customer experience may be more difficult to replicate quickly because imitation would require competitors to develop not only technology but also compatible service routines, employee capabilities, customer relationships and supporting data processes (Barney, 1991; </w:t>
      </w:r>
      <w:proofErr w:type="spellStart"/>
      <w:r w:rsidRPr="00BC414F">
        <w:rPr>
          <w:rFonts w:ascii="Arial" w:eastAsia="Times New Roman" w:hAnsi="Arial" w:cs="Arial"/>
          <w:sz w:val="24"/>
          <w:szCs w:val="24"/>
          <w:lang w:val="en-GB" w:eastAsia="en-GB"/>
        </w:rPr>
        <w:t>Teece</w:t>
      </w:r>
      <w:proofErr w:type="spellEnd"/>
      <w:r w:rsidRPr="00BC414F">
        <w:rPr>
          <w:rFonts w:ascii="Arial" w:eastAsia="Times New Roman" w:hAnsi="Arial" w:cs="Arial"/>
          <w:sz w:val="24"/>
          <w:szCs w:val="24"/>
          <w:lang w:val="en-GB" w:eastAsia="en-GB"/>
        </w:rPr>
        <w:t xml:space="preserve">, 2018). However, the advantage </w:t>
      </w:r>
      <w:r w:rsidRPr="00BC414F">
        <w:rPr>
          <w:rFonts w:ascii="Arial" w:eastAsia="Times New Roman" w:hAnsi="Arial" w:cs="Arial"/>
          <w:sz w:val="24"/>
          <w:szCs w:val="24"/>
          <w:lang w:val="en-GB" w:eastAsia="en-GB"/>
        </w:rPr>
        <w:lastRenderedPageBreak/>
        <w:t>should remain described as potential, because competitors may respond and customer percep</w:t>
      </w:r>
      <w:r>
        <w:rPr>
          <w:rFonts w:ascii="Arial" w:eastAsia="Times New Roman" w:hAnsi="Arial" w:cs="Arial"/>
          <w:sz w:val="24"/>
          <w:szCs w:val="24"/>
          <w:lang w:val="en-GB" w:eastAsia="en-GB"/>
        </w:rPr>
        <w:t>tions still require validation.</w:t>
      </w:r>
    </w:p>
    <w:p w14:paraId="0122B237" w14:textId="7F00EB05" w:rsidR="00BC414F" w:rsidRPr="00BC414F" w:rsidRDefault="00BC414F" w:rsidP="00BC414F">
      <w:pPr>
        <w:spacing w:before="240" w:line="360" w:lineRule="auto"/>
        <w:jc w:val="both"/>
        <w:rPr>
          <w:rFonts w:ascii="Arial" w:eastAsia="Times New Roman" w:hAnsi="Arial" w:cs="Arial"/>
          <w:sz w:val="24"/>
          <w:szCs w:val="24"/>
          <w:lang w:val="en-GB" w:eastAsia="en-GB"/>
        </w:rPr>
      </w:pPr>
      <w:proofErr w:type="spellStart"/>
      <w:r w:rsidRPr="00BC414F">
        <w:rPr>
          <w:rFonts w:ascii="Arial" w:eastAsia="Times New Roman" w:hAnsi="Arial" w:cs="Arial"/>
          <w:sz w:val="24"/>
          <w:szCs w:val="24"/>
          <w:lang w:val="en-GB" w:eastAsia="en-GB"/>
        </w:rPr>
        <w:t>FitLife</w:t>
      </w:r>
      <w:proofErr w:type="spellEnd"/>
      <w:r w:rsidRPr="00BC414F">
        <w:rPr>
          <w:rFonts w:ascii="Arial" w:eastAsia="Times New Roman" w:hAnsi="Arial" w:cs="Arial"/>
          <w:sz w:val="24"/>
          <w:szCs w:val="24"/>
          <w:lang w:val="en-GB" w:eastAsia="en-GB"/>
        </w:rPr>
        <w:t xml:space="preserve"> should therefore strengthen this potential advantage through customer-data capability, consistent service routines, trainer expertise, customer relationships, retention and continuous improvement. These mutually reinforcing capabilities can increase the difficulty of imitation over time and support the focused-differentiation st</w:t>
      </w:r>
      <w:r>
        <w:rPr>
          <w:rFonts w:ascii="Arial" w:eastAsia="Times New Roman" w:hAnsi="Arial" w:cs="Arial"/>
          <w:sz w:val="24"/>
          <w:szCs w:val="24"/>
          <w:lang w:val="en-GB" w:eastAsia="en-GB"/>
        </w:rPr>
        <w:t>rategy selected in Section 7.5.</w:t>
      </w:r>
    </w:p>
    <w:p w14:paraId="5D475EC0" w14:textId="1F21CFC3" w:rsidR="00BC414F" w:rsidRPr="00BC414F" w:rsidRDefault="00BC414F" w:rsidP="00BC414F">
      <w:pPr>
        <w:pStyle w:val="Heading2"/>
        <w:rPr>
          <w:rFonts w:eastAsia="Times New Roman"/>
          <w:lang w:val="en-GB" w:eastAsia="en-GB"/>
        </w:rPr>
      </w:pPr>
      <w:bookmarkStart w:id="72" w:name="_Toc239188544"/>
      <w:r w:rsidRPr="00BC414F">
        <w:rPr>
          <w:rFonts w:eastAsia="Times New Roman"/>
          <w:lang w:val="en-GB" w:eastAsia="en-GB"/>
        </w:rPr>
        <w:t>7.9 Key Success Factors</w:t>
      </w:r>
      <w:bookmarkEnd w:id="72"/>
    </w:p>
    <w:p w14:paraId="36B3EEC5" w14:textId="48F726D4"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The strategy depends on five prioritised key success factors. These factors represent strategic priorities rather than resolved assumptions and must be tested through the financial, operational and implementa</w:t>
      </w:r>
      <w:r>
        <w:rPr>
          <w:rFonts w:ascii="Arial" w:eastAsia="Times New Roman" w:hAnsi="Arial" w:cs="Arial"/>
          <w:sz w:val="24"/>
          <w:szCs w:val="24"/>
          <w:lang w:val="en-GB" w:eastAsia="en-GB"/>
        </w:rPr>
        <w:t>tion analysis in Chapters 9–11.</w:t>
      </w:r>
    </w:p>
    <w:p w14:paraId="6B4D188C" w14:textId="4C69F078" w:rsidR="00BC414F" w:rsidRPr="00BC414F" w:rsidRDefault="00BC414F" w:rsidP="00BC414F">
      <w:pPr>
        <w:pStyle w:val="Caption"/>
        <w:keepNext/>
        <w:jc w:val="both"/>
        <w:rPr>
          <w:rFonts w:ascii="Arial" w:hAnsi="Arial" w:cs="Arial"/>
          <w:sz w:val="24"/>
        </w:rPr>
      </w:pPr>
      <w:bookmarkStart w:id="73" w:name="_Toc239091694"/>
      <w:r w:rsidRPr="00BC414F">
        <w:rPr>
          <w:rFonts w:ascii="Arial" w:hAnsi="Arial" w:cs="Arial"/>
          <w:sz w:val="24"/>
        </w:rPr>
        <w:t xml:space="preserve">Table </w:t>
      </w:r>
      <w:r w:rsidRPr="00BC414F">
        <w:rPr>
          <w:rFonts w:ascii="Arial" w:hAnsi="Arial" w:cs="Arial"/>
          <w:sz w:val="24"/>
        </w:rPr>
        <w:fldChar w:fldCharType="begin"/>
      </w:r>
      <w:r w:rsidRPr="00BC414F">
        <w:rPr>
          <w:rFonts w:ascii="Arial" w:hAnsi="Arial" w:cs="Arial"/>
          <w:sz w:val="24"/>
        </w:rPr>
        <w:instrText xml:space="preserve"> SEQ Table \* ARABIC </w:instrText>
      </w:r>
      <w:r w:rsidRPr="00BC414F">
        <w:rPr>
          <w:rFonts w:ascii="Arial" w:hAnsi="Arial" w:cs="Arial"/>
          <w:sz w:val="24"/>
        </w:rPr>
        <w:fldChar w:fldCharType="separate"/>
      </w:r>
      <w:r w:rsidR="00415D83">
        <w:rPr>
          <w:rFonts w:ascii="Arial" w:hAnsi="Arial" w:cs="Arial"/>
          <w:noProof/>
          <w:sz w:val="24"/>
        </w:rPr>
        <w:t>10</w:t>
      </w:r>
      <w:r w:rsidRPr="00BC414F">
        <w:rPr>
          <w:rFonts w:ascii="Arial" w:hAnsi="Arial" w:cs="Arial"/>
          <w:sz w:val="24"/>
        </w:rPr>
        <w:fldChar w:fldCharType="end"/>
      </w:r>
      <w:r w:rsidRPr="00BC414F">
        <w:rPr>
          <w:rFonts w:ascii="Arial" w:hAnsi="Arial" w:cs="Arial"/>
          <w:sz w:val="24"/>
        </w:rPr>
        <w:t>.Key Success Factors</w:t>
      </w:r>
      <w:bookmarkEnd w:id="73"/>
    </w:p>
    <w:tbl>
      <w:tblPr>
        <w:tblStyle w:val="TableGrid"/>
        <w:tblW w:w="0" w:type="auto"/>
        <w:tblLook w:val="04A0" w:firstRow="1" w:lastRow="0" w:firstColumn="1" w:lastColumn="0" w:noHBand="0" w:noVBand="1"/>
      </w:tblPr>
      <w:tblGrid>
        <w:gridCol w:w="2080"/>
        <w:gridCol w:w="2146"/>
        <w:gridCol w:w="2173"/>
        <w:gridCol w:w="2617"/>
      </w:tblGrid>
      <w:tr w:rsidR="00BC414F" w:rsidRPr="00BC414F" w14:paraId="1CDBA5D4" w14:textId="77777777" w:rsidTr="00BC414F">
        <w:tc>
          <w:tcPr>
            <w:tcW w:w="2080" w:type="dxa"/>
          </w:tcPr>
          <w:p w14:paraId="72F02234"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Priority</w:t>
            </w:r>
          </w:p>
        </w:tc>
        <w:tc>
          <w:tcPr>
            <w:tcW w:w="2146" w:type="dxa"/>
          </w:tcPr>
          <w:p w14:paraId="015D154A"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Key success factor</w:t>
            </w:r>
          </w:p>
        </w:tc>
        <w:tc>
          <w:tcPr>
            <w:tcW w:w="2173" w:type="dxa"/>
          </w:tcPr>
          <w:p w14:paraId="6B0656AD"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How </w:t>
            </w:r>
            <w:proofErr w:type="spellStart"/>
            <w:r w:rsidRPr="00BC414F">
              <w:rPr>
                <w:rFonts w:ascii="Arial" w:eastAsia="Times New Roman" w:hAnsi="Arial" w:cs="Arial"/>
                <w:sz w:val="24"/>
                <w:szCs w:val="24"/>
                <w:lang w:val="en-GB" w:eastAsia="en-GB"/>
              </w:rPr>
              <w:t>FitLife</w:t>
            </w:r>
            <w:proofErr w:type="spellEnd"/>
            <w:r w:rsidRPr="00BC414F">
              <w:rPr>
                <w:rFonts w:ascii="Arial" w:eastAsia="Times New Roman" w:hAnsi="Arial" w:cs="Arial"/>
                <w:sz w:val="24"/>
                <w:szCs w:val="24"/>
                <w:lang w:val="en-GB" w:eastAsia="en-GB"/>
              </w:rPr>
              <w:t xml:space="preserve"> should secure it</w:t>
            </w:r>
          </w:p>
        </w:tc>
        <w:tc>
          <w:tcPr>
            <w:tcW w:w="2617" w:type="dxa"/>
          </w:tcPr>
          <w:p w14:paraId="6D381DC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Measure</w:t>
            </w:r>
          </w:p>
        </w:tc>
      </w:tr>
      <w:tr w:rsidR="00BC414F" w:rsidRPr="00BC414F" w14:paraId="2DD71686" w14:textId="77777777" w:rsidTr="00BC414F">
        <w:tc>
          <w:tcPr>
            <w:tcW w:w="2080" w:type="dxa"/>
          </w:tcPr>
          <w:p w14:paraId="31756898"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1</w:t>
            </w:r>
          </w:p>
        </w:tc>
        <w:tc>
          <w:tcPr>
            <w:tcW w:w="2146" w:type="dxa"/>
          </w:tcPr>
          <w:p w14:paraId="003A5A0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Customer retention</w:t>
            </w:r>
          </w:p>
        </w:tc>
        <w:tc>
          <w:tcPr>
            <w:tcW w:w="2173" w:type="dxa"/>
          </w:tcPr>
          <w:p w14:paraId="599B701D"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Personalised goals, progress tracking and human coaching</w:t>
            </w:r>
          </w:p>
        </w:tc>
        <w:tc>
          <w:tcPr>
            <w:tcW w:w="2617" w:type="dxa"/>
          </w:tcPr>
          <w:p w14:paraId="3B28F8A1"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Retention rate/churn</w:t>
            </w:r>
          </w:p>
        </w:tc>
      </w:tr>
      <w:tr w:rsidR="00BC414F" w:rsidRPr="00BC414F" w14:paraId="5E643F88" w14:textId="77777777" w:rsidTr="00BC414F">
        <w:tc>
          <w:tcPr>
            <w:tcW w:w="2080" w:type="dxa"/>
          </w:tcPr>
          <w:p w14:paraId="2F87EAF2"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2</w:t>
            </w:r>
          </w:p>
        </w:tc>
        <w:tc>
          <w:tcPr>
            <w:tcW w:w="2146" w:type="dxa"/>
          </w:tcPr>
          <w:p w14:paraId="0C4D1EB5"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Technology reliability</w:t>
            </w:r>
          </w:p>
        </w:tc>
        <w:tc>
          <w:tcPr>
            <w:tcW w:w="2173" w:type="dxa"/>
          </w:tcPr>
          <w:p w14:paraId="059FC29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Testing, maintenance, monitoring and supplier SLAs</w:t>
            </w:r>
          </w:p>
        </w:tc>
        <w:tc>
          <w:tcPr>
            <w:tcW w:w="2617" w:type="dxa"/>
          </w:tcPr>
          <w:p w14:paraId="5CF92DF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System uptime/error rate</w:t>
            </w:r>
          </w:p>
        </w:tc>
      </w:tr>
      <w:tr w:rsidR="00BC414F" w:rsidRPr="00BC414F" w14:paraId="515B03A2" w14:textId="77777777" w:rsidTr="00BC414F">
        <w:tc>
          <w:tcPr>
            <w:tcW w:w="2080" w:type="dxa"/>
          </w:tcPr>
          <w:p w14:paraId="46E61B1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3</w:t>
            </w:r>
          </w:p>
        </w:tc>
        <w:tc>
          <w:tcPr>
            <w:tcW w:w="2146" w:type="dxa"/>
          </w:tcPr>
          <w:p w14:paraId="04AA6DFF"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Value-based pricing</w:t>
            </w:r>
          </w:p>
        </w:tc>
        <w:tc>
          <w:tcPr>
            <w:tcW w:w="2173" w:type="dxa"/>
          </w:tcPr>
          <w:p w14:paraId="194A6FEF"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Tiered membership and systematic price/value testing</w:t>
            </w:r>
          </w:p>
        </w:tc>
        <w:tc>
          <w:tcPr>
            <w:tcW w:w="2617" w:type="dxa"/>
          </w:tcPr>
          <w:p w14:paraId="57B4E25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Conversion and churn</w:t>
            </w:r>
          </w:p>
        </w:tc>
      </w:tr>
      <w:tr w:rsidR="00BC414F" w:rsidRPr="00BC414F" w14:paraId="0F55F579" w14:textId="77777777" w:rsidTr="00BC414F">
        <w:tc>
          <w:tcPr>
            <w:tcW w:w="2080" w:type="dxa"/>
          </w:tcPr>
          <w:p w14:paraId="2BA73F43"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lastRenderedPageBreak/>
              <w:t>4</w:t>
            </w:r>
          </w:p>
        </w:tc>
        <w:tc>
          <w:tcPr>
            <w:tcW w:w="2146" w:type="dxa"/>
          </w:tcPr>
          <w:p w14:paraId="4A32A5E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Qualified trainers</w:t>
            </w:r>
          </w:p>
        </w:tc>
        <w:tc>
          <w:tcPr>
            <w:tcW w:w="2173" w:type="dxa"/>
          </w:tcPr>
          <w:p w14:paraId="1413BACE"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Careful recruitment, training and continuing professional development</w:t>
            </w:r>
          </w:p>
        </w:tc>
        <w:tc>
          <w:tcPr>
            <w:tcW w:w="2617" w:type="dxa"/>
          </w:tcPr>
          <w:p w14:paraId="53F23E8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Trainer performance/customer feedback</w:t>
            </w:r>
          </w:p>
        </w:tc>
      </w:tr>
      <w:tr w:rsidR="00BC414F" w:rsidRPr="00BC414F" w14:paraId="5C751DE6" w14:textId="77777777" w:rsidTr="00BC414F">
        <w:tc>
          <w:tcPr>
            <w:tcW w:w="2080" w:type="dxa"/>
          </w:tcPr>
          <w:p w14:paraId="6FB6E56A"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5</w:t>
            </w:r>
          </w:p>
        </w:tc>
        <w:tc>
          <w:tcPr>
            <w:tcW w:w="2146" w:type="dxa"/>
          </w:tcPr>
          <w:p w14:paraId="568C1821"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Trust and data privacy</w:t>
            </w:r>
          </w:p>
        </w:tc>
        <w:tc>
          <w:tcPr>
            <w:tcW w:w="2173" w:type="dxa"/>
          </w:tcPr>
          <w:p w14:paraId="5786974F"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Explicit consent, governance, security and transparent data practices</w:t>
            </w:r>
          </w:p>
        </w:tc>
        <w:tc>
          <w:tcPr>
            <w:tcW w:w="2617" w:type="dxa"/>
          </w:tcPr>
          <w:p w14:paraId="61678C1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Data incidents/complaints</w:t>
            </w:r>
          </w:p>
        </w:tc>
      </w:tr>
    </w:tbl>
    <w:p w14:paraId="6FBE5DB2" w14:textId="77777777" w:rsidR="00BC414F" w:rsidRPr="00BC414F" w:rsidRDefault="00BC414F" w:rsidP="00BC414F">
      <w:pPr>
        <w:spacing w:before="240" w:line="360" w:lineRule="auto"/>
        <w:jc w:val="both"/>
        <w:rPr>
          <w:rFonts w:ascii="Arial" w:eastAsia="Times New Roman" w:hAnsi="Arial" w:cs="Arial"/>
          <w:sz w:val="24"/>
          <w:szCs w:val="24"/>
          <w:lang w:val="en-GB" w:eastAsia="en-GB"/>
        </w:rPr>
      </w:pPr>
    </w:p>
    <w:p w14:paraId="04B5C931" w14:textId="180DBB8A"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Customer retention is the highest priority because the business model depends on recurring membership revenue. Personalisation, progress monitoring and coaching should therefore be designed to create continuing customer value. Technology reliability is equally important because failures in the app, wearable integration or AI-supported service could undermine customer trust. Value-based pricing must balance customer affordability with </w:t>
      </w:r>
      <w:proofErr w:type="spellStart"/>
      <w:r w:rsidRPr="00BC414F">
        <w:rPr>
          <w:rFonts w:ascii="Arial" w:eastAsia="Times New Roman" w:hAnsi="Arial" w:cs="Arial"/>
          <w:sz w:val="24"/>
          <w:szCs w:val="24"/>
          <w:lang w:val="en-GB" w:eastAsia="en-GB"/>
        </w:rPr>
        <w:t>FitLife’s</w:t>
      </w:r>
      <w:proofErr w:type="spellEnd"/>
      <w:r w:rsidRPr="00BC414F">
        <w:rPr>
          <w:rFonts w:ascii="Arial" w:eastAsia="Times New Roman" w:hAnsi="Arial" w:cs="Arial"/>
          <w:sz w:val="24"/>
          <w:szCs w:val="24"/>
          <w:lang w:val="en-GB" w:eastAsia="en-GB"/>
        </w:rPr>
        <w:t xml:space="preserve"> higher delivery costs, while qualified trainers provide the human oversight necessary to complement technology. Finally, trust and data privacy are essential because the proposed model involves customer and potentia</w:t>
      </w:r>
      <w:r w:rsidR="005829EB">
        <w:rPr>
          <w:rFonts w:ascii="Arial" w:eastAsia="Times New Roman" w:hAnsi="Arial" w:cs="Arial"/>
          <w:sz w:val="24"/>
          <w:szCs w:val="24"/>
          <w:lang w:val="en-GB" w:eastAsia="en-GB"/>
        </w:rPr>
        <w:t>lly health-related information.</w:t>
      </w:r>
    </w:p>
    <w:p w14:paraId="4E84B9A2" w14:textId="465B020D" w:rsidR="007838AA"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These success factors should not be considered fully established at this stage. Chapter 9 should test pricing and financial viability, Chapter 10 should test operational and resource requirements, and Chapter 11 should test implementation and control mechanisms. This ensures that </w:t>
      </w:r>
      <w:proofErr w:type="spellStart"/>
      <w:r w:rsidRPr="00BC414F">
        <w:rPr>
          <w:rFonts w:ascii="Arial" w:eastAsia="Times New Roman" w:hAnsi="Arial" w:cs="Arial"/>
          <w:sz w:val="24"/>
          <w:szCs w:val="24"/>
          <w:lang w:val="en-GB" w:eastAsia="en-GB"/>
        </w:rPr>
        <w:t>FitLife’s</w:t>
      </w:r>
      <w:proofErr w:type="spellEnd"/>
      <w:r w:rsidRPr="00BC414F">
        <w:rPr>
          <w:rFonts w:ascii="Arial" w:eastAsia="Times New Roman" w:hAnsi="Arial" w:cs="Arial"/>
          <w:sz w:val="24"/>
          <w:szCs w:val="24"/>
          <w:lang w:val="en-GB" w:eastAsia="en-GB"/>
        </w:rPr>
        <w:t xml:space="preserve"> strategic advantage is translated into measurable and operationally achievable outcomes.</w:t>
      </w:r>
    </w:p>
    <w:p w14:paraId="404D5B0D" w14:textId="3DA2F370" w:rsidR="0049422E" w:rsidRDefault="0049422E" w:rsidP="003822FD">
      <w:pPr>
        <w:spacing w:before="240" w:line="360" w:lineRule="auto"/>
        <w:jc w:val="both"/>
        <w:rPr>
          <w:rFonts w:ascii="Arial" w:eastAsia="Times New Roman" w:hAnsi="Arial" w:cs="Arial"/>
          <w:sz w:val="24"/>
          <w:szCs w:val="24"/>
          <w:lang w:val="en-GB" w:eastAsia="en-GB"/>
        </w:rPr>
      </w:pPr>
    </w:p>
    <w:p w14:paraId="7016EFD2" w14:textId="1477F174" w:rsidR="0049422E" w:rsidRDefault="0049422E" w:rsidP="003822FD">
      <w:pPr>
        <w:spacing w:before="240" w:line="360" w:lineRule="auto"/>
        <w:jc w:val="both"/>
        <w:rPr>
          <w:rFonts w:ascii="Arial" w:eastAsia="Times New Roman" w:hAnsi="Arial" w:cs="Arial"/>
          <w:sz w:val="24"/>
          <w:szCs w:val="24"/>
          <w:lang w:val="en-GB" w:eastAsia="en-GB"/>
        </w:rPr>
      </w:pPr>
    </w:p>
    <w:p w14:paraId="6483A59D" w14:textId="520DC544" w:rsidR="0049422E" w:rsidRDefault="0049422E" w:rsidP="003822FD">
      <w:pPr>
        <w:spacing w:before="240" w:line="360" w:lineRule="auto"/>
        <w:jc w:val="both"/>
        <w:rPr>
          <w:rFonts w:ascii="Arial" w:eastAsia="Times New Roman" w:hAnsi="Arial" w:cs="Arial"/>
          <w:sz w:val="24"/>
          <w:szCs w:val="24"/>
          <w:lang w:val="en-GB" w:eastAsia="en-GB"/>
        </w:rPr>
      </w:pPr>
    </w:p>
    <w:p w14:paraId="2267CE38" w14:textId="77777777" w:rsidR="00E04AAD" w:rsidRPr="00E04AAD" w:rsidRDefault="00E04AAD" w:rsidP="00E04AAD">
      <w:pPr>
        <w:pStyle w:val="Heading1"/>
        <w:jc w:val="center"/>
        <w:rPr>
          <w:lang w:val="en-GB" w:eastAsia="en-GB"/>
        </w:rPr>
      </w:pPr>
      <w:bookmarkStart w:id="74" w:name="_Toc239188545"/>
      <w:r w:rsidRPr="00E04AAD">
        <w:rPr>
          <w:lang w:val="en-GB" w:eastAsia="en-GB"/>
        </w:rPr>
        <w:lastRenderedPageBreak/>
        <w:t>Chapter 8 — Business Model Canvas</w:t>
      </w:r>
      <w:bookmarkEnd w:id="74"/>
    </w:p>
    <w:p w14:paraId="6FB33678" w14:textId="772ABB0D" w:rsidR="00E04AAD" w:rsidRPr="00E04AAD" w:rsidRDefault="00E04AAD" w:rsidP="00E04AAD">
      <w:pPr>
        <w:pStyle w:val="Heading2"/>
        <w:rPr>
          <w:lang w:val="en-GB" w:eastAsia="en-GB"/>
        </w:rPr>
      </w:pPr>
      <w:bookmarkStart w:id="75" w:name="_Toc239188546"/>
      <w:r w:rsidRPr="00E04AAD">
        <w:rPr>
          <w:lang w:val="en-GB" w:eastAsia="en-GB"/>
        </w:rPr>
        <w:t>8.1 Model Overview and Strategic Alignment</w:t>
      </w:r>
      <w:bookmarkEnd w:id="75"/>
    </w:p>
    <w:p w14:paraId="5B75B687" w14:textId="10B6BD41"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The Business Model Canvas (BMC) translates </w:t>
      </w: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xml:space="preserve"> Smart Gym’s focused differentiation strategy into an integrated model of how the venture creates, delivers and captures value. The framework links customer segments and value propositions with channels, relationships, revenue streams, resources, activities, partnerships and costs (</w:t>
      </w:r>
      <w:proofErr w:type="spellStart"/>
      <w:r w:rsidRPr="00E04AAD">
        <w:rPr>
          <w:rFonts w:ascii="Arial" w:hAnsi="Arial" w:cs="Arial"/>
          <w:sz w:val="24"/>
          <w:szCs w:val="24"/>
          <w:lang w:val="en-GB" w:eastAsia="en-GB"/>
        </w:rPr>
        <w:t>Osterwalder</w:t>
      </w:r>
      <w:proofErr w:type="spellEnd"/>
      <w:r w:rsidRPr="00E04AAD">
        <w:rPr>
          <w:rFonts w:ascii="Arial" w:hAnsi="Arial" w:cs="Arial"/>
          <w:sz w:val="24"/>
          <w:szCs w:val="24"/>
          <w:lang w:val="en-GB" w:eastAsia="en-GB"/>
        </w:rPr>
        <w:t xml:space="preserve"> and </w:t>
      </w:r>
      <w:proofErr w:type="spellStart"/>
      <w:r w:rsidRPr="00E04AAD">
        <w:rPr>
          <w:rFonts w:ascii="Arial" w:hAnsi="Arial" w:cs="Arial"/>
          <w:sz w:val="24"/>
          <w:szCs w:val="24"/>
          <w:lang w:val="en-GB" w:eastAsia="en-GB"/>
        </w:rPr>
        <w:t>Pigneur</w:t>
      </w:r>
      <w:proofErr w:type="spellEnd"/>
      <w:r w:rsidRPr="00E04AAD">
        <w:rPr>
          <w:rFonts w:ascii="Arial" w:hAnsi="Arial" w:cs="Arial"/>
          <w:sz w:val="24"/>
          <w:szCs w:val="24"/>
          <w:lang w:val="en-GB" w:eastAsia="en-GB"/>
        </w:rPr>
        <w:t xml:space="preserve">, 2010). For </w:t>
      </w: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this is particularly important because the proposed model combines a physical gym with AI-assisted personalisation, wearable-supported monitoring and qualified human coaching. Technology is commercially relevant because wearable technology remains the number-one fitness trend for 2026, while data-driven technology continues to feature prominently i</w:t>
      </w:r>
      <w:r>
        <w:rPr>
          <w:rFonts w:ascii="Arial" w:hAnsi="Arial" w:cs="Arial"/>
          <w:sz w:val="24"/>
          <w:szCs w:val="24"/>
          <w:lang w:val="en-GB" w:eastAsia="en-GB"/>
        </w:rPr>
        <w:t>n industry trends (ACSM, 2025).</w:t>
      </w:r>
    </w:p>
    <w:p w14:paraId="6150AA20" w14:textId="6CE4BFC6" w:rsidR="00E04AAD" w:rsidRPr="00E04AAD" w:rsidRDefault="00E04AAD" w:rsidP="00E04AAD">
      <w:pPr>
        <w:pStyle w:val="Heading2"/>
        <w:rPr>
          <w:lang w:val="en-GB" w:eastAsia="en-GB"/>
        </w:rPr>
      </w:pPr>
      <w:bookmarkStart w:id="76" w:name="_Toc239188547"/>
      <w:r w:rsidRPr="00E04AAD">
        <w:rPr>
          <w:lang w:val="en-GB" w:eastAsia="en-GB"/>
        </w:rPr>
        <w:t>8.2 Customer</w:t>
      </w:r>
      <w:r>
        <w:rPr>
          <w:lang w:val="en-GB" w:eastAsia="en-GB"/>
        </w:rPr>
        <w:t xml:space="preserve"> Segments and Value Proposition</w:t>
      </w:r>
      <w:bookmarkEnd w:id="76"/>
    </w:p>
    <w:p w14:paraId="5ACEB28C" w14:textId="1A867884" w:rsidR="00E04AAD" w:rsidRPr="00E04AAD" w:rsidRDefault="00E04AAD" w:rsidP="00E04AAD">
      <w:pPr>
        <w:spacing w:before="240" w:line="360" w:lineRule="auto"/>
        <w:jc w:val="both"/>
        <w:rPr>
          <w:rFonts w:ascii="Arial" w:hAnsi="Arial" w:cs="Arial"/>
          <w:sz w:val="24"/>
          <w:szCs w:val="24"/>
          <w:lang w:val="en-GB" w:eastAsia="en-GB"/>
        </w:rPr>
      </w:pPr>
      <w:proofErr w:type="spellStart"/>
      <w:r w:rsidRPr="00E04AAD">
        <w:rPr>
          <w:rFonts w:ascii="Arial" w:hAnsi="Arial" w:cs="Arial"/>
          <w:sz w:val="24"/>
          <w:szCs w:val="24"/>
          <w:lang w:val="en-GB" w:eastAsia="en-GB"/>
        </w:rPr>
        <w:t>FitLife’s</w:t>
      </w:r>
      <w:proofErr w:type="spellEnd"/>
      <w:r w:rsidRPr="00E04AAD">
        <w:rPr>
          <w:rFonts w:ascii="Arial" w:hAnsi="Arial" w:cs="Arial"/>
          <w:sz w:val="24"/>
          <w:szCs w:val="24"/>
          <w:lang w:val="en-GB" w:eastAsia="en-GB"/>
        </w:rPr>
        <w:t xml:space="preserve"> primary customer segment is adults approximately 20–34 years old living in </w:t>
      </w:r>
      <w:proofErr w:type="spellStart"/>
      <w:r w:rsidRPr="00E04AAD">
        <w:rPr>
          <w:rFonts w:ascii="Arial" w:hAnsi="Arial" w:cs="Arial"/>
          <w:sz w:val="24"/>
          <w:szCs w:val="24"/>
          <w:lang w:val="en-GB" w:eastAsia="en-GB"/>
        </w:rPr>
        <w:t>Levenshulme</w:t>
      </w:r>
      <w:proofErr w:type="spellEnd"/>
      <w:r w:rsidRPr="00E04AAD">
        <w:rPr>
          <w:rFonts w:ascii="Arial" w:hAnsi="Arial" w:cs="Arial"/>
          <w:sz w:val="24"/>
          <w:szCs w:val="24"/>
          <w:lang w:val="en-GB" w:eastAsia="en-GB"/>
        </w:rPr>
        <w:t xml:space="preserve"> and realistically accessible neighbouring Manchester catchments who are fitness-oriented or seeking regular exercise, digitally receptive, interested in personalised guidance and progress monitoring, and able to allocate discretionary income to an accessible/mid-market membership. This segment is therefore defined geographically, demographically, behaviourally and by affordability rather than simply as “digitally savvy working-age adults”. The segment is also consistent with evidence that fitness-app users tend to be younger and urban, although </w:t>
      </w:r>
      <w:proofErr w:type="spellStart"/>
      <w:r w:rsidRPr="00E04AAD">
        <w:rPr>
          <w:rFonts w:ascii="Arial" w:hAnsi="Arial" w:cs="Arial"/>
          <w:sz w:val="24"/>
          <w:szCs w:val="24"/>
          <w:lang w:val="en-GB" w:eastAsia="en-GB"/>
        </w:rPr>
        <w:t>Levenshulme</w:t>
      </w:r>
      <w:proofErr w:type="spellEnd"/>
      <w:r w:rsidRPr="00E04AAD">
        <w:rPr>
          <w:rFonts w:ascii="Arial" w:hAnsi="Arial" w:cs="Arial"/>
          <w:sz w:val="24"/>
          <w:szCs w:val="24"/>
          <w:lang w:val="en-GB" w:eastAsia="en-GB"/>
        </w:rPr>
        <w:t xml:space="preserve">-specific willingness to pay and AI adoption remain assumptions requiring validation (ACSM, 2026). A secondary segment could include older digitally receptive adults seeking greater personalisation, but this should not dilute </w:t>
      </w:r>
      <w:r>
        <w:rPr>
          <w:rFonts w:ascii="Arial" w:hAnsi="Arial" w:cs="Arial"/>
          <w:sz w:val="24"/>
          <w:szCs w:val="24"/>
          <w:lang w:val="en-GB" w:eastAsia="en-GB"/>
        </w:rPr>
        <w:t>the initial targeting strategy.</w:t>
      </w:r>
    </w:p>
    <w:p w14:paraId="32A587C8" w14:textId="5B86E10B" w:rsidR="00E04AAD" w:rsidRPr="00E04AAD" w:rsidRDefault="00E04AAD" w:rsidP="00E04AAD">
      <w:pPr>
        <w:spacing w:before="240" w:line="360" w:lineRule="auto"/>
        <w:jc w:val="both"/>
        <w:rPr>
          <w:rFonts w:ascii="Arial" w:hAnsi="Arial" w:cs="Arial"/>
          <w:sz w:val="24"/>
          <w:szCs w:val="24"/>
          <w:lang w:val="en-GB" w:eastAsia="en-GB"/>
        </w:rPr>
      </w:pPr>
      <w:proofErr w:type="spellStart"/>
      <w:r w:rsidRPr="00E04AAD">
        <w:rPr>
          <w:rFonts w:ascii="Arial" w:hAnsi="Arial" w:cs="Arial"/>
          <w:sz w:val="24"/>
          <w:szCs w:val="24"/>
          <w:lang w:val="en-GB" w:eastAsia="en-GB"/>
        </w:rPr>
        <w:t>FitLife’s</w:t>
      </w:r>
      <w:proofErr w:type="spellEnd"/>
      <w:r w:rsidRPr="00E04AAD">
        <w:rPr>
          <w:rFonts w:ascii="Arial" w:hAnsi="Arial" w:cs="Arial"/>
          <w:sz w:val="24"/>
          <w:szCs w:val="24"/>
          <w:lang w:val="en-GB" w:eastAsia="en-GB"/>
        </w:rPr>
        <w:t xml:space="preserve"> value proposition addresses the potential limitations of generic gym access and fragmented fitness support. Customers receive physical gym access combined with AI-assisted recommendations, wearable integration, progress monitoring, qualified trainer support and digital engagement. The resulting benefits are greater personalisation, convenience, accountability and measurable progress. Importantly, the proposition is not technology for its own sake. AI and wearable data support personalisation, while trainers interpret information, provide accountability and </w:t>
      </w:r>
      <w:r w:rsidRPr="00E04AAD">
        <w:rPr>
          <w:rFonts w:ascii="Arial" w:hAnsi="Arial" w:cs="Arial"/>
          <w:sz w:val="24"/>
          <w:szCs w:val="24"/>
          <w:lang w:val="en-GB" w:eastAsia="en-GB"/>
        </w:rPr>
        <w:lastRenderedPageBreak/>
        <w:t>exercise oversight. This integrated model creates the potential differentiation ide</w:t>
      </w:r>
      <w:r>
        <w:rPr>
          <w:rFonts w:ascii="Arial" w:hAnsi="Arial" w:cs="Arial"/>
          <w:sz w:val="24"/>
          <w:szCs w:val="24"/>
          <w:lang w:val="en-GB" w:eastAsia="en-GB"/>
        </w:rPr>
        <w:t>ntified in Chapter 7.</w:t>
      </w:r>
    </w:p>
    <w:p w14:paraId="066523D9" w14:textId="5F709DED" w:rsidR="00E04AAD" w:rsidRPr="00E04AAD" w:rsidRDefault="00E04AAD" w:rsidP="00E04AAD">
      <w:pPr>
        <w:pStyle w:val="Heading2"/>
        <w:rPr>
          <w:lang w:val="en-GB" w:eastAsia="en-GB"/>
        </w:rPr>
      </w:pPr>
      <w:bookmarkStart w:id="77" w:name="_Toc239188548"/>
      <w:r w:rsidRPr="00E04AAD">
        <w:rPr>
          <w:lang w:val="en-GB" w:eastAsia="en-GB"/>
        </w:rPr>
        <w:t>8.3 Channels and Customer Relationships</w:t>
      </w:r>
      <w:bookmarkEnd w:id="77"/>
    </w:p>
    <w:p w14:paraId="7D354574" w14:textId="59BB6F0A" w:rsidR="00E04AAD" w:rsidRPr="00E04AAD" w:rsidRDefault="00E04AAD" w:rsidP="00E04AAD">
      <w:pPr>
        <w:spacing w:before="240" w:line="360" w:lineRule="auto"/>
        <w:jc w:val="both"/>
        <w:rPr>
          <w:rFonts w:ascii="Arial" w:hAnsi="Arial" w:cs="Arial"/>
          <w:sz w:val="24"/>
          <w:szCs w:val="24"/>
          <w:lang w:val="en-GB" w:eastAsia="en-GB"/>
        </w:rPr>
      </w:pP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xml:space="preserve"> will use digital and physical channels throughout the customer journey. Awareness can be generated through Instagram, Facebook, local digital advertising, community partnerships and referrals. Customers can evaluate the service through the website, app demonstrations, introductory sessions and trial offers before purchasing through the website, app or gym reception. Service delivery occurs through the physical gym and supporting mobile platform, </w:t>
      </w:r>
      <w:r>
        <w:rPr>
          <w:rFonts w:ascii="Arial" w:hAnsi="Arial" w:cs="Arial"/>
          <w:sz w:val="24"/>
          <w:szCs w:val="24"/>
          <w:lang w:val="en-GB" w:eastAsia="en-GB"/>
        </w:rPr>
        <w:t>including wearable integration.</w:t>
      </w:r>
    </w:p>
    <w:p w14:paraId="17903068" w14:textId="6CA5CA39"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Customer relationships will combine personal assistance and technology-enabled self-service. On boarding, fitness assessment and trainer consultations provide human support, while AI-assisted recommendations, progress dashboards and reminders provide continuous digital engagement. Feedback mechanisms, community activities, progress reviews and renewal incentives can support retention. This combination is important because digital tools can extend engagement beyond the physical gym rather th</w:t>
      </w:r>
      <w:r>
        <w:rPr>
          <w:rFonts w:ascii="Arial" w:hAnsi="Arial" w:cs="Arial"/>
          <w:sz w:val="24"/>
          <w:szCs w:val="24"/>
          <w:lang w:val="en-GB" w:eastAsia="en-GB"/>
        </w:rPr>
        <w:t>an replacing human interaction.</w:t>
      </w:r>
    </w:p>
    <w:p w14:paraId="6AB66C33" w14:textId="49274CAE"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8.4 Reven</w:t>
      </w:r>
      <w:r>
        <w:rPr>
          <w:rFonts w:ascii="Arial" w:hAnsi="Arial" w:cs="Arial"/>
          <w:sz w:val="24"/>
          <w:szCs w:val="24"/>
          <w:lang w:val="en-GB" w:eastAsia="en-GB"/>
        </w:rPr>
        <w:t>ue Streams and Membership Model</w:t>
      </w:r>
    </w:p>
    <w:p w14:paraId="08CFA776" w14:textId="670B9BCF"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The principal revenue stream will be recurring membership inco</w:t>
      </w:r>
      <w:r>
        <w:rPr>
          <w:rFonts w:ascii="Arial" w:hAnsi="Arial" w:cs="Arial"/>
          <w:sz w:val="24"/>
          <w:szCs w:val="24"/>
          <w:lang w:val="en-GB" w:eastAsia="en-GB"/>
        </w:rPr>
        <w:t>me supported by a tiered model:</w:t>
      </w:r>
    </w:p>
    <w:p w14:paraId="6B2738E1" w14:textId="0BCB5612" w:rsidR="00E04AAD" w:rsidRPr="00E04AAD" w:rsidRDefault="00E04AAD" w:rsidP="00E04AAD">
      <w:pPr>
        <w:pStyle w:val="Caption"/>
        <w:keepNext/>
        <w:spacing w:line="360" w:lineRule="auto"/>
        <w:jc w:val="both"/>
        <w:rPr>
          <w:rFonts w:ascii="Arial" w:hAnsi="Arial" w:cs="Arial"/>
          <w:sz w:val="24"/>
        </w:rPr>
      </w:pPr>
      <w:bookmarkStart w:id="78" w:name="_Toc239091695"/>
      <w:r w:rsidRPr="00E04AAD">
        <w:rPr>
          <w:rFonts w:ascii="Arial" w:hAnsi="Arial" w:cs="Arial"/>
          <w:sz w:val="24"/>
        </w:rPr>
        <w:t xml:space="preserve">Table </w:t>
      </w:r>
      <w:r w:rsidRPr="00E04AAD">
        <w:rPr>
          <w:rFonts w:ascii="Arial" w:hAnsi="Arial" w:cs="Arial"/>
          <w:sz w:val="24"/>
        </w:rPr>
        <w:fldChar w:fldCharType="begin"/>
      </w:r>
      <w:r w:rsidRPr="00E04AAD">
        <w:rPr>
          <w:rFonts w:ascii="Arial" w:hAnsi="Arial" w:cs="Arial"/>
          <w:sz w:val="24"/>
        </w:rPr>
        <w:instrText xml:space="preserve"> SEQ Table \* ARABIC </w:instrText>
      </w:r>
      <w:r w:rsidRPr="00E04AAD">
        <w:rPr>
          <w:rFonts w:ascii="Arial" w:hAnsi="Arial" w:cs="Arial"/>
          <w:sz w:val="24"/>
        </w:rPr>
        <w:fldChar w:fldCharType="separate"/>
      </w:r>
      <w:r w:rsidR="00415D83">
        <w:rPr>
          <w:rFonts w:ascii="Arial" w:hAnsi="Arial" w:cs="Arial"/>
          <w:noProof/>
          <w:sz w:val="24"/>
        </w:rPr>
        <w:t>11</w:t>
      </w:r>
      <w:r w:rsidRPr="00E04AAD">
        <w:rPr>
          <w:rFonts w:ascii="Arial" w:hAnsi="Arial" w:cs="Arial"/>
          <w:sz w:val="24"/>
        </w:rPr>
        <w:fldChar w:fldCharType="end"/>
      </w:r>
      <w:r w:rsidRPr="00E04AAD">
        <w:rPr>
          <w:rFonts w:ascii="Arial" w:hAnsi="Arial" w:cs="Arial"/>
          <w:sz w:val="24"/>
        </w:rPr>
        <w:t>.Revenue Streams and Membership Model</w:t>
      </w:r>
      <w:bookmarkEnd w:id="78"/>
    </w:p>
    <w:tbl>
      <w:tblPr>
        <w:tblStyle w:val="TableGrid"/>
        <w:tblW w:w="0" w:type="auto"/>
        <w:tblLook w:val="04A0" w:firstRow="1" w:lastRow="0" w:firstColumn="1" w:lastColumn="0" w:noHBand="0" w:noVBand="1"/>
      </w:tblPr>
      <w:tblGrid>
        <w:gridCol w:w="3005"/>
        <w:gridCol w:w="3005"/>
        <w:gridCol w:w="3006"/>
      </w:tblGrid>
      <w:tr w:rsidR="00E04AAD" w:rsidRPr="00E04AAD" w14:paraId="23FBFB23" w14:textId="77777777" w:rsidTr="00E04AAD">
        <w:tc>
          <w:tcPr>
            <w:tcW w:w="3005" w:type="dxa"/>
          </w:tcPr>
          <w:p w14:paraId="4B31EE1C" w14:textId="77777777" w:rsidR="00E04AAD" w:rsidRPr="00F60D4A" w:rsidRDefault="00E04AAD" w:rsidP="00071E1F">
            <w:pPr>
              <w:spacing w:before="240" w:line="360" w:lineRule="auto"/>
              <w:jc w:val="both"/>
              <w:rPr>
                <w:rFonts w:ascii="Arial" w:hAnsi="Arial" w:cs="Arial"/>
                <w:b/>
                <w:sz w:val="24"/>
                <w:szCs w:val="24"/>
                <w:lang w:val="en-GB" w:eastAsia="en-GB"/>
              </w:rPr>
            </w:pPr>
            <w:r w:rsidRPr="00F60D4A">
              <w:rPr>
                <w:rFonts w:ascii="Arial" w:hAnsi="Arial" w:cs="Arial"/>
                <w:b/>
                <w:sz w:val="24"/>
                <w:szCs w:val="24"/>
                <w:lang w:val="en-GB" w:eastAsia="en-GB"/>
              </w:rPr>
              <w:t>Tier</w:t>
            </w:r>
          </w:p>
        </w:tc>
        <w:tc>
          <w:tcPr>
            <w:tcW w:w="3005" w:type="dxa"/>
          </w:tcPr>
          <w:p w14:paraId="558882C2" w14:textId="77777777" w:rsidR="00E04AAD" w:rsidRPr="00F60D4A" w:rsidRDefault="00E04AAD" w:rsidP="00071E1F">
            <w:pPr>
              <w:spacing w:before="240" w:line="360" w:lineRule="auto"/>
              <w:jc w:val="both"/>
              <w:rPr>
                <w:rFonts w:ascii="Arial" w:hAnsi="Arial" w:cs="Arial"/>
                <w:b/>
                <w:sz w:val="24"/>
                <w:szCs w:val="24"/>
                <w:lang w:val="en-GB" w:eastAsia="en-GB"/>
              </w:rPr>
            </w:pPr>
            <w:r w:rsidRPr="00F60D4A">
              <w:rPr>
                <w:rFonts w:ascii="Arial" w:hAnsi="Arial" w:cs="Arial"/>
                <w:b/>
                <w:sz w:val="24"/>
                <w:szCs w:val="24"/>
                <w:lang w:val="en-GB" w:eastAsia="en-GB"/>
              </w:rPr>
              <w:t>Target customer</w:t>
            </w:r>
          </w:p>
        </w:tc>
        <w:tc>
          <w:tcPr>
            <w:tcW w:w="3006" w:type="dxa"/>
          </w:tcPr>
          <w:p w14:paraId="710D3D77" w14:textId="77777777" w:rsidR="00E04AAD" w:rsidRPr="00F60D4A" w:rsidRDefault="00E04AAD" w:rsidP="00071E1F">
            <w:pPr>
              <w:spacing w:before="240" w:line="360" w:lineRule="auto"/>
              <w:jc w:val="both"/>
              <w:rPr>
                <w:rFonts w:ascii="Arial" w:hAnsi="Arial" w:cs="Arial"/>
                <w:b/>
                <w:sz w:val="24"/>
                <w:szCs w:val="24"/>
                <w:lang w:val="en-GB" w:eastAsia="en-GB"/>
              </w:rPr>
            </w:pPr>
            <w:r w:rsidRPr="00F60D4A">
              <w:rPr>
                <w:rFonts w:ascii="Arial" w:hAnsi="Arial" w:cs="Arial"/>
                <w:b/>
                <w:sz w:val="24"/>
                <w:szCs w:val="24"/>
                <w:lang w:val="en-GB" w:eastAsia="en-GB"/>
              </w:rPr>
              <w:t>Principal features</w:t>
            </w:r>
          </w:p>
        </w:tc>
      </w:tr>
      <w:tr w:rsidR="00E04AAD" w:rsidRPr="00E04AAD" w14:paraId="3174FC49" w14:textId="77777777" w:rsidTr="00E04AAD">
        <w:tc>
          <w:tcPr>
            <w:tcW w:w="3005" w:type="dxa"/>
          </w:tcPr>
          <w:p w14:paraId="14DE3FC4"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Essential</w:t>
            </w:r>
          </w:p>
        </w:tc>
        <w:tc>
          <w:tcPr>
            <w:tcW w:w="3005" w:type="dxa"/>
          </w:tcPr>
          <w:p w14:paraId="2D40F1B6"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Price-conscious primary customers</w:t>
            </w:r>
          </w:p>
        </w:tc>
        <w:tc>
          <w:tcPr>
            <w:tcW w:w="3006" w:type="dxa"/>
          </w:tcPr>
          <w:p w14:paraId="2F858CBD"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Gym access, app access and basic progress tracking</w:t>
            </w:r>
          </w:p>
        </w:tc>
      </w:tr>
      <w:tr w:rsidR="00E04AAD" w:rsidRPr="00E04AAD" w14:paraId="2EE85DCB" w14:textId="77777777" w:rsidTr="00E04AAD">
        <w:tc>
          <w:tcPr>
            <w:tcW w:w="3005" w:type="dxa"/>
          </w:tcPr>
          <w:p w14:paraId="6FFF5D40"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Smart</w:t>
            </w:r>
          </w:p>
        </w:tc>
        <w:tc>
          <w:tcPr>
            <w:tcW w:w="3005" w:type="dxa"/>
          </w:tcPr>
          <w:p w14:paraId="32A94D32"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Digitally receptive regular users</w:t>
            </w:r>
          </w:p>
        </w:tc>
        <w:tc>
          <w:tcPr>
            <w:tcW w:w="3006" w:type="dxa"/>
          </w:tcPr>
          <w:p w14:paraId="24035533"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Essential features plus AI personalisation, wearable integration and enhanced progress monitoring</w:t>
            </w:r>
          </w:p>
        </w:tc>
      </w:tr>
      <w:tr w:rsidR="00E04AAD" w:rsidRPr="00E04AAD" w14:paraId="49F751B1" w14:textId="77777777" w:rsidTr="00E04AAD">
        <w:tc>
          <w:tcPr>
            <w:tcW w:w="3005" w:type="dxa"/>
          </w:tcPr>
          <w:p w14:paraId="23630D8A"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lastRenderedPageBreak/>
              <w:t>Smart Plus</w:t>
            </w:r>
          </w:p>
        </w:tc>
        <w:tc>
          <w:tcPr>
            <w:tcW w:w="3005" w:type="dxa"/>
          </w:tcPr>
          <w:p w14:paraId="2A0B23FA"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Customers seeking greater support</w:t>
            </w:r>
          </w:p>
        </w:tc>
        <w:tc>
          <w:tcPr>
            <w:tcW w:w="3006" w:type="dxa"/>
          </w:tcPr>
          <w:p w14:paraId="086FF42F"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Smart features plus regular trainer consultation and enhanced coaching</w:t>
            </w:r>
          </w:p>
        </w:tc>
      </w:tr>
    </w:tbl>
    <w:p w14:paraId="5823315B" w14:textId="77777777" w:rsidR="00E04AAD" w:rsidRPr="00E04AAD" w:rsidRDefault="00E04AAD" w:rsidP="00E04AAD">
      <w:pPr>
        <w:spacing w:before="240" w:line="360" w:lineRule="auto"/>
        <w:jc w:val="both"/>
        <w:rPr>
          <w:rFonts w:ascii="Arial" w:hAnsi="Arial" w:cs="Arial"/>
          <w:sz w:val="24"/>
          <w:szCs w:val="24"/>
          <w:lang w:val="en-GB" w:eastAsia="en-GB"/>
        </w:rPr>
      </w:pPr>
    </w:p>
    <w:p w14:paraId="23F5C0D6" w14:textId="749A45B0"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This structure allows </w:t>
      </w: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xml:space="preserve"> to serve different willingness-to-pay levels without abandoning its focused differentiation. Final prices should be established in Chapter 9 after considering competitor pricing, operating costs and willingness-to-pay evidence. Additional revenue may eventually arise from personal training</w:t>
      </w:r>
      <w:r w:rsidR="00F60D4A">
        <w:rPr>
          <w:rFonts w:ascii="Arial" w:hAnsi="Arial" w:cs="Arial"/>
          <w:sz w:val="24"/>
          <w:szCs w:val="24"/>
          <w:lang w:val="en-GB" w:eastAsia="en-GB"/>
        </w:rPr>
        <w:t xml:space="preserve"> or enhanced coaching services.</w:t>
      </w:r>
    </w:p>
    <w:p w14:paraId="0BEB5444" w14:textId="771C4D60"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The main cost structure combines premises, equipment, staffing, insurance and technology with variable maintenance, payment processing, marketing and customer-acquisition costs. Additional expenditure will arise from AI/app implementation, cybersecurity, data governance and staff training. Therefore, </w:t>
      </w: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xml:space="preserve"> effectively combines the cost structure of a physical gym with additional digital and </w:t>
      </w:r>
      <w:r w:rsidR="00F60D4A">
        <w:rPr>
          <w:rFonts w:ascii="Arial" w:hAnsi="Arial" w:cs="Arial"/>
          <w:sz w:val="24"/>
          <w:szCs w:val="24"/>
          <w:lang w:val="en-GB" w:eastAsia="en-GB"/>
        </w:rPr>
        <w:t>skilled-personnel requirements.</w:t>
      </w:r>
    </w:p>
    <w:p w14:paraId="1F640319" w14:textId="57A3CD32" w:rsidR="00E04AAD" w:rsidRPr="00E04AAD" w:rsidRDefault="00E04AAD" w:rsidP="00F60D4A">
      <w:pPr>
        <w:pStyle w:val="Heading2"/>
        <w:rPr>
          <w:lang w:val="en-GB" w:eastAsia="en-GB"/>
        </w:rPr>
      </w:pPr>
      <w:bookmarkStart w:id="79" w:name="_Toc239188549"/>
      <w:r w:rsidRPr="00E04AAD">
        <w:rPr>
          <w:lang w:val="en-GB" w:eastAsia="en-GB"/>
        </w:rPr>
        <w:t>8.5 Key Resourc</w:t>
      </w:r>
      <w:r w:rsidR="00F60D4A">
        <w:rPr>
          <w:lang w:val="en-GB" w:eastAsia="en-GB"/>
        </w:rPr>
        <w:t>es, Activities and Partnerships</w:t>
      </w:r>
      <w:bookmarkEnd w:id="79"/>
    </w:p>
    <w:p w14:paraId="1B9F4F49" w14:textId="4DD629E7"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Key resources include the physical premises, gym equipment, mobile application, AI capability, wearable integration, qualified trainers, customer-data capability, finance and brand. As </w:t>
      </w: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xml:space="preserve"> is a new venture, most of these resources are proposed resources that must be acquired or develope</w:t>
      </w:r>
      <w:r w:rsidR="00F60D4A">
        <w:rPr>
          <w:rFonts w:ascii="Arial" w:hAnsi="Arial" w:cs="Arial"/>
          <w:sz w:val="24"/>
          <w:szCs w:val="24"/>
          <w:lang w:val="en-GB" w:eastAsia="en-GB"/>
        </w:rPr>
        <w:t>d, rather than existing assets.</w:t>
      </w:r>
    </w:p>
    <w:p w14:paraId="34E754DA" w14:textId="745C6A39"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Core activities include customer </w:t>
      </w:r>
      <w:r w:rsidR="00F60D4A" w:rsidRPr="00E04AAD">
        <w:rPr>
          <w:rFonts w:ascii="Arial" w:hAnsi="Arial" w:cs="Arial"/>
          <w:sz w:val="24"/>
          <w:szCs w:val="24"/>
          <w:lang w:val="en-GB" w:eastAsia="en-GB"/>
        </w:rPr>
        <w:t>on boarding</w:t>
      </w:r>
      <w:r w:rsidRPr="00E04AAD">
        <w:rPr>
          <w:rFonts w:ascii="Arial" w:hAnsi="Arial" w:cs="Arial"/>
          <w:sz w:val="24"/>
          <w:szCs w:val="24"/>
          <w:lang w:val="en-GB" w:eastAsia="en-GB"/>
        </w:rPr>
        <w:t xml:space="preserve"> and fitness assessment, AI-supported recommendation, wearable-data monitoring, trainer review and oversight, personalised coaching, progress tracking, equipment maintenance, marketing, retention and technology testing. Data governance is also a core activity, because fitness-tracker information can constitute health data depending on its nature and context and may therefore require enhanced protection (ICO, 2024). Trainer oversight is similarly essential because AI recommendations should support rather than replace qualified human judgement.</w:t>
      </w:r>
    </w:p>
    <w:p w14:paraId="380671F4" w14:textId="51FF6254"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lastRenderedPageBreak/>
        <w:t xml:space="preserve">Key partnerships will include AI/software providers, wearable and app-platform providers, equipment suppliers, payment providers, insurers and potentially local/community organisations. These partnerships provide specialist capabilities and reduce the need for </w:t>
      </w: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xml:space="preserve"> to develop every resource internally, although supplier dependence and integr</w:t>
      </w:r>
      <w:r w:rsidR="00F60D4A">
        <w:rPr>
          <w:rFonts w:ascii="Arial" w:hAnsi="Arial" w:cs="Arial"/>
          <w:sz w:val="24"/>
          <w:szCs w:val="24"/>
          <w:lang w:val="en-GB" w:eastAsia="en-GB"/>
        </w:rPr>
        <w:t>ation costs must be controlled.</w:t>
      </w:r>
    </w:p>
    <w:p w14:paraId="60AC0B72" w14:textId="1968096E" w:rsidR="00E04AAD" w:rsidRPr="00F60D4A" w:rsidRDefault="00E04AAD" w:rsidP="00F60D4A">
      <w:pPr>
        <w:pStyle w:val="Heading2"/>
        <w:rPr>
          <w:lang w:val="en-GB" w:eastAsia="en-GB"/>
        </w:rPr>
      </w:pPr>
      <w:bookmarkStart w:id="80" w:name="_Toc239188550"/>
      <w:r w:rsidRPr="00E04AAD">
        <w:rPr>
          <w:lang w:val="en-GB" w:eastAsia="en-GB"/>
        </w:rPr>
        <w:t>8.6 Integration, Assumptions and Conclusion</w:t>
      </w:r>
      <w:bookmarkEnd w:id="80"/>
    </w:p>
    <w:p w14:paraId="0B1931F2" w14:textId="10441977"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The nine components form a connected value-creation system. The defined target customer values convenience, personalisation and accountability; therefore, AI, wearable integration and human coaching form the value proposition. These are delivered through the gym, app and digital channels, supported by </w:t>
      </w:r>
      <w:r w:rsidR="00F60D4A" w:rsidRPr="00E04AAD">
        <w:rPr>
          <w:rFonts w:ascii="Arial" w:hAnsi="Arial" w:cs="Arial"/>
          <w:sz w:val="24"/>
          <w:szCs w:val="24"/>
          <w:lang w:val="en-GB" w:eastAsia="en-GB"/>
        </w:rPr>
        <w:t>on boarding</w:t>
      </w:r>
      <w:r w:rsidRPr="00E04AAD">
        <w:rPr>
          <w:rFonts w:ascii="Arial" w:hAnsi="Arial" w:cs="Arial"/>
          <w:sz w:val="24"/>
          <w:szCs w:val="24"/>
          <w:lang w:val="en-GB" w:eastAsia="en-GB"/>
        </w:rPr>
        <w:t>, coaching and progress relationships. Delivery requires premises, trainers, technology and data capabilities, while key activities and external technology/equipment partnerships make the proposition operational. Finally, tiered memberships capture revenue, while premises, staffing, technology, marketing and compliance</w:t>
      </w:r>
      <w:r w:rsidR="00F60D4A">
        <w:rPr>
          <w:rFonts w:ascii="Arial" w:hAnsi="Arial" w:cs="Arial"/>
          <w:sz w:val="24"/>
          <w:szCs w:val="24"/>
          <w:lang w:val="en-GB" w:eastAsia="en-GB"/>
        </w:rPr>
        <w:t xml:space="preserve"> represent the principal costs.</w:t>
      </w:r>
    </w:p>
    <w:p w14:paraId="7555A0A3" w14:textId="043AB324" w:rsidR="0049422E"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The model is therefore strategically coherent but remains conditional. Its success depends particularly on customer willingness to pay, technology reliability, trainer capability, retention and effective data governance. These assumptions should be financially and operationally tested in Chapters 9–11.</w:t>
      </w:r>
    </w:p>
    <w:p w14:paraId="5AF72998" w14:textId="755B78ED" w:rsidR="00B600DF" w:rsidRDefault="00B600DF" w:rsidP="00E04AAD">
      <w:pPr>
        <w:spacing w:before="240" w:line="360" w:lineRule="auto"/>
        <w:jc w:val="both"/>
        <w:rPr>
          <w:rFonts w:ascii="Arial" w:hAnsi="Arial" w:cs="Arial"/>
          <w:sz w:val="24"/>
          <w:szCs w:val="24"/>
          <w:lang w:val="en-GB" w:eastAsia="en-GB"/>
        </w:rPr>
      </w:pPr>
    </w:p>
    <w:p w14:paraId="513B11CF" w14:textId="2A727E9C" w:rsidR="00B600DF" w:rsidRDefault="00B600DF" w:rsidP="00E04AAD">
      <w:pPr>
        <w:spacing w:before="240" w:line="360" w:lineRule="auto"/>
        <w:jc w:val="both"/>
        <w:rPr>
          <w:rFonts w:ascii="Arial" w:hAnsi="Arial" w:cs="Arial"/>
          <w:sz w:val="24"/>
          <w:szCs w:val="24"/>
          <w:lang w:val="en-GB" w:eastAsia="en-GB"/>
        </w:rPr>
      </w:pPr>
    </w:p>
    <w:p w14:paraId="056FED1C" w14:textId="2B8771A5" w:rsidR="00B600DF" w:rsidRDefault="00B600DF" w:rsidP="00E04AAD">
      <w:pPr>
        <w:spacing w:before="240" w:line="360" w:lineRule="auto"/>
        <w:jc w:val="both"/>
        <w:rPr>
          <w:rFonts w:ascii="Arial" w:hAnsi="Arial" w:cs="Arial"/>
          <w:sz w:val="24"/>
          <w:szCs w:val="24"/>
          <w:lang w:val="en-GB" w:eastAsia="en-GB"/>
        </w:rPr>
      </w:pPr>
    </w:p>
    <w:p w14:paraId="061F8A15" w14:textId="27ECB213" w:rsidR="00B600DF" w:rsidRDefault="00B600DF" w:rsidP="00E04AAD">
      <w:pPr>
        <w:spacing w:before="240" w:line="360" w:lineRule="auto"/>
        <w:jc w:val="both"/>
        <w:rPr>
          <w:rFonts w:ascii="Arial" w:hAnsi="Arial" w:cs="Arial"/>
          <w:sz w:val="24"/>
          <w:szCs w:val="24"/>
          <w:lang w:val="en-GB" w:eastAsia="en-GB"/>
        </w:rPr>
      </w:pPr>
    </w:p>
    <w:p w14:paraId="3E78382D" w14:textId="261C985D" w:rsidR="00B600DF" w:rsidRDefault="00B600DF" w:rsidP="00E04AAD">
      <w:pPr>
        <w:spacing w:before="240" w:line="360" w:lineRule="auto"/>
        <w:jc w:val="both"/>
        <w:rPr>
          <w:rFonts w:ascii="Arial" w:hAnsi="Arial" w:cs="Arial"/>
          <w:sz w:val="24"/>
          <w:szCs w:val="24"/>
          <w:lang w:val="en-GB" w:eastAsia="en-GB"/>
        </w:rPr>
      </w:pPr>
    </w:p>
    <w:p w14:paraId="320DEBBF" w14:textId="558CC884" w:rsidR="00B600DF" w:rsidRDefault="00B600DF" w:rsidP="00E04AAD">
      <w:pPr>
        <w:spacing w:before="240" w:line="360" w:lineRule="auto"/>
        <w:jc w:val="both"/>
        <w:rPr>
          <w:rFonts w:ascii="Arial" w:hAnsi="Arial" w:cs="Arial"/>
          <w:sz w:val="24"/>
          <w:szCs w:val="24"/>
          <w:lang w:val="en-GB" w:eastAsia="en-GB"/>
        </w:rPr>
      </w:pPr>
    </w:p>
    <w:p w14:paraId="14F55A94" w14:textId="19B571FD" w:rsidR="00B600DF" w:rsidRDefault="00B600DF" w:rsidP="00E04AAD">
      <w:pPr>
        <w:spacing w:before="240" w:line="360" w:lineRule="auto"/>
        <w:jc w:val="both"/>
        <w:rPr>
          <w:rFonts w:ascii="Arial" w:hAnsi="Arial" w:cs="Arial"/>
          <w:sz w:val="24"/>
          <w:szCs w:val="24"/>
          <w:lang w:val="en-GB" w:eastAsia="en-GB"/>
        </w:rPr>
      </w:pPr>
    </w:p>
    <w:p w14:paraId="45EBC1EB" w14:textId="5DFC1140" w:rsidR="00B600DF" w:rsidRDefault="00B600DF" w:rsidP="00E04AAD">
      <w:pPr>
        <w:spacing w:before="240" w:line="360" w:lineRule="auto"/>
        <w:jc w:val="both"/>
        <w:rPr>
          <w:rFonts w:ascii="Arial" w:hAnsi="Arial" w:cs="Arial"/>
          <w:sz w:val="24"/>
          <w:szCs w:val="24"/>
          <w:lang w:val="en-GB" w:eastAsia="en-GB"/>
        </w:rPr>
      </w:pPr>
    </w:p>
    <w:p w14:paraId="3DA92840" w14:textId="77777777" w:rsidR="00B600DF" w:rsidRPr="003A271D" w:rsidRDefault="00B600DF" w:rsidP="003A271D">
      <w:pPr>
        <w:pStyle w:val="Heading1"/>
        <w:spacing w:line="360" w:lineRule="auto"/>
        <w:jc w:val="center"/>
        <w:rPr>
          <w:rFonts w:eastAsia="Times New Roman" w:cs="Arial"/>
          <w:lang w:val="en-GB" w:eastAsia="en-GB"/>
        </w:rPr>
      </w:pPr>
      <w:bookmarkStart w:id="81" w:name="_Toc239188551"/>
      <w:r w:rsidRPr="003A271D">
        <w:rPr>
          <w:rFonts w:eastAsia="Times New Roman" w:cs="Arial"/>
          <w:lang w:val="en-GB" w:eastAsia="en-GB"/>
        </w:rPr>
        <w:lastRenderedPageBreak/>
        <w:t>Chapter 9 — Financial, Marketing and Sales, and Human Capital Management Plan</w:t>
      </w:r>
      <w:bookmarkEnd w:id="81"/>
    </w:p>
    <w:p w14:paraId="1D79F9EA" w14:textId="77777777" w:rsidR="00B600DF" w:rsidRPr="003A271D" w:rsidRDefault="00B600DF" w:rsidP="003A271D">
      <w:pPr>
        <w:pStyle w:val="Heading2"/>
        <w:spacing w:line="360" w:lineRule="auto"/>
        <w:jc w:val="both"/>
        <w:rPr>
          <w:rFonts w:eastAsia="Times New Roman" w:cs="Arial"/>
          <w:lang w:val="en-GB" w:eastAsia="en-GB"/>
        </w:rPr>
      </w:pPr>
      <w:bookmarkStart w:id="82" w:name="_Toc239188552"/>
      <w:r w:rsidRPr="003A271D">
        <w:rPr>
          <w:rFonts w:eastAsia="Times New Roman" w:cs="Arial"/>
          <w:lang w:val="en-GB" w:eastAsia="en-GB"/>
        </w:rPr>
        <w:t>9.1 Integrated Plan Overview</w:t>
      </w:r>
      <w:bookmarkEnd w:id="82"/>
    </w:p>
    <w:p w14:paraId="4FBF2D89" w14:textId="77777777" w:rsidR="006F72FE"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This chapter translates the focus based differentiation strategy of </w:t>
      </w:r>
      <w:proofErr w:type="spellStart"/>
      <w:r w:rsidRPr="003A271D">
        <w:rPr>
          <w:rFonts w:ascii="Arial" w:hAnsi="Arial" w:cs="Arial"/>
          <w:sz w:val="24"/>
          <w:szCs w:val="24"/>
          <w:lang w:val="en-GB" w:eastAsia="en-GB"/>
        </w:rPr>
        <w:t>FitLife</w:t>
      </w:r>
      <w:proofErr w:type="spellEnd"/>
      <w:r w:rsidRPr="003A271D">
        <w:rPr>
          <w:rFonts w:ascii="Arial" w:hAnsi="Arial" w:cs="Arial"/>
          <w:sz w:val="24"/>
          <w:szCs w:val="24"/>
          <w:lang w:val="en-GB" w:eastAsia="en-GB"/>
        </w:rPr>
        <w:t xml:space="preserve"> Smart Gym into integrated plans in the areas of finances, marketing, sales and human-capital. The key is that the revenue from membership has to be sufficient to cover the costs of the service, people, and technology the service will provide to acquire customers. The three membership levels defined in Chapter 8 are thus used as the basis for the financial model, and marketing and sales assumptions serve as the basis for member acquisition; service capacity is limited by human-capital assumptions. Financial viability is assessed using contribution and break-even analysis, marketing decisions are based on STP and human-capital requirements are determined by workforce planning using 7Ps. All numerical forecasts are planning assumptions and should be checked by contacting quotations, customer research and pilot trading before investing.</w:t>
      </w:r>
    </w:p>
    <w:p w14:paraId="7442BB48" w14:textId="77777777" w:rsidR="006F72FE" w:rsidRPr="003A271D" w:rsidRDefault="006F72FE" w:rsidP="003A271D">
      <w:pPr>
        <w:pStyle w:val="Heading2"/>
        <w:spacing w:line="360" w:lineRule="auto"/>
        <w:jc w:val="both"/>
        <w:rPr>
          <w:rFonts w:eastAsia="Times New Roman" w:cs="Arial"/>
          <w:lang w:val="en-GB" w:eastAsia="en-GB"/>
        </w:rPr>
      </w:pPr>
      <w:bookmarkStart w:id="83" w:name="_Toc239188553"/>
      <w:r w:rsidRPr="003A271D">
        <w:rPr>
          <w:rFonts w:eastAsia="Times New Roman" w:cs="Arial"/>
          <w:lang w:val="en-GB" w:eastAsia="en-GB"/>
        </w:rPr>
        <w:t>9.2 Financial Plan</w:t>
      </w:r>
      <w:bookmarkEnd w:id="83"/>
    </w:p>
    <w:p w14:paraId="3F17A32E" w14:textId="77777777" w:rsidR="006F72FE" w:rsidRPr="003A271D" w:rsidRDefault="006F72FE"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Financial assumptions</w:t>
      </w:r>
    </w:p>
    <w:p w14:paraId="08DBF674" w14:textId="77777777" w:rsidR="006F72FE"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financial model starts with an initial capacity of around 600 active members, with a projection of 900 in Year 2, 1200 in Year 3, 1500 in Year 4 and 1800 in Year 5. The figures are target operating levels and do not necessarily reflect guaranteed local market demand and are less than the estimated greater local opportunity identified in Chapter 5. For the annual revenue modelling a linear membership ramp is used, resulting in approximate average memberships of 300, 750, 1,050, 1,350 and 1,650.</w:t>
      </w:r>
    </w:p>
    <w:p w14:paraId="798A7257" w14:textId="77777777" w:rsidR="006F72FE" w:rsidRPr="003A271D" w:rsidRDefault="006F72FE" w:rsidP="003A271D">
      <w:pPr>
        <w:spacing w:line="360" w:lineRule="auto"/>
        <w:jc w:val="both"/>
        <w:rPr>
          <w:rFonts w:ascii="Arial" w:hAnsi="Arial" w:cs="Arial"/>
          <w:sz w:val="24"/>
          <w:szCs w:val="24"/>
          <w:lang w:val="en-GB" w:eastAsia="en-GB"/>
        </w:rPr>
      </w:pPr>
      <w:proofErr w:type="spellStart"/>
      <w:r w:rsidRPr="003A271D">
        <w:rPr>
          <w:rFonts w:ascii="Arial" w:hAnsi="Arial" w:cs="Arial"/>
          <w:sz w:val="24"/>
          <w:szCs w:val="24"/>
          <w:lang w:val="en-GB" w:eastAsia="en-GB"/>
        </w:rPr>
        <w:t>FitLife</w:t>
      </w:r>
      <w:proofErr w:type="spellEnd"/>
      <w:r w:rsidRPr="003A271D">
        <w:rPr>
          <w:rFonts w:ascii="Arial" w:hAnsi="Arial" w:cs="Arial"/>
          <w:sz w:val="24"/>
          <w:szCs w:val="24"/>
          <w:lang w:val="en-GB" w:eastAsia="en-GB"/>
        </w:rPr>
        <w:t xml:space="preserve"> will have a tiered membership system. The Essential tier is recommended for £24.99 and the Smart tier is recommended for £34.99 per month, and the Smart Plus tier is recommended at £49.99 per month. These are indicative planning rates, not actual market rates. The assumed sales mix is 40% Essential, 45% Smart and 15% Smart Plus which results in an estimated weighted average monthly membership revenue of around £33.24 per member. The pricing strategy will attempt to position </w:t>
      </w:r>
      <w:proofErr w:type="spellStart"/>
      <w:r w:rsidRPr="003A271D">
        <w:rPr>
          <w:rFonts w:ascii="Arial" w:hAnsi="Arial" w:cs="Arial"/>
          <w:sz w:val="24"/>
          <w:szCs w:val="24"/>
          <w:lang w:val="en-GB" w:eastAsia="en-GB"/>
        </w:rPr>
        <w:t>FitLife</w:t>
      </w:r>
      <w:proofErr w:type="spellEnd"/>
      <w:r w:rsidRPr="003A271D">
        <w:rPr>
          <w:rFonts w:ascii="Arial" w:hAnsi="Arial" w:cs="Arial"/>
          <w:sz w:val="24"/>
          <w:szCs w:val="24"/>
          <w:lang w:val="en-GB" w:eastAsia="en-GB"/>
        </w:rPr>
        <w:t xml:space="preserve"> above the basic low cost provision and under the premium health-club positioning. This is commercially relevant as there is currently a gap in the pricing </w:t>
      </w:r>
      <w:r w:rsidRPr="003A271D">
        <w:rPr>
          <w:rFonts w:ascii="Arial" w:hAnsi="Arial" w:cs="Arial"/>
          <w:sz w:val="24"/>
          <w:szCs w:val="24"/>
          <w:lang w:val="en-GB" w:eastAsia="en-GB"/>
        </w:rPr>
        <w:lastRenderedPageBreak/>
        <w:t xml:space="preserve">strategies of these two companies as </w:t>
      </w:r>
      <w:proofErr w:type="spellStart"/>
      <w:r w:rsidRPr="003A271D">
        <w:rPr>
          <w:rFonts w:ascii="Arial" w:hAnsi="Arial" w:cs="Arial"/>
          <w:sz w:val="24"/>
          <w:szCs w:val="24"/>
          <w:lang w:val="en-GB" w:eastAsia="en-GB"/>
        </w:rPr>
        <w:t>Jetts</w:t>
      </w:r>
      <w:proofErr w:type="spellEnd"/>
      <w:r w:rsidRPr="003A271D">
        <w:rPr>
          <w:rFonts w:ascii="Arial" w:hAnsi="Arial" w:cs="Arial"/>
          <w:sz w:val="24"/>
          <w:szCs w:val="24"/>
          <w:lang w:val="en-GB" w:eastAsia="en-GB"/>
        </w:rPr>
        <w:t xml:space="preserve"> </w:t>
      </w:r>
      <w:proofErr w:type="spellStart"/>
      <w:r w:rsidRPr="003A271D">
        <w:rPr>
          <w:rFonts w:ascii="Arial" w:hAnsi="Arial" w:cs="Arial"/>
          <w:sz w:val="24"/>
          <w:szCs w:val="24"/>
          <w:lang w:val="en-GB" w:eastAsia="en-GB"/>
        </w:rPr>
        <w:t>Levenshulme</w:t>
      </w:r>
      <w:proofErr w:type="spellEnd"/>
      <w:r w:rsidRPr="003A271D">
        <w:rPr>
          <w:rFonts w:ascii="Arial" w:hAnsi="Arial" w:cs="Arial"/>
          <w:sz w:val="24"/>
          <w:szCs w:val="24"/>
          <w:lang w:val="en-GB" w:eastAsia="en-GB"/>
        </w:rPr>
        <w:t xml:space="preserve"> currently charges £32.95 per month with classes and 24/7 access, whereas </w:t>
      </w:r>
      <w:proofErr w:type="spellStart"/>
      <w:r w:rsidRPr="003A271D">
        <w:rPr>
          <w:rFonts w:ascii="Arial" w:hAnsi="Arial" w:cs="Arial"/>
          <w:sz w:val="24"/>
          <w:szCs w:val="24"/>
          <w:lang w:val="en-GB" w:eastAsia="en-GB"/>
        </w:rPr>
        <w:t>PureGym</w:t>
      </w:r>
      <w:proofErr w:type="spellEnd"/>
      <w:r w:rsidRPr="003A271D">
        <w:rPr>
          <w:rFonts w:ascii="Arial" w:hAnsi="Arial" w:cs="Arial"/>
          <w:sz w:val="24"/>
          <w:szCs w:val="24"/>
          <w:lang w:val="en-GB" w:eastAsia="en-GB"/>
        </w:rPr>
        <w:t xml:space="preserve"> Manchester </w:t>
      </w:r>
      <w:proofErr w:type="spellStart"/>
      <w:r w:rsidRPr="003A271D">
        <w:rPr>
          <w:rFonts w:ascii="Arial" w:hAnsi="Arial" w:cs="Arial"/>
          <w:sz w:val="24"/>
          <w:szCs w:val="24"/>
          <w:lang w:val="en-GB" w:eastAsia="en-GB"/>
        </w:rPr>
        <w:t>Debdale</w:t>
      </w:r>
      <w:proofErr w:type="spellEnd"/>
      <w:r w:rsidRPr="003A271D">
        <w:rPr>
          <w:rFonts w:ascii="Arial" w:hAnsi="Arial" w:cs="Arial"/>
          <w:sz w:val="24"/>
          <w:szCs w:val="24"/>
          <w:lang w:val="en-GB" w:eastAsia="en-GB"/>
        </w:rPr>
        <w:t xml:space="preserve"> offers plans from £17.99 per month which would make a significant increase in price difficult to justify without some evidence of added value (</w:t>
      </w:r>
      <w:proofErr w:type="spellStart"/>
      <w:r w:rsidRPr="003A271D">
        <w:rPr>
          <w:rFonts w:ascii="Arial" w:hAnsi="Arial" w:cs="Arial"/>
          <w:sz w:val="24"/>
          <w:szCs w:val="24"/>
          <w:lang w:val="en-GB" w:eastAsia="en-GB"/>
        </w:rPr>
        <w:t>Jetts</w:t>
      </w:r>
      <w:proofErr w:type="spellEnd"/>
      <w:r w:rsidRPr="003A271D">
        <w:rPr>
          <w:rFonts w:ascii="Arial" w:hAnsi="Arial" w:cs="Arial"/>
          <w:sz w:val="24"/>
          <w:szCs w:val="24"/>
          <w:lang w:val="en-GB" w:eastAsia="en-GB"/>
        </w:rPr>
        <w:t xml:space="preserve">, 2026; </w:t>
      </w:r>
      <w:proofErr w:type="spellStart"/>
      <w:r w:rsidRPr="003A271D">
        <w:rPr>
          <w:rFonts w:ascii="Arial" w:hAnsi="Arial" w:cs="Arial"/>
          <w:sz w:val="24"/>
          <w:szCs w:val="24"/>
          <w:lang w:val="en-GB" w:eastAsia="en-GB"/>
        </w:rPr>
        <w:t>PureGym</w:t>
      </w:r>
      <w:proofErr w:type="spellEnd"/>
      <w:r w:rsidRPr="003A271D">
        <w:rPr>
          <w:rFonts w:ascii="Arial" w:hAnsi="Arial" w:cs="Arial"/>
          <w:sz w:val="24"/>
          <w:szCs w:val="24"/>
          <w:lang w:val="en-GB" w:eastAsia="en-GB"/>
        </w:rPr>
        <w:t>, 2026).</w:t>
      </w:r>
    </w:p>
    <w:p w14:paraId="4F516845" w14:textId="77777777" w:rsidR="006F72FE"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primary source of income is thus recurring membership fees. Income from other activities such as personal training is not included in the base case so that viability is not achieved if secondary income is available. This conservative approach results in upside from future personal-training, partnership or ancillary-service income without requiring it to meet the base forecast.</w:t>
      </w:r>
    </w:p>
    <w:p w14:paraId="0119F1DE" w14:textId="6CE1299A" w:rsidR="006F72FE" w:rsidRPr="003A271D" w:rsidRDefault="006F72FE"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Start-up investment &amp; funding.</w:t>
      </w:r>
    </w:p>
    <w:p w14:paraId="4FE8B3AA" w14:textId="5B607A1C" w:rsidR="00B600DF"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estimated initial cost is around £180,000 (this is subject to quotations from suppliers and premises negotiations). An indicative allocation is</w:t>
      </w:r>
      <w:r w:rsidR="00B600DF" w:rsidRPr="003A271D">
        <w:rPr>
          <w:rFonts w:ascii="Arial" w:hAnsi="Arial" w:cs="Arial"/>
          <w:sz w:val="24"/>
          <w:szCs w:val="24"/>
          <w:lang w:val="en-GB" w:eastAsia="en-GB"/>
        </w:rPr>
        <w:t>:</w:t>
      </w:r>
    </w:p>
    <w:p w14:paraId="3CEABC51" w14:textId="052931BF" w:rsidR="004F31F9" w:rsidRPr="003A271D" w:rsidRDefault="004F31F9" w:rsidP="003A271D">
      <w:pPr>
        <w:pStyle w:val="Caption"/>
        <w:keepNext/>
        <w:spacing w:line="360" w:lineRule="auto"/>
        <w:jc w:val="both"/>
        <w:rPr>
          <w:rFonts w:ascii="Arial" w:hAnsi="Arial" w:cs="Arial"/>
          <w:sz w:val="24"/>
        </w:rPr>
      </w:pPr>
      <w:bookmarkStart w:id="84" w:name="_Toc239091696"/>
      <w:r w:rsidRPr="003A271D">
        <w:rPr>
          <w:rFonts w:ascii="Arial" w:hAnsi="Arial" w:cs="Arial"/>
          <w:sz w:val="24"/>
        </w:rPr>
        <w:t xml:space="preserve">Table </w:t>
      </w:r>
      <w:r w:rsidRPr="003A271D">
        <w:rPr>
          <w:rFonts w:ascii="Arial" w:hAnsi="Arial" w:cs="Arial"/>
          <w:sz w:val="24"/>
        </w:rPr>
        <w:fldChar w:fldCharType="begin"/>
      </w:r>
      <w:r w:rsidRPr="003A271D">
        <w:rPr>
          <w:rFonts w:ascii="Arial" w:hAnsi="Arial" w:cs="Arial"/>
          <w:sz w:val="24"/>
        </w:rPr>
        <w:instrText xml:space="preserve"> SEQ Table \* ARABIC </w:instrText>
      </w:r>
      <w:r w:rsidRPr="003A271D">
        <w:rPr>
          <w:rFonts w:ascii="Arial" w:hAnsi="Arial" w:cs="Arial"/>
          <w:sz w:val="24"/>
        </w:rPr>
        <w:fldChar w:fldCharType="separate"/>
      </w:r>
      <w:r w:rsidR="00415D83">
        <w:rPr>
          <w:rFonts w:ascii="Arial" w:hAnsi="Arial" w:cs="Arial"/>
          <w:noProof/>
          <w:sz w:val="24"/>
        </w:rPr>
        <w:t>12</w:t>
      </w:r>
      <w:r w:rsidRPr="003A271D">
        <w:rPr>
          <w:rFonts w:ascii="Arial" w:hAnsi="Arial" w:cs="Arial"/>
          <w:sz w:val="24"/>
        </w:rPr>
        <w:fldChar w:fldCharType="end"/>
      </w:r>
      <w:r w:rsidRPr="003A271D">
        <w:rPr>
          <w:rFonts w:ascii="Arial" w:hAnsi="Arial" w:cs="Arial"/>
          <w:sz w:val="24"/>
        </w:rPr>
        <w:t>.Start-up investment &amp; funding.</w:t>
      </w:r>
      <w:bookmarkEnd w:id="84"/>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612"/>
        <w:gridCol w:w="2304"/>
      </w:tblGrid>
      <w:tr w:rsidR="00B600DF" w:rsidRPr="003A271D" w14:paraId="098A572B" w14:textId="77777777" w:rsidTr="006F72FE">
        <w:trPr>
          <w:tblCellSpacing w:w="15" w:type="dxa"/>
          <w:jc w:val="center"/>
        </w:trPr>
        <w:tc>
          <w:tcPr>
            <w:tcW w:w="0" w:type="auto"/>
            <w:vAlign w:val="center"/>
            <w:hideMark/>
          </w:tcPr>
          <w:p w14:paraId="2D41662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Start-up requirement</w:t>
            </w:r>
          </w:p>
        </w:tc>
        <w:tc>
          <w:tcPr>
            <w:tcW w:w="0" w:type="auto"/>
            <w:vAlign w:val="center"/>
            <w:hideMark/>
          </w:tcPr>
          <w:p w14:paraId="40F81D57"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Planning assumption</w:t>
            </w:r>
          </w:p>
        </w:tc>
      </w:tr>
      <w:tr w:rsidR="00B600DF" w:rsidRPr="003A271D" w14:paraId="3BE7703E" w14:textId="77777777" w:rsidTr="006F72FE">
        <w:trPr>
          <w:tblCellSpacing w:w="15" w:type="dxa"/>
          <w:jc w:val="center"/>
        </w:trPr>
        <w:tc>
          <w:tcPr>
            <w:tcW w:w="0" w:type="auto"/>
            <w:vAlign w:val="center"/>
            <w:hideMark/>
          </w:tcPr>
          <w:p w14:paraId="1B3EC7D1"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Premises deposit and initial fit-out</w:t>
            </w:r>
          </w:p>
        </w:tc>
        <w:tc>
          <w:tcPr>
            <w:tcW w:w="0" w:type="auto"/>
            <w:vAlign w:val="center"/>
            <w:hideMark/>
          </w:tcPr>
          <w:p w14:paraId="5284636F"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£40,000</w:t>
            </w:r>
          </w:p>
        </w:tc>
      </w:tr>
      <w:tr w:rsidR="00B600DF" w:rsidRPr="003A271D" w14:paraId="36A91383" w14:textId="77777777" w:rsidTr="006F72FE">
        <w:trPr>
          <w:tblCellSpacing w:w="15" w:type="dxa"/>
          <w:jc w:val="center"/>
        </w:trPr>
        <w:tc>
          <w:tcPr>
            <w:tcW w:w="0" w:type="auto"/>
            <w:vAlign w:val="center"/>
            <w:hideMark/>
          </w:tcPr>
          <w:p w14:paraId="38C9C8F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Gym equipment and installation</w:t>
            </w:r>
          </w:p>
        </w:tc>
        <w:tc>
          <w:tcPr>
            <w:tcW w:w="0" w:type="auto"/>
            <w:vAlign w:val="center"/>
            <w:hideMark/>
          </w:tcPr>
          <w:p w14:paraId="302FD91E"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£55,000</w:t>
            </w:r>
          </w:p>
        </w:tc>
      </w:tr>
      <w:tr w:rsidR="00B600DF" w:rsidRPr="003A271D" w14:paraId="1FA82153" w14:textId="77777777" w:rsidTr="006F72FE">
        <w:trPr>
          <w:tblCellSpacing w:w="15" w:type="dxa"/>
          <w:jc w:val="center"/>
        </w:trPr>
        <w:tc>
          <w:tcPr>
            <w:tcW w:w="0" w:type="auto"/>
            <w:vAlign w:val="center"/>
            <w:hideMark/>
          </w:tcPr>
          <w:p w14:paraId="0F5E6A9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AI/app/platform implementation</w:t>
            </w:r>
          </w:p>
        </w:tc>
        <w:tc>
          <w:tcPr>
            <w:tcW w:w="0" w:type="auto"/>
            <w:vAlign w:val="center"/>
            <w:hideMark/>
          </w:tcPr>
          <w:p w14:paraId="342C398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£20,000</w:t>
            </w:r>
          </w:p>
        </w:tc>
      </w:tr>
      <w:tr w:rsidR="00B600DF" w:rsidRPr="003A271D" w14:paraId="105459A5" w14:textId="77777777" w:rsidTr="006F72FE">
        <w:trPr>
          <w:tblCellSpacing w:w="15" w:type="dxa"/>
          <w:jc w:val="center"/>
        </w:trPr>
        <w:tc>
          <w:tcPr>
            <w:tcW w:w="0" w:type="auto"/>
            <w:vAlign w:val="center"/>
            <w:hideMark/>
          </w:tcPr>
          <w:p w14:paraId="10133DD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Wearable and technology integration</w:t>
            </w:r>
          </w:p>
        </w:tc>
        <w:tc>
          <w:tcPr>
            <w:tcW w:w="0" w:type="auto"/>
            <w:vAlign w:val="center"/>
            <w:hideMark/>
          </w:tcPr>
          <w:p w14:paraId="4D389FB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£10,000</w:t>
            </w:r>
          </w:p>
        </w:tc>
      </w:tr>
      <w:tr w:rsidR="00B600DF" w:rsidRPr="003A271D" w14:paraId="253F5392" w14:textId="77777777" w:rsidTr="006F72FE">
        <w:trPr>
          <w:tblCellSpacing w:w="15" w:type="dxa"/>
          <w:jc w:val="center"/>
        </w:trPr>
        <w:tc>
          <w:tcPr>
            <w:tcW w:w="0" w:type="auto"/>
            <w:vAlign w:val="center"/>
            <w:hideMark/>
          </w:tcPr>
          <w:p w14:paraId="0EFFD5D4"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Branding, website and launch assets</w:t>
            </w:r>
          </w:p>
        </w:tc>
        <w:tc>
          <w:tcPr>
            <w:tcW w:w="0" w:type="auto"/>
            <w:vAlign w:val="center"/>
            <w:hideMark/>
          </w:tcPr>
          <w:p w14:paraId="07BAD30D"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£7,000</w:t>
            </w:r>
          </w:p>
        </w:tc>
      </w:tr>
      <w:tr w:rsidR="00B600DF" w:rsidRPr="003A271D" w14:paraId="221936D5" w14:textId="77777777" w:rsidTr="006F72FE">
        <w:trPr>
          <w:tblCellSpacing w:w="15" w:type="dxa"/>
          <w:jc w:val="center"/>
        </w:trPr>
        <w:tc>
          <w:tcPr>
            <w:tcW w:w="0" w:type="auto"/>
            <w:vAlign w:val="center"/>
            <w:hideMark/>
          </w:tcPr>
          <w:p w14:paraId="0975C43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Legal, insurance, registration and professional costs</w:t>
            </w:r>
          </w:p>
        </w:tc>
        <w:tc>
          <w:tcPr>
            <w:tcW w:w="0" w:type="auto"/>
            <w:vAlign w:val="center"/>
            <w:hideMark/>
          </w:tcPr>
          <w:p w14:paraId="05F4F9A1"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£6,000</w:t>
            </w:r>
          </w:p>
        </w:tc>
      </w:tr>
      <w:tr w:rsidR="00B600DF" w:rsidRPr="003A271D" w14:paraId="5B1DCF5B" w14:textId="77777777" w:rsidTr="006F72FE">
        <w:trPr>
          <w:tblCellSpacing w:w="15" w:type="dxa"/>
          <w:jc w:val="center"/>
        </w:trPr>
        <w:tc>
          <w:tcPr>
            <w:tcW w:w="0" w:type="auto"/>
            <w:vAlign w:val="center"/>
            <w:hideMark/>
          </w:tcPr>
          <w:p w14:paraId="3C595CB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Recruitment and pre-opening training</w:t>
            </w:r>
          </w:p>
        </w:tc>
        <w:tc>
          <w:tcPr>
            <w:tcW w:w="0" w:type="auto"/>
            <w:vAlign w:val="center"/>
            <w:hideMark/>
          </w:tcPr>
          <w:p w14:paraId="4B461844"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£7,000</w:t>
            </w:r>
          </w:p>
        </w:tc>
      </w:tr>
      <w:tr w:rsidR="00B600DF" w:rsidRPr="003A271D" w14:paraId="6E4932FC" w14:textId="77777777" w:rsidTr="006F72FE">
        <w:trPr>
          <w:tblCellSpacing w:w="15" w:type="dxa"/>
          <w:jc w:val="center"/>
        </w:trPr>
        <w:tc>
          <w:tcPr>
            <w:tcW w:w="0" w:type="auto"/>
            <w:vAlign w:val="center"/>
            <w:hideMark/>
          </w:tcPr>
          <w:p w14:paraId="21A8AA0E"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Pre-launch marketing</w:t>
            </w:r>
          </w:p>
        </w:tc>
        <w:tc>
          <w:tcPr>
            <w:tcW w:w="0" w:type="auto"/>
            <w:vAlign w:val="center"/>
            <w:hideMark/>
          </w:tcPr>
          <w:p w14:paraId="5E90A650"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£10,000</w:t>
            </w:r>
          </w:p>
        </w:tc>
      </w:tr>
      <w:tr w:rsidR="00B600DF" w:rsidRPr="003A271D" w14:paraId="4CE511F9" w14:textId="77777777" w:rsidTr="006F72FE">
        <w:trPr>
          <w:tblCellSpacing w:w="15" w:type="dxa"/>
          <w:jc w:val="center"/>
        </w:trPr>
        <w:tc>
          <w:tcPr>
            <w:tcW w:w="0" w:type="auto"/>
            <w:vAlign w:val="center"/>
            <w:hideMark/>
          </w:tcPr>
          <w:p w14:paraId="0935EB48"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Initial working capital and contingency</w:t>
            </w:r>
          </w:p>
        </w:tc>
        <w:tc>
          <w:tcPr>
            <w:tcW w:w="0" w:type="auto"/>
            <w:vAlign w:val="center"/>
            <w:hideMark/>
          </w:tcPr>
          <w:p w14:paraId="748FD4D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£25,000</w:t>
            </w:r>
          </w:p>
        </w:tc>
      </w:tr>
      <w:tr w:rsidR="00B600DF" w:rsidRPr="003A271D" w14:paraId="6C01F25C" w14:textId="77777777" w:rsidTr="006F72FE">
        <w:trPr>
          <w:tblCellSpacing w:w="15" w:type="dxa"/>
          <w:jc w:val="center"/>
        </w:trPr>
        <w:tc>
          <w:tcPr>
            <w:tcW w:w="0" w:type="auto"/>
            <w:vAlign w:val="center"/>
            <w:hideMark/>
          </w:tcPr>
          <w:p w14:paraId="0AEF5D98"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Total</w:t>
            </w:r>
          </w:p>
        </w:tc>
        <w:tc>
          <w:tcPr>
            <w:tcW w:w="0" w:type="auto"/>
            <w:vAlign w:val="center"/>
            <w:hideMark/>
          </w:tcPr>
          <w:p w14:paraId="1BE6456C"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£180,000</w:t>
            </w:r>
          </w:p>
        </w:tc>
      </w:tr>
    </w:tbl>
    <w:p w14:paraId="3BA406AC" w14:textId="77777777" w:rsidR="006F72FE" w:rsidRPr="003A271D" w:rsidRDefault="006F72FE" w:rsidP="003A271D">
      <w:pPr>
        <w:spacing w:line="360" w:lineRule="auto"/>
        <w:jc w:val="both"/>
        <w:rPr>
          <w:rFonts w:ascii="Arial" w:hAnsi="Arial" w:cs="Arial"/>
          <w:sz w:val="24"/>
          <w:szCs w:val="24"/>
          <w:lang w:val="en-GB" w:eastAsia="en-GB"/>
        </w:rPr>
      </w:pPr>
    </w:p>
    <w:p w14:paraId="10ACB4F2" w14:textId="77777777" w:rsidR="00C226CC"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lastRenderedPageBreak/>
        <w:t>The proposed funding may then be a combination of the owner/investor's capital and a suitable business-finance facility, depending on the affordability and the requirements of the lender. The working-capital allowance is significant since during the initial phase of the business's ramp-up, the business is expected to run below break-even.</w:t>
      </w:r>
    </w:p>
    <w:p w14:paraId="4CA65159" w14:textId="77777777" w:rsidR="00C226CC" w:rsidRPr="003A271D" w:rsidRDefault="00C226CC"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Operating cost structure</w:t>
      </w:r>
    </w:p>
    <w:p w14:paraId="238BAE55" w14:textId="77777777" w:rsidR="00C226CC" w:rsidRPr="003A271D" w:rsidRDefault="00C226CC" w:rsidP="003A271D">
      <w:pPr>
        <w:spacing w:line="360" w:lineRule="auto"/>
        <w:jc w:val="both"/>
        <w:rPr>
          <w:rFonts w:ascii="Arial" w:hAnsi="Arial" w:cs="Arial"/>
          <w:sz w:val="24"/>
          <w:szCs w:val="24"/>
          <w:lang w:val="en-GB" w:eastAsia="en-GB"/>
        </w:rPr>
      </w:pPr>
      <w:proofErr w:type="spellStart"/>
      <w:r w:rsidRPr="003A271D">
        <w:rPr>
          <w:rFonts w:ascii="Arial" w:hAnsi="Arial" w:cs="Arial"/>
          <w:sz w:val="24"/>
          <w:szCs w:val="24"/>
          <w:lang w:val="en-GB" w:eastAsia="en-GB"/>
        </w:rPr>
        <w:t>FitLife's</w:t>
      </w:r>
      <w:proofErr w:type="spellEnd"/>
      <w:r w:rsidRPr="003A271D">
        <w:rPr>
          <w:rFonts w:ascii="Arial" w:hAnsi="Arial" w:cs="Arial"/>
          <w:sz w:val="24"/>
          <w:szCs w:val="24"/>
          <w:lang w:val="en-GB" w:eastAsia="en-GB"/>
        </w:rPr>
        <w:t xml:space="preserve"> costs are semi-fixed costs and variable costs related to the members. Indicative annual fixed operating costs are approximately £229,000 (base year) and comprise of premises (£45,000), core salaries (£105,000), technology/software (£18,000), utilities (£15,000), insurance (£5,000), recurring marketing (£24,000), maintenance (£10,000) and administration/professional costs (£7,000). These are planning assumptions which need to be confirmed by quotations.</w:t>
      </w:r>
    </w:p>
    <w:p w14:paraId="40ABB50A" w14:textId="77777777" w:rsidR="00C226CC"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It is assumed that payment processing, member-related technology, consumables etc., will cost around £4.50 per active member per month, which is a variable cost. Labour costs should also be reviewed as members grow as more trainers and front of house capacity may be required.</w:t>
      </w:r>
    </w:p>
    <w:p w14:paraId="164D2963" w14:textId="77777777" w:rsidR="00C226CC"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cost of employment should be related to the needs of the current UK. The National Living Wage (for workers over 21) will be £12.71 an hour from April 2026 (Low Pay Commission, 2026). Employer National Insurance contributions are 15% higher than the base NSI rate, and the minimum employer Workplace-pension contribution is typically 3% of qualifying earnings (HMRC, 2026; DWP, 2026). These are statutory costs that emphasize why it's important to not underestimate the actual cost of staffing.</w:t>
      </w:r>
    </w:p>
    <w:p w14:paraId="29396BE5" w14:textId="77777777" w:rsidR="00C226CC" w:rsidRPr="003A271D" w:rsidRDefault="00C226CC"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Revenue and profitability forecast</w:t>
      </w:r>
    </w:p>
    <w:p w14:paraId="0A34383A" w14:textId="1AECFB1F" w:rsidR="00B600DF"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Average active memberships times the weighted average monthly membership value equals the base case revenue forecast</w:t>
      </w:r>
      <w:r w:rsidR="00B600DF" w:rsidRPr="003A271D">
        <w:rPr>
          <w:rFonts w:ascii="Arial" w:hAnsi="Arial" w:cs="Arial"/>
          <w:sz w:val="24"/>
          <w:szCs w:val="24"/>
          <w:lang w:val="en-GB" w:eastAsia="en-GB"/>
        </w:rPr>
        <w:t>.</w:t>
      </w:r>
    </w:p>
    <w:p w14:paraId="77B399C7" w14:textId="1C6958D1" w:rsidR="00E84D6D" w:rsidRPr="003A271D" w:rsidRDefault="00E84D6D" w:rsidP="003A271D">
      <w:pPr>
        <w:pStyle w:val="Caption"/>
        <w:keepNext/>
        <w:spacing w:line="360" w:lineRule="auto"/>
        <w:jc w:val="both"/>
        <w:rPr>
          <w:rFonts w:ascii="Arial" w:hAnsi="Arial" w:cs="Arial"/>
          <w:sz w:val="24"/>
        </w:rPr>
      </w:pPr>
      <w:bookmarkStart w:id="85" w:name="_Toc239091697"/>
      <w:r w:rsidRPr="003A271D">
        <w:rPr>
          <w:rFonts w:ascii="Arial" w:hAnsi="Arial" w:cs="Arial"/>
          <w:sz w:val="24"/>
        </w:rPr>
        <w:t xml:space="preserve">Table </w:t>
      </w:r>
      <w:r w:rsidRPr="003A271D">
        <w:rPr>
          <w:rFonts w:ascii="Arial" w:hAnsi="Arial" w:cs="Arial"/>
          <w:sz w:val="24"/>
        </w:rPr>
        <w:fldChar w:fldCharType="begin"/>
      </w:r>
      <w:r w:rsidRPr="003A271D">
        <w:rPr>
          <w:rFonts w:ascii="Arial" w:hAnsi="Arial" w:cs="Arial"/>
          <w:sz w:val="24"/>
        </w:rPr>
        <w:instrText xml:space="preserve"> SEQ Table \* ARABIC </w:instrText>
      </w:r>
      <w:r w:rsidRPr="003A271D">
        <w:rPr>
          <w:rFonts w:ascii="Arial" w:hAnsi="Arial" w:cs="Arial"/>
          <w:sz w:val="24"/>
        </w:rPr>
        <w:fldChar w:fldCharType="separate"/>
      </w:r>
      <w:r w:rsidR="00415D83">
        <w:rPr>
          <w:rFonts w:ascii="Arial" w:hAnsi="Arial" w:cs="Arial"/>
          <w:noProof/>
          <w:sz w:val="24"/>
        </w:rPr>
        <w:t>13</w:t>
      </w:r>
      <w:r w:rsidRPr="003A271D">
        <w:rPr>
          <w:rFonts w:ascii="Arial" w:hAnsi="Arial" w:cs="Arial"/>
          <w:sz w:val="24"/>
        </w:rPr>
        <w:fldChar w:fldCharType="end"/>
      </w:r>
      <w:r w:rsidRPr="003A271D">
        <w:rPr>
          <w:rFonts w:ascii="Arial" w:hAnsi="Arial" w:cs="Arial"/>
          <w:sz w:val="24"/>
        </w:rPr>
        <w:t>.Revenue and profitability forecast</w:t>
      </w:r>
      <w:bookmarkEnd w:id="8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80"/>
        <w:gridCol w:w="1580"/>
        <w:gridCol w:w="1648"/>
        <w:gridCol w:w="1892"/>
        <w:gridCol w:w="1204"/>
        <w:gridCol w:w="2022"/>
      </w:tblGrid>
      <w:tr w:rsidR="00B600DF" w:rsidRPr="003A271D" w14:paraId="4C5F7396" w14:textId="77777777" w:rsidTr="00B600DF">
        <w:trPr>
          <w:tblCellSpacing w:w="15" w:type="dxa"/>
        </w:trPr>
        <w:tc>
          <w:tcPr>
            <w:tcW w:w="0" w:type="auto"/>
            <w:vAlign w:val="center"/>
            <w:hideMark/>
          </w:tcPr>
          <w:p w14:paraId="105DADA3"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Year</w:t>
            </w:r>
          </w:p>
        </w:tc>
        <w:tc>
          <w:tcPr>
            <w:tcW w:w="0" w:type="auto"/>
            <w:vAlign w:val="center"/>
            <w:hideMark/>
          </w:tcPr>
          <w:p w14:paraId="74DB1244"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Average members</w:t>
            </w:r>
          </w:p>
        </w:tc>
        <w:tc>
          <w:tcPr>
            <w:tcW w:w="0" w:type="auto"/>
            <w:vAlign w:val="center"/>
            <w:hideMark/>
          </w:tcPr>
          <w:p w14:paraId="1358A28F"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Estimated revenue</w:t>
            </w:r>
          </w:p>
        </w:tc>
        <w:tc>
          <w:tcPr>
            <w:tcW w:w="0" w:type="auto"/>
            <w:vAlign w:val="center"/>
            <w:hideMark/>
          </w:tcPr>
          <w:p w14:paraId="4A60F222"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Estimated variable cost</w:t>
            </w:r>
          </w:p>
        </w:tc>
        <w:tc>
          <w:tcPr>
            <w:tcW w:w="0" w:type="auto"/>
            <w:vAlign w:val="center"/>
            <w:hideMark/>
          </w:tcPr>
          <w:p w14:paraId="0435E64F"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Fixed costs</w:t>
            </w:r>
          </w:p>
        </w:tc>
        <w:tc>
          <w:tcPr>
            <w:tcW w:w="0" w:type="auto"/>
            <w:vAlign w:val="center"/>
            <w:hideMark/>
          </w:tcPr>
          <w:p w14:paraId="22D12404"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Indicative operating result</w:t>
            </w:r>
          </w:p>
        </w:tc>
      </w:tr>
      <w:tr w:rsidR="00B600DF" w:rsidRPr="003A271D" w14:paraId="273814FD" w14:textId="77777777" w:rsidTr="00B600DF">
        <w:trPr>
          <w:tblCellSpacing w:w="15" w:type="dxa"/>
        </w:trPr>
        <w:tc>
          <w:tcPr>
            <w:tcW w:w="0" w:type="auto"/>
            <w:vAlign w:val="center"/>
            <w:hideMark/>
          </w:tcPr>
          <w:p w14:paraId="04E21BEF"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lastRenderedPageBreak/>
              <w:t>Year 1</w:t>
            </w:r>
          </w:p>
        </w:tc>
        <w:tc>
          <w:tcPr>
            <w:tcW w:w="0" w:type="auto"/>
            <w:vAlign w:val="center"/>
            <w:hideMark/>
          </w:tcPr>
          <w:p w14:paraId="71565C8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300</w:t>
            </w:r>
          </w:p>
        </w:tc>
        <w:tc>
          <w:tcPr>
            <w:tcW w:w="0" w:type="auto"/>
            <w:vAlign w:val="center"/>
            <w:hideMark/>
          </w:tcPr>
          <w:p w14:paraId="192812BD"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£119,664</w:t>
            </w:r>
          </w:p>
        </w:tc>
        <w:tc>
          <w:tcPr>
            <w:tcW w:w="0" w:type="auto"/>
            <w:vAlign w:val="center"/>
            <w:hideMark/>
          </w:tcPr>
          <w:p w14:paraId="3163ADF5"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£16,200</w:t>
            </w:r>
          </w:p>
        </w:tc>
        <w:tc>
          <w:tcPr>
            <w:tcW w:w="0" w:type="auto"/>
            <w:vAlign w:val="center"/>
            <w:hideMark/>
          </w:tcPr>
          <w:p w14:paraId="58156CE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£229,000</w:t>
            </w:r>
          </w:p>
        </w:tc>
        <w:tc>
          <w:tcPr>
            <w:tcW w:w="0" w:type="auto"/>
            <w:vAlign w:val="center"/>
            <w:hideMark/>
          </w:tcPr>
          <w:p w14:paraId="49002FD7"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-£125,536</w:t>
            </w:r>
          </w:p>
        </w:tc>
      </w:tr>
      <w:tr w:rsidR="00B600DF" w:rsidRPr="003A271D" w14:paraId="2BE9E282" w14:textId="77777777" w:rsidTr="00B600DF">
        <w:trPr>
          <w:tblCellSpacing w:w="15" w:type="dxa"/>
        </w:trPr>
        <w:tc>
          <w:tcPr>
            <w:tcW w:w="0" w:type="auto"/>
            <w:vAlign w:val="center"/>
            <w:hideMark/>
          </w:tcPr>
          <w:p w14:paraId="2D89E522"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Year 2</w:t>
            </w:r>
          </w:p>
        </w:tc>
        <w:tc>
          <w:tcPr>
            <w:tcW w:w="0" w:type="auto"/>
            <w:vAlign w:val="center"/>
            <w:hideMark/>
          </w:tcPr>
          <w:p w14:paraId="1E281E2C"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750</w:t>
            </w:r>
          </w:p>
        </w:tc>
        <w:tc>
          <w:tcPr>
            <w:tcW w:w="0" w:type="auto"/>
            <w:vAlign w:val="center"/>
            <w:hideMark/>
          </w:tcPr>
          <w:p w14:paraId="041A4924"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£299,160</w:t>
            </w:r>
          </w:p>
        </w:tc>
        <w:tc>
          <w:tcPr>
            <w:tcW w:w="0" w:type="auto"/>
            <w:vAlign w:val="center"/>
            <w:hideMark/>
          </w:tcPr>
          <w:p w14:paraId="7F74A4AB"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£40,500</w:t>
            </w:r>
          </w:p>
        </w:tc>
        <w:tc>
          <w:tcPr>
            <w:tcW w:w="0" w:type="auto"/>
            <w:vAlign w:val="center"/>
            <w:hideMark/>
          </w:tcPr>
          <w:p w14:paraId="38DE35F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£229,000</w:t>
            </w:r>
          </w:p>
        </w:tc>
        <w:tc>
          <w:tcPr>
            <w:tcW w:w="0" w:type="auto"/>
            <w:vAlign w:val="center"/>
            <w:hideMark/>
          </w:tcPr>
          <w:p w14:paraId="3FC9630E"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£29,660</w:t>
            </w:r>
          </w:p>
        </w:tc>
      </w:tr>
      <w:tr w:rsidR="00B600DF" w:rsidRPr="003A271D" w14:paraId="07C38169" w14:textId="77777777" w:rsidTr="00B600DF">
        <w:trPr>
          <w:tblCellSpacing w:w="15" w:type="dxa"/>
        </w:trPr>
        <w:tc>
          <w:tcPr>
            <w:tcW w:w="0" w:type="auto"/>
            <w:vAlign w:val="center"/>
            <w:hideMark/>
          </w:tcPr>
          <w:p w14:paraId="46A3679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Year 3</w:t>
            </w:r>
          </w:p>
        </w:tc>
        <w:tc>
          <w:tcPr>
            <w:tcW w:w="0" w:type="auto"/>
            <w:vAlign w:val="center"/>
            <w:hideMark/>
          </w:tcPr>
          <w:p w14:paraId="05C93DC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1,050</w:t>
            </w:r>
          </w:p>
        </w:tc>
        <w:tc>
          <w:tcPr>
            <w:tcW w:w="0" w:type="auto"/>
            <w:vAlign w:val="center"/>
            <w:hideMark/>
          </w:tcPr>
          <w:p w14:paraId="1453F128"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£418,824</w:t>
            </w:r>
          </w:p>
        </w:tc>
        <w:tc>
          <w:tcPr>
            <w:tcW w:w="0" w:type="auto"/>
            <w:vAlign w:val="center"/>
            <w:hideMark/>
          </w:tcPr>
          <w:p w14:paraId="73575AA7"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£56,700</w:t>
            </w:r>
          </w:p>
        </w:tc>
        <w:tc>
          <w:tcPr>
            <w:tcW w:w="0" w:type="auto"/>
            <w:vAlign w:val="center"/>
            <w:hideMark/>
          </w:tcPr>
          <w:p w14:paraId="793DB1AD"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£229,000</w:t>
            </w:r>
          </w:p>
        </w:tc>
        <w:tc>
          <w:tcPr>
            <w:tcW w:w="0" w:type="auto"/>
            <w:vAlign w:val="center"/>
            <w:hideMark/>
          </w:tcPr>
          <w:p w14:paraId="4ED6212C"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£133,124</w:t>
            </w:r>
          </w:p>
        </w:tc>
      </w:tr>
      <w:tr w:rsidR="00B600DF" w:rsidRPr="003A271D" w14:paraId="3E7BBE03" w14:textId="77777777" w:rsidTr="00B600DF">
        <w:trPr>
          <w:tblCellSpacing w:w="15" w:type="dxa"/>
        </w:trPr>
        <w:tc>
          <w:tcPr>
            <w:tcW w:w="0" w:type="auto"/>
            <w:vAlign w:val="center"/>
            <w:hideMark/>
          </w:tcPr>
          <w:p w14:paraId="72484640"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Year 4</w:t>
            </w:r>
          </w:p>
        </w:tc>
        <w:tc>
          <w:tcPr>
            <w:tcW w:w="0" w:type="auto"/>
            <w:vAlign w:val="center"/>
            <w:hideMark/>
          </w:tcPr>
          <w:p w14:paraId="59BBEC6D"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1,350</w:t>
            </w:r>
          </w:p>
        </w:tc>
        <w:tc>
          <w:tcPr>
            <w:tcW w:w="0" w:type="auto"/>
            <w:vAlign w:val="center"/>
            <w:hideMark/>
          </w:tcPr>
          <w:p w14:paraId="1969F01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£538,488</w:t>
            </w:r>
          </w:p>
        </w:tc>
        <w:tc>
          <w:tcPr>
            <w:tcW w:w="0" w:type="auto"/>
            <w:vAlign w:val="center"/>
            <w:hideMark/>
          </w:tcPr>
          <w:p w14:paraId="102C3158"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£72,900</w:t>
            </w:r>
          </w:p>
        </w:tc>
        <w:tc>
          <w:tcPr>
            <w:tcW w:w="0" w:type="auto"/>
            <w:vAlign w:val="center"/>
            <w:hideMark/>
          </w:tcPr>
          <w:p w14:paraId="0A6DBD0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£229,000</w:t>
            </w:r>
          </w:p>
        </w:tc>
        <w:tc>
          <w:tcPr>
            <w:tcW w:w="0" w:type="auto"/>
            <w:vAlign w:val="center"/>
            <w:hideMark/>
          </w:tcPr>
          <w:p w14:paraId="2EF9C15C"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£236,588</w:t>
            </w:r>
          </w:p>
        </w:tc>
      </w:tr>
      <w:tr w:rsidR="00B600DF" w:rsidRPr="003A271D" w14:paraId="295BC61A" w14:textId="77777777" w:rsidTr="00B600DF">
        <w:trPr>
          <w:tblCellSpacing w:w="15" w:type="dxa"/>
        </w:trPr>
        <w:tc>
          <w:tcPr>
            <w:tcW w:w="0" w:type="auto"/>
            <w:vAlign w:val="center"/>
            <w:hideMark/>
          </w:tcPr>
          <w:p w14:paraId="2C355FE5"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Year 5</w:t>
            </w:r>
          </w:p>
        </w:tc>
        <w:tc>
          <w:tcPr>
            <w:tcW w:w="0" w:type="auto"/>
            <w:vAlign w:val="center"/>
            <w:hideMark/>
          </w:tcPr>
          <w:p w14:paraId="16AC8FC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1,650</w:t>
            </w:r>
          </w:p>
        </w:tc>
        <w:tc>
          <w:tcPr>
            <w:tcW w:w="0" w:type="auto"/>
            <w:vAlign w:val="center"/>
            <w:hideMark/>
          </w:tcPr>
          <w:p w14:paraId="7513EED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£658,152</w:t>
            </w:r>
          </w:p>
        </w:tc>
        <w:tc>
          <w:tcPr>
            <w:tcW w:w="0" w:type="auto"/>
            <w:vAlign w:val="center"/>
            <w:hideMark/>
          </w:tcPr>
          <w:p w14:paraId="18BDFD54"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£89,100</w:t>
            </w:r>
          </w:p>
        </w:tc>
        <w:tc>
          <w:tcPr>
            <w:tcW w:w="0" w:type="auto"/>
            <w:vAlign w:val="center"/>
            <w:hideMark/>
          </w:tcPr>
          <w:p w14:paraId="4BAC4FE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£229,000</w:t>
            </w:r>
          </w:p>
        </w:tc>
        <w:tc>
          <w:tcPr>
            <w:tcW w:w="0" w:type="auto"/>
            <w:vAlign w:val="center"/>
            <w:hideMark/>
          </w:tcPr>
          <w:p w14:paraId="2C829A07"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£340,052</w:t>
            </w:r>
          </w:p>
        </w:tc>
      </w:tr>
    </w:tbl>
    <w:p w14:paraId="49CF126F" w14:textId="77777777" w:rsidR="006F72FE" w:rsidRPr="003A271D" w:rsidRDefault="006F72FE" w:rsidP="003A271D">
      <w:pPr>
        <w:spacing w:line="360" w:lineRule="auto"/>
        <w:jc w:val="both"/>
        <w:rPr>
          <w:rFonts w:ascii="Arial" w:hAnsi="Arial" w:cs="Arial"/>
          <w:sz w:val="24"/>
          <w:szCs w:val="24"/>
          <w:lang w:val="en-GB" w:eastAsia="en-GB"/>
        </w:rPr>
      </w:pPr>
    </w:p>
    <w:p w14:paraId="21B7C870" w14:textId="77777777" w:rsidR="00D75C64" w:rsidRPr="003A271D"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First year operating loss is expected with growth of memberships expected to be substantial according to the forecast. The business starts earning surpluses in Year 2 under the given assumptions. The steeply rising profits in the later years are mainly attributable to the fact that the fixed costs, which tend to be rather stable, are spread across a larger base of members. This is an example of the operating leverage of the model, and it also shows why sufficient start-up working capital is important.</w:t>
      </w:r>
    </w:p>
    <w:p w14:paraId="22912238" w14:textId="77777777" w:rsidR="00D75C64" w:rsidRPr="003A271D"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Do not use the forecast as assurance of these profits. Wages, technology costs, and customer acquisition costs can be higher, as can inflation. Cost pressures are still relevant to financial planning, with the UK CPI being 2.9% in July, 2026 (ONS, 2026).</w:t>
      </w:r>
    </w:p>
    <w:p w14:paraId="34DA744B" w14:textId="77777777" w:rsidR="00D75C64" w:rsidRPr="003A271D" w:rsidRDefault="00D75C64"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Break-even and sensitivity</w:t>
      </w:r>
    </w:p>
    <w:p w14:paraId="3BAC32B2" w14:textId="77777777" w:rsidR="00D75C64" w:rsidRPr="003A271D"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contribution is estimated to be £28.74 per member per month with a weighted average monthly membership value of £33.24 and variable cost of £4.50. With annual fixed costs of £229,000:</w:t>
      </w:r>
    </w:p>
    <w:p w14:paraId="58219B26" w14:textId="77777777" w:rsidR="00D75C64" w:rsidRPr="003A271D" w:rsidRDefault="00D75C64"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Break-even members = £229,000 ÷ (£28.74 × 12) ≈ 664 average active members.</w:t>
      </w:r>
    </w:p>
    <w:p w14:paraId="1C49DB65" w14:textId="4EEA358A" w:rsidR="00D75C64" w:rsidRPr="003A271D"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This is an important viability test. The assumed annual fixed-cost base is about 664 members who are active on average.</w:t>
      </w:r>
      <w:r w:rsidR="003A271D" w:rsidRPr="003A271D">
        <w:rPr>
          <w:rFonts w:ascii="Arial" w:hAnsi="Arial" w:cs="Arial"/>
          <w:sz w:val="24"/>
          <w:szCs w:val="24"/>
          <w:lang w:val="en-GB" w:eastAsia="en-GB"/>
        </w:rPr>
        <w:t xml:space="preserve"> </w:t>
      </w:r>
      <w:proofErr w:type="spellStart"/>
      <w:r w:rsidRPr="003A271D">
        <w:rPr>
          <w:rFonts w:ascii="Arial" w:hAnsi="Arial" w:cs="Arial"/>
          <w:sz w:val="24"/>
          <w:szCs w:val="24"/>
          <w:lang w:val="en-GB" w:eastAsia="en-GB"/>
        </w:rPr>
        <w:t>FitLife</w:t>
      </w:r>
      <w:proofErr w:type="spellEnd"/>
      <w:r w:rsidRPr="003A271D">
        <w:rPr>
          <w:rFonts w:ascii="Arial" w:hAnsi="Arial" w:cs="Arial"/>
          <w:sz w:val="24"/>
          <w:szCs w:val="24"/>
          <w:lang w:val="en-GB" w:eastAsia="en-GB"/>
        </w:rPr>
        <w:t xml:space="preserve"> needs to have about 664 average active members per year to cover its assumed annual fixed-cost base. The requirement is lower than the expected average membership in the planned Year 2 which is 750, </w:t>
      </w:r>
      <w:r w:rsidRPr="003A271D">
        <w:rPr>
          <w:rFonts w:ascii="Arial" w:hAnsi="Arial" w:cs="Arial"/>
          <w:sz w:val="24"/>
          <w:szCs w:val="24"/>
          <w:lang w:val="en-GB" w:eastAsia="en-GB"/>
        </w:rPr>
        <w:lastRenderedPageBreak/>
        <w:t>meaning there may be a case for financial viability for this base case. But it also has the downside of slower acquisition or churn which could materially cause break-even to be delayed.</w:t>
      </w:r>
    </w:p>
    <w:p w14:paraId="6E5419F2" w14:textId="70E619AC" w:rsidR="00B600DF" w:rsidRPr="003A271D"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So a downside scenario should include slower membership growth, bigger churn and more expensive tech costs. An upside scenario could include higher conversion rates and better retention but does not automatically require a higher fixed cost. The most important variable is membership volume as this will impact revenues while fixed costs are largely consistent. The active members, churn, acquisition cost, average revenue per member and monthly cash balance should all be tracked by management. If the trajectory towards a break-even is not met, then a reduced level of discretionary marketing expenditure should be considered, along with </w:t>
      </w:r>
      <w:r w:rsidR="003A271D" w:rsidRPr="003A271D">
        <w:rPr>
          <w:rFonts w:ascii="Arial" w:hAnsi="Arial" w:cs="Arial"/>
          <w:sz w:val="24"/>
          <w:szCs w:val="24"/>
          <w:lang w:val="en-GB" w:eastAsia="en-GB"/>
        </w:rPr>
        <w:t>revaluating</w:t>
      </w:r>
      <w:r w:rsidRPr="003A271D">
        <w:rPr>
          <w:rFonts w:ascii="Arial" w:hAnsi="Arial" w:cs="Arial"/>
          <w:sz w:val="24"/>
          <w:szCs w:val="24"/>
          <w:lang w:val="en-GB" w:eastAsia="en-GB"/>
        </w:rPr>
        <w:t xml:space="preserve"> pricing or recruitment speed</w:t>
      </w:r>
      <w:r w:rsidR="00B600DF" w:rsidRPr="003A271D">
        <w:rPr>
          <w:rFonts w:ascii="Arial" w:hAnsi="Arial" w:cs="Arial"/>
          <w:sz w:val="24"/>
          <w:szCs w:val="24"/>
          <w:lang w:val="en-GB" w:eastAsia="en-GB"/>
        </w:rPr>
        <w:t>.</w:t>
      </w:r>
    </w:p>
    <w:p w14:paraId="2B74572B" w14:textId="77777777" w:rsidR="00B600DF" w:rsidRPr="003A271D" w:rsidRDefault="00B600DF" w:rsidP="003A271D">
      <w:pPr>
        <w:pStyle w:val="Heading2"/>
        <w:spacing w:line="360" w:lineRule="auto"/>
        <w:jc w:val="both"/>
        <w:rPr>
          <w:rFonts w:eastAsia="Times New Roman" w:cs="Arial"/>
          <w:lang w:val="en-GB" w:eastAsia="en-GB"/>
        </w:rPr>
      </w:pPr>
      <w:bookmarkStart w:id="86" w:name="_Toc239188554"/>
      <w:r w:rsidRPr="003A271D">
        <w:rPr>
          <w:rFonts w:eastAsia="Times New Roman" w:cs="Arial"/>
          <w:lang w:val="en-GB" w:eastAsia="en-GB"/>
        </w:rPr>
        <w:t>9.3 Marketing and Sales Plan</w:t>
      </w:r>
      <w:bookmarkEnd w:id="86"/>
    </w:p>
    <w:p w14:paraId="2940E902"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Segmentation, targeting and positioning</w:t>
      </w:r>
    </w:p>
    <w:p w14:paraId="3A37CA25"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The marketing strategy carries forward the priority segment established in Chapters 5 and 8: adults approximately aged 20–34, living in </w:t>
      </w:r>
      <w:proofErr w:type="spellStart"/>
      <w:r w:rsidRPr="003A271D">
        <w:rPr>
          <w:rFonts w:ascii="Arial" w:hAnsi="Arial" w:cs="Arial"/>
          <w:sz w:val="24"/>
          <w:szCs w:val="24"/>
          <w:lang w:val="en-GB" w:eastAsia="en-GB"/>
        </w:rPr>
        <w:t>Levenshulme</w:t>
      </w:r>
      <w:proofErr w:type="spellEnd"/>
      <w:r w:rsidRPr="003A271D">
        <w:rPr>
          <w:rFonts w:ascii="Arial" w:hAnsi="Arial" w:cs="Arial"/>
          <w:sz w:val="24"/>
          <w:szCs w:val="24"/>
          <w:lang w:val="en-GB" w:eastAsia="en-GB"/>
        </w:rPr>
        <w:t xml:space="preserve"> and realistically accessible neighbouring Manchester areas, who are fitness-oriented or seeking regular exercise, digitally receptive, interested in personalised progress monitoring and able to allocate some discretionary income to an accessible/mid-market membership. The segment is expected to be price-conscious rather than affluent, making perceived value particularly important.</w:t>
      </w:r>
    </w:p>
    <w:p w14:paraId="0952ADCF" w14:textId="77777777" w:rsidR="00B600DF" w:rsidRPr="003A271D" w:rsidRDefault="00B600DF" w:rsidP="003A271D">
      <w:pPr>
        <w:spacing w:line="360" w:lineRule="auto"/>
        <w:jc w:val="both"/>
        <w:rPr>
          <w:rFonts w:ascii="Arial" w:hAnsi="Arial" w:cs="Arial"/>
          <w:b/>
          <w:sz w:val="24"/>
          <w:szCs w:val="24"/>
          <w:lang w:val="en-GB" w:eastAsia="en-GB"/>
        </w:rPr>
      </w:pPr>
      <w:proofErr w:type="spellStart"/>
      <w:r w:rsidRPr="003A271D">
        <w:rPr>
          <w:rFonts w:ascii="Arial" w:hAnsi="Arial" w:cs="Arial"/>
          <w:b/>
          <w:sz w:val="24"/>
          <w:szCs w:val="24"/>
          <w:lang w:val="en-GB" w:eastAsia="en-GB"/>
        </w:rPr>
        <w:t>FitLife's</w:t>
      </w:r>
      <w:proofErr w:type="spellEnd"/>
      <w:r w:rsidRPr="003A271D">
        <w:rPr>
          <w:rFonts w:ascii="Arial" w:hAnsi="Arial" w:cs="Arial"/>
          <w:b/>
          <w:sz w:val="24"/>
          <w:szCs w:val="24"/>
          <w:lang w:val="en-GB" w:eastAsia="en-GB"/>
        </w:rPr>
        <w:t xml:space="preserve"> positioning is therefore:</w:t>
      </w:r>
    </w:p>
    <w:p w14:paraId="43E292CD"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For digitally receptive working-age adults in </w:t>
      </w:r>
      <w:proofErr w:type="spellStart"/>
      <w:r w:rsidRPr="003A271D">
        <w:rPr>
          <w:rFonts w:ascii="Arial" w:hAnsi="Arial" w:cs="Arial"/>
          <w:sz w:val="24"/>
          <w:szCs w:val="24"/>
          <w:lang w:val="en-GB" w:eastAsia="en-GB"/>
        </w:rPr>
        <w:t>Levenshulme</w:t>
      </w:r>
      <w:proofErr w:type="spellEnd"/>
      <w:r w:rsidRPr="003A271D">
        <w:rPr>
          <w:rFonts w:ascii="Arial" w:hAnsi="Arial" w:cs="Arial"/>
          <w:sz w:val="24"/>
          <w:szCs w:val="24"/>
          <w:lang w:val="en-GB" w:eastAsia="en-GB"/>
        </w:rPr>
        <w:t xml:space="preserve"> and the surrounding accessible catchment, </w:t>
      </w:r>
      <w:proofErr w:type="spellStart"/>
      <w:r w:rsidRPr="003A271D">
        <w:rPr>
          <w:rFonts w:ascii="Arial" w:hAnsi="Arial" w:cs="Arial"/>
          <w:sz w:val="24"/>
          <w:szCs w:val="24"/>
          <w:lang w:val="en-GB" w:eastAsia="en-GB"/>
        </w:rPr>
        <w:t>FitLife</w:t>
      </w:r>
      <w:proofErr w:type="spellEnd"/>
      <w:r w:rsidRPr="003A271D">
        <w:rPr>
          <w:rFonts w:ascii="Arial" w:hAnsi="Arial" w:cs="Arial"/>
          <w:sz w:val="24"/>
          <w:szCs w:val="24"/>
          <w:lang w:val="en-GB" w:eastAsia="en-GB"/>
        </w:rPr>
        <w:t xml:space="preserve"> Smart Gym is a hybrid fitness service that provides personalised, measurable and convenient support through AI-assisted guidance, wearable integration and qualified human coaching.</w:t>
      </w:r>
    </w:p>
    <w:p w14:paraId="66268994" w14:textId="3A6F55C4"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central message should not imply that AI replaces trainers. Instead, the communication should emphasise “smarter personalisation with human support”. This provides a clearer reason to believe because the proposed differentiation is the integration of technology, coaching and physical access rather than technology alone.</w:t>
      </w:r>
    </w:p>
    <w:p w14:paraId="5C3A194B" w14:textId="77777777" w:rsidR="003A271D" w:rsidRPr="003A271D" w:rsidRDefault="003A271D" w:rsidP="003A271D">
      <w:pPr>
        <w:spacing w:line="360" w:lineRule="auto"/>
        <w:jc w:val="both"/>
        <w:rPr>
          <w:rFonts w:ascii="Arial" w:hAnsi="Arial" w:cs="Arial"/>
          <w:sz w:val="24"/>
          <w:szCs w:val="24"/>
          <w:lang w:val="en-GB" w:eastAsia="en-GB"/>
        </w:rPr>
      </w:pPr>
    </w:p>
    <w:p w14:paraId="6F78DB10"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Marketing mix</w:t>
      </w:r>
    </w:p>
    <w:p w14:paraId="0A78EF06"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The 7Ps provide the operational marketing framework.</w:t>
      </w:r>
    </w:p>
    <w:p w14:paraId="5C76768B"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Product:</w:t>
      </w:r>
      <w:r w:rsidRPr="003A271D">
        <w:rPr>
          <w:rFonts w:ascii="Arial" w:hAnsi="Arial" w:cs="Arial"/>
          <w:sz w:val="24"/>
          <w:szCs w:val="24"/>
          <w:lang w:val="en-GB" w:eastAsia="en-GB"/>
        </w:rPr>
        <w:t xml:space="preserve"> </w:t>
      </w:r>
      <w:proofErr w:type="spellStart"/>
      <w:r w:rsidRPr="003A271D">
        <w:rPr>
          <w:rFonts w:ascii="Arial" w:hAnsi="Arial" w:cs="Arial"/>
          <w:sz w:val="24"/>
          <w:szCs w:val="24"/>
          <w:lang w:val="en-GB" w:eastAsia="en-GB"/>
        </w:rPr>
        <w:t>FitLife</w:t>
      </w:r>
      <w:proofErr w:type="spellEnd"/>
      <w:r w:rsidRPr="003A271D">
        <w:rPr>
          <w:rFonts w:ascii="Arial" w:hAnsi="Arial" w:cs="Arial"/>
          <w:sz w:val="24"/>
          <w:szCs w:val="24"/>
          <w:lang w:val="en-GB" w:eastAsia="en-GB"/>
        </w:rPr>
        <w:t xml:space="preserve"> offers physical gym access, mobile digital support, AI-assisted recommendations, wearable-supported monitoring and trainer oversight. Essential provides the accessible entry proposition, Smart represents the core technology-enabled offer, and Smart Plus targets customers requiring greater human support.</w:t>
      </w:r>
    </w:p>
    <w:p w14:paraId="47AEA9A2"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Price:</w:t>
      </w:r>
      <w:r w:rsidRPr="003A271D">
        <w:rPr>
          <w:rFonts w:ascii="Arial" w:hAnsi="Arial" w:cs="Arial"/>
          <w:sz w:val="24"/>
          <w:szCs w:val="24"/>
          <w:lang w:val="en-GB" w:eastAsia="en-GB"/>
        </w:rPr>
        <w:t xml:space="preserve"> The proposed £24.99, £34.99 and £49.99 monthly tiers support accessible/mid-market focused differentiation. Final prices should be validated against competitor prices, customer willingness to pay and actual operating costs.</w:t>
      </w:r>
    </w:p>
    <w:p w14:paraId="12AE7E5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Place:</w:t>
      </w:r>
      <w:r w:rsidRPr="003A271D">
        <w:rPr>
          <w:rFonts w:ascii="Arial" w:hAnsi="Arial" w:cs="Arial"/>
          <w:sz w:val="24"/>
          <w:szCs w:val="24"/>
          <w:lang w:val="en-GB" w:eastAsia="en-GB"/>
        </w:rPr>
        <w:t xml:space="preserve"> The primary delivery location is the physical </w:t>
      </w:r>
      <w:proofErr w:type="spellStart"/>
      <w:r w:rsidRPr="003A271D">
        <w:rPr>
          <w:rFonts w:ascii="Arial" w:hAnsi="Arial" w:cs="Arial"/>
          <w:sz w:val="24"/>
          <w:szCs w:val="24"/>
          <w:lang w:val="en-GB" w:eastAsia="en-GB"/>
        </w:rPr>
        <w:t>Levenshulme</w:t>
      </w:r>
      <w:proofErr w:type="spellEnd"/>
      <w:r w:rsidRPr="003A271D">
        <w:rPr>
          <w:rFonts w:ascii="Arial" w:hAnsi="Arial" w:cs="Arial"/>
          <w:sz w:val="24"/>
          <w:szCs w:val="24"/>
          <w:lang w:val="en-GB" w:eastAsia="en-GB"/>
        </w:rPr>
        <w:t xml:space="preserve"> gym, supported by mobile and digital channels. The location strategy should emphasise convenience for the realistic local catchment.</w:t>
      </w:r>
    </w:p>
    <w:p w14:paraId="4B31F5A5"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Promotion:</w:t>
      </w:r>
      <w:r w:rsidRPr="003A271D">
        <w:rPr>
          <w:rFonts w:ascii="Arial" w:hAnsi="Arial" w:cs="Arial"/>
          <w:sz w:val="24"/>
          <w:szCs w:val="24"/>
          <w:lang w:val="en-GB" w:eastAsia="en-GB"/>
        </w:rPr>
        <w:t xml:space="preserve"> Digital advertising, Instagram and Facebook content, local partnerships, referral activity, introductory sessions and community engagement should be prioritised. Channels should be tested rather than assumed to be equally effective.</w:t>
      </w:r>
    </w:p>
    <w:p w14:paraId="56A9A88F"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People:</w:t>
      </w:r>
      <w:r w:rsidRPr="003A271D">
        <w:rPr>
          <w:rFonts w:ascii="Arial" w:hAnsi="Arial" w:cs="Arial"/>
          <w:sz w:val="24"/>
          <w:szCs w:val="24"/>
          <w:lang w:val="en-GB" w:eastAsia="en-GB"/>
        </w:rPr>
        <w:t xml:space="preserve"> Qualified trainers and customer-facing staff are central to the value proposition. Their role is particularly important in interpreting AI-supported recommendations and providing accountability.</w:t>
      </w:r>
    </w:p>
    <w:p w14:paraId="45B46C30"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Process:</w:t>
      </w:r>
      <w:r w:rsidRPr="003A271D">
        <w:rPr>
          <w:rFonts w:ascii="Arial" w:hAnsi="Arial" w:cs="Arial"/>
          <w:sz w:val="24"/>
          <w:szCs w:val="24"/>
          <w:lang w:val="en-GB" w:eastAsia="en-GB"/>
        </w:rPr>
        <w:t xml:space="preserve"> Customers should move through enquiry, trial/assessment, membership purchase, </w:t>
      </w:r>
      <w:proofErr w:type="spellStart"/>
      <w:r w:rsidRPr="003A271D">
        <w:rPr>
          <w:rFonts w:ascii="Arial" w:hAnsi="Arial" w:cs="Arial"/>
          <w:sz w:val="24"/>
          <w:szCs w:val="24"/>
          <w:lang w:val="en-GB" w:eastAsia="en-GB"/>
        </w:rPr>
        <w:t>onboarding</w:t>
      </w:r>
      <w:proofErr w:type="spellEnd"/>
      <w:r w:rsidRPr="003A271D">
        <w:rPr>
          <w:rFonts w:ascii="Arial" w:hAnsi="Arial" w:cs="Arial"/>
          <w:sz w:val="24"/>
          <w:szCs w:val="24"/>
          <w:lang w:val="en-GB" w:eastAsia="en-GB"/>
        </w:rPr>
        <w:t>, digital setup, progress review and renewal through a consistent process.</w:t>
      </w:r>
    </w:p>
    <w:p w14:paraId="35A7390B"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Physical evidence:</w:t>
      </w:r>
      <w:r w:rsidRPr="003A271D">
        <w:rPr>
          <w:rFonts w:ascii="Arial" w:hAnsi="Arial" w:cs="Arial"/>
          <w:sz w:val="24"/>
          <w:szCs w:val="24"/>
          <w:lang w:val="en-GB" w:eastAsia="en-GB"/>
        </w:rPr>
        <w:t xml:space="preserve"> The gym environment, trainer qualifications, customer reviews, progress reports, app interface and visible data-protection practices should reduce uncertainty and reinforce credibility.</w:t>
      </w:r>
    </w:p>
    <w:p w14:paraId="6B441909"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Customer acquisition and sales funnel</w:t>
      </w:r>
    </w:p>
    <w:p w14:paraId="2E815765"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acquisition strategy should connect directly to the financial forecast. The initial objective is to build a local lead pipeline sufficient to reach approximately 600 active members by the end of Year 1.</w:t>
      </w:r>
    </w:p>
    <w:p w14:paraId="3302918A"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lastRenderedPageBreak/>
        <w:t>The funnel will operate as:</w:t>
      </w:r>
    </w:p>
    <w:p w14:paraId="0496186E" w14:textId="5815B11A"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 xml:space="preserve">Local awareness → digital engagement → lead/trial → fitness assessment → membership conversion → </w:t>
      </w:r>
      <w:r w:rsidR="003A271D" w:rsidRPr="003A271D">
        <w:rPr>
          <w:rFonts w:ascii="Arial" w:hAnsi="Arial" w:cs="Arial"/>
          <w:b/>
          <w:sz w:val="24"/>
          <w:szCs w:val="24"/>
          <w:lang w:val="en-GB" w:eastAsia="en-GB"/>
        </w:rPr>
        <w:t>on boarding</w:t>
      </w:r>
      <w:r w:rsidRPr="003A271D">
        <w:rPr>
          <w:rFonts w:ascii="Arial" w:hAnsi="Arial" w:cs="Arial"/>
          <w:b/>
          <w:sz w:val="24"/>
          <w:szCs w:val="24"/>
          <w:lang w:val="en-GB" w:eastAsia="en-GB"/>
        </w:rPr>
        <w:t xml:space="preserve"> → retention → referral.</w:t>
      </w:r>
    </w:p>
    <w:p w14:paraId="0D33D768"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A planning assumption of approximately 2,000 qualified leads during Year 1, converting at 30% into paying members over the relevant acquisition period, would produce approximately 600 new memberships before allowing for churn. This should be treated as a testable acquisition assumption rather than guaranteed performance. The marketing budget should initially prioritise channels producing measurable leads and conversions rather than maximising impressions.</w:t>
      </w:r>
    </w:p>
    <w:p w14:paraId="18DB610A" w14:textId="75E4A5B2"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Sales responsibility should sit with the gym manager and customer-facing team, supported by digital enquiry handling. The sales process should include lead qualification, needs discovery, membership recommendation, objection handling, payment, </w:t>
      </w:r>
      <w:r w:rsidR="003A271D" w:rsidRPr="003A271D">
        <w:rPr>
          <w:rFonts w:ascii="Arial" w:hAnsi="Arial" w:cs="Arial"/>
          <w:sz w:val="24"/>
          <w:szCs w:val="24"/>
          <w:lang w:val="en-GB" w:eastAsia="en-GB"/>
        </w:rPr>
        <w:t>on boarding</w:t>
      </w:r>
      <w:r w:rsidRPr="003A271D">
        <w:rPr>
          <w:rFonts w:ascii="Arial" w:hAnsi="Arial" w:cs="Arial"/>
          <w:sz w:val="24"/>
          <w:szCs w:val="24"/>
          <w:lang w:val="en-GB" w:eastAsia="en-GB"/>
        </w:rPr>
        <w:t xml:space="preserve"> and follow-up. Conversion rate, cost per lead, customer acquisition cost, average revenue per member and early churn should be reviewed monthly.</w:t>
      </w:r>
    </w:p>
    <w:p w14:paraId="33266F3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Retention is particularly important because acquiring customers repeatedly is less attractive than retaining them. Progress reports, personalised goals, trainer check-ins, app reminders, community activities and renewal incentives should therefore form part of the customer relationship strategy.</w:t>
      </w:r>
    </w:p>
    <w:p w14:paraId="64853565" w14:textId="77777777" w:rsidR="00B600DF" w:rsidRPr="003A271D" w:rsidRDefault="00B600DF" w:rsidP="003A271D">
      <w:pPr>
        <w:pStyle w:val="Heading2"/>
        <w:spacing w:line="360" w:lineRule="auto"/>
        <w:jc w:val="both"/>
        <w:rPr>
          <w:rFonts w:eastAsia="Times New Roman" w:cs="Arial"/>
          <w:lang w:val="en-GB" w:eastAsia="en-GB"/>
        </w:rPr>
      </w:pPr>
      <w:bookmarkStart w:id="87" w:name="_Toc239188555"/>
      <w:r w:rsidRPr="003A271D">
        <w:rPr>
          <w:rFonts w:eastAsia="Times New Roman" w:cs="Arial"/>
          <w:lang w:val="en-GB" w:eastAsia="en-GB"/>
        </w:rPr>
        <w:t>9.4 Human Capital Management Plan</w:t>
      </w:r>
      <w:bookmarkEnd w:id="87"/>
    </w:p>
    <w:p w14:paraId="655E482B" w14:textId="77777777" w:rsidR="00B600DF" w:rsidRPr="003A271D" w:rsidRDefault="00B600DF" w:rsidP="003A271D">
      <w:pPr>
        <w:spacing w:line="360" w:lineRule="auto"/>
        <w:jc w:val="both"/>
        <w:rPr>
          <w:rFonts w:ascii="Arial" w:hAnsi="Arial" w:cs="Arial"/>
          <w:sz w:val="24"/>
          <w:szCs w:val="24"/>
          <w:lang w:val="en-GB" w:eastAsia="en-GB"/>
        </w:rPr>
      </w:pPr>
      <w:proofErr w:type="spellStart"/>
      <w:r w:rsidRPr="003A271D">
        <w:rPr>
          <w:rFonts w:ascii="Arial" w:hAnsi="Arial" w:cs="Arial"/>
          <w:sz w:val="24"/>
          <w:szCs w:val="24"/>
          <w:lang w:val="en-GB" w:eastAsia="en-GB"/>
        </w:rPr>
        <w:t>FitLife</w:t>
      </w:r>
      <w:proofErr w:type="spellEnd"/>
      <w:r w:rsidRPr="003A271D">
        <w:rPr>
          <w:rFonts w:ascii="Arial" w:hAnsi="Arial" w:cs="Arial"/>
          <w:sz w:val="24"/>
          <w:szCs w:val="24"/>
          <w:lang w:val="en-GB" w:eastAsia="en-GB"/>
        </w:rPr>
        <w:t xml:space="preserve"> requires a deliberately lean structure at launch. The proposed structure comprises a founder/general manager, qualified fitness trainers, front-of-house/customer-service support and outsourced specialist functions such as accounting, legal advice and selected technology support.</w:t>
      </w:r>
    </w:p>
    <w:p w14:paraId="6D0389B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initial core staffing assumption is approximately two full-time-equivalent trainer/customer-service roles supported by the founder/manager, with additional part-time trainer capacity used during peak periods. Recruitment should prioritise recognised fitness qualifications, customer-service capability, digital confidence and the ability to work alongside AI-supported systems. Headcount should increase only when membership and service workload justify the additional cost.</w:t>
      </w:r>
    </w:p>
    <w:p w14:paraId="3BC70121"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lastRenderedPageBreak/>
        <w:t>The human-capital plan therefore uses workforce planning rather than fixed staffing numbers. As active membership approaches capacity, management should monitor trainer workload, appointment availability, customer waiting times and service quality. Additional staff should be recruited before capacity constraints damage customer experience.</w:t>
      </w:r>
    </w:p>
    <w:p w14:paraId="5C832C1F"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Recruitment should use local employment channels, specialist fitness recruitment platforms and referrals. Selection should combine qualification checks, structured interviews, practical demonstrations and customer-service assessment. New staff should receive induction covering safeguarding, health and safety, customer service, use of the app and wearable systems, data protection and AI oversight.</w:t>
      </w:r>
    </w:p>
    <w:p w14:paraId="2F409900"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Continuous development is particularly important because </w:t>
      </w:r>
      <w:proofErr w:type="spellStart"/>
      <w:r w:rsidRPr="003A271D">
        <w:rPr>
          <w:rFonts w:ascii="Arial" w:hAnsi="Arial" w:cs="Arial"/>
          <w:sz w:val="24"/>
          <w:szCs w:val="24"/>
          <w:lang w:val="en-GB" w:eastAsia="en-GB"/>
        </w:rPr>
        <w:t>FitLife's</w:t>
      </w:r>
      <w:proofErr w:type="spellEnd"/>
      <w:r w:rsidRPr="003A271D">
        <w:rPr>
          <w:rFonts w:ascii="Arial" w:hAnsi="Arial" w:cs="Arial"/>
          <w:sz w:val="24"/>
          <w:szCs w:val="24"/>
          <w:lang w:val="en-GB" w:eastAsia="en-GB"/>
        </w:rPr>
        <w:t xml:space="preserve"> proposition depends on combining human expertise with technology. Trainers should receive CPD in digital fitness tools, interpretation of relevant customer data, responsible use of AI recommendations and customer communication. AI should support rather than replace professional judgement.</w:t>
      </w:r>
    </w:p>
    <w:p w14:paraId="5C3A5284"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Reward should combine competitive base pay with recognition linked to service quality, retention and customer satisfaction rather than encouraging inappropriate sales behaviour. Employment costs must include salary, employer National Insurance, pension, recruitment, training and staff-cover requirements.</w:t>
      </w:r>
    </w:p>
    <w:p w14:paraId="447C70A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Data governance is also a human-capital responsibility. Fitness-tracker information may constitute health data depending on the context and purpose, and health data receives additional protection under UK GDPR (ICO, 2026). Staff must therefore understand consent, appropriate access, data minimisation, security and escalation procedures.</w:t>
      </w:r>
    </w:p>
    <w:p w14:paraId="74FAF402" w14:textId="77777777" w:rsidR="00B600DF" w:rsidRPr="003A271D" w:rsidRDefault="00B600DF" w:rsidP="003A271D">
      <w:pPr>
        <w:pStyle w:val="Heading2"/>
        <w:spacing w:line="360" w:lineRule="auto"/>
        <w:jc w:val="both"/>
        <w:rPr>
          <w:rFonts w:eastAsia="Times New Roman" w:cs="Arial"/>
          <w:lang w:val="en-GB" w:eastAsia="en-GB"/>
        </w:rPr>
      </w:pPr>
      <w:bookmarkStart w:id="88" w:name="_Toc239188556"/>
      <w:r w:rsidRPr="003A271D">
        <w:rPr>
          <w:rFonts w:eastAsia="Times New Roman" w:cs="Arial"/>
          <w:lang w:val="en-GB" w:eastAsia="en-GB"/>
        </w:rPr>
        <w:t>9.5 Integration, Scalability and Conclusion</w:t>
      </w:r>
      <w:bookmarkEnd w:id="88"/>
    </w:p>
    <w:p w14:paraId="5A6FF127"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The three plans form a single operating system. Marketing generates local awareness and qualified leads; sales converts these opportunities into memberships; memberships generate recurring revenue; and the resulting workload determines trainer and customer-service requirements. Those staffing requirements create labour costs, while technology, premises and marketing create additional fixed and variable </w:t>
      </w:r>
      <w:r w:rsidRPr="003A271D">
        <w:rPr>
          <w:rFonts w:ascii="Arial" w:hAnsi="Arial" w:cs="Arial"/>
          <w:sz w:val="24"/>
          <w:szCs w:val="24"/>
          <w:lang w:val="en-GB" w:eastAsia="en-GB"/>
        </w:rPr>
        <w:lastRenderedPageBreak/>
        <w:t xml:space="preserve">costs. Consequently, </w:t>
      </w:r>
      <w:proofErr w:type="spellStart"/>
      <w:r w:rsidRPr="003A271D">
        <w:rPr>
          <w:rFonts w:ascii="Arial" w:hAnsi="Arial" w:cs="Arial"/>
          <w:sz w:val="24"/>
          <w:szCs w:val="24"/>
          <w:lang w:val="en-GB" w:eastAsia="en-GB"/>
        </w:rPr>
        <w:t>FitLife's</w:t>
      </w:r>
      <w:proofErr w:type="spellEnd"/>
      <w:r w:rsidRPr="003A271D">
        <w:rPr>
          <w:rFonts w:ascii="Arial" w:hAnsi="Arial" w:cs="Arial"/>
          <w:sz w:val="24"/>
          <w:szCs w:val="24"/>
          <w:lang w:val="en-GB" w:eastAsia="en-GB"/>
        </w:rPr>
        <w:t xml:space="preserve"> financial viability depends on achieving sufficient membership volume while maintaining retention and service quality.</w:t>
      </w:r>
    </w:p>
    <w:p w14:paraId="13834BE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base-case model indicates a first-year investment and operating deficit followed by potential break-even during Year 2 and stronger operating leverage thereafter. However, this outcome remains conditional on achieving the assumed membership trajectory, controlling technology and labour costs and retaining customers. The most important implementation priorities are therefore customer acquisition, retention, technology reliability, trainer capability and value-based pricing. These assumptions should be tested through the implementation and financial analysis in Chapters 10 and 11 before substantial scaling.</w:t>
      </w:r>
    </w:p>
    <w:p w14:paraId="2A2EB04C" w14:textId="29F1FC6C" w:rsidR="00B600DF" w:rsidRDefault="00B600DF" w:rsidP="00E04AAD">
      <w:pPr>
        <w:spacing w:before="240" w:line="360" w:lineRule="auto"/>
        <w:jc w:val="both"/>
        <w:rPr>
          <w:rFonts w:ascii="Arial" w:hAnsi="Arial" w:cs="Arial"/>
          <w:sz w:val="24"/>
          <w:szCs w:val="24"/>
          <w:lang w:val="en-GB" w:eastAsia="en-GB"/>
        </w:rPr>
      </w:pPr>
    </w:p>
    <w:p w14:paraId="436D783A" w14:textId="3A2A8938" w:rsidR="00F14AF5" w:rsidRDefault="00F14AF5" w:rsidP="00E04AAD">
      <w:pPr>
        <w:spacing w:before="240" w:line="360" w:lineRule="auto"/>
        <w:jc w:val="both"/>
        <w:rPr>
          <w:rFonts w:ascii="Arial" w:hAnsi="Arial" w:cs="Arial"/>
          <w:sz w:val="24"/>
          <w:szCs w:val="24"/>
          <w:lang w:val="en-GB" w:eastAsia="en-GB"/>
        </w:rPr>
      </w:pPr>
    </w:p>
    <w:p w14:paraId="0CDEEA3C" w14:textId="70DC9743" w:rsidR="003A271D" w:rsidRDefault="003A271D" w:rsidP="00E04AAD">
      <w:pPr>
        <w:spacing w:before="240" w:line="360" w:lineRule="auto"/>
        <w:jc w:val="both"/>
        <w:rPr>
          <w:rFonts w:ascii="Arial" w:hAnsi="Arial" w:cs="Arial"/>
          <w:sz w:val="24"/>
          <w:szCs w:val="24"/>
          <w:lang w:val="en-GB" w:eastAsia="en-GB"/>
        </w:rPr>
      </w:pPr>
    </w:p>
    <w:p w14:paraId="59A3D55B" w14:textId="24E8C0BE" w:rsidR="003A271D" w:rsidRDefault="003A271D" w:rsidP="00E04AAD">
      <w:pPr>
        <w:spacing w:before="240" w:line="360" w:lineRule="auto"/>
        <w:jc w:val="both"/>
        <w:rPr>
          <w:rFonts w:ascii="Arial" w:hAnsi="Arial" w:cs="Arial"/>
          <w:sz w:val="24"/>
          <w:szCs w:val="24"/>
          <w:lang w:val="en-GB" w:eastAsia="en-GB"/>
        </w:rPr>
      </w:pPr>
    </w:p>
    <w:p w14:paraId="10370095" w14:textId="7FD1DAF3" w:rsidR="003A271D" w:rsidRDefault="003A271D" w:rsidP="00E04AAD">
      <w:pPr>
        <w:spacing w:before="240" w:line="360" w:lineRule="auto"/>
        <w:jc w:val="both"/>
        <w:rPr>
          <w:rFonts w:ascii="Arial" w:hAnsi="Arial" w:cs="Arial"/>
          <w:sz w:val="24"/>
          <w:szCs w:val="24"/>
          <w:lang w:val="en-GB" w:eastAsia="en-GB"/>
        </w:rPr>
      </w:pPr>
    </w:p>
    <w:p w14:paraId="30C98C85" w14:textId="27CC7A99" w:rsidR="003A271D" w:rsidRDefault="003A271D" w:rsidP="00E04AAD">
      <w:pPr>
        <w:spacing w:before="240" w:line="360" w:lineRule="auto"/>
        <w:jc w:val="both"/>
        <w:rPr>
          <w:rFonts w:ascii="Arial" w:hAnsi="Arial" w:cs="Arial"/>
          <w:sz w:val="24"/>
          <w:szCs w:val="24"/>
          <w:lang w:val="en-GB" w:eastAsia="en-GB"/>
        </w:rPr>
      </w:pPr>
    </w:p>
    <w:p w14:paraId="6A87FAEC" w14:textId="0DAF456B" w:rsidR="003A271D" w:rsidRDefault="003A271D" w:rsidP="00E04AAD">
      <w:pPr>
        <w:spacing w:before="240" w:line="360" w:lineRule="auto"/>
        <w:jc w:val="both"/>
        <w:rPr>
          <w:rFonts w:ascii="Arial" w:hAnsi="Arial" w:cs="Arial"/>
          <w:sz w:val="24"/>
          <w:szCs w:val="24"/>
          <w:lang w:val="en-GB" w:eastAsia="en-GB"/>
        </w:rPr>
      </w:pPr>
    </w:p>
    <w:p w14:paraId="1806DF55" w14:textId="3A7B9D86" w:rsidR="003A271D" w:rsidRDefault="003A271D" w:rsidP="00E04AA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 </w:t>
      </w:r>
    </w:p>
    <w:p w14:paraId="3356EF6D" w14:textId="0048D591" w:rsidR="003A271D" w:rsidRDefault="003A271D" w:rsidP="00E04AAD">
      <w:pPr>
        <w:spacing w:before="240" w:line="360" w:lineRule="auto"/>
        <w:jc w:val="both"/>
        <w:rPr>
          <w:rFonts w:ascii="Arial" w:hAnsi="Arial" w:cs="Arial"/>
          <w:sz w:val="24"/>
          <w:szCs w:val="24"/>
          <w:lang w:val="en-GB" w:eastAsia="en-GB"/>
        </w:rPr>
      </w:pPr>
    </w:p>
    <w:p w14:paraId="0535D586" w14:textId="4CE574F9" w:rsidR="003A271D" w:rsidRDefault="003A271D" w:rsidP="00E04AAD">
      <w:pPr>
        <w:spacing w:before="240" w:line="360" w:lineRule="auto"/>
        <w:jc w:val="both"/>
        <w:rPr>
          <w:rFonts w:ascii="Arial" w:hAnsi="Arial" w:cs="Arial"/>
          <w:sz w:val="24"/>
          <w:szCs w:val="24"/>
          <w:lang w:val="en-GB" w:eastAsia="en-GB"/>
        </w:rPr>
      </w:pPr>
    </w:p>
    <w:p w14:paraId="19C54109" w14:textId="578E3B25" w:rsidR="003A271D" w:rsidRDefault="003A271D" w:rsidP="00E04AAD">
      <w:pPr>
        <w:spacing w:before="240" w:line="360" w:lineRule="auto"/>
        <w:jc w:val="both"/>
        <w:rPr>
          <w:rFonts w:ascii="Arial" w:hAnsi="Arial" w:cs="Arial"/>
          <w:sz w:val="24"/>
          <w:szCs w:val="24"/>
          <w:lang w:val="en-GB" w:eastAsia="en-GB"/>
        </w:rPr>
      </w:pPr>
    </w:p>
    <w:p w14:paraId="067FD123" w14:textId="4200BE99" w:rsidR="003A271D" w:rsidRDefault="003A271D" w:rsidP="00E04AAD">
      <w:pPr>
        <w:spacing w:before="240" w:line="360" w:lineRule="auto"/>
        <w:jc w:val="both"/>
        <w:rPr>
          <w:rFonts w:ascii="Arial" w:hAnsi="Arial" w:cs="Arial"/>
          <w:sz w:val="24"/>
          <w:szCs w:val="24"/>
          <w:lang w:val="en-GB" w:eastAsia="en-GB"/>
        </w:rPr>
      </w:pPr>
    </w:p>
    <w:p w14:paraId="319CC7BA" w14:textId="77777777" w:rsidR="003A271D" w:rsidRDefault="003A271D" w:rsidP="00E04AAD">
      <w:pPr>
        <w:spacing w:before="240" w:line="360" w:lineRule="auto"/>
        <w:jc w:val="both"/>
        <w:rPr>
          <w:rFonts w:ascii="Arial" w:hAnsi="Arial" w:cs="Arial"/>
          <w:sz w:val="24"/>
          <w:szCs w:val="24"/>
          <w:lang w:val="en-GB" w:eastAsia="en-GB"/>
        </w:rPr>
      </w:pPr>
    </w:p>
    <w:p w14:paraId="3FC1C339" w14:textId="682785C5" w:rsidR="00F14AF5" w:rsidRDefault="00F14AF5" w:rsidP="00E04AAD">
      <w:pPr>
        <w:spacing w:before="240" w:line="360" w:lineRule="auto"/>
        <w:jc w:val="both"/>
        <w:rPr>
          <w:rFonts w:ascii="Arial" w:hAnsi="Arial" w:cs="Arial"/>
          <w:sz w:val="24"/>
          <w:szCs w:val="24"/>
          <w:lang w:val="en-GB" w:eastAsia="en-GB"/>
        </w:rPr>
      </w:pPr>
    </w:p>
    <w:p w14:paraId="60BDECAA" w14:textId="77777777" w:rsidR="00F14AF5" w:rsidRPr="004F1B66" w:rsidRDefault="00F14AF5" w:rsidP="00D45C36">
      <w:pPr>
        <w:pStyle w:val="Heading1"/>
        <w:jc w:val="center"/>
        <w:rPr>
          <w:rFonts w:eastAsia="Times New Roman"/>
          <w:lang w:val="en-GB" w:eastAsia="en-GB"/>
        </w:rPr>
      </w:pPr>
      <w:bookmarkStart w:id="89" w:name="_Toc239188557"/>
      <w:r w:rsidRPr="004F1B66">
        <w:rPr>
          <w:rFonts w:eastAsia="Times New Roman"/>
          <w:lang w:val="en-GB" w:eastAsia="en-GB"/>
        </w:rPr>
        <w:lastRenderedPageBreak/>
        <w:t>Chapter 10 — Operations Plan</w:t>
      </w:r>
      <w:bookmarkEnd w:id="89"/>
    </w:p>
    <w:p w14:paraId="712D130A" w14:textId="77777777" w:rsidR="00F14AF5" w:rsidRPr="004F1B66" w:rsidRDefault="00F14AF5" w:rsidP="00D45C36">
      <w:pPr>
        <w:pStyle w:val="Heading2"/>
        <w:rPr>
          <w:rFonts w:eastAsia="Times New Roman"/>
          <w:lang w:val="en-GB" w:eastAsia="en-GB"/>
        </w:rPr>
      </w:pPr>
      <w:bookmarkStart w:id="90" w:name="_Toc239188558"/>
      <w:r w:rsidRPr="004F1B66">
        <w:rPr>
          <w:rFonts w:eastAsia="Times New Roman"/>
          <w:lang w:val="en-GB" w:eastAsia="en-GB"/>
        </w:rPr>
        <w:t>10.1 Operating Model, Scope and Frameworks</w:t>
      </w:r>
      <w:bookmarkEnd w:id="90"/>
    </w:p>
    <w:p w14:paraId="69406C4D" w14:textId="77777777" w:rsidR="00F14AF5" w:rsidRPr="004F1B66" w:rsidRDefault="00F14AF5" w:rsidP="004F1B66">
      <w:pPr>
        <w:spacing w:before="240" w:line="360" w:lineRule="auto"/>
        <w:jc w:val="both"/>
        <w:rPr>
          <w:rFonts w:ascii="Arial" w:hAnsi="Arial" w:cs="Arial"/>
          <w:sz w:val="24"/>
          <w:szCs w:val="24"/>
          <w:lang w:val="en-GB" w:eastAsia="en-GB"/>
        </w:rPr>
      </w:pPr>
      <w:proofErr w:type="spellStart"/>
      <w:r w:rsidRPr="004F1B66">
        <w:rPr>
          <w:rFonts w:ascii="Arial" w:hAnsi="Arial" w:cs="Arial"/>
          <w:sz w:val="24"/>
          <w:szCs w:val="24"/>
          <w:lang w:val="en-GB" w:eastAsia="en-GB"/>
        </w:rPr>
        <w:t>FitLife</w:t>
      </w:r>
      <w:proofErr w:type="spellEnd"/>
      <w:r w:rsidRPr="004F1B66">
        <w:rPr>
          <w:rFonts w:ascii="Arial" w:hAnsi="Arial" w:cs="Arial"/>
          <w:sz w:val="24"/>
          <w:szCs w:val="24"/>
          <w:lang w:val="en-GB" w:eastAsia="en-GB"/>
        </w:rPr>
        <w:t xml:space="preserve"> Smart Gym will operate through an integrated physical-digital service model in which gym facilities, qualified trainers, AI-assisted personalisation, wearable technology and customer-data systems work together to deliver the focused-differentiation strategy established in Chapter 7. The Business Model Canvas is therefore translated into a practical operating system covering customer </w:t>
      </w:r>
      <w:proofErr w:type="spellStart"/>
      <w:r w:rsidRPr="004F1B66">
        <w:rPr>
          <w:rFonts w:ascii="Arial" w:hAnsi="Arial" w:cs="Arial"/>
          <w:sz w:val="24"/>
          <w:szCs w:val="24"/>
          <w:lang w:val="en-GB" w:eastAsia="en-GB"/>
        </w:rPr>
        <w:t>onboarding</w:t>
      </w:r>
      <w:proofErr w:type="spellEnd"/>
      <w:r w:rsidRPr="004F1B66">
        <w:rPr>
          <w:rFonts w:ascii="Arial" w:hAnsi="Arial" w:cs="Arial"/>
          <w:sz w:val="24"/>
          <w:szCs w:val="24"/>
          <w:lang w:val="en-GB" w:eastAsia="en-GB"/>
        </w:rPr>
        <w:t>, assessment, exercise delivery, progress monitoring, payment and after-sales support (</w:t>
      </w:r>
      <w:proofErr w:type="spellStart"/>
      <w:r w:rsidRPr="004F1B66">
        <w:rPr>
          <w:rFonts w:ascii="Arial" w:hAnsi="Arial" w:cs="Arial"/>
          <w:sz w:val="24"/>
          <w:szCs w:val="24"/>
          <w:lang w:val="en-GB" w:eastAsia="en-GB"/>
        </w:rPr>
        <w:t>Osterwalder</w:t>
      </w:r>
      <w:proofErr w:type="spellEnd"/>
      <w:r w:rsidRPr="004F1B66">
        <w:rPr>
          <w:rFonts w:ascii="Arial" w:hAnsi="Arial" w:cs="Arial"/>
          <w:sz w:val="24"/>
          <w:szCs w:val="24"/>
          <w:lang w:val="en-GB" w:eastAsia="en-GB"/>
        </w:rPr>
        <w:t xml:space="preserve"> and </w:t>
      </w:r>
      <w:proofErr w:type="spellStart"/>
      <w:r w:rsidRPr="004F1B66">
        <w:rPr>
          <w:rFonts w:ascii="Arial" w:hAnsi="Arial" w:cs="Arial"/>
          <w:sz w:val="24"/>
          <w:szCs w:val="24"/>
          <w:lang w:val="en-GB" w:eastAsia="en-GB"/>
        </w:rPr>
        <w:t>Pigneur</w:t>
      </w:r>
      <w:proofErr w:type="spellEnd"/>
      <w:r w:rsidRPr="004F1B66">
        <w:rPr>
          <w:rFonts w:ascii="Arial" w:hAnsi="Arial" w:cs="Arial"/>
          <w:sz w:val="24"/>
          <w:szCs w:val="24"/>
          <w:lang w:val="en-GB" w:eastAsia="en-GB"/>
        </w:rPr>
        <w:t>, 2010). Process mapping is used to identify activities, responsibilities, hand-offs, control points and potential bottlenecks, supporting more consistent service delivery (Slack, Brandon-Jones and Burgess, 2022).</w:t>
      </w:r>
    </w:p>
    <w:p w14:paraId="6787C7F9" w14:textId="77777777" w:rsidR="00F14AF5" w:rsidRPr="004F1B66" w:rsidRDefault="00F14AF5" w:rsidP="00D45C36">
      <w:pPr>
        <w:pStyle w:val="Heading2"/>
        <w:rPr>
          <w:rFonts w:eastAsia="Times New Roman"/>
          <w:lang w:val="en-GB" w:eastAsia="en-GB"/>
        </w:rPr>
      </w:pPr>
      <w:bookmarkStart w:id="91" w:name="_Toc239188559"/>
      <w:r w:rsidRPr="004F1B66">
        <w:rPr>
          <w:rFonts w:eastAsia="Times New Roman"/>
          <w:lang w:val="en-GB" w:eastAsia="en-GB"/>
        </w:rPr>
        <w:t>10.2 Operational Workflow and Capacity</w:t>
      </w:r>
      <w:bookmarkEnd w:id="91"/>
    </w:p>
    <w:p w14:paraId="5F0F7AEA"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 xml:space="preserve">The operating process begins when a prospective customer responds to </w:t>
      </w:r>
      <w:proofErr w:type="spellStart"/>
      <w:r w:rsidRPr="004F1B66">
        <w:rPr>
          <w:rFonts w:ascii="Arial" w:hAnsi="Arial" w:cs="Arial"/>
          <w:sz w:val="24"/>
          <w:szCs w:val="24"/>
          <w:lang w:val="en-GB" w:eastAsia="en-GB"/>
        </w:rPr>
        <w:t>FitLife's</w:t>
      </w:r>
      <w:proofErr w:type="spellEnd"/>
      <w:r w:rsidRPr="004F1B66">
        <w:rPr>
          <w:rFonts w:ascii="Arial" w:hAnsi="Arial" w:cs="Arial"/>
          <w:sz w:val="24"/>
          <w:szCs w:val="24"/>
          <w:lang w:val="en-GB" w:eastAsia="en-GB"/>
        </w:rPr>
        <w:t xml:space="preserve"> digital or local marketing activity. Customers select a membership tier, register through the website/app or gym reception, and provide the information and permissions required for service delivery. An initial fitness assessment is then completed by a qualified trainer, who establishes appropriate goals and reviews relevant customer information. AI-assisted recommendations and compatible wearable data can subsequently support personalised exercise planning and progress monitoring, while trainers retain oversight of the service.</w:t>
      </w:r>
    </w:p>
    <w:p w14:paraId="5FC423E5" w14:textId="77777777" w:rsidR="00D45C36" w:rsidRDefault="00D45C36" w:rsidP="00D45C36">
      <w:pPr>
        <w:keepNext/>
        <w:spacing w:before="240" w:line="360" w:lineRule="auto"/>
        <w:jc w:val="center"/>
      </w:pPr>
      <w:r>
        <w:rPr>
          <w:rFonts w:ascii="Arial" w:hAnsi="Arial" w:cs="Arial"/>
          <w:noProof/>
          <w:sz w:val="24"/>
          <w:szCs w:val="24"/>
          <w:lang w:val="en-GB" w:eastAsia="en-GB"/>
          <w14:ligatures w14:val="standardContextual"/>
        </w:rPr>
        <w:drawing>
          <wp:inline distT="0" distB="0" distL="0" distR="0" wp14:anchorId="46503796" wp14:editId="542BA4A6">
            <wp:extent cx="5029200" cy="2658912"/>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831_11364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35094" cy="2662028"/>
                    </a:xfrm>
                    <a:prstGeom prst="rect">
                      <a:avLst/>
                    </a:prstGeom>
                  </pic:spPr>
                </pic:pic>
              </a:graphicData>
            </a:graphic>
          </wp:inline>
        </w:drawing>
      </w:r>
    </w:p>
    <w:p w14:paraId="30E5C759" w14:textId="1AAD1629" w:rsidR="00F14AF5" w:rsidRPr="00D45C36" w:rsidRDefault="00D45C36" w:rsidP="00D45C36">
      <w:pPr>
        <w:pStyle w:val="Caption"/>
        <w:jc w:val="center"/>
        <w:rPr>
          <w:rFonts w:ascii="Arial" w:hAnsi="Arial" w:cs="Arial"/>
          <w:sz w:val="36"/>
          <w:szCs w:val="24"/>
          <w:lang w:val="en-GB" w:eastAsia="en-GB"/>
        </w:rPr>
      </w:pPr>
      <w:bookmarkStart w:id="92" w:name="_Toc239091511"/>
      <w:r w:rsidRPr="00D45C36">
        <w:rPr>
          <w:rFonts w:ascii="Arial" w:hAnsi="Arial" w:cs="Arial"/>
          <w:sz w:val="24"/>
        </w:rPr>
        <w:t xml:space="preserve">Figure </w:t>
      </w:r>
      <w:r w:rsidRPr="00D45C36">
        <w:rPr>
          <w:rFonts w:ascii="Arial" w:hAnsi="Arial" w:cs="Arial"/>
          <w:sz w:val="24"/>
        </w:rPr>
        <w:fldChar w:fldCharType="begin"/>
      </w:r>
      <w:r w:rsidRPr="00D45C36">
        <w:rPr>
          <w:rFonts w:ascii="Arial" w:hAnsi="Arial" w:cs="Arial"/>
          <w:sz w:val="24"/>
        </w:rPr>
        <w:instrText xml:space="preserve"> SEQ Figure \* ARABIC </w:instrText>
      </w:r>
      <w:r w:rsidRPr="00D45C36">
        <w:rPr>
          <w:rFonts w:ascii="Arial" w:hAnsi="Arial" w:cs="Arial"/>
          <w:sz w:val="24"/>
        </w:rPr>
        <w:fldChar w:fldCharType="separate"/>
      </w:r>
      <w:r w:rsidRPr="00D45C36">
        <w:rPr>
          <w:rFonts w:ascii="Arial" w:hAnsi="Arial" w:cs="Arial"/>
          <w:noProof/>
          <w:sz w:val="24"/>
        </w:rPr>
        <w:t>2</w:t>
      </w:r>
      <w:r w:rsidRPr="00D45C36">
        <w:rPr>
          <w:rFonts w:ascii="Arial" w:hAnsi="Arial" w:cs="Arial"/>
          <w:sz w:val="24"/>
        </w:rPr>
        <w:fldChar w:fldCharType="end"/>
      </w:r>
      <w:r w:rsidRPr="00D45C36">
        <w:rPr>
          <w:rFonts w:ascii="Arial" w:hAnsi="Arial" w:cs="Arial"/>
          <w:sz w:val="24"/>
        </w:rPr>
        <w:t xml:space="preserve">.: </w:t>
      </w:r>
      <w:proofErr w:type="spellStart"/>
      <w:r w:rsidRPr="00D45C36">
        <w:rPr>
          <w:rFonts w:ascii="Arial" w:hAnsi="Arial" w:cs="Arial"/>
          <w:sz w:val="24"/>
        </w:rPr>
        <w:t>FitLife</w:t>
      </w:r>
      <w:proofErr w:type="spellEnd"/>
      <w:r w:rsidRPr="00D45C36">
        <w:rPr>
          <w:rFonts w:ascii="Arial" w:hAnsi="Arial" w:cs="Arial"/>
          <w:sz w:val="24"/>
        </w:rPr>
        <w:t xml:space="preserve"> Operational Process</w:t>
      </w:r>
      <w:bookmarkEnd w:id="92"/>
    </w:p>
    <w:p w14:paraId="7A1D654A" w14:textId="77777777" w:rsidR="00F14AF5" w:rsidRPr="004F1B66" w:rsidRDefault="00F14AF5" w:rsidP="004F1B66">
      <w:pPr>
        <w:spacing w:before="240" w:line="360" w:lineRule="auto"/>
        <w:jc w:val="both"/>
        <w:rPr>
          <w:rFonts w:ascii="Arial" w:hAnsi="Arial" w:cs="Arial"/>
          <w:sz w:val="24"/>
          <w:szCs w:val="24"/>
          <w:lang w:val="en-GB" w:eastAsia="en-GB"/>
        </w:rPr>
      </w:pPr>
      <w:r w:rsidRPr="00D45C36">
        <w:rPr>
          <w:rFonts w:ascii="Arial" w:hAnsi="Arial" w:cs="Arial"/>
          <w:b/>
          <w:i/>
          <w:iCs/>
          <w:sz w:val="24"/>
          <w:szCs w:val="24"/>
          <w:lang w:val="en-GB" w:eastAsia="en-GB"/>
        </w:rPr>
        <w:lastRenderedPageBreak/>
        <w:t>Source:</w:t>
      </w:r>
      <w:r w:rsidRPr="004F1B66">
        <w:rPr>
          <w:rFonts w:ascii="Arial" w:hAnsi="Arial" w:cs="Arial"/>
          <w:i/>
          <w:iCs/>
          <w:sz w:val="24"/>
          <w:szCs w:val="24"/>
          <w:lang w:val="en-GB" w:eastAsia="en-GB"/>
        </w:rPr>
        <w:t xml:space="preserve"> Researcher's synthesis based on the proposed </w:t>
      </w:r>
      <w:proofErr w:type="spellStart"/>
      <w:r w:rsidRPr="004F1B66">
        <w:rPr>
          <w:rFonts w:ascii="Arial" w:hAnsi="Arial" w:cs="Arial"/>
          <w:i/>
          <w:iCs/>
          <w:sz w:val="24"/>
          <w:szCs w:val="24"/>
          <w:lang w:val="en-GB" w:eastAsia="en-GB"/>
        </w:rPr>
        <w:t>FitLife</w:t>
      </w:r>
      <w:proofErr w:type="spellEnd"/>
      <w:r w:rsidRPr="004F1B66">
        <w:rPr>
          <w:rFonts w:ascii="Arial" w:hAnsi="Arial" w:cs="Arial"/>
          <w:i/>
          <w:iCs/>
          <w:sz w:val="24"/>
          <w:szCs w:val="24"/>
          <w:lang w:val="en-GB" w:eastAsia="en-GB"/>
        </w:rPr>
        <w:t xml:space="preserve"> operating model.</w:t>
      </w:r>
    </w:p>
    <w:p w14:paraId="54C3BE6B"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Marketing and sales generate demand, the membership system records transactions, trainers undertake assessment and oversight, and technology supports recommendations and progress tracking. Operational capacity must remain consistent with the customer volumes forecast in Chapter 9. The main potential bottleneck is trainer capacity because higher membership volumes increase assessment, consultation and progress-review requirements. Technology reliability is a second potential constraint because failures in the app, booking system or wearable integration could disrupt customer experience.</w:t>
      </w:r>
    </w:p>
    <w:p w14:paraId="746CF67E" w14:textId="77777777" w:rsidR="00F14AF5" w:rsidRPr="004F1B66" w:rsidRDefault="00F14AF5" w:rsidP="00ED0796">
      <w:pPr>
        <w:pStyle w:val="Heading2"/>
        <w:rPr>
          <w:rFonts w:eastAsia="Times New Roman"/>
          <w:lang w:val="en-GB" w:eastAsia="en-GB"/>
        </w:rPr>
      </w:pPr>
      <w:bookmarkStart w:id="93" w:name="_Toc239188560"/>
      <w:r w:rsidRPr="004F1B66">
        <w:rPr>
          <w:rFonts w:eastAsia="Times New Roman"/>
          <w:lang w:val="en-GB" w:eastAsia="en-GB"/>
        </w:rPr>
        <w:t>10.3 Location, Facilities, Equipment and Technology</w:t>
      </w:r>
      <w:bookmarkEnd w:id="93"/>
    </w:p>
    <w:p w14:paraId="133947FF" w14:textId="77777777" w:rsidR="00F14AF5" w:rsidRPr="004F1B66" w:rsidRDefault="00F14AF5" w:rsidP="004F1B66">
      <w:pPr>
        <w:spacing w:before="240" w:line="360" w:lineRule="auto"/>
        <w:jc w:val="both"/>
        <w:rPr>
          <w:rFonts w:ascii="Arial" w:hAnsi="Arial" w:cs="Arial"/>
          <w:sz w:val="24"/>
          <w:szCs w:val="24"/>
          <w:lang w:val="en-GB" w:eastAsia="en-GB"/>
        </w:rPr>
      </w:pPr>
      <w:proofErr w:type="spellStart"/>
      <w:r w:rsidRPr="004F1B66">
        <w:rPr>
          <w:rFonts w:ascii="Arial" w:hAnsi="Arial" w:cs="Arial"/>
          <w:sz w:val="24"/>
          <w:szCs w:val="24"/>
          <w:lang w:val="en-GB" w:eastAsia="en-GB"/>
        </w:rPr>
        <w:t>Levenshulme</w:t>
      </w:r>
      <w:proofErr w:type="spellEnd"/>
      <w:r w:rsidRPr="004F1B66">
        <w:rPr>
          <w:rFonts w:ascii="Arial" w:hAnsi="Arial" w:cs="Arial"/>
          <w:sz w:val="24"/>
          <w:szCs w:val="24"/>
          <w:lang w:val="en-GB" w:eastAsia="en-GB"/>
        </w:rPr>
        <w:t xml:space="preserve"> remains the proposed operating base because it provides direct access to the priority local catchment identified in Chapter 5. However, the final premises should be selected using evidence concerning accessibility, floor space, rent, transport links, customer catchment, competition and permitted use rather than location preference alone. The facility should provide appropriate areas for cardiovascular and resistance equipment, functional training, customer assessment, trainer consultation, reception and secure administration.</w:t>
      </w:r>
    </w:p>
    <w:p w14:paraId="178BBDCF"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Launch investment should focus on essential operational resources rather than unnecessary technological complexity. Required systems include gym equipment, booking and membership software, payment processing, CRM/customer records, an app interface and wearable integration. Back-office systems should support accounting, payroll, scheduling and operational reporting. Integration is important because duplicated manual records increase administrative workload and the risk of inconsistent customer information (Slack, Brandon-Jones and Burgess, 2022).</w:t>
      </w:r>
    </w:p>
    <w:p w14:paraId="66FD5C34" w14:textId="77777777" w:rsidR="00F14AF5" w:rsidRPr="004F1B66" w:rsidRDefault="00F14AF5" w:rsidP="00ED0796">
      <w:pPr>
        <w:pStyle w:val="Heading2"/>
        <w:rPr>
          <w:rFonts w:eastAsia="Times New Roman"/>
          <w:lang w:val="en-GB" w:eastAsia="en-GB"/>
        </w:rPr>
      </w:pPr>
      <w:bookmarkStart w:id="94" w:name="_Toc239188561"/>
      <w:r w:rsidRPr="004F1B66">
        <w:rPr>
          <w:rFonts w:eastAsia="Times New Roman"/>
          <w:lang w:val="en-GB" w:eastAsia="en-GB"/>
        </w:rPr>
        <w:t>10.4 Supply Chain, Procurement, Inventory and Logistics</w:t>
      </w:r>
      <w:bookmarkEnd w:id="94"/>
    </w:p>
    <w:p w14:paraId="20C724F6"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 xml:space="preserve">Although </w:t>
      </w:r>
      <w:proofErr w:type="spellStart"/>
      <w:r w:rsidRPr="004F1B66">
        <w:rPr>
          <w:rFonts w:ascii="Arial" w:hAnsi="Arial" w:cs="Arial"/>
          <w:sz w:val="24"/>
          <w:szCs w:val="24"/>
          <w:lang w:val="en-GB" w:eastAsia="en-GB"/>
        </w:rPr>
        <w:t>FitLife</w:t>
      </w:r>
      <w:proofErr w:type="spellEnd"/>
      <w:r w:rsidRPr="004F1B66">
        <w:rPr>
          <w:rFonts w:ascii="Arial" w:hAnsi="Arial" w:cs="Arial"/>
          <w:sz w:val="24"/>
          <w:szCs w:val="24"/>
          <w:lang w:val="en-GB" w:eastAsia="en-GB"/>
        </w:rPr>
        <w:t xml:space="preserve"> is a service business, it depends on suppliers of gym equipment, software, wearable integration, maintenance, payment processing and professional services. Supplier selection should therefore consider reliability, technical compatibility, service support, lead times, scalability and total cost rather than purchase price alone. Critical technology should not depend excessively on one </w:t>
      </w:r>
      <w:r w:rsidRPr="004F1B66">
        <w:rPr>
          <w:rFonts w:ascii="Arial" w:hAnsi="Arial" w:cs="Arial"/>
          <w:sz w:val="24"/>
          <w:szCs w:val="24"/>
          <w:lang w:val="en-GB" w:eastAsia="en-GB"/>
        </w:rPr>
        <w:lastRenderedPageBreak/>
        <w:t>provider; alternative suppliers or contingency arrangements should be identified where switching failure would significantly disrupt operations.</w:t>
      </w:r>
    </w:p>
    <w:p w14:paraId="12E1C4B1"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 xml:space="preserve">Inventory requirements are relatively limited, but </w:t>
      </w:r>
      <w:proofErr w:type="spellStart"/>
      <w:r w:rsidRPr="004F1B66">
        <w:rPr>
          <w:rFonts w:ascii="Arial" w:hAnsi="Arial" w:cs="Arial"/>
          <w:sz w:val="24"/>
          <w:szCs w:val="24"/>
          <w:lang w:val="en-GB" w:eastAsia="en-GB"/>
        </w:rPr>
        <w:t>FitLife</w:t>
      </w:r>
      <w:proofErr w:type="spellEnd"/>
      <w:r w:rsidRPr="004F1B66">
        <w:rPr>
          <w:rFonts w:ascii="Arial" w:hAnsi="Arial" w:cs="Arial"/>
          <w:sz w:val="24"/>
          <w:szCs w:val="24"/>
          <w:lang w:val="en-GB" w:eastAsia="en-GB"/>
        </w:rPr>
        <w:t xml:space="preserve"> should monitor cleaning materials, consumables, replacement parts and essential operational supplies. Minimum-stock levels and scheduled replenishment can reduce stock-out risks without unnecessarily tying up working capital. Equipment maintenance should be preventive because unavailable equipment reduces effective capacity and can damage customer satisfaction.</w:t>
      </w:r>
    </w:p>
    <w:p w14:paraId="7A436D2D"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Inbound logistics will involve supplier deliveries and equipment installation, while internal logistics will concern movement of customers, equipment and information through the facility. Outbound delivery is primarily the provision of physical fitness services supported by digital communication, recommendations and progress information.</w:t>
      </w:r>
    </w:p>
    <w:p w14:paraId="07C03E01" w14:textId="77777777" w:rsidR="00F14AF5" w:rsidRPr="004F1B66" w:rsidRDefault="00F14AF5" w:rsidP="00ED0796">
      <w:pPr>
        <w:pStyle w:val="Heading2"/>
        <w:rPr>
          <w:rFonts w:eastAsia="Times New Roman"/>
          <w:lang w:val="en-GB" w:eastAsia="en-GB"/>
        </w:rPr>
      </w:pPr>
      <w:bookmarkStart w:id="95" w:name="_Toc239188562"/>
      <w:r w:rsidRPr="004F1B66">
        <w:rPr>
          <w:rFonts w:eastAsia="Times New Roman"/>
          <w:lang w:val="en-GB" w:eastAsia="en-GB"/>
        </w:rPr>
        <w:t>10.5 Quality, Compliance and Operational Controls</w:t>
      </w:r>
      <w:bookmarkEnd w:id="95"/>
    </w:p>
    <w:p w14:paraId="75175A24"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 xml:space="preserve">Quality should be defined through measurable standards rather than a general commitment to “high quality”. </w:t>
      </w:r>
      <w:proofErr w:type="spellStart"/>
      <w:r w:rsidRPr="004F1B66">
        <w:rPr>
          <w:rFonts w:ascii="Arial" w:hAnsi="Arial" w:cs="Arial"/>
          <w:sz w:val="24"/>
          <w:szCs w:val="24"/>
          <w:lang w:val="en-GB" w:eastAsia="en-GB"/>
        </w:rPr>
        <w:t>FitLife</w:t>
      </w:r>
      <w:proofErr w:type="spellEnd"/>
      <w:r w:rsidRPr="004F1B66">
        <w:rPr>
          <w:rFonts w:ascii="Arial" w:hAnsi="Arial" w:cs="Arial"/>
          <w:sz w:val="24"/>
          <w:szCs w:val="24"/>
          <w:lang w:val="en-GB" w:eastAsia="en-GB"/>
        </w:rPr>
        <w:t xml:space="preserve"> should monitor equipment availability, technology uptime, trainer response times, customer complaints, satisfaction, retention and completion of scheduled progress reviews. Standard operating procedures should cover </w:t>
      </w:r>
      <w:proofErr w:type="spellStart"/>
      <w:r w:rsidRPr="004F1B66">
        <w:rPr>
          <w:rFonts w:ascii="Arial" w:hAnsi="Arial" w:cs="Arial"/>
          <w:sz w:val="24"/>
          <w:szCs w:val="24"/>
          <w:lang w:val="en-GB" w:eastAsia="en-GB"/>
        </w:rPr>
        <w:t>onboarding</w:t>
      </w:r>
      <w:proofErr w:type="spellEnd"/>
      <w:r w:rsidRPr="004F1B66">
        <w:rPr>
          <w:rFonts w:ascii="Arial" w:hAnsi="Arial" w:cs="Arial"/>
          <w:sz w:val="24"/>
          <w:szCs w:val="24"/>
          <w:lang w:val="en-GB" w:eastAsia="en-GB"/>
        </w:rPr>
        <w:t>, equipment checks, cleaning, customer support, incident reporting and service recovery.</w:t>
      </w:r>
    </w:p>
    <w:p w14:paraId="1BEA169C"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Qualified trainer oversight is essential because AI should support rather than replace professional judgement. Professional standards within the UK sport and physical-activity sector provide a basis for defining appropriate competence and role expectations (CIMSPA, 2026). Trainer recruitment, continuing professional development and performance monitoring should therefore form part of operational quality control.</w:t>
      </w:r>
    </w:p>
    <w:p w14:paraId="7E721823"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 xml:space="preserve">Data governance is particularly important because </w:t>
      </w:r>
      <w:proofErr w:type="spellStart"/>
      <w:r w:rsidRPr="004F1B66">
        <w:rPr>
          <w:rFonts w:ascii="Arial" w:hAnsi="Arial" w:cs="Arial"/>
          <w:sz w:val="24"/>
          <w:szCs w:val="24"/>
          <w:lang w:val="en-GB" w:eastAsia="en-GB"/>
        </w:rPr>
        <w:t>FitLife</w:t>
      </w:r>
      <w:proofErr w:type="spellEnd"/>
      <w:r w:rsidRPr="004F1B66">
        <w:rPr>
          <w:rFonts w:ascii="Arial" w:hAnsi="Arial" w:cs="Arial"/>
          <w:sz w:val="24"/>
          <w:szCs w:val="24"/>
          <w:lang w:val="en-GB" w:eastAsia="en-GB"/>
        </w:rPr>
        <w:t xml:space="preserve"> proposes to use customer and wearable information. The ICO explains that fitness-tracker information can constitute health data depending on what is collected and how it is used, meaning additional safeguards may apply under UK GDPR (ICO, 2026a). Where special-</w:t>
      </w:r>
      <w:r w:rsidRPr="004F1B66">
        <w:rPr>
          <w:rFonts w:ascii="Arial" w:hAnsi="Arial" w:cs="Arial"/>
          <w:sz w:val="24"/>
          <w:szCs w:val="24"/>
          <w:lang w:val="en-GB" w:eastAsia="en-GB"/>
        </w:rPr>
        <w:lastRenderedPageBreak/>
        <w:t xml:space="preserve">category data is processed, </w:t>
      </w:r>
      <w:proofErr w:type="spellStart"/>
      <w:r w:rsidRPr="004F1B66">
        <w:rPr>
          <w:rFonts w:ascii="Arial" w:hAnsi="Arial" w:cs="Arial"/>
          <w:sz w:val="24"/>
          <w:szCs w:val="24"/>
          <w:lang w:val="en-GB" w:eastAsia="en-GB"/>
        </w:rPr>
        <w:t>FitLife</w:t>
      </w:r>
      <w:proofErr w:type="spellEnd"/>
      <w:r w:rsidRPr="004F1B66">
        <w:rPr>
          <w:rFonts w:ascii="Arial" w:hAnsi="Arial" w:cs="Arial"/>
          <w:sz w:val="24"/>
          <w:szCs w:val="24"/>
          <w:lang w:val="en-GB" w:eastAsia="en-GB"/>
        </w:rPr>
        <w:t xml:space="preserve"> must identify an appropriate Article 6 lawful basis and Article 9 condition, while applying data minimisation and proportionality principles (ICO, 2026a). Data protection should also be incorporated into system design from the beginning rather than added after implementation (ICO, 2026b).</w:t>
      </w:r>
    </w:p>
    <w:p w14:paraId="7A150321"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 xml:space="preserve">Consequently, </w:t>
      </w:r>
      <w:proofErr w:type="spellStart"/>
      <w:r w:rsidRPr="004F1B66">
        <w:rPr>
          <w:rFonts w:ascii="Arial" w:hAnsi="Arial" w:cs="Arial"/>
          <w:sz w:val="24"/>
          <w:szCs w:val="24"/>
          <w:lang w:val="en-GB" w:eastAsia="en-GB"/>
        </w:rPr>
        <w:t>FitLife</w:t>
      </w:r>
      <w:proofErr w:type="spellEnd"/>
      <w:r w:rsidRPr="004F1B66">
        <w:rPr>
          <w:rFonts w:ascii="Arial" w:hAnsi="Arial" w:cs="Arial"/>
          <w:sz w:val="24"/>
          <w:szCs w:val="24"/>
          <w:lang w:val="en-GB" w:eastAsia="en-GB"/>
        </w:rPr>
        <w:t xml:space="preserve"> should implement privacy information, access controls, secure storage, retention procedures and appropriate data-protection assessments before introducing higher-risk AI or wearable-data processing. Human oversight should remain central where automated recommendations or profiling are used, reducing the risk of inappropriate or unexplained decisions (ICO, 2026c).</w:t>
      </w:r>
    </w:p>
    <w:p w14:paraId="1325F21E" w14:textId="77777777" w:rsidR="00F14AF5" w:rsidRPr="004F1B66" w:rsidRDefault="00F14AF5" w:rsidP="00ED0796">
      <w:pPr>
        <w:pStyle w:val="Heading2"/>
        <w:rPr>
          <w:rFonts w:eastAsia="Times New Roman"/>
          <w:lang w:val="en-GB" w:eastAsia="en-GB"/>
        </w:rPr>
      </w:pPr>
      <w:bookmarkStart w:id="96" w:name="_Toc239188563"/>
      <w:r w:rsidRPr="004F1B66">
        <w:rPr>
          <w:rFonts w:eastAsia="Times New Roman"/>
          <w:lang w:val="en-GB" w:eastAsia="en-GB"/>
        </w:rPr>
        <w:t>10.6 Operational Synthesis</w:t>
      </w:r>
      <w:bookmarkEnd w:id="96"/>
    </w:p>
    <w:p w14:paraId="31C61662" w14:textId="77777777" w:rsidR="00F14AF5" w:rsidRPr="004F1B66" w:rsidRDefault="00F14AF5" w:rsidP="004F1B66">
      <w:pPr>
        <w:spacing w:before="240" w:line="360" w:lineRule="auto"/>
        <w:jc w:val="both"/>
        <w:rPr>
          <w:rFonts w:ascii="Arial" w:hAnsi="Arial" w:cs="Arial"/>
          <w:sz w:val="24"/>
          <w:szCs w:val="24"/>
          <w:lang w:val="en-GB" w:eastAsia="en-GB"/>
        </w:rPr>
      </w:pPr>
      <w:r w:rsidRPr="004F1B66">
        <w:rPr>
          <w:rFonts w:ascii="Arial" w:hAnsi="Arial" w:cs="Arial"/>
          <w:sz w:val="24"/>
          <w:szCs w:val="24"/>
          <w:lang w:val="en-GB" w:eastAsia="en-GB"/>
        </w:rPr>
        <w:t xml:space="preserve">Overall, </w:t>
      </w:r>
      <w:proofErr w:type="spellStart"/>
      <w:r w:rsidRPr="004F1B66">
        <w:rPr>
          <w:rFonts w:ascii="Arial" w:hAnsi="Arial" w:cs="Arial"/>
          <w:sz w:val="24"/>
          <w:szCs w:val="24"/>
          <w:lang w:val="en-GB" w:eastAsia="en-GB"/>
        </w:rPr>
        <w:t>FitLife's</w:t>
      </w:r>
      <w:proofErr w:type="spellEnd"/>
      <w:r w:rsidRPr="004F1B66">
        <w:rPr>
          <w:rFonts w:ascii="Arial" w:hAnsi="Arial" w:cs="Arial"/>
          <w:sz w:val="24"/>
          <w:szCs w:val="24"/>
          <w:lang w:val="en-GB" w:eastAsia="en-GB"/>
        </w:rPr>
        <w:t xml:space="preserve"> operating model can support the proposed strategy provided customer growth remains aligned with trainer availability, premises capacity, technology reliability and the financial limits established in Chapter 9. The principal operational challenge is balancing personalised human support with technology-enabled scalability. Growth should therefore be supported through additional trainer capacity, reliable digital systems, preventive maintenance and standardised service processes rather than simply increasing membership numbers. This creates an operating model capable of delivering </w:t>
      </w:r>
      <w:proofErr w:type="spellStart"/>
      <w:r w:rsidRPr="004F1B66">
        <w:rPr>
          <w:rFonts w:ascii="Arial" w:hAnsi="Arial" w:cs="Arial"/>
          <w:sz w:val="24"/>
          <w:szCs w:val="24"/>
          <w:lang w:val="en-GB" w:eastAsia="en-GB"/>
        </w:rPr>
        <w:t>FitLife's</w:t>
      </w:r>
      <w:proofErr w:type="spellEnd"/>
      <w:r w:rsidRPr="004F1B66">
        <w:rPr>
          <w:rFonts w:ascii="Arial" w:hAnsi="Arial" w:cs="Arial"/>
          <w:sz w:val="24"/>
          <w:szCs w:val="24"/>
          <w:lang w:val="en-GB" w:eastAsia="en-GB"/>
        </w:rPr>
        <w:t xml:space="preserve"> proposed combination of personalisation, convenience, accountability and human support while maintaining quality, safety and data governance.</w:t>
      </w:r>
    </w:p>
    <w:p w14:paraId="5EEAA0EF" w14:textId="08D75AF8" w:rsidR="00F14AF5" w:rsidRDefault="00F14AF5" w:rsidP="00E04AAD">
      <w:pPr>
        <w:spacing w:before="240" w:line="360" w:lineRule="auto"/>
        <w:jc w:val="both"/>
        <w:rPr>
          <w:rFonts w:ascii="Arial" w:hAnsi="Arial" w:cs="Arial"/>
          <w:sz w:val="24"/>
          <w:szCs w:val="24"/>
          <w:lang w:val="en-GB" w:eastAsia="en-GB"/>
        </w:rPr>
      </w:pPr>
    </w:p>
    <w:p w14:paraId="48C984C8" w14:textId="0CAFFC55" w:rsidR="001B2435" w:rsidRDefault="001B2435" w:rsidP="00E04AAD">
      <w:pPr>
        <w:spacing w:before="240" w:line="360" w:lineRule="auto"/>
        <w:jc w:val="both"/>
        <w:rPr>
          <w:rFonts w:ascii="Arial" w:hAnsi="Arial" w:cs="Arial"/>
          <w:sz w:val="24"/>
          <w:szCs w:val="24"/>
          <w:lang w:val="en-GB" w:eastAsia="en-GB"/>
        </w:rPr>
      </w:pPr>
    </w:p>
    <w:p w14:paraId="566FFDA1" w14:textId="24F3C302" w:rsidR="001B2435" w:rsidRDefault="001B2435" w:rsidP="00E04AAD">
      <w:pPr>
        <w:spacing w:before="240" w:line="360" w:lineRule="auto"/>
        <w:jc w:val="both"/>
        <w:rPr>
          <w:rFonts w:ascii="Arial" w:hAnsi="Arial" w:cs="Arial"/>
          <w:sz w:val="24"/>
          <w:szCs w:val="24"/>
          <w:lang w:val="en-GB" w:eastAsia="en-GB"/>
        </w:rPr>
      </w:pPr>
    </w:p>
    <w:p w14:paraId="368CF83F" w14:textId="3B80FC8E" w:rsidR="00ED0796" w:rsidRDefault="00ED0796" w:rsidP="00E04AAD">
      <w:pPr>
        <w:spacing w:before="240" w:line="360" w:lineRule="auto"/>
        <w:jc w:val="both"/>
        <w:rPr>
          <w:rFonts w:ascii="Arial" w:hAnsi="Arial" w:cs="Arial"/>
          <w:sz w:val="24"/>
          <w:szCs w:val="24"/>
          <w:lang w:val="en-GB" w:eastAsia="en-GB"/>
        </w:rPr>
      </w:pPr>
    </w:p>
    <w:p w14:paraId="5E65AF4C" w14:textId="77777777" w:rsidR="00ED0796" w:rsidRDefault="00ED0796" w:rsidP="00E04AAD">
      <w:pPr>
        <w:spacing w:before="240" w:line="360" w:lineRule="auto"/>
        <w:jc w:val="both"/>
        <w:rPr>
          <w:rFonts w:ascii="Arial" w:hAnsi="Arial" w:cs="Arial"/>
          <w:sz w:val="24"/>
          <w:szCs w:val="24"/>
          <w:lang w:val="en-GB" w:eastAsia="en-GB"/>
        </w:rPr>
      </w:pPr>
    </w:p>
    <w:p w14:paraId="71D83F43" w14:textId="431FC2CB" w:rsidR="001B2435" w:rsidRDefault="001B2435" w:rsidP="00E04AAD">
      <w:pPr>
        <w:spacing w:before="240" w:line="360" w:lineRule="auto"/>
        <w:jc w:val="both"/>
        <w:rPr>
          <w:rFonts w:ascii="Arial" w:hAnsi="Arial" w:cs="Arial"/>
          <w:sz w:val="24"/>
          <w:szCs w:val="24"/>
          <w:lang w:val="en-GB" w:eastAsia="en-GB"/>
        </w:rPr>
      </w:pPr>
    </w:p>
    <w:p w14:paraId="3480B1F3" w14:textId="7435FBBB" w:rsidR="001B2435" w:rsidRDefault="001B2435" w:rsidP="00E04AAD">
      <w:pPr>
        <w:spacing w:before="240" w:line="360" w:lineRule="auto"/>
        <w:jc w:val="both"/>
        <w:rPr>
          <w:rFonts w:ascii="Arial" w:hAnsi="Arial" w:cs="Arial"/>
          <w:sz w:val="24"/>
          <w:szCs w:val="24"/>
          <w:lang w:val="en-GB" w:eastAsia="en-GB"/>
        </w:rPr>
      </w:pPr>
    </w:p>
    <w:p w14:paraId="5607222E" w14:textId="560D9028" w:rsidR="001A384C" w:rsidRDefault="001A384C" w:rsidP="00E04AAD">
      <w:pPr>
        <w:spacing w:before="240" w:line="360" w:lineRule="auto"/>
        <w:jc w:val="both"/>
        <w:rPr>
          <w:rFonts w:ascii="Arial" w:hAnsi="Arial" w:cs="Arial"/>
          <w:sz w:val="24"/>
          <w:szCs w:val="24"/>
          <w:lang w:val="en-GB" w:eastAsia="en-GB"/>
        </w:rPr>
      </w:pPr>
    </w:p>
    <w:p w14:paraId="32850B72" w14:textId="77777777" w:rsidR="001A384C" w:rsidRPr="001A384C" w:rsidRDefault="001A384C" w:rsidP="001A384C">
      <w:pPr>
        <w:keepNext/>
        <w:keepLines/>
        <w:spacing w:before="360" w:after="80"/>
        <w:jc w:val="center"/>
        <w:outlineLvl w:val="0"/>
        <w:rPr>
          <w:rFonts w:ascii="Arial" w:eastAsia="Times New Roman" w:hAnsi="Arial" w:cstheme="majorBidi"/>
          <w:b/>
          <w:color w:val="000000" w:themeColor="text1"/>
          <w:sz w:val="32"/>
          <w:szCs w:val="40"/>
          <w:lang w:val="en-GB" w:eastAsia="en-GB"/>
        </w:rPr>
      </w:pPr>
      <w:bookmarkStart w:id="97" w:name="_Toc239091297"/>
      <w:bookmarkStart w:id="98" w:name="_Toc239188564"/>
      <w:r w:rsidRPr="001A384C">
        <w:rPr>
          <w:rFonts w:ascii="Arial" w:eastAsia="Times New Roman" w:hAnsi="Arial" w:cstheme="majorBidi"/>
          <w:b/>
          <w:color w:val="000000" w:themeColor="text1"/>
          <w:sz w:val="32"/>
          <w:szCs w:val="40"/>
          <w:lang w:val="en-GB" w:eastAsia="en-GB"/>
        </w:rPr>
        <w:lastRenderedPageBreak/>
        <w:t>Chapter 11: Feasibility Analysis</w:t>
      </w:r>
      <w:bookmarkEnd w:id="97"/>
      <w:bookmarkEnd w:id="98"/>
    </w:p>
    <w:p w14:paraId="3514ED48"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99" w:name="_Toc239091298"/>
      <w:bookmarkStart w:id="100" w:name="_Toc239188565"/>
      <w:r w:rsidRPr="001A384C">
        <w:rPr>
          <w:rFonts w:ascii="Arial" w:eastAsia="Times New Roman" w:hAnsi="Arial" w:cstheme="majorBidi"/>
          <w:b/>
          <w:color w:val="000000" w:themeColor="text1"/>
          <w:sz w:val="28"/>
          <w:szCs w:val="32"/>
          <w:lang w:val="en-GB" w:eastAsia="en-GB"/>
        </w:rPr>
        <w:t>11.1 Feasibility Basis and Decision Criteria</w:t>
      </w:r>
      <w:bookmarkEnd w:id="99"/>
      <w:bookmarkEnd w:id="100"/>
    </w:p>
    <w:p w14:paraId="7EDFA6F6"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This chapter critically evaluates whether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Smart Gym is sufficiently viable to proceed. Rather than repeating the preceding market, strategy, business-model and operational analyses, the assessment synthesises their decisive evidence across ethical, market, operational, financial and strategic dimensions. Feasibility is assessed through the relationship between market demand, available resources, operating capacity, financial requirements and strategic fit, recognising that an attractive opportunity is not necessarily a viable venture if its assumptions cannot be delivered in practice (Burns, 2022).</w:t>
      </w:r>
    </w:p>
    <w:p w14:paraId="65153A54"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01" w:name="_Toc239091299"/>
      <w:bookmarkStart w:id="102" w:name="_Toc239188566"/>
      <w:r w:rsidRPr="001A384C">
        <w:rPr>
          <w:rFonts w:ascii="Arial" w:eastAsia="Times New Roman" w:hAnsi="Arial" w:cstheme="majorBidi"/>
          <w:b/>
          <w:color w:val="000000" w:themeColor="text1"/>
          <w:sz w:val="28"/>
          <w:szCs w:val="32"/>
          <w:lang w:val="en-GB" w:eastAsia="en-GB"/>
        </w:rPr>
        <w:t>11.2 Ethical and Market Feasibility</w:t>
      </w:r>
      <w:bookmarkEnd w:id="101"/>
      <w:bookmarkEnd w:id="102"/>
    </w:p>
    <w:p w14:paraId="7A6B983B" w14:textId="77777777" w:rsidR="001A384C" w:rsidRPr="001A384C" w:rsidRDefault="001A384C" w:rsidP="001A384C">
      <w:pPr>
        <w:spacing w:before="240" w:line="360" w:lineRule="auto"/>
        <w:jc w:val="both"/>
        <w:rPr>
          <w:rFonts w:ascii="Arial" w:hAnsi="Arial" w:cs="Arial"/>
          <w:sz w:val="24"/>
          <w:szCs w:val="24"/>
          <w:lang w:val="en-GB" w:eastAsia="en-GB"/>
        </w:rPr>
      </w:pP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is ethically feasible provided that responsible data governance is established before launch. Its use of wearable and fitness data creates opportunities for personalised exercise and progress monitoring, but health-related information can constitute special-category personal data under the UK GDPR and therefore requires additional protection and an appropriate lawful basis and condition for processing (Information Commissioner’s Office, 2025).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should consequently implement transparent privacy information, appropriate consent mechanisms, access controls, data minimisation, secure storage and defined retention procedures. Trainer oversight should also remain central because AI should support rather than replace qualified professional judgement.</w:t>
      </w:r>
    </w:p>
    <w:p w14:paraId="0CBC08F9"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Market feasibility is relatively strong because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focuses on a defined customer segment: adults aged approximately 20–34 in </w:t>
      </w:r>
      <w:proofErr w:type="spellStart"/>
      <w:r w:rsidRPr="001A384C">
        <w:rPr>
          <w:rFonts w:ascii="Arial" w:hAnsi="Arial" w:cs="Arial"/>
          <w:sz w:val="24"/>
          <w:szCs w:val="24"/>
          <w:lang w:val="en-GB" w:eastAsia="en-GB"/>
        </w:rPr>
        <w:t>Levenshulme</w:t>
      </w:r>
      <w:proofErr w:type="spellEnd"/>
      <w:r w:rsidRPr="001A384C">
        <w:rPr>
          <w:rFonts w:ascii="Arial" w:hAnsi="Arial" w:cs="Arial"/>
          <w:sz w:val="24"/>
          <w:szCs w:val="24"/>
          <w:lang w:val="en-GB" w:eastAsia="en-GB"/>
        </w:rPr>
        <w:t xml:space="preserve"> and realistically accessible neighbouring Manchester catchments who are digitally receptive, fitness-oriented and seeking greater personalisation, convenience and accountability. This focused positioning is more commercially actionable than targeting all digitally savvy working-age adults. Moreover, technology adoption supports the underlying opportunity: wearable technology ranked first and mobile exercise applications second in the ACSM's 2025 worldwide fitness trends, while data-driven training technology also entered the top ten (ACSM, 2024). </w:t>
      </w:r>
    </w:p>
    <w:p w14:paraId="24B0DD8C"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lastRenderedPageBreak/>
        <w:t xml:space="preserve">However, market feasibility remains conditional on willingness to pay. Established low-cost gyms and free digital alternatives create price pressure.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must therefore demonstrate that the combination of AI-supported personalisation, wearable integration and human coaching creates sufficient customer value to justify its accessible/mid-market positioning. The tiered membership structure provides an appropriate mechanism for testing different levels of willingness to pay.</w:t>
      </w:r>
    </w:p>
    <w:p w14:paraId="30301A54"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03" w:name="_Toc239091300"/>
      <w:bookmarkStart w:id="104" w:name="_Toc239188567"/>
      <w:r w:rsidRPr="001A384C">
        <w:rPr>
          <w:rFonts w:ascii="Arial" w:eastAsia="Times New Roman" w:hAnsi="Arial" w:cstheme="majorBidi"/>
          <w:b/>
          <w:color w:val="000000" w:themeColor="text1"/>
          <w:sz w:val="28"/>
          <w:szCs w:val="32"/>
          <w:lang w:val="en-GB" w:eastAsia="en-GB"/>
        </w:rPr>
        <w:t>11.3 Technical and Operational Feasibility</w:t>
      </w:r>
      <w:bookmarkEnd w:id="103"/>
      <w:bookmarkEnd w:id="104"/>
    </w:p>
    <w:p w14:paraId="406ED385"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The technical model is feasible because </w:t>
      </w:r>
      <w:proofErr w:type="spellStart"/>
      <w:r w:rsidRPr="001A384C">
        <w:rPr>
          <w:rFonts w:ascii="Arial" w:hAnsi="Arial" w:cs="Arial"/>
          <w:sz w:val="24"/>
          <w:szCs w:val="24"/>
          <w:lang w:val="en-GB" w:eastAsia="en-GB"/>
        </w:rPr>
        <w:t>FitLife's</w:t>
      </w:r>
      <w:proofErr w:type="spellEnd"/>
      <w:r w:rsidRPr="001A384C">
        <w:rPr>
          <w:rFonts w:ascii="Arial" w:hAnsi="Arial" w:cs="Arial"/>
          <w:sz w:val="24"/>
          <w:szCs w:val="24"/>
          <w:lang w:val="en-GB" w:eastAsia="en-GB"/>
        </w:rPr>
        <w:t xml:space="preserve"> required technologies—including booking, payment, CRM, mobile applications, wearable integration and progress-monitoring systems—are commercially available. However, technological availability does not itself create feasibility. Systems must integrate reliably, protect customer information and provide useful information to trainers and customers.</w:t>
      </w:r>
    </w:p>
    <w:p w14:paraId="76B56855"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Operationally, the proposed combination of a physical gym, digital platform and qualified trainers is capable of delivering the differentiated customer experience established in Chapter 7. The principal constraint is service capacity. Trainers must deliver coaching, review technology-supported recommendations and maintain customer experience, meaning staffing capacity must grow consistently with membership volumes. Supplier dependency is another concern because equipment, software and wearable providers can affect service continuity. Multiple suppliers where practical, maintenance arrangements and contingency procedures can reduce this exposure (Christopher, 2016).</w:t>
      </w:r>
    </w:p>
    <w:p w14:paraId="28708EF9"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The operating model is therefore feasible at launch provided that staffing, technology reliability and supplier arrangements remain consistent with the customer volumes forecast in Chapter 9.</w:t>
      </w:r>
    </w:p>
    <w:p w14:paraId="0129B74F"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05" w:name="_Toc239091301"/>
      <w:bookmarkStart w:id="106" w:name="_Toc239188568"/>
      <w:r w:rsidRPr="001A384C">
        <w:rPr>
          <w:rFonts w:ascii="Arial" w:eastAsia="Times New Roman" w:hAnsi="Arial" w:cstheme="majorBidi"/>
          <w:b/>
          <w:color w:val="000000" w:themeColor="text1"/>
          <w:sz w:val="28"/>
          <w:szCs w:val="32"/>
          <w:lang w:val="en-GB" w:eastAsia="en-GB"/>
        </w:rPr>
        <w:t>11.4 Financial Feasibility</w:t>
      </w:r>
      <w:bookmarkEnd w:id="105"/>
      <w:bookmarkEnd w:id="106"/>
    </w:p>
    <w:p w14:paraId="386A04CD"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Financial feasibility is dependent on whether membership revenue can generate sufficient contribution to cover </w:t>
      </w:r>
      <w:proofErr w:type="spellStart"/>
      <w:r w:rsidRPr="001A384C">
        <w:rPr>
          <w:rFonts w:ascii="Arial" w:hAnsi="Arial" w:cs="Arial"/>
          <w:sz w:val="24"/>
          <w:szCs w:val="24"/>
          <w:lang w:val="en-GB" w:eastAsia="en-GB"/>
        </w:rPr>
        <w:t>FitLife's</w:t>
      </w:r>
      <w:proofErr w:type="spellEnd"/>
      <w:r w:rsidRPr="001A384C">
        <w:rPr>
          <w:rFonts w:ascii="Arial" w:hAnsi="Arial" w:cs="Arial"/>
          <w:sz w:val="24"/>
          <w:szCs w:val="24"/>
          <w:lang w:val="en-GB" w:eastAsia="en-GB"/>
        </w:rPr>
        <w:t xml:space="preserve"> relatively high fixed-cost structure. The venture combines conventional gym costs—premises, equipment, insurance and staffing—with additional technology, software, maintenance and data-governance costs. Therefore, the break-even membership requirement is a critical feasibility threshold.</w:t>
      </w:r>
    </w:p>
    <w:p w14:paraId="564701AB"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lastRenderedPageBreak/>
        <w:t>The revenue model is more credible because sales are based on actual membership capacity, tiered pricing and customer acquisition assumptions rather than an arbitrary percentage of the wider fitness market. Nevertheless, the forecast remains sensitive to customer conversion, retention, pricing and operating costs. A lower acquisition rate or higher churn could prevent the business from reaching break-even.</w:t>
      </w:r>
    </w:p>
    <w:p w14:paraId="7D17D037"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Cash-flow feasibility is equally important. Start-up expenditure, recruitment, technology implementation and marketing investment occur before the business reaches mature membership levels.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therefore requires sufficient working capital to absorb the initial cash deficit. Sensitivity analysis should be used to establish the minimum viable membership level and the conditions under which additional funding or cost reduction would be required.</w:t>
      </w:r>
    </w:p>
    <w:p w14:paraId="159BB8AE"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07" w:name="_Toc239091302"/>
      <w:bookmarkStart w:id="108" w:name="_Toc239188569"/>
      <w:r w:rsidRPr="001A384C">
        <w:rPr>
          <w:rFonts w:ascii="Arial" w:eastAsia="Times New Roman" w:hAnsi="Arial" w:cstheme="majorBidi"/>
          <w:b/>
          <w:color w:val="000000" w:themeColor="text1"/>
          <w:sz w:val="28"/>
          <w:szCs w:val="32"/>
          <w:lang w:val="en-GB" w:eastAsia="en-GB"/>
        </w:rPr>
        <w:t>11.5 Strategic Fit, Risks and Mitigation</w:t>
      </w:r>
      <w:bookmarkEnd w:id="107"/>
      <w:bookmarkEnd w:id="108"/>
    </w:p>
    <w:p w14:paraId="1208B7DE" w14:textId="77777777" w:rsidR="001A384C" w:rsidRPr="001A384C" w:rsidRDefault="001A384C" w:rsidP="001A384C">
      <w:pPr>
        <w:spacing w:before="240" w:line="360" w:lineRule="auto"/>
        <w:jc w:val="both"/>
        <w:rPr>
          <w:rFonts w:ascii="Arial" w:hAnsi="Arial" w:cs="Arial"/>
          <w:sz w:val="24"/>
          <w:szCs w:val="24"/>
          <w:lang w:val="en-GB" w:eastAsia="en-GB"/>
        </w:rPr>
      </w:pP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demonstrates strong strategic fit because its focused-differentiation strategy, target segment and Business Model Canvas reinforce one another. The proposed advantage does not depend on AI or wearables being individually rare; instead, it emerges from combining technology with trainer expertise, customer relationships and integrated service routines. This is consistent with the Resource-Based View, which argues that sustained advantage can arise from valuable and difficult-to-imitate combinations of resources and capabilities (Barney, 1991).</w:t>
      </w:r>
    </w:p>
    <w:p w14:paraId="73826C27"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The main risks are lower-than-expected demand, weak willingness to pay, technology failure, trainer shortages, data-governance failures and price competition. These should be mitigated through phased investment, customer and price testing, retention monitoring, trainer recruitment and development, alternative suppliers, technology maintenance and formal data-governance controls. Because wearable and data-driven technologies continue to develop rapidly, continuous technology review is also necessary to prevent obsolescence (ACSM, 2025). </w:t>
      </w:r>
    </w:p>
    <w:p w14:paraId="6D7C1052"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09" w:name="_Toc239091303"/>
      <w:bookmarkStart w:id="110" w:name="_Toc239188570"/>
      <w:r w:rsidRPr="001A384C">
        <w:rPr>
          <w:rFonts w:ascii="Arial" w:eastAsia="Times New Roman" w:hAnsi="Arial" w:cstheme="majorBidi"/>
          <w:b/>
          <w:color w:val="000000" w:themeColor="text1"/>
          <w:sz w:val="28"/>
          <w:szCs w:val="32"/>
          <w:lang w:val="en-GB" w:eastAsia="en-GB"/>
        </w:rPr>
        <w:t>11.6 Integrated Viability Judgement</w:t>
      </w:r>
      <w:bookmarkEnd w:id="109"/>
      <w:bookmarkEnd w:id="110"/>
    </w:p>
    <w:p w14:paraId="4B8B193E"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Overall,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Smart Gym should proceed with conditions rather than proceed without qualification. The strongest evidence is the alignment between a clearly defined local target segment, a differentiated technology-enabled/human-supported proposition and an integrated membership model. The operating concept is achievable using </w:t>
      </w:r>
      <w:r w:rsidRPr="001A384C">
        <w:rPr>
          <w:rFonts w:ascii="Arial" w:hAnsi="Arial" w:cs="Arial"/>
          <w:sz w:val="24"/>
          <w:szCs w:val="24"/>
          <w:lang w:val="en-GB" w:eastAsia="en-GB"/>
        </w:rPr>
        <w:lastRenderedPageBreak/>
        <w:t>commercially available technology and appropriate staffing. However, viability remains dependent on achieving sufficient membership volume, acceptable customer acquisition costs, customer retention and willingness to pay while controlling technology and labour expenditure.</w:t>
      </w:r>
    </w:p>
    <w:p w14:paraId="32543851"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Therefore,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should proceed to implementation only if key feasibility thresholds are demonstrated: customer acquisition must support the break-even membership requirement; pricing must be validated through customer response; qualified trainer capacity must match membership growth; sufficient working capital must be maintained; and robust data-governance controls must operate before wearable/health-related data is processed. If these conditions are achieved, the proposal provides a credible basis for sustainable growth; otherwise, pricing, membership tiers, marketing expenditure or operating capacity should be modified before further investment.</w:t>
      </w:r>
    </w:p>
    <w:p w14:paraId="64013844" w14:textId="77777777" w:rsidR="001A384C" w:rsidRPr="001A384C" w:rsidRDefault="001A384C" w:rsidP="001A384C">
      <w:pPr>
        <w:spacing w:before="240" w:line="360" w:lineRule="auto"/>
        <w:jc w:val="both"/>
        <w:rPr>
          <w:rFonts w:ascii="Arial" w:hAnsi="Arial" w:cs="Arial"/>
          <w:sz w:val="24"/>
          <w:szCs w:val="24"/>
          <w:lang w:val="en-GB" w:eastAsia="en-GB"/>
        </w:rPr>
      </w:pPr>
    </w:p>
    <w:p w14:paraId="1DD8756D" w14:textId="77777777" w:rsidR="001A384C" w:rsidRPr="001A384C" w:rsidRDefault="001A384C" w:rsidP="001A384C">
      <w:pPr>
        <w:spacing w:before="240" w:line="360" w:lineRule="auto"/>
        <w:jc w:val="both"/>
        <w:rPr>
          <w:rFonts w:ascii="Arial" w:hAnsi="Arial" w:cs="Arial"/>
          <w:sz w:val="24"/>
          <w:szCs w:val="24"/>
          <w:lang w:val="en-GB" w:eastAsia="en-GB"/>
        </w:rPr>
      </w:pPr>
    </w:p>
    <w:p w14:paraId="141D9F95" w14:textId="77777777" w:rsidR="001A384C" w:rsidRPr="001A384C" w:rsidRDefault="001A384C" w:rsidP="001A384C">
      <w:pPr>
        <w:spacing w:before="240" w:line="360" w:lineRule="auto"/>
        <w:jc w:val="both"/>
        <w:rPr>
          <w:rFonts w:ascii="Arial" w:hAnsi="Arial" w:cs="Arial"/>
          <w:sz w:val="24"/>
          <w:szCs w:val="24"/>
          <w:lang w:val="en-GB" w:eastAsia="en-GB"/>
        </w:rPr>
      </w:pPr>
    </w:p>
    <w:p w14:paraId="4F7FC775" w14:textId="77777777" w:rsidR="001A384C" w:rsidRPr="001A384C" w:rsidRDefault="001A384C" w:rsidP="001A384C">
      <w:pPr>
        <w:spacing w:before="240" w:line="360" w:lineRule="auto"/>
        <w:jc w:val="both"/>
        <w:rPr>
          <w:rFonts w:ascii="Arial" w:hAnsi="Arial" w:cs="Arial"/>
          <w:sz w:val="24"/>
          <w:szCs w:val="24"/>
          <w:lang w:val="en-GB" w:eastAsia="en-GB"/>
        </w:rPr>
      </w:pPr>
    </w:p>
    <w:p w14:paraId="7413B369" w14:textId="77777777" w:rsidR="001A384C" w:rsidRPr="001A384C" w:rsidRDefault="001A384C" w:rsidP="001A384C">
      <w:pPr>
        <w:spacing w:before="240" w:line="360" w:lineRule="auto"/>
        <w:jc w:val="both"/>
        <w:rPr>
          <w:rFonts w:ascii="Arial" w:hAnsi="Arial" w:cs="Arial"/>
          <w:sz w:val="24"/>
          <w:szCs w:val="24"/>
          <w:lang w:val="en-GB" w:eastAsia="en-GB"/>
        </w:rPr>
      </w:pPr>
    </w:p>
    <w:p w14:paraId="32D6B02B" w14:textId="77777777" w:rsidR="001A384C" w:rsidRPr="001A384C" w:rsidRDefault="001A384C" w:rsidP="001A384C">
      <w:pPr>
        <w:spacing w:before="240" w:line="360" w:lineRule="auto"/>
        <w:jc w:val="both"/>
        <w:rPr>
          <w:rFonts w:ascii="Arial" w:hAnsi="Arial" w:cs="Arial"/>
          <w:sz w:val="24"/>
          <w:szCs w:val="24"/>
          <w:lang w:val="en-GB" w:eastAsia="en-GB"/>
        </w:rPr>
      </w:pPr>
    </w:p>
    <w:p w14:paraId="7131202F" w14:textId="77777777" w:rsidR="001A384C" w:rsidRPr="001A384C" w:rsidRDefault="001A384C" w:rsidP="001A384C">
      <w:pPr>
        <w:spacing w:before="240" w:line="360" w:lineRule="auto"/>
        <w:jc w:val="both"/>
        <w:rPr>
          <w:rFonts w:ascii="Arial" w:hAnsi="Arial" w:cs="Arial"/>
          <w:sz w:val="24"/>
          <w:szCs w:val="24"/>
          <w:lang w:val="en-GB" w:eastAsia="en-GB"/>
        </w:rPr>
      </w:pPr>
    </w:p>
    <w:p w14:paraId="04AC9E9E" w14:textId="77777777" w:rsidR="001A384C" w:rsidRPr="001A384C" w:rsidRDefault="001A384C" w:rsidP="001A384C">
      <w:pPr>
        <w:spacing w:before="240" w:line="360" w:lineRule="auto"/>
        <w:jc w:val="both"/>
        <w:rPr>
          <w:rFonts w:ascii="Arial" w:hAnsi="Arial" w:cs="Arial"/>
          <w:sz w:val="24"/>
          <w:szCs w:val="24"/>
          <w:lang w:val="en-GB" w:eastAsia="en-GB"/>
        </w:rPr>
      </w:pPr>
    </w:p>
    <w:p w14:paraId="6D4DCA78" w14:textId="77777777" w:rsidR="001A384C" w:rsidRPr="001A384C" w:rsidRDefault="001A384C" w:rsidP="001A384C">
      <w:pPr>
        <w:spacing w:before="240" w:line="360" w:lineRule="auto"/>
        <w:jc w:val="both"/>
        <w:rPr>
          <w:rFonts w:ascii="Arial" w:hAnsi="Arial" w:cs="Arial"/>
          <w:sz w:val="24"/>
          <w:szCs w:val="24"/>
          <w:lang w:val="en-GB" w:eastAsia="en-GB"/>
        </w:rPr>
      </w:pPr>
    </w:p>
    <w:p w14:paraId="5C5D4AD6" w14:textId="77777777" w:rsidR="001A384C" w:rsidRPr="001A384C" w:rsidRDefault="001A384C" w:rsidP="001A384C">
      <w:pPr>
        <w:spacing w:before="240" w:line="360" w:lineRule="auto"/>
        <w:jc w:val="both"/>
        <w:rPr>
          <w:rFonts w:ascii="Arial" w:hAnsi="Arial" w:cs="Arial"/>
          <w:sz w:val="24"/>
          <w:szCs w:val="24"/>
          <w:lang w:val="en-GB" w:eastAsia="en-GB"/>
        </w:rPr>
      </w:pPr>
    </w:p>
    <w:p w14:paraId="020CEDA8" w14:textId="77777777" w:rsidR="001A384C" w:rsidRPr="001A384C" w:rsidRDefault="001A384C" w:rsidP="001A384C">
      <w:pPr>
        <w:spacing w:before="240" w:line="360" w:lineRule="auto"/>
        <w:jc w:val="both"/>
        <w:rPr>
          <w:rFonts w:ascii="Arial" w:hAnsi="Arial" w:cs="Arial"/>
          <w:sz w:val="24"/>
          <w:szCs w:val="24"/>
          <w:lang w:val="en-GB" w:eastAsia="en-GB"/>
        </w:rPr>
      </w:pPr>
    </w:p>
    <w:p w14:paraId="4505E773" w14:textId="77777777" w:rsidR="001A384C" w:rsidRPr="001A384C" w:rsidRDefault="001A384C" w:rsidP="001A384C">
      <w:pPr>
        <w:spacing w:before="240" w:line="360" w:lineRule="auto"/>
        <w:jc w:val="both"/>
        <w:rPr>
          <w:rFonts w:ascii="Arial" w:hAnsi="Arial" w:cs="Arial"/>
          <w:sz w:val="24"/>
          <w:szCs w:val="24"/>
          <w:lang w:val="en-GB" w:eastAsia="en-GB"/>
        </w:rPr>
      </w:pPr>
    </w:p>
    <w:p w14:paraId="0E8D0112" w14:textId="77777777" w:rsidR="001A384C" w:rsidRPr="001A384C" w:rsidRDefault="001A384C" w:rsidP="001A384C">
      <w:pPr>
        <w:keepNext/>
        <w:keepLines/>
        <w:spacing w:before="360" w:after="80"/>
        <w:jc w:val="center"/>
        <w:outlineLvl w:val="0"/>
        <w:rPr>
          <w:rFonts w:ascii="Arial" w:eastAsia="Times New Roman" w:hAnsi="Arial" w:cstheme="majorBidi"/>
          <w:b/>
          <w:color w:val="000000" w:themeColor="text1"/>
          <w:sz w:val="32"/>
          <w:szCs w:val="40"/>
          <w:lang w:val="en-GB" w:eastAsia="en-GB"/>
        </w:rPr>
      </w:pPr>
      <w:bookmarkStart w:id="111" w:name="_Toc239091304"/>
      <w:bookmarkStart w:id="112" w:name="_Toc239188571"/>
      <w:r w:rsidRPr="001A384C">
        <w:rPr>
          <w:rFonts w:ascii="Arial" w:eastAsia="Times New Roman" w:hAnsi="Arial" w:cstheme="majorBidi"/>
          <w:b/>
          <w:color w:val="000000" w:themeColor="text1"/>
          <w:sz w:val="32"/>
          <w:szCs w:val="40"/>
          <w:lang w:val="en-GB" w:eastAsia="en-GB"/>
        </w:rPr>
        <w:lastRenderedPageBreak/>
        <w:t>Chapter 12: Implementation Plan</w:t>
      </w:r>
      <w:bookmarkEnd w:id="111"/>
      <w:bookmarkEnd w:id="112"/>
    </w:p>
    <w:p w14:paraId="526ED54C"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3" w:name="_Toc239091305"/>
      <w:bookmarkStart w:id="114" w:name="_Toc239188572"/>
      <w:r w:rsidRPr="001A384C">
        <w:rPr>
          <w:rFonts w:ascii="Arial" w:eastAsia="Times New Roman" w:hAnsi="Arial" w:cstheme="majorBidi"/>
          <w:b/>
          <w:color w:val="000000" w:themeColor="text1"/>
          <w:sz w:val="28"/>
          <w:szCs w:val="32"/>
          <w:lang w:val="en-GB" w:eastAsia="en-GB"/>
        </w:rPr>
        <w:t>12.1 Implementation Approach and Launch Phases</w:t>
      </w:r>
      <w:bookmarkEnd w:id="113"/>
      <w:bookmarkEnd w:id="114"/>
    </w:p>
    <w:p w14:paraId="00F9A29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The implementation of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Smart Gym, an AI-powered fitness and wellness centre in </w:t>
      </w:r>
      <w:proofErr w:type="spellStart"/>
      <w:r w:rsidRPr="001A384C">
        <w:rPr>
          <w:rFonts w:ascii="Arial" w:hAnsi="Arial" w:cs="Arial"/>
          <w:sz w:val="24"/>
          <w:szCs w:val="24"/>
          <w:lang w:val="en-GB" w:eastAsia="en-GB"/>
        </w:rPr>
        <w:t>Levenshulme</w:t>
      </w:r>
      <w:proofErr w:type="spellEnd"/>
      <w:r w:rsidRPr="001A384C">
        <w:rPr>
          <w:rFonts w:ascii="Arial" w:hAnsi="Arial" w:cs="Arial"/>
          <w:sz w:val="24"/>
          <w:szCs w:val="24"/>
          <w:lang w:val="en-GB" w:eastAsia="en-GB"/>
        </w:rPr>
        <w:t>, Manchester, will follow a phased approach to reduce launch risk and ensure that resources are committed progressively. Phased implementation enables the venture to validate critical assumptions before moving to full-scale operations (Project Management Institute, 2021). The plan translates the focused-differentiation strategy developed in Chapter 7 and the Business Model Canvas in Chapter 8 into practical activities.</w:t>
      </w:r>
    </w:p>
    <w:p w14:paraId="03DE8C57"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1 – Pre-launch preparation (Month 1):</w:t>
      </w:r>
      <w:r w:rsidRPr="001A384C">
        <w:rPr>
          <w:rFonts w:ascii="Arial" w:hAnsi="Arial" w:cs="Arial"/>
          <w:sz w:val="24"/>
          <w:szCs w:val="24"/>
          <w:lang w:val="en-GB" w:eastAsia="en-GB"/>
        </w:rPr>
        <w:t xml:space="preserve"> funding will be secured, legal and insurance requirements completed, premises arrangements confirmed and key suppliers selected. The founder will also finalise the AI, wearable-monitoring and membership systems.</w:t>
      </w:r>
    </w:p>
    <w:p w14:paraId="0BBA9C28"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2 – Build and testing (Months 1–2):</w:t>
      </w:r>
      <w:r w:rsidRPr="001A384C">
        <w:rPr>
          <w:rFonts w:ascii="Arial" w:hAnsi="Arial" w:cs="Arial"/>
          <w:sz w:val="24"/>
          <w:szCs w:val="24"/>
          <w:lang w:val="en-GB" w:eastAsia="en-GB"/>
        </w:rPr>
        <w:t xml:space="preserve"> equipment and technology will be installed, staff recruited and trained, operating procedures tested and customer-management systems configured. Particular attention will be given to data governance because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will handle customer and wearable-related information.</w:t>
      </w:r>
    </w:p>
    <w:p w14:paraId="11057280"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3 – Soft launch (Month 3):</w:t>
      </w:r>
      <w:r w:rsidRPr="001A384C">
        <w:rPr>
          <w:rFonts w:ascii="Arial" w:hAnsi="Arial" w:cs="Arial"/>
          <w:sz w:val="24"/>
          <w:szCs w:val="24"/>
          <w:lang w:val="en-GB" w:eastAsia="en-GB"/>
        </w:rPr>
        <w:t xml:space="preserve"> a controlled group of customers will be invited to test the Essential, Smart and Smart Plus memberships. Feedback will be used to identify service, technology and capacity problems before full launch.</w:t>
      </w:r>
    </w:p>
    <w:p w14:paraId="1906430B"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4 – Full launch (Month 4):</w:t>
      </w:r>
      <w:r w:rsidRPr="001A384C">
        <w:rPr>
          <w:rFonts w:ascii="Arial" w:hAnsi="Arial" w:cs="Arial"/>
          <w:sz w:val="24"/>
          <w:szCs w:val="24"/>
          <w:lang w:val="en-GB" w:eastAsia="en-GB"/>
        </w:rPr>
        <w:t xml:space="preserve"> normal operations and planned marketing activity will commence once the readiness criteria have been achieved.</w:t>
      </w:r>
    </w:p>
    <w:p w14:paraId="2046BEEB"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5 – Stabilisation and growth (Months 5–12):</w:t>
      </w:r>
      <w:r w:rsidRPr="001A384C">
        <w:rPr>
          <w:rFonts w:ascii="Arial" w:hAnsi="Arial" w:cs="Arial"/>
          <w:sz w:val="24"/>
          <w:szCs w:val="24"/>
          <w:lang w:val="en-GB" w:eastAsia="en-GB"/>
        </w:rPr>
        <w:t xml:space="preserve"> management will review performance, improve customer retention and gradually increase capacity where demand justifies additional resources.</w:t>
      </w:r>
    </w:p>
    <w:p w14:paraId="5516F2B3" w14:textId="77777777" w:rsidR="001A384C" w:rsidRPr="001A384C" w:rsidRDefault="001A384C" w:rsidP="001A384C">
      <w:pPr>
        <w:spacing w:line="360" w:lineRule="auto"/>
        <w:jc w:val="both"/>
        <w:rPr>
          <w:rFonts w:ascii="Arial" w:hAnsi="Arial" w:cs="Arial"/>
          <w:sz w:val="24"/>
          <w:szCs w:val="24"/>
          <w:lang w:val="en-GB" w:eastAsia="en-GB"/>
        </w:rPr>
      </w:pPr>
    </w:p>
    <w:p w14:paraId="6C69AB52" w14:textId="77777777" w:rsidR="001A384C" w:rsidRPr="001A384C" w:rsidRDefault="001A384C" w:rsidP="001A384C">
      <w:pPr>
        <w:spacing w:line="360" w:lineRule="auto"/>
        <w:jc w:val="both"/>
        <w:rPr>
          <w:rFonts w:ascii="Arial" w:hAnsi="Arial" w:cs="Arial"/>
          <w:sz w:val="24"/>
          <w:szCs w:val="24"/>
          <w:lang w:val="en-GB" w:eastAsia="en-GB"/>
        </w:rPr>
      </w:pPr>
    </w:p>
    <w:p w14:paraId="2CDE5104" w14:textId="77777777" w:rsidR="001A384C" w:rsidRPr="001A384C" w:rsidRDefault="001A384C" w:rsidP="001A384C">
      <w:pPr>
        <w:spacing w:line="360" w:lineRule="auto"/>
        <w:jc w:val="both"/>
        <w:rPr>
          <w:rFonts w:ascii="Arial" w:hAnsi="Arial" w:cs="Arial"/>
          <w:sz w:val="24"/>
          <w:szCs w:val="24"/>
          <w:lang w:val="en-GB" w:eastAsia="en-GB"/>
        </w:rPr>
      </w:pPr>
    </w:p>
    <w:p w14:paraId="67D6D367"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5" w:name="_Toc239091306"/>
      <w:bookmarkStart w:id="116" w:name="_Toc239188573"/>
      <w:r w:rsidRPr="001A384C">
        <w:rPr>
          <w:rFonts w:ascii="Arial" w:eastAsia="Times New Roman" w:hAnsi="Arial" w:cstheme="majorBidi"/>
          <w:b/>
          <w:color w:val="000000" w:themeColor="text1"/>
          <w:sz w:val="28"/>
          <w:szCs w:val="32"/>
          <w:lang w:val="en-GB" w:eastAsia="en-GB"/>
        </w:rPr>
        <w:lastRenderedPageBreak/>
        <w:t>12.2 Milestones and Timeline</w:t>
      </w:r>
      <w:bookmarkEnd w:id="115"/>
      <w:bookmarkEnd w:id="116"/>
    </w:p>
    <w:p w14:paraId="3779052A" w14:textId="77777777" w:rsidR="001A384C" w:rsidRPr="001A384C" w:rsidRDefault="001A384C" w:rsidP="001A384C">
      <w:pPr>
        <w:keepNext/>
        <w:spacing w:after="200" w:line="240" w:lineRule="auto"/>
        <w:rPr>
          <w:rFonts w:ascii="Arial" w:hAnsi="Arial" w:cs="Arial"/>
          <w:i/>
          <w:iCs/>
          <w:color w:val="44546A" w:themeColor="text2"/>
          <w:kern w:val="2"/>
          <w:sz w:val="24"/>
          <w:szCs w:val="18"/>
          <w14:ligatures w14:val="standardContextual"/>
        </w:rPr>
      </w:pPr>
      <w:bookmarkStart w:id="117" w:name="_Toc239091325"/>
      <w:bookmarkStart w:id="118" w:name="_Toc239091698"/>
      <w:r w:rsidRPr="001A384C">
        <w:rPr>
          <w:rFonts w:ascii="Arial" w:hAnsi="Arial" w:cs="Arial"/>
          <w:i/>
          <w:iCs/>
          <w:color w:val="44546A" w:themeColor="text2"/>
          <w:kern w:val="2"/>
          <w:sz w:val="24"/>
          <w:szCs w:val="18"/>
          <w14:ligatures w14:val="standardContextual"/>
        </w:rPr>
        <w:t xml:space="preserve">Table </w:t>
      </w:r>
      <w:r w:rsidRPr="001A384C">
        <w:rPr>
          <w:rFonts w:ascii="Arial" w:hAnsi="Arial" w:cs="Arial"/>
          <w:i/>
          <w:iCs/>
          <w:color w:val="44546A" w:themeColor="text2"/>
          <w:kern w:val="2"/>
          <w:sz w:val="24"/>
          <w:szCs w:val="18"/>
          <w14:ligatures w14:val="standardContextual"/>
        </w:rPr>
        <w:fldChar w:fldCharType="begin"/>
      </w:r>
      <w:r w:rsidRPr="001A384C">
        <w:rPr>
          <w:rFonts w:ascii="Arial" w:hAnsi="Arial" w:cs="Arial"/>
          <w:i/>
          <w:iCs/>
          <w:color w:val="44546A" w:themeColor="text2"/>
          <w:kern w:val="2"/>
          <w:sz w:val="24"/>
          <w:szCs w:val="18"/>
          <w14:ligatures w14:val="standardContextual"/>
        </w:rPr>
        <w:instrText xml:space="preserve"> SEQ Table \* ARABIC </w:instrText>
      </w:r>
      <w:r w:rsidRPr="001A384C">
        <w:rPr>
          <w:rFonts w:ascii="Arial" w:hAnsi="Arial" w:cs="Arial"/>
          <w:i/>
          <w:iCs/>
          <w:color w:val="44546A" w:themeColor="text2"/>
          <w:kern w:val="2"/>
          <w:sz w:val="24"/>
          <w:szCs w:val="18"/>
          <w14:ligatures w14:val="standardContextual"/>
        </w:rPr>
        <w:fldChar w:fldCharType="separate"/>
      </w:r>
      <w:r w:rsidRPr="001A384C">
        <w:rPr>
          <w:rFonts w:ascii="Arial" w:hAnsi="Arial" w:cs="Arial"/>
          <w:i/>
          <w:iCs/>
          <w:noProof/>
          <w:color w:val="44546A" w:themeColor="text2"/>
          <w:kern w:val="2"/>
          <w:sz w:val="24"/>
          <w:szCs w:val="18"/>
          <w14:ligatures w14:val="standardContextual"/>
        </w:rPr>
        <w:t>14</w:t>
      </w:r>
      <w:r w:rsidRPr="001A384C">
        <w:rPr>
          <w:rFonts w:ascii="Arial" w:hAnsi="Arial" w:cs="Arial"/>
          <w:i/>
          <w:iCs/>
          <w:color w:val="44546A" w:themeColor="text2"/>
          <w:kern w:val="2"/>
          <w:sz w:val="24"/>
          <w:szCs w:val="18"/>
          <w14:ligatures w14:val="standardContextual"/>
        </w:rPr>
        <w:fldChar w:fldCharType="end"/>
      </w:r>
      <w:r w:rsidRPr="001A384C">
        <w:rPr>
          <w:rFonts w:ascii="Arial" w:hAnsi="Arial" w:cs="Arial"/>
          <w:i/>
          <w:iCs/>
          <w:color w:val="44546A" w:themeColor="text2"/>
          <w:kern w:val="2"/>
          <w:sz w:val="24"/>
          <w:szCs w:val="18"/>
          <w14:ligatures w14:val="standardContextual"/>
        </w:rPr>
        <w:t>.Milestones and Timeline</w:t>
      </w:r>
      <w:bookmarkEnd w:id="117"/>
      <w:bookmarkEnd w:id="118"/>
    </w:p>
    <w:tbl>
      <w:tblPr>
        <w:tblStyle w:val="TableGrid"/>
        <w:tblW w:w="0" w:type="auto"/>
        <w:tblLook w:val="04A0" w:firstRow="1" w:lastRow="0" w:firstColumn="1" w:lastColumn="0" w:noHBand="0" w:noVBand="1"/>
      </w:tblPr>
      <w:tblGrid>
        <w:gridCol w:w="2364"/>
        <w:gridCol w:w="1324"/>
        <w:gridCol w:w="1326"/>
        <w:gridCol w:w="1326"/>
        <w:gridCol w:w="1326"/>
        <w:gridCol w:w="1350"/>
      </w:tblGrid>
      <w:tr w:rsidR="001A384C" w:rsidRPr="001A384C" w14:paraId="3A15B65E" w14:textId="77777777" w:rsidTr="00D35655">
        <w:tc>
          <w:tcPr>
            <w:tcW w:w="2364" w:type="dxa"/>
          </w:tcPr>
          <w:p w14:paraId="38C7E191"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Activity</w:t>
            </w:r>
          </w:p>
        </w:tc>
        <w:tc>
          <w:tcPr>
            <w:tcW w:w="1324" w:type="dxa"/>
          </w:tcPr>
          <w:p w14:paraId="67255230"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M1</w:t>
            </w:r>
          </w:p>
        </w:tc>
        <w:tc>
          <w:tcPr>
            <w:tcW w:w="1326" w:type="dxa"/>
          </w:tcPr>
          <w:p w14:paraId="1DCEE577"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M2</w:t>
            </w:r>
          </w:p>
        </w:tc>
        <w:tc>
          <w:tcPr>
            <w:tcW w:w="1326" w:type="dxa"/>
          </w:tcPr>
          <w:p w14:paraId="2545BA88"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M3</w:t>
            </w:r>
          </w:p>
        </w:tc>
        <w:tc>
          <w:tcPr>
            <w:tcW w:w="1326" w:type="dxa"/>
          </w:tcPr>
          <w:p w14:paraId="7F11C500"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M4</w:t>
            </w:r>
          </w:p>
        </w:tc>
        <w:tc>
          <w:tcPr>
            <w:tcW w:w="1350" w:type="dxa"/>
          </w:tcPr>
          <w:p w14:paraId="67BF89C8"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M5–12</w:t>
            </w:r>
          </w:p>
        </w:tc>
      </w:tr>
      <w:tr w:rsidR="001A384C" w:rsidRPr="001A384C" w14:paraId="31D3CF62" w14:textId="77777777" w:rsidTr="00D35655">
        <w:tc>
          <w:tcPr>
            <w:tcW w:w="2364" w:type="dxa"/>
          </w:tcPr>
          <w:p w14:paraId="6E01FF86"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Funding/legal preparation</w:t>
            </w:r>
          </w:p>
        </w:tc>
        <w:tc>
          <w:tcPr>
            <w:tcW w:w="1324" w:type="dxa"/>
          </w:tcPr>
          <w:p w14:paraId="5DB4AD8A"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77727CB1"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7E269246"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28C690ED"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64B2938F"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1132BF79" w14:textId="77777777" w:rsidTr="00D35655">
        <w:tc>
          <w:tcPr>
            <w:tcW w:w="2364" w:type="dxa"/>
          </w:tcPr>
          <w:p w14:paraId="25C7B4CD"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Premises and equipment</w:t>
            </w:r>
          </w:p>
        </w:tc>
        <w:tc>
          <w:tcPr>
            <w:tcW w:w="1324" w:type="dxa"/>
          </w:tcPr>
          <w:p w14:paraId="796FD9E9"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5307BDBF"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B073D33"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0FC3AE30"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60FE2733"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216C586F" w14:textId="77777777" w:rsidTr="00D35655">
        <w:tc>
          <w:tcPr>
            <w:tcW w:w="2364" w:type="dxa"/>
          </w:tcPr>
          <w:p w14:paraId="62E846A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Technology configuration</w:t>
            </w:r>
          </w:p>
        </w:tc>
        <w:tc>
          <w:tcPr>
            <w:tcW w:w="1324" w:type="dxa"/>
          </w:tcPr>
          <w:p w14:paraId="03EBF36E"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0DE66641"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5AED944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75EE26D"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3E215FFE"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42610EE6" w14:textId="77777777" w:rsidTr="00D35655">
        <w:tc>
          <w:tcPr>
            <w:tcW w:w="2364" w:type="dxa"/>
          </w:tcPr>
          <w:p w14:paraId="548966E6"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Recruitment/training</w:t>
            </w:r>
          </w:p>
        </w:tc>
        <w:tc>
          <w:tcPr>
            <w:tcW w:w="1324" w:type="dxa"/>
          </w:tcPr>
          <w:p w14:paraId="363D77D2"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6F2A8D33"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4E77DC88"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75422BF"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21C5F552"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57F3F9FD" w14:textId="77777777" w:rsidTr="00D35655">
        <w:tc>
          <w:tcPr>
            <w:tcW w:w="2364" w:type="dxa"/>
          </w:tcPr>
          <w:p w14:paraId="20856BA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Supplier testing</w:t>
            </w:r>
          </w:p>
        </w:tc>
        <w:tc>
          <w:tcPr>
            <w:tcW w:w="1324" w:type="dxa"/>
          </w:tcPr>
          <w:p w14:paraId="398037FE"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06F0DFF2"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1CC0421"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AC74F2F"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7B35BF2C"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70DDD9EE" w14:textId="77777777" w:rsidTr="00D35655">
        <w:tc>
          <w:tcPr>
            <w:tcW w:w="2364" w:type="dxa"/>
          </w:tcPr>
          <w:p w14:paraId="45CA3441"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Pre-launch marketing</w:t>
            </w:r>
          </w:p>
        </w:tc>
        <w:tc>
          <w:tcPr>
            <w:tcW w:w="1324" w:type="dxa"/>
          </w:tcPr>
          <w:p w14:paraId="7943772E"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2C400A30"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2FD38B43"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192492D"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440E3A42"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4E73EBD1" w14:textId="77777777" w:rsidTr="00D35655">
        <w:tc>
          <w:tcPr>
            <w:tcW w:w="2364" w:type="dxa"/>
          </w:tcPr>
          <w:p w14:paraId="09FE6524"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Soft launch</w:t>
            </w:r>
          </w:p>
        </w:tc>
        <w:tc>
          <w:tcPr>
            <w:tcW w:w="1324" w:type="dxa"/>
          </w:tcPr>
          <w:p w14:paraId="7F7ADC48"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2761BDEE"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6BC00C08"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419A6E11"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5C7D5006"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1DD9634A" w14:textId="77777777" w:rsidTr="00D35655">
        <w:tc>
          <w:tcPr>
            <w:tcW w:w="2364" w:type="dxa"/>
          </w:tcPr>
          <w:p w14:paraId="502A9182"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Full launch</w:t>
            </w:r>
          </w:p>
        </w:tc>
        <w:tc>
          <w:tcPr>
            <w:tcW w:w="1324" w:type="dxa"/>
          </w:tcPr>
          <w:p w14:paraId="0C1D073D"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50AB6EEC"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5BCB43AD"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1FF02BED"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Cambria Math" w:hAnsi="Cambria Math" w:cs="Cambria Math"/>
                <w:iCs/>
                <w:sz w:val="24"/>
                <w:szCs w:val="24"/>
                <w:lang w:val="en-GB" w:eastAsia="en-GB"/>
              </w:rPr>
              <w:t>◆</w:t>
            </w:r>
          </w:p>
        </w:tc>
        <w:tc>
          <w:tcPr>
            <w:tcW w:w="1350" w:type="dxa"/>
          </w:tcPr>
          <w:p w14:paraId="5BD1E209"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2FAF15F1" w14:textId="77777777" w:rsidTr="00D35655">
        <w:tc>
          <w:tcPr>
            <w:tcW w:w="2364" w:type="dxa"/>
          </w:tcPr>
          <w:p w14:paraId="37C2D690"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KPI review and optimisation</w:t>
            </w:r>
          </w:p>
        </w:tc>
        <w:tc>
          <w:tcPr>
            <w:tcW w:w="1324" w:type="dxa"/>
          </w:tcPr>
          <w:p w14:paraId="48AE337F"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5DFA592A"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683B8BC7"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4F6E443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50" w:type="dxa"/>
          </w:tcPr>
          <w:p w14:paraId="543C7DB3"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r>
    </w:tbl>
    <w:p w14:paraId="6AE99730" w14:textId="77777777" w:rsidR="001A384C" w:rsidRPr="001A384C" w:rsidRDefault="001A384C" w:rsidP="001A384C">
      <w:pPr>
        <w:spacing w:line="360" w:lineRule="auto"/>
        <w:jc w:val="both"/>
        <w:rPr>
          <w:rFonts w:ascii="Arial" w:hAnsi="Arial" w:cs="Arial"/>
          <w:iCs/>
          <w:sz w:val="24"/>
          <w:szCs w:val="24"/>
          <w:lang w:val="en-GB" w:eastAsia="en-GB"/>
        </w:rPr>
      </w:pPr>
    </w:p>
    <w:p w14:paraId="1E5A0812"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i/>
          <w:iCs/>
          <w:sz w:val="24"/>
          <w:szCs w:val="24"/>
          <w:lang w:val="en-GB" w:eastAsia="en-GB"/>
        </w:rPr>
        <w:t>Source:</w:t>
      </w:r>
      <w:r w:rsidRPr="001A384C">
        <w:rPr>
          <w:rFonts w:ascii="Arial" w:hAnsi="Arial" w:cs="Arial"/>
          <w:i/>
          <w:iCs/>
          <w:sz w:val="24"/>
          <w:szCs w:val="24"/>
          <w:lang w:val="en-GB" w:eastAsia="en-GB"/>
        </w:rPr>
        <w:t xml:space="preserve"> Researcher's own synthesis based on the proposed implementation sequence.</w:t>
      </w:r>
    </w:p>
    <w:p w14:paraId="7EF46949"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The principal milestone is full-launch readiness, which requires funding, premises, technology, critical staffing, suppliers and relevant compliance controls to be operational. This sequencing reflects the principle that dependent activities should be completed before subsequent implementation commitments are made (Project Management Institute, 2021).</w:t>
      </w:r>
    </w:p>
    <w:p w14:paraId="0178120E"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9" w:name="_Toc239091307"/>
      <w:bookmarkStart w:id="120" w:name="_Toc239188574"/>
      <w:r w:rsidRPr="001A384C">
        <w:rPr>
          <w:rFonts w:ascii="Arial" w:eastAsia="Times New Roman" w:hAnsi="Arial" w:cstheme="majorBidi"/>
          <w:b/>
          <w:color w:val="000000" w:themeColor="text1"/>
          <w:sz w:val="28"/>
          <w:szCs w:val="32"/>
          <w:lang w:val="en-GB" w:eastAsia="en-GB"/>
        </w:rPr>
        <w:t>12.3 Resource Allocation and Priorities</w:t>
      </w:r>
      <w:bookmarkEnd w:id="119"/>
      <w:bookmarkEnd w:id="120"/>
    </w:p>
    <w:p w14:paraId="7659525D"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Initial resources will focus on premises, gym equipment, AI and wearable-monitoring technology, recruitment, staff training and customer-acquisition activities, consistent with the assumptions established in Chapters 9 and 10. Short-term priorities are therefore legal readiness, technology reliability, qualified staffing, supplier availability and customer acquisition. Longer-term priorities include expanding capacity, improving automation and developing additional services.</w:t>
      </w:r>
    </w:p>
    <w:p w14:paraId="5BB9AB3A"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lastRenderedPageBreak/>
        <w:t>A staged investment approach will protect cash flow by delaying non-essential expansion until customer demand and retention demonstrate sufficient commercial justification. This is particularly important because the feasibility analysis identified technology costs, staffing capability, willingness to pay and customer retention as important conditions for success.</w:t>
      </w:r>
    </w:p>
    <w:p w14:paraId="7CEAB598"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1" w:name="_Toc239091308"/>
      <w:bookmarkStart w:id="122" w:name="_Toc239188575"/>
      <w:r w:rsidRPr="001A384C">
        <w:rPr>
          <w:rFonts w:ascii="Arial" w:eastAsia="Times New Roman" w:hAnsi="Arial" w:cstheme="majorBidi"/>
          <w:b/>
          <w:color w:val="000000" w:themeColor="text1"/>
          <w:sz w:val="28"/>
          <w:szCs w:val="32"/>
          <w:lang w:val="en-GB" w:eastAsia="en-GB"/>
        </w:rPr>
        <w:t>12.4 KPIs, Monitoring and Control</w:t>
      </w:r>
      <w:bookmarkEnd w:id="121"/>
      <w:bookmarkEnd w:id="122"/>
    </w:p>
    <w:p w14:paraId="53458D24"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 balanced KPI system should combine financial, customer, operational and people indicators rather than relying exclusively on revenue (Kaplan and Norton, 1992).</w:t>
      </w:r>
    </w:p>
    <w:p w14:paraId="2E4480E9" w14:textId="77777777" w:rsidR="001A384C" w:rsidRPr="001A384C" w:rsidRDefault="001A384C" w:rsidP="001A384C">
      <w:pPr>
        <w:keepNext/>
        <w:spacing w:after="200" w:line="240" w:lineRule="auto"/>
        <w:jc w:val="both"/>
        <w:rPr>
          <w:rFonts w:ascii="Arial" w:hAnsi="Arial" w:cs="Arial"/>
          <w:i/>
          <w:iCs/>
          <w:color w:val="44546A" w:themeColor="text2"/>
          <w:kern w:val="2"/>
          <w:sz w:val="24"/>
          <w:szCs w:val="18"/>
          <w14:ligatures w14:val="standardContextual"/>
        </w:rPr>
      </w:pPr>
      <w:bookmarkStart w:id="123" w:name="_Toc239091326"/>
      <w:bookmarkStart w:id="124" w:name="_Toc239091699"/>
      <w:r w:rsidRPr="001A384C">
        <w:rPr>
          <w:rFonts w:ascii="Arial" w:hAnsi="Arial" w:cs="Arial"/>
          <w:i/>
          <w:iCs/>
          <w:color w:val="44546A" w:themeColor="text2"/>
          <w:kern w:val="2"/>
          <w:sz w:val="24"/>
          <w:szCs w:val="18"/>
          <w14:ligatures w14:val="standardContextual"/>
        </w:rPr>
        <w:t xml:space="preserve">Table </w:t>
      </w:r>
      <w:r w:rsidRPr="001A384C">
        <w:rPr>
          <w:rFonts w:ascii="Arial" w:hAnsi="Arial" w:cs="Arial"/>
          <w:i/>
          <w:iCs/>
          <w:color w:val="44546A" w:themeColor="text2"/>
          <w:kern w:val="2"/>
          <w:sz w:val="24"/>
          <w:szCs w:val="18"/>
          <w14:ligatures w14:val="standardContextual"/>
        </w:rPr>
        <w:fldChar w:fldCharType="begin"/>
      </w:r>
      <w:r w:rsidRPr="001A384C">
        <w:rPr>
          <w:rFonts w:ascii="Arial" w:hAnsi="Arial" w:cs="Arial"/>
          <w:i/>
          <w:iCs/>
          <w:color w:val="44546A" w:themeColor="text2"/>
          <w:kern w:val="2"/>
          <w:sz w:val="24"/>
          <w:szCs w:val="18"/>
          <w14:ligatures w14:val="standardContextual"/>
        </w:rPr>
        <w:instrText xml:space="preserve"> SEQ Table \* ARABIC </w:instrText>
      </w:r>
      <w:r w:rsidRPr="001A384C">
        <w:rPr>
          <w:rFonts w:ascii="Arial" w:hAnsi="Arial" w:cs="Arial"/>
          <w:i/>
          <w:iCs/>
          <w:color w:val="44546A" w:themeColor="text2"/>
          <w:kern w:val="2"/>
          <w:sz w:val="24"/>
          <w:szCs w:val="18"/>
          <w14:ligatures w14:val="standardContextual"/>
        </w:rPr>
        <w:fldChar w:fldCharType="separate"/>
      </w:r>
      <w:r w:rsidRPr="001A384C">
        <w:rPr>
          <w:rFonts w:ascii="Arial" w:hAnsi="Arial" w:cs="Arial"/>
          <w:i/>
          <w:iCs/>
          <w:noProof/>
          <w:color w:val="44546A" w:themeColor="text2"/>
          <w:kern w:val="2"/>
          <w:sz w:val="24"/>
          <w:szCs w:val="18"/>
          <w14:ligatures w14:val="standardContextual"/>
        </w:rPr>
        <w:t>15</w:t>
      </w:r>
      <w:r w:rsidRPr="001A384C">
        <w:rPr>
          <w:rFonts w:ascii="Arial" w:hAnsi="Arial" w:cs="Arial"/>
          <w:i/>
          <w:iCs/>
          <w:color w:val="44546A" w:themeColor="text2"/>
          <w:kern w:val="2"/>
          <w:sz w:val="24"/>
          <w:szCs w:val="18"/>
          <w14:ligatures w14:val="standardContextual"/>
        </w:rPr>
        <w:fldChar w:fldCharType="end"/>
      </w:r>
      <w:r w:rsidRPr="001A384C">
        <w:rPr>
          <w:rFonts w:ascii="Arial" w:hAnsi="Arial" w:cs="Arial"/>
          <w:i/>
          <w:iCs/>
          <w:color w:val="44546A" w:themeColor="text2"/>
          <w:kern w:val="2"/>
          <w:sz w:val="24"/>
          <w:szCs w:val="18"/>
          <w14:ligatures w14:val="standardContextual"/>
        </w:rPr>
        <w:t>.KPIs, Monitoring and Control</w:t>
      </w:r>
      <w:bookmarkEnd w:id="123"/>
      <w:bookmarkEnd w:id="124"/>
    </w:p>
    <w:tbl>
      <w:tblPr>
        <w:tblStyle w:val="TableGrid"/>
        <w:tblW w:w="0" w:type="auto"/>
        <w:tblLook w:val="04A0" w:firstRow="1" w:lastRow="0" w:firstColumn="1" w:lastColumn="0" w:noHBand="0" w:noVBand="1"/>
      </w:tblPr>
      <w:tblGrid>
        <w:gridCol w:w="2284"/>
        <w:gridCol w:w="2244"/>
        <w:gridCol w:w="2235"/>
        <w:gridCol w:w="2253"/>
      </w:tblGrid>
      <w:tr w:rsidR="001A384C" w:rsidRPr="001A384C" w14:paraId="1778EA57" w14:textId="77777777" w:rsidTr="00D35655">
        <w:tc>
          <w:tcPr>
            <w:tcW w:w="2284" w:type="dxa"/>
          </w:tcPr>
          <w:p w14:paraId="15123487"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KPI</w:t>
            </w:r>
          </w:p>
        </w:tc>
        <w:tc>
          <w:tcPr>
            <w:tcW w:w="2244" w:type="dxa"/>
          </w:tcPr>
          <w:p w14:paraId="7675D64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Target/Control</w:t>
            </w:r>
          </w:p>
        </w:tc>
        <w:tc>
          <w:tcPr>
            <w:tcW w:w="2235" w:type="dxa"/>
          </w:tcPr>
          <w:p w14:paraId="21A9C386"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Frequency</w:t>
            </w:r>
          </w:p>
        </w:tc>
        <w:tc>
          <w:tcPr>
            <w:tcW w:w="2253" w:type="dxa"/>
          </w:tcPr>
          <w:p w14:paraId="08BEB6D6"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Corrective action</w:t>
            </w:r>
          </w:p>
        </w:tc>
      </w:tr>
      <w:tr w:rsidR="001A384C" w:rsidRPr="001A384C" w14:paraId="652643F5" w14:textId="77777777" w:rsidTr="00D35655">
        <w:tc>
          <w:tcPr>
            <w:tcW w:w="2284" w:type="dxa"/>
          </w:tcPr>
          <w:p w14:paraId="14C2C0BC"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Membership acquisition</w:t>
            </w:r>
          </w:p>
        </w:tc>
        <w:tc>
          <w:tcPr>
            <w:tcW w:w="2244" w:type="dxa"/>
          </w:tcPr>
          <w:p w14:paraId="0E689775"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Against monthly forecast</w:t>
            </w:r>
          </w:p>
        </w:tc>
        <w:tc>
          <w:tcPr>
            <w:tcW w:w="2235" w:type="dxa"/>
          </w:tcPr>
          <w:p w14:paraId="5D872EF5"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26214379"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Reallocate marketing expenditure</w:t>
            </w:r>
          </w:p>
        </w:tc>
      </w:tr>
      <w:tr w:rsidR="001A384C" w:rsidRPr="001A384C" w14:paraId="3A34AC64" w14:textId="77777777" w:rsidTr="00D35655">
        <w:tc>
          <w:tcPr>
            <w:tcW w:w="2284" w:type="dxa"/>
          </w:tcPr>
          <w:p w14:paraId="080A0764"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Customer retention</w:t>
            </w:r>
          </w:p>
        </w:tc>
        <w:tc>
          <w:tcPr>
            <w:tcW w:w="2244" w:type="dxa"/>
          </w:tcPr>
          <w:p w14:paraId="03CA44B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Against Chapter 9 assumption</w:t>
            </w:r>
          </w:p>
        </w:tc>
        <w:tc>
          <w:tcPr>
            <w:tcW w:w="2235" w:type="dxa"/>
          </w:tcPr>
          <w:p w14:paraId="01BA317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5F07682F"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Review service and membership value</w:t>
            </w:r>
          </w:p>
        </w:tc>
      </w:tr>
      <w:tr w:rsidR="001A384C" w:rsidRPr="001A384C" w14:paraId="583E5F09" w14:textId="77777777" w:rsidTr="00D35655">
        <w:tc>
          <w:tcPr>
            <w:tcW w:w="2284" w:type="dxa"/>
          </w:tcPr>
          <w:p w14:paraId="11C65697"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Capacity utilisation</w:t>
            </w:r>
          </w:p>
        </w:tc>
        <w:tc>
          <w:tcPr>
            <w:tcW w:w="2244" w:type="dxa"/>
          </w:tcPr>
          <w:p w14:paraId="00F4A5AB"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Within planned capacity</w:t>
            </w:r>
          </w:p>
        </w:tc>
        <w:tc>
          <w:tcPr>
            <w:tcW w:w="2235" w:type="dxa"/>
          </w:tcPr>
          <w:p w14:paraId="4484372F"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Weekly</w:t>
            </w:r>
          </w:p>
        </w:tc>
        <w:tc>
          <w:tcPr>
            <w:tcW w:w="2253" w:type="dxa"/>
          </w:tcPr>
          <w:p w14:paraId="1F45EA68"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Adjust staffing/scheduling</w:t>
            </w:r>
          </w:p>
        </w:tc>
      </w:tr>
      <w:tr w:rsidR="001A384C" w:rsidRPr="001A384C" w14:paraId="4EE3824C" w14:textId="77777777" w:rsidTr="00D35655">
        <w:tc>
          <w:tcPr>
            <w:tcW w:w="2284" w:type="dxa"/>
          </w:tcPr>
          <w:p w14:paraId="6BD0D28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Technology/service issues</w:t>
            </w:r>
          </w:p>
        </w:tc>
        <w:tc>
          <w:tcPr>
            <w:tcW w:w="2244" w:type="dxa"/>
          </w:tcPr>
          <w:p w14:paraId="452890D4"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Minimum disruption</w:t>
            </w:r>
          </w:p>
        </w:tc>
        <w:tc>
          <w:tcPr>
            <w:tcW w:w="2235" w:type="dxa"/>
          </w:tcPr>
          <w:p w14:paraId="4048F97F"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Weekly</w:t>
            </w:r>
          </w:p>
        </w:tc>
        <w:tc>
          <w:tcPr>
            <w:tcW w:w="2253" w:type="dxa"/>
          </w:tcPr>
          <w:p w14:paraId="4A9846DE"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Escalate technical problems</w:t>
            </w:r>
          </w:p>
        </w:tc>
      </w:tr>
      <w:tr w:rsidR="001A384C" w:rsidRPr="001A384C" w14:paraId="44D34574" w14:textId="77777777" w:rsidTr="00D35655">
        <w:tc>
          <w:tcPr>
            <w:tcW w:w="2284" w:type="dxa"/>
          </w:tcPr>
          <w:p w14:paraId="090A7AAD"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Gross margin</w:t>
            </w:r>
          </w:p>
        </w:tc>
        <w:tc>
          <w:tcPr>
            <w:tcW w:w="2244" w:type="dxa"/>
          </w:tcPr>
          <w:p w14:paraId="7210E2E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At/above forecast</w:t>
            </w:r>
          </w:p>
        </w:tc>
        <w:tc>
          <w:tcPr>
            <w:tcW w:w="2235" w:type="dxa"/>
          </w:tcPr>
          <w:p w14:paraId="0CDD0678"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164DE19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Review pricing and costs</w:t>
            </w:r>
          </w:p>
        </w:tc>
      </w:tr>
      <w:tr w:rsidR="001A384C" w:rsidRPr="001A384C" w14:paraId="28462825" w14:textId="77777777" w:rsidTr="00D35655">
        <w:tc>
          <w:tcPr>
            <w:tcW w:w="2284" w:type="dxa"/>
          </w:tcPr>
          <w:p w14:paraId="781C3B7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Staff training</w:t>
            </w:r>
          </w:p>
        </w:tc>
        <w:tc>
          <w:tcPr>
            <w:tcW w:w="2244" w:type="dxa"/>
          </w:tcPr>
          <w:p w14:paraId="6E21691D"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100% critical training completed</w:t>
            </w:r>
          </w:p>
        </w:tc>
        <w:tc>
          <w:tcPr>
            <w:tcW w:w="2235" w:type="dxa"/>
          </w:tcPr>
          <w:p w14:paraId="12CA8289"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7DFE8520"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Provide additional training</w:t>
            </w:r>
          </w:p>
        </w:tc>
      </w:tr>
    </w:tbl>
    <w:p w14:paraId="267ECF50" w14:textId="77777777" w:rsidR="001A384C" w:rsidRPr="001A384C" w:rsidRDefault="001A384C" w:rsidP="001A384C">
      <w:pPr>
        <w:spacing w:line="360" w:lineRule="auto"/>
        <w:jc w:val="both"/>
        <w:rPr>
          <w:rFonts w:ascii="Arial" w:hAnsi="Arial" w:cs="Arial"/>
          <w:sz w:val="24"/>
          <w:szCs w:val="24"/>
          <w:lang w:val="en-GB" w:eastAsia="en-GB"/>
        </w:rPr>
      </w:pPr>
    </w:p>
    <w:p w14:paraId="69E3E88E"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Management will conduct weekly operational reviews during launch and monthly financial and customer-performance reviews thereafter. KPI performance will be compared with planned assumptions and corrective actions documented.</w:t>
      </w:r>
    </w:p>
    <w:p w14:paraId="675D8E23"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5" w:name="_Toc239091309"/>
      <w:bookmarkStart w:id="126" w:name="_Toc239188576"/>
      <w:r w:rsidRPr="001A384C">
        <w:rPr>
          <w:rFonts w:ascii="Arial" w:eastAsia="Times New Roman" w:hAnsi="Arial" w:cstheme="majorBidi"/>
          <w:b/>
          <w:color w:val="000000" w:themeColor="text1"/>
          <w:sz w:val="28"/>
          <w:szCs w:val="32"/>
          <w:lang w:val="en-GB" w:eastAsia="en-GB"/>
        </w:rPr>
        <w:t>12.5 Change Management and Implementation Risks</w:t>
      </w:r>
      <w:bookmarkEnd w:id="125"/>
      <w:bookmarkEnd w:id="126"/>
    </w:p>
    <w:p w14:paraId="0B22CCE7" w14:textId="77777777" w:rsidR="001A384C" w:rsidRPr="001A384C" w:rsidRDefault="001A384C" w:rsidP="001A384C">
      <w:pPr>
        <w:spacing w:line="360" w:lineRule="auto"/>
        <w:jc w:val="both"/>
        <w:rPr>
          <w:rFonts w:ascii="Arial" w:hAnsi="Arial" w:cs="Arial"/>
          <w:sz w:val="24"/>
          <w:szCs w:val="24"/>
          <w:lang w:val="en-GB" w:eastAsia="en-GB"/>
        </w:rPr>
      </w:pPr>
      <w:proofErr w:type="spellStart"/>
      <w:r w:rsidRPr="001A384C">
        <w:rPr>
          <w:rFonts w:ascii="Arial" w:hAnsi="Arial" w:cs="Arial"/>
          <w:sz w:val="24"/>
          <w:szCs w:val="24"/>
          <w:lang w:val="en-GB" w:eastAsia="en-GB"/>
        </w:rPr>
        <w:t>FitLife's</w:t>
      </w:r>
      <w:proofErr w:type="spellEnd"/>
      <w:r w:rsidRPr="001A384C">
        <w:rPr>
          <w:rFonts w:ascii="Arial" w:hAnsi="Arial" w:cs="Arial"/>
          <w:sz w:val="24"/>
          <w:szCs w:val="24"/>
          <w:lang w:val="en-GB" w:eastAsia="en-GB"/>
        </w:rPr>
        <w:t xml:space="preserve"> implementation involves behavioural and technological change because employees must adopt AI-supported processes and customers must become comfortable with technology-enabled fitness services. Effective change management </w:t>
      </w:r>
      <w:r w:rsidRPr="001A384C">
        <w:rPr>
          <w:rFonts w:ascii="Arial" w:hAnsi="Arial" w:cs="Arial"/>
          <w:sz w:val="24"/>
          <w:szCs w:val="24"/>
          <w:lang w:val="en-GB" w:eastAsia="en-GB"/>
        </w:rPr>
        <w:lastRenderedPageBreak/>
        <w:t>requires communication, employee involvement, training and reinforcement (Kotter, 1996). Staff should therefore receive training before the soft launch, while customer feedback should inform subsequent adjustments.</w:t>
      </w:r>
    </w:p>
    <w:p w14:paraId="511B7AE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Key risks include recruitment delays, technology failure, slower-than-expected membership acquisition and cost overruns. The soft launch provides an important control because it allows problems to be identified before full-scale marketing and resource commitment. If demand remains below forecast, discretionary expansion expenditure should be delayed and marketing channels reviewed.</w:t>
      </w:r>
    </w:p>
    <w:p w14:paraId="2645F616"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7" w:name="_Toc239091310"/>
      <w:bookmarkStart w:id="128" w:name="_Toc239188577"/>
      <w:r w:rsidRPr="001A384C">
        <w:rPr>
          <w:rFonts w:ascii="Arial" w:eastAsia="Times New Roman" w:hAnsi="Arial" w:cstheme="majorBidi"/>
          <w:b/>
          <w:color w:val="000000" w:themeColor="text1"/>
          <w:sz w:val="28"/>
          <w:szCs w:val="32"/>
          <w:lang w:val="en-GB" w:eastAsia="en-GB"/>
        </w:rPr>
        <w:t>12.6 Implementation Readiness Summary</w:t>
      </w:r>
      <w:bookmarkEnd w:id="127"/>
      <w:bookmarkEnd w:id="128"/>
    </w:p>
    <w:p w14:paraId="64FE767E" w14:textId="0CE41F4A" w:rsid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Overall,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Smart Gym should proceed through controlled phased implementation, rather than an immediate full launch. Full commercial launch should occur only after funding, staffing, technology, premises, supplier and compliance milestones are satisfied. Continuous KPI monitoring will ensure that actual customer demand, retention, costs and operational capacity remain consistent with the assumptions supporting the proposal. This approach makes the strategy executable while preserving the flexibility to modify the business before weaknesses threaten long-term viability.</w:t>
      </w:r>
    </w:p>
    <w:p w14:paraId="26910678" w14:textId="0CD98BBF" w:rsidR="00CD487D" w:rsidRDefault="00CD487D" w:rsidP="001A384C">
      <w:pPr>
        <w:spacing w:line="360" w:lineRule="auto"/>
        <w:jc w:val="both"/>
        <w:rPr>
          <w:rFonts w:ascii="Arial" w:hAnsi="Arial" w:cs="Arial"/>
          <w:sz w:val="24"/>
          <w:szCs w:val="24"/>
          <w:lang w:val="en-GB" w:eastAsia="en-GB"/>
        </w:rPr>
      </w:pPr>
    </w:p>
    <w:p w14:paraId="10D2D4DD" w14:textId="37538508" w:rsidR="00CD487D" w:rsidRDefault="00CD487D" w:rsidP="001A384C">
      <w:pPr>
        <w:spacing w:line="360" w:lineRule="auto"/>
        <w:jc w:val="both"/>
        <w:rPr>
          <w:rFonts w:ascii="Arial" w:hAnsi="Arial" w:cs="Arial"/>
          <w:sz w:val="24"/>
          <w:szCs w:val="24"/>
          <w:lang w:val="en-GB" w:eastAsia="en-GB"/>
        </w:rPr>
      </w:pPr>
    </w:p>
    <w:p w14:paraId="1A234CE4" w14:textId="4C507F53" w:rsidR="00CD487D" w:rsidRDefault="00CD487D" w:rsidP="001A384C">
      <w:pPr>
        <w:spacing w:line="360" w:lineRule="auto"/>
        <w:jc w:val="both"/>
        <w:rPr>
          <w:rFonts w:ascii="Arial" w:hAnsi="Arial" w:cs="Arial"/>
          <w:sz w:val="24"/>
          <w:szCs w:val="24"/>
          <w:lang w:val="en-GB" w:eastAsia="en-GB"/>
        </w:rPr>
      </w:pPr>
    </w:p>
    <w:p w14:paraId="4731814C" w14:textId="614BE54F" w:rsidR="00CD487D" w:rsidRDefault="00CD487D" w:rsidP="001A384C">
      <w:pPr>
        <w:spacing w:line="360" w:lineRule="auto"/>
        <w:jc w:val="both"/>
        <w:rPr>
          <w:rFonts w:ascii="Arial" w:hAnsi="Arial" w:cs="Arial"/>
          <w:sz w:val="24"/>
          <w:szCs w:val="24"/>
          <w:lang w:val="en-GB" w:eastAsia="en-GB"/>
        </w:rPr>
      </w:pPr>
    </w:p>
    <w:p w14:paraId="37A8E596" w14:textId="4F4DDC34" w:rsidR="00CD487D" w:rsidRDefault="00CD487D" w:rsidP="001A384C">
      <w:pPr>
        <w:spacing w:line="360" w:lineRule="auto"/>
        <w:jc w:val="both"/>
        <w:rPr>
          <w:rFonts w:ascii="Arial" w:hAnsi="Arial" w:cs="Arial"/>
          <w:sz w:val="24"/>
          <w:szCs w:val="24"/>
          <w:lang w:val="en-GB" w:eastAsia="en-GB"/>
        </w:rPr>
      </w:pPr>
    </w:p>
    <w:p w14:paraId="79059D50" w14:textId="665E3A88" w:rsidR="00CD487D" w:rsidRDefault="00CD487D" w:rsidP="001A384C">
      <w:pPr>
        <w:spacing w:line="360" w:lineRule="auto"/>
        <w:jc w:val="both"/>
        <w:rPr>
          <w:rFonts w:ascii="Arial" w:hAnsi="Arial" w:cs="Arial"/>
          <w:sz w:val="24"/>
          <w:szCs w:val="24"/>
          <w:lang w:val="en-GB" w:eastAsia="en-GB"/>
        </w:rPr>
      </w:pPr>
    </w:p>
    <w:p w14:paraId="47F8557D" w14:textId="6914B528" w:rsidR="00CD487D" w:rsidRDefault="00CD487D" w:rsidP="001A384C">
      <w:pPr>
        <w:spacing w:line="360" w:lineRule="auto"/>
        <w:jc w:val="both"/>
        <w:rPr>
          <w:rFonts w:ascii="Arial" w:hAnsi="Arial" w:cs="Arial"/>
          <w:sz w:val="24"/>
          <w:szCs w:val="24"/>
          <w:lang w:val="en-GB" w:eastAsia="en-GB"/>
        </w:rPr>
      </w:pPr>
    </w:p>
    <w:p w14:paraId="5A769FE3" w14:textId="3A1F1D6D" w:rsidR="00CD487D" w:rsidRDefault="00CD487D" w:rsidP="001A384C">
      <w:pPr>
        <w:spacing w:line="360" w:lineRule="auto"/>
        <w:jc w:val="both"/>
        <w:rPr>
          <w:rFonts w:ascii="Arial" w:hAnsi="Arial" w:cs="Arial"/>
          <w:sz w:val="24"/>
          <w:szCs w:val="24"/>
          <w:lang w:val="en-GB" w:eastAsia="en-GB"/>
        </w:rPr>
      </w:pPr>
    </w:p>
    <w:p w14:paraId="56B89F69" w14:textId="1BDE1C94" w:rsidR="00CD487D" w:rsidRDefault="00CD487D" w:rsidP="001A384C">
      <w:pPr>
        <w:spacing w:line="360" w:lineRule="auto"/>
        <w:jc w:val="both"/>
        <w:rPr>
          <w:rFonts w:ascii="Arial" w:hAnsi="Arial" w:cs="Arial"/>
          <w:sz w:val="24"/>
          <w:szCs w:val="24"/>
          <w:lang w:val="en-GB" w:eastAsia="en-GB"/>
        </w:rPr>
      </w:pPr>
    </w:p>
    <w:p w14:paraId="32FB20B9" w14:textId="503A0F4B" w:rsidR="00CD487D" w:rsidRDefault="00CD487D" w:rsidP="001A384C">
      <w:pPr>
        <w:spacing w:line="360" w:lineRule="auto"/>
        <w:jc w:val="both"/>
        <w:rPr>
          <w:rFonts w:ascii="Arial" w:hAnsi="Arial" w:cs="Arial"/>
          <w:sz w:val="24"/>
          <w:szCs w:val="24"/>
          <w:lang w:val="en-GB" w:eastAsia="en-GB"/>
        </w:rPr>
      </w:pPr>
    </w:p>
    <w:p w14:paraId="5E699A91" w14:textId="6864AE9E" w:rsidR="00CD487D" w:rsidRDefault="00CD487D" w:rsidP="001A384C">
      <w:pPr>
        <w:spacing w:line="360" w:lineRule="auto"/>
        <w:jc w:val="both"/>
        <w:rPr>
          <w:rFonts w:ascii="Arial" w:hAnsi="Arial" w:cs="Arial"/>
          <w:sz w:val="24"/>
          <w:szCs w:val="24"/>
          <w:lang w:val="en-GB" w:eastAsia="en-GB"/>
        </w:rPr>
      </w:pPr>
    </w:p>
    <w:p w14:paraId="30455693" w14:textId="7F0BCDDA" w:rsidR="00D50B75" w:rsidRPr="00996C42" w:rsidRDefault="00D7094D" w:rsidP="00996C42">
      <w:pPr>
        <w:pStyle w:val="Heading1"/>
        <w:spacing w:line="360" w:lineRule="auto"/>
        <w:jc w:val="center"/>
        <w:rPr>
          <w:rFonts w:cs="Arial"/>
          <w:lang w:val="en-GB" w:eastAsia="en-GB"/>
        </w:rPr>
      </w:pPr>
      <w:bookmarkStart w:id="129" w:name="_Toc239188578"/>
      <w:r w:rsidRPr="00996C42">
        <w:rPr>
          <w:rFonts w:cs="Arial"/>
          <w:lang w:val="en-GB" w:eastAsia="en-GB"/>
        </w:rPr>
        <w:lastRenderedPageBreak/>
        <w:t xml:space="preserve">Chapter 13: </w:t>
      </w:r>
      <w:r w:rsidR="00D50B75" w:rsidRPr="00996C42">
        <w:rPr>
          <w:rFonts w:cs="Arial"/>
          <w:lang w:val="en-GB" w:eastAsia="en-GB"/>
        </w:rPr>
        <w:t xml:space="preserve"> Conclusion and Recommendations</w:t>
      </w:r>
      <w:bookmarkEnd w:id="129"/>
    </w:p>
    <w:p w14:paraId="6F170683" w14:textId="205B5244" w:rsidR="00D50B75" w:rsidRPr="00996C42" w:rsidRDefault="00D7094D" w:rsidP="00996C42">
      <w:pPr>
        <w:pStyle w:val="Heading2"/>
        <w:spacing w:line="360" w:lineRule="auto"/>
        <w:jc w:val="both"/>
        <w:rPr>
          <w:rFonts w:cs="Arial"/>
          <w:lang w:val="en-GB" w:eastAsia="en-GB"/>
        </w:rPr>
      </w:pPr>
      <w:bookmarkStart w:id="130" w:name="_Toc239188579"/>
      <w:r w:rsidRPr="00996C42">
        <w:rPr>
          <w:rFonts w:cs="Arial"/>
          <w:lang w:val="en-GB" w:eastAsia="en-GB"/>
        </w:rPr>
        <w:t>13.1 Conclusion</w:t>
      </w:r>
      <w:bookmarkEnd w:id="130"/>
    </w:p>
    <w:p w14:paraId="7F8A5AA2" w14:textId="090DB767"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 xml:space="preserve">This business development proposal has considered the business viability, financial viability, strategic suitability and the operational feasibility of the proposed </w:t>
      </w:r>
      <w:proofErr w:type="spellStart"/>
      <w:r w:rsidRPr="00996C42">
        <w:rPr>
          <w:rFonts w:ascii="Arial" w:hAnsi="Arial" w:cs="Arial"/>
          <w:sz w:val="24"/>
          <w:szCs w:val="24"/>
          <w:lang w:val="en-GB" w:eastAsia="en-GB"/>
        </w:rPr>
        <w:t>FitLife</w:t>
      </w:r>
      <w:proofErr w:type="spellEnd"/>
      <w:r w:rsidRPr="00996C42">
        <w:rPr>
          <w:rFonts w:ascii="Arial" w:hAnsi="Arial" w:cs="Arial"/>
          <w:sz w:val="24"/>
          <w:szCs w:val="24"/>
          <w:lang w:val="en-GB" w:eastAsia="en-GB"/>
        </w:rPr>
        <w:t xml:space="preserve"> Smart Gym. Overall the analysis suggests that the venture has a sound chance of success in the fitness and wellness industry, provided that it is implemented carefully, customer needs are confirmed and financial and operational assumptions </w:t>
      </w:r>
      <w:r w:rsidR="00D7094D" w:rsidRPr="00996C42">
        <w:rPr>
          <w:rFonts w:ascii="Arial" w:hAnsi="Arial" w:cs="Arial"/>
          <w:sz w:val="24"/>
          <w:szCs w:val="24"/>
          <w:lang w:val="en-GB" w:eastAsia="en-GB"/>
        </w:rPr>
        <w:t>are kept under constant review.</w:t>
      </w:r>
    </w:p>
    <w:p w14:paraId="6B3122B2" w14:textId="0B2679B1"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The theories and frameworks applied in the proposal have been relevant as they have been able to provide support at certain points of the decision making. The PESTLE analysis was used to uncover external influences on the proposed business venture, such as political, economic, social, technological, environmental and legal factors, while Porter's Five Forces was used to structure a competitive analysis of the business venture, including the assessment of buyer power, supplier power, substitutes, competitive rivalry and potential new entrants (Porter, 1980). These frameworks also proved to be very useful in comprehending that getting a market that is attractive and interesting is not enough to make for a successful business; competitive differentiation and the right</w:t>
      </w:r>
      <w:r w:rsidR="00D7094D" w:rsidRPr="00996C42">
        <w:rPr>
          <w:rFonts w:ascii="Arial" w:hAnsi="Arial" w:cs="Arial"/>
          <w:sz w:val="24"/>
          <w:szCs w:val="24"/>
          <w:lang w:val="en-GB" w:eastAsia="en-GB"/>
        </w:rPr>
        <w:t xml:space="preserve"> use of resources are also key.</w:t>
      </w:r>
    </w:p>
    <w:p w14:paraId="570CEA18" w14:textId="77777777"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STP (Segmentation, Targeting and Positioning) gave practical guidance to identify the priority customer group and to have a clear market positioning. Good segmentation allows companies to focus their efforts on customers that have similar needs and buying behaviour instead of applying the 'one size fits all' approach (Kotler and Keller, 2016). The Business Model Canvas was also useful as it linked the value proposition of the venture with the customer segments, channels, relationships, key activities, resources, partnerships, revenue streams and cost structures (</w:t>
      </w:r>
      <w:proofErr w:type="spellStart"/>
      <w:r w:rsidRPr="00996C42">
        <w:rPr>
          <w:rFonts w:ascii="Arial" w:hAnsi="Arial" w:cs="Arial"/>
          <w:sz w:val="24"/>
          <w:szCs w:val="24"/>
          <w:lang w:val="en-GB" w:eastAsia="en-GB"/>
        </w:rPr>
        <w:t>Osterwalder</w:t>
      </w:r>
      <w:proofErr w:type="spellEnd"/>
      <w:r w:rsidRPr="00996C42">
        <w:rPr>
          <w:rFonts w:ascii="Arial" w:hAnsi="Arial" w:cs="Arial"/>
          <w:sz w:val="24"/>
          <w:szCs w:val="24"/>
          <w:lang w:val="en-GB" w:eastAsia="en-GB"/>
        </w:rPr>
        <w:t xml:space="preserve"> and </w:t>
      </w:r>
      <w:proofErr w:type="spellStart"/>
      <w:r w:rsidRPr="00996C42">
        <w:rPr>
          <w:rFonts w:ascii="Arial" w:hAnsi="Arial" w:cs="Arial"/>
          <w:sz w:val="24"/>
          <w:szCs w:val="24"/>
          <w:lang w:val="en-GB" w:eastAsia="en-GB"/>
        </w:rPr>
        <w:t>Pigneur</w:t>
      </w:r>
      <w:proofErr w:type="spellEnd"/>
      <w:r w:rsidRPr="00996C42">
        <w:rPr>
          <w:rFonts w:ascii="Arial" w:hAnsi="Arial" w:cs="Arial"/>
          <w:sz w:val="24"/>
          <w:szCs w:val="24"/>
          <w:lang w:val="en-GB" w:eastAsia="en-GB"/>
        </w:rPr>
        <w:t>, 2010). The frameworks should therefore be used in conjunction in practice; market analysis is used to discover the opportunity, the STP is used to discover who the opportunity is for, the BMC is used to discover how the value will be created and captured, and the financial analysis is used to determine if the model is economically sustainable.</w:t>
      </w:r>
    </w:p>
    <w:p w14:paraId="257D760F" w14:textId="77777777" w:rsidR="00D50B75" w:rsidRPr="00996C42" w:rsidRDefault="00D50B75" w:rsidP="00996C42">
      <w:pPr>
        <w:spacing w:line="360" w:lineRule="auto"/>
        <w:jc w:val="both"/>
        <w:rPr>
          <w:rFonts w:ascii="Arial" w:hAnsi="Arial" w:cs="Arial"/>
          <w:sz w:val="24"/>
          <w:szCs w:val="24"/>
          <w:lang w:val="en-GB" w:eastAsia="en-GB"/>
        </w:rPr>
      </w:pPr>
    </w:p>
    <w:p w14:paraId="4393E9F7" w14:textId="22105DCE"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lastRenderedPageBreak/>
        <w:t xml:space="preserve">Overall, the market findings indicate that </w:t>
      </w:r>
      <w:proofErr w:type="spellStart"/>
      <w:r w:rsidRPr="00996C42">
        <w:rPr>
          <w:rFonts w:ascii="Arial" w:hAnsi="Arial" w:cs="Arial"/>
          <w:sz w:val="24"/>
          <w:szCs w:val="24"/>
          <w:lang w:val="en-GB" w:eastAsia="en-GB"/>
        </w:rPr>
        <w:t>FitLife</w:t>
      </w:r>
      <w:proofErr w:type="spellEnd"/>
      <w:r w:rsidRPr="00996C42">
        <w:rPr>
          <w:rFonts w:ascii="Arial" w:hAnsi="Arial" w:cs="Arial"/>
          <w:sz w:val="24"/>
          <w:szCs w:val="24"/>
          <w:lang w:val="en-GB" w:eastAsia="en-GB"/>
        </w:rPr>
        <w:t xml:space="preserve"> Smart Gym has the potential to meet the needs of customers who are looking for convenient, easily accessible, and personalized fitness options. The planned Gym, technologized service and customer-oriented experiences offer the potential to differentiate in terms of competition within the fitness sector. But this too illustrates the importance of customer acquisition and retention. The marketing expenditure should produce adequate leads and conversions that will sustain the customer volumes projected in the financial forecast. Hence, the business should not just depend on promotional activity but rely on long-term customer relationship to ensure sustainable profitability, since customer retention can have a significant role in the success of the busi</w:t>
      </w:r>
      <w:r w:rsidR="00D7094D" w:rsidRPr="00996C42">
        <w:rPr>
          <w:rFonts w:ascii="Arial" w:hAnsi="Arial" w:cs="Arial"/>
          <w:sz w:val="24"/>
          <w:szCs w:val="24"/>
          <w:lang w:val="en-GB" w:eastAsia="en-GB"/>
        </w:rPr>
        <w:t>ness (Kotler and Keller, 2016).</w:t>
      </w:r>
    </w:p>
    <w:p w14:paraId="63B19D73" w14:textId="616A53F8"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The strategic and financial analysis provides a conditional case for proceeding. The proposed business model is strategically apt since the value proposition, target market, marketing activities, human resources and operational arrangements can be linked to the convenience and value offere</w:t>
      </w:r>
      <w:r w:rsidR="00D7094D" w:rsidRPr="00996C42">
        <w:rPr>
          <w:rFonts w:ascii="Arial" w:hAnsi="Arial" w:cs="Arial"/>
          <w:sz w:val="24"/>
          <w:szCs w:val="24"/>
          <w:lang w:val="en-GB" w:eastAsia="en-GB"/>
        </w:rPr>
        <w:t>d to the customers. (</w:t>
      </w:r>
      <w:proofErr w:type="spellStart"/>
      <w:r w:rsidR="00D7094D" w:rsidRPr="00996C42">
        <w:rPr>
          <w:rFonts w:ascii="Arial" w:hAnsi="Arial" w:cs="Arial"/>
          <w:sz w:val="24"/>
          <w:szCs w:val="24"/>
          <w:lang w:val="en-GB" w:eastAsia="en-GB"/>
        </w:rPr>
        <w:t>Atrill</w:t>
      </w:r>
      <w:proofErr w:type="spellEnd"/>
      <w:r w:rsidR="00D7094D" w:rsidRPr="00996C42">
        <w:rPr>
          <w:rFonts w:ascii="Arial" w:hAnsi="Arial" w:cs="Arial"/>
          <w:sz w:val="24"/>
          <w:szCs w:val="24"/>
          <w:lang w:val="en-GB" w:eastAsia="en-GB"/>
        </w:rPr>
        <w:t xml:space="preserve"> and </w:t>
      </w:r>
      <w:proofErr w:type="spellStart"/>
      <w:r w:rsidR="00D7094D" w:rsidRPr="00996C42">
        <w:rPr>
          <w:rFonts w:ascii="Arial" w:hAnsi="Arial" w:cs="Arial"/>
          <w:sz w:val="24"/>
          <w:szCs w:val="24"/>
          <w:lang w:val="en-GB" w:eastAsia="en-GB"/>
        </w:rPr>
        <w:t>McLaney</w:t>
      </w:r>
      <w:proofErr w:type="spellEnd"/>
      <w:r w:rsidR="00D7094D" w:rsidRPr="00996C42">
        <w:rPr>
          <w:rFonts w:ascii="Arial" w:hAnsi="Arial" w:cs="Arial"/>
          <w:sz w:val="24"/>
          <w:szCs w:val="24"/>
          <w:lang w:val="en-GB" w:eastAsia="en-GB"/>
        </w:rPr>
        <w:t xml:space="preserve">, 2022). </w:t>
      </w:r>
      <w:r w:rsidRPr="00996C42">
        <w:rPr>
          <w:rFonts w:ascii="Arial" w:hAnsi="Arial" w:cs="Arial"/>
          <w:sz w:val="24"/>
          <w:szCs w:val="24"/>
          <w:lang w:val="en-GB" w:eastAsia="en-GB"/>
        </w:rPr>
        <w:t xml:space="preserve">Sufficient staffing levels, equipment, premises capacity, technology and support from suppliers is also critical for operational feasibility. To emphasize the need for considering the proposal as a whole system not as individual functional plans. </w:t>
      </w:r>
    </w:p>
    <w:p w14:paraId="76CF8218" w14:textId="08534379" w:rsidR="00D50B75" w:rsidRPr="00996C42" w:rsidRDefault="00D7094D" w:rsidP="00996C42">
      <w:pPr>
        <w:pStyle w:val="Heading2"/>
        <w:spacing w:line="360" w:lineRule="auto"/>
        <w:jc w:val="both"/>
        <w:rPr>
          <w:rFonts w:cs="Arial"/>
          <w:lang w:val="en-GB" w:eastAsia="en-GB"/>
        </w:rPr>
      </w:pPr>
      <w:bookmarkStart w:id="131" w:name="_Toc239188580"/>
      <w:r w:rsidRPr="00996C42">
        <w:rPr>
          <w:rFonts w:cs="Arial"/>
          <w:lang w:val="en-GB" w:eastAsia="en-GB"/>
        </w:rPr>
        <w:t>13.2 Recommendations</w:t>
      </w:r>
      <w:bookmarkEnd w:id="131"/>
    </w:p>
    <w:p w14:paraId="5DE87959" w14:textId="2B88C7D8"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The General Recommendation is GO with conditions. First, a gradual launch strategy should be followed; starting with a soft launch, determining the demand for the new product/service, setting a price, testing the service and operational capacity, and then gradually expanding, if needed, after these tests are conducted. Secondly, the management needs to track important metrics such as customer acquisition cost, customer/membership growth, retention, revenue, gross margin, cash bal</w:t>
      </w:r>
      <w:r w:rsidR="00D7094D" w:rsidRPr="00996C42">
        <w:rPr>
          <w:rFonts w:ascii="Arial" w:hAnsi="Arial" w:cs="Arial"/>
          <w:sz w:val="24"/>
          <w:szCs w:val="24"/>
          <w:lang w:val="en-GB" w:eastAsia="en-GB"/>
        </w:rPr>
        <w:t>ance, and capacity utilisation.</w:t>
      </w:r>
    </w:p>
    <w:p w14:paraId="7D92581F" w14:textId="1C5AE848"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 xml:space="preserve">Thirdly, </w:t>
      </w:r>
      <w:proofErr w:type="spellStart"/>
      <w:r w:rsidRPr="00996C42">
        <w:rPr>
          <w:rFonts w:ascii="Arial" w:hAnsi="Arial" w:cs="Arial"/>
          <w:sz w:val="24"/>
          <w:szCs w:val="24"/>
          <w:lang w:val="en-GB" w:eastAsia="en-GB"/>
        </w:rPr>
        <w:t>FitLife</w:t>
      </w:r>
      <w:proofErr w:type="spellEnd"/>
      <w:r w:rsidRPr="00996C42">
        <w:rPr>
          <w:rFonts w:ascii="Arial" w:hAnsi="Arial" w:cs="Arial"/>
          <w:sz w:val="24"/>
          <w:szCs w:val="24"/>
          <w:lang w:val="en-GB" w:eastAsia="en-GB"/>
        </w:rPr>
        <w:t xml:space="preserve"> Smart Gym should have strict controls in operation and legal regarding health and safety, customer information, payment systems and quality of service. The recruitment and training of employees should be related to the customer-service needs and anticipated demand.</w:t>
      </w:r>
    </w:p>
    <w:p w14:paraId="1657F665" w14:textId="18914931" w:rsidR="00CD487D"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 xml:space="preserve">Last but not least, expansion needs to be based on evidence. Other services, facilities and marketing channels should only be added if there is a demand from customers and if there is some added revenue to be generated. Further research should therefore </w:t>
      </w:r>
      <w:r w:rsidRPr="00996C42">
        <w:rPr>
          <w:rFonts w:ascii="Arial" w:hAnsi="Arial" w:cs="Arial"/>
          <w:sz w:val="24"/>
          <w:szCs w:val="24"/>
          <w:lang w:val="en-GB" w:eastAsia="en-GB"/>
        </w:rPr>
        <w:lastRenderedPageBreak/>
        <w:t xml:space="preserve">consider the real-world willingness to pay, retention </w:t>
      </w:r>
      <w:proofErr w:type="spellStart"/>
      <w:r w:rsidRPr="00996C42">
        <w:rPr>
          <w:rFonts w:ascii="Arial" w:hAnsi="Arial" w:cs="Arial"/>
          <w:sz w:val="24"/>
          <w:szCs w:val="24"/>
          <w:lang w:val="en-GB" w:eastAsia="en-GB"/>
        </w:rPr>
        <w:t>behavior</w:t>
      </w:r>
      <w:proofErr w:type="spellEnd"/>
      <w:r w:rsidRPr="00996C42">
        <w:rPr>
          <w:rFonts w:ascii="Arial" w:hAnsi="Arial" w:cs="Arial"/>
          <w:sz w:val="24"/>
          <w:szCs w:val="24"/>
          <w:lang w:val="en-GB" w:eastAsia="en-GB"/>
        </w:rPr>
        <w:t>, competitor reactions and the performance of various membership</w:t>
      </w:r>
      <w:r w:rsidR="00D7094D" w:rsidRPr="00996C42">
        <w:rPr>
          <w:rFonts w:ascii="Arial" w:hAnsi="Arial" w:cs="Arial"/>
          <w:sz w:val="24"/>
          <w:szCs w:val="24"/>
          <w:lang w:val="en-GB" w:eastAsia="en-GB"/>
        </w:rPr>
        <w:t xml:space="preserve"> packages following the launch. </w:t>
      </w:r>
      <w:r w:rsidRPr="00996C42">
        <w:rPr>
          <w:rFonts w:ascii="Arial" w:hAnsi="Arial" w:cs="Arial"/>
          <w:sz w:val="24"/>
          <w:szCs w:val="24"/>
          <w:lang w:val="en-GB" w:eastAsia="en-GB"/>
        </w:rPr>
        <w:t xml:space="preserve">Ultimately, the evidence suggests that it is feasible to proceed with the launch of </w:t>
      </w:r>
      <w:proofErr w:type="spellStart"/>
      <w:r w:rsidRPr="00996C42">
        <w:rPr>
          <w:rFonts w:ascii="Arial" w:hAnsi="Arial" w:cs="Arial"/>
          <w:sz w:val="24"/>
          <w:szCs w:val="24"/>
          <w:lang w:val="en-GB" w:eastAsia="en-GB"/>
        </w:rPr>
        <w:t>FitLife</w:t>
      </w:r>
      <w:proofErr w:type="spellEnd"/>
      <w:r w:rsidRPr="00996C42">
        <w:rPr>
          <w:rFonts w:ascii="Arial" w:hAnsi="Arial" w:cs="Arial"/>
          <w:sz w:val="24"/>
          <w:szCs w:val="24"/>
          <w:lang w:val="en-GB" w:eastAsia="en-GB"/>
        </w:rPr>
        <w:t xml:space="preserve"> Smart Gym, but one that is controlled and measurable, not aggressive. </w:t>
      </w:r>
    </w:p>
    <w:p w14:paraId="18B18BA2" w14:textId="2AF84143" w:rsidR="00012425" w:rsidRDefault="00012425" w:rsidP="00996C42">
      <w:pPr>
        <w:spacing w:line="360" w:lineRule="auto"/>
        <w:jc w:val="both"/>
        <w:rPr>
          <w:rFonts w:ascii="Arial" w:hAnsi="Arial" w:cs="Arial"/>
          <w:sz w:val="24"/>
          <w:szCs w:val="24"/>
          <w:lang w:val="en-GB" w:eastAsia="en-GB"/>
        </w:rPr>
      </w:pPr>
    </w:p>
    <w:p w14:paraId="10EC78F1" w14:textId="2900A80E" w:rsidR="00012425" w:rsidRDefault="00012425" w:rsidP="00996C42">
      <w:pPr>
        <w:spacing w:line="360" w:lineRule="auto"/>
        <w:jc w:val="both"/>
        <w:rPr>
          <w:rFonts w:ascii="Arial" w:hAnsi="Arial" w:cs="Arial"/>
          <w:sz w:val="24"/>
          <w:szCs w:val="24"/>
          <w:lang w:val="en-GB" w:eastAsia="en-GB"/>
        </w:rPr>
      </w:pPr>
    </w:p>
    <w:p w14:paraId="193BF934" w14:textId="55CD79ED" w:rsidR="00012425" w:rsidRDefault="00012425" w:rsidP="00996C42">
      <w:pPr>
        <w:spacing w:line="360" w:lineRule="auto"/>
        <w:jc w:val="both"/>
        <w:rPr>
          <w:rFonts w:ascii="Arial" w:hAnsi="Arial" w:cs="Arial"/>
          <w:sz w:val="24"/>
          <w:szCs w:val="24"/>
          <w:lang w:val="en-GB" w:eastAsia="en-GB"/>
        </w:rPr>
      </w:pPr>
    </w:p>
    <w:p w14:paraId="46CB4E11" w14:textId="747D064D" w:rsidR="00012425" w:rsidRDefault="00012425" w:rsidP="00996C42">
      <w:pPr>
        <w:spacing w:line="360" w:lineRule="auto"/>
        <w:jc w:val="both"/>
        <w:rPr>
          <w:rFonts w:ascii="Arial" w:hAnsi="Arial" w:cs="Arial"/>
          <w:sz w:val="24"/>
          <w:szCs w:val="24"/>
          <w:lang w:val="en-GB" w:eastAsia="en-GB"/>
        </w:rPr>
      </w:pPr>
    </w:p>
    <w:p w14:paraId="7B67A0DE" w14:textId="5F235BFE" w:rsidR="00012425" w:rsidRDefault="00012425" w:rsidP="00996C42">
      <w:pPr>
        <w:spacing w:line="360" w:lineRule="auto"/>
        <w:jc w:val="both"/>
        <w:rPr>
          <w:rFonts w:ascii="Arial" w:hAnsi="Arial" w:cs="Arial"/>
          <w:sz w:val="24"/>
          <w:szCs w:val="24"/>
          <w:lang w:val="en-GB" w:eastAsia="en-GB"/>
        </w:rPr>
      </w:pPr>
    </w:p>
    <w:p w14:paraId="6A8D05A0" w14:textId="4666AE38" w:rsidR="00012425" w:rsidRDefault="00012425" w:rsidP="00996C42">
      <w:pPr>
        <w:spacing w:line="360" w:lineRule="auto"/>
        <w:jc w:val="both"/>
        <w:rPr>
          <w:rFonts w:ascii="Arial" w:hAnsi="Arial" w:cs="Arial"/>
          <w:sz w:val="24"/>
          <w:szCs w:val="24"/>
          <w:lang w:val="en-GB" w:eastAsia="en-GB"/>
        </w:rPr>
      </w:pPr>
    </w:p>
    <w:p w14:paraId="6C368723" w14:textId="122A8CF7" w:rsidR="00012425" w:rsidRDefault="00012425" w:rsidP="00996C42">
      <w:pPr>
        <w:spacing w:line="360" w:lineRule="auto"/>
        <w:jc w:val="both"/>
        <w:rPr>
          <w:rFonts w:ascii="Arial" w:hAnsi="Arial" w:cs="Arial"/>
          <w:sz w:val="24"/>
          <w:szCs w:val="24"/>
          <w:lang w:val="en-GB" w:eastAsia="en-GB"/>
        </w:rPr>
      </w:pPr>
    </w:p>
    <w:p w14:paraId="056E9F46" w14:textId="48595B51" w:rsidR="00012425" w:rsidRDefault="00012425" w:rsidP="00996C42">
      <w:pPr>
        <w:spacing w:line="360" w:lineRule="auto"/>
        <w:jc w:val="both"/>
        <w:rPr>
          <w:rFonts w:ascii="Arial" w:hAnsi="Arial" w:cs="Arial"/>
          <w:sz w:val="24"/>
          <w:szCs w:val="24"/>
          <w:lang w:val="en-GB" w:eastAsia="en-GB"/>
        </w:rPr>
      </w:pPr>
    </w:p>
    <w:p w14:paraId="2710FEE4" w14:textId="78C0A870" w:rsidR="00012425" w:rsidRDefault="00012425" w:rsidP="00996C42">
      <w:pPr>
        <w:spacing w:line="360" w:lineRule="auto"/>
        <w:jc w:val="both"/>
        <w:rPr>
          <w:rFonts w:ascii="Arial" w:hAnsi="Arial" w:cs="Arial"/>
          <w:sz w:val="24"/>
          <w:szCs w:val="24"/>
          <w:lang w:val="en-GB" w:eastAsia="en-GB"/>
        </w:rPr>
      </w:pPr>
    </w:p>
    <w:p w14:paraId="120AC474" w14:textId="118A08DC" w:rsidR="00012425" w:rsidRDefault="00012425" w:rsidP="00996C42">
      <w:pPr>
        <w:spacing w:line="360" w:lineRule="auto"/>
        <w:jc w:val="both"/>
        <w:rPr>
          <w:rFonts w:ascii="Arial" w:hAnsi="Arial" w:cs="Arial"/>
          <w:sz w:val="24"/>
          <w:szCs w:val="24"/>
          <w:lang w:val="en-GB" w:eastAsia="en-GB"/>
        </w:rPr>
      </w:pPr>
    </w:p>
    <w:p w14:paraId="77829A96" w14:textId="3D9DD582" w:rsidR="00012425" w:rsidRDefault="00012425" w:rsidP="00996C42">
      <w:pPr>
        <w:spacing w:line="360" w:lineRule="auto"/>
        <w:jc w:val="both"/>
        <w:rPr>
          <w:rFonts w:ascii="Arial" w:hAnsi="Arial" w:cs="Arial"/>
          <w:sz w:val="24"/>
          <w:szCs w:val="24"/>
          <w:lang w:val="en-GB" w:eastAsia="en-GB"/>
        </w:rPr>
      </w:pPr>
    </w:p>
    <w:p w14:paraId="6B14BF81" w14:textId="4A7ADCC9" w:rsidR="00012425" w:rsidRDefault="00012425" w:rsidP="00996C42">
      <w:pPr>
        <w:spacing w:line="360" w:lineRule="auto"/>
        <w:jc w:val="both"/>
        <w:rPr>
          <w:rFonts w:ascii="Arial" w:hAnsi="Arial" w:cs="Arial"/>
          <w:sz w:val="24"/>
          <w:szCs w:val="24"/>
          <w:lang w:val="en-GB" w:eastAsia="en-GB"/>
        </w:rPr>
      </w:pPr>
    </w:p>
    <w:p w14:paraId="6674D4F9" w14:textId="5531637F" w:rsidR="00012425" w:rsidRDefault="00012425" w:rsidP="00996C42">
      <w:pPr>
        <w:spacing w:line="360" w:lineRule="auto"/>
        <w:jc w:val="both"/>
        <w:rPr>
          <w:rFonts w:ascii="Arial" w:hAnsi="Arial" w:cs="Arial"/>
          <w:sz w:val="24"/>
          <w:szCs w:val="24"/>
          <w:lang w:val="en-GB" w:eastAsia="en-GB"/>
        </w:rPr>
      </w:pPr>
    </w:p>
    <w:p w14:paraId="62C2D993" w14:textId="2EDDA450" w:rsidR="00012425" w:rsidRDefault="00012425" w:rsidP="00996C42">
      <w:pPr>
        <w:spacing w:line="360" w:lineRule="auto"/>
        <w:jc w:val="both"/>
        <w:rPr>
          <w:rFonts w:ascii="Arial" w:hAnsi="Arial" w:cs="Arial"/>
          <w:sz w:val="24"/>
          <w:szCs w:val="24"/>
          <w:lang w:val="en-GB" w:eastAsia="en-GB"/>
        </w:rPr>
      </w:pPr>
    </w:p>
    <w:p w14:paraId="07F56C71" w14:textId="7BE60875" w:rsidR="00012425" w:rsidRDefault="00012425" w:rsidP="00996C42">
      <w:pPr>
        <w:spacing w:line="360" w:lineRule="auto"/>
        <w:jc w:val="both"/>
        <w:rPr>
          <w:rFonts w:ascii="Arial" w:hAnsi="Arial" w:cs="Arial"/>
          <w:sz w:val="24"/>
          <w:szCs w:val="24"/>
          <w:lang w:val="en-GB" w:eastAsia="en-GB"/>
        </w:rPr>
      </w:pPr>
    </w:p>
    <w:p w14:paraId="42DF7102" w14:textId="09CDDD32" w:rsidR="00012425" w:rsidRDefault="00012425" w:rsidP="00996C42">
      <w:pPr>
        <w:spacing w:line="360" w:lineRule="auto"/>
        <w:jc w:val="both"/>
        <w:rPr>
          <w:rFonts w:ascii="Arial" w:hAnsi="Arial" w:cs="Arial"/>
          <w:sz w:val="24"/>
          <w:szCs w:val="24"/>
          <w:lang w:val="en-GB" w:eastAsia="en-GB"/>
        </w:rPr>
      </w:pPr>
    </w:p>
    <w:p w14:paraId="39AB80A3" w14:textId="4E99D759" w:rsidR="00012425" w:rsidRDefault="00012425" w:rsidP="00996C42">
      <w:pPr>
        <w:spacing w:line="360" w:lineRule="auto"/>
        <w:jc w:val="both"/>
        <w:rPr>
          <w:rFonts w:ascii="Arial" w:hAnsi="Arial" w:cs="Arial"/>
          <w:sz w:val="24"/>
          <w:szCs w:val="24"/>
          <w:lang w:val="en-GB" w:eastAsia="en-GB"/>
        </w:rPr>
      </w:pPr>
    </w:p>
    <w:p w14:paraId="7EE74E9D" w14:textId="5225D6BB" w:rsidR="00012425" w:rsidRDefault="00012425" w:rsidP="00996C42">
      <w:pPr>
        <w:spacing w:line="360" w:lineRule="auto"/>
        <w:jc w:val="both"/>
        <w:rPr>
          <w:rFonts w:ascii="Arial" w:hAnsi="Arial" w:cs="Arial"/>
          <w:sz w:val="24"/>
          <w:szCs w:val="24"/>
          <w:lang w:val="en-GB" w:eastAsia="en-GB"/>
        </w:rPr>
      </w:pPr>
    </w:p>
    <w:p w14:paraId="10ABB2AE" w14:textId="4BAD96D6" w:rsidR="00012425" w:rsidRDefault="00012425" w:rsidP="00996C42">
      <w:pPr>
        <w:spacing w:line="360" w:lineRule="auto"/>
        <w:jc w:val="both"/>
        <w:rPr>
          <w:rFonts w:ascii="Arial" w:hAnsi="Arial" w:cs="Arial"/>
          <w:sz w:val="24"/>
          <w:szCs w:val="24"/>
          <w:lang w:val="en-GB" w:eastAsia="en-GB"/>
        </w:rPr>
      </w:pPr>
    </w:p>
    <w:p w14:paraId="5D8062E9" w14:textId="0DA2F8E1" w:rsidR="00012425" w:rsidRDefault="00012425" w:rsidP="00996C42">
      <w:pPr>
        <w:spacing w:line="360" w:lineRule="auto"/>
        <w:jc w:val="both"/>
        <w:rPr>
          <w:rFonts w:ascii="Arial" w:hAnsi="Arial" w:cs="Arial"/>
          <w:sz w:val="24"/>
          <w:szCs w:val="24"/>
          <w:lang w:val="en-GB" w:eastAsia="en-GB"/>
        </w:rPr>
      </w:pPr>
    </w:p>
    <w:p w14:paraId="40327B92" w14:textId="0363AE9A" w:rsidR="00012425" w:rsidRDefault="00012425" w:rsidP="00996C42">
      <w:pPr>
        <w:spacing w:line="360" w:lineRule="auto"/>
        <w:jc w:val="both"/>
        <w:rPr>
          <w:rFonts w:ascii="Arial" w:hAnsi="Arial" w:cs="Arial"/>
          <w:sz w:val="24"/>
          <w:szCs w:val="24"/>
          <w:lang w:val="en-GB" w:eastAsia="en-GB"/>
        </w:rPr>
      </w:pPr>
    </w:p>
    <w:p w14:paraId="222E084A" w14:textId="3449C476" w:rsidR="00012425" w:rsidRDefault="005F1C36" w:rsidP="00012425">
      <w:pPr>
        <w:pStyle w:val="Heading1"/>
        <w:jc w:val="center"/>
        <w:rPr>
          <w:lang w:val="en-GB" w:eastAsia="en-GB"/>
        </w:rPr>
      </w:pPr>
      <w:bookmarkStart w:id="132" w:name="_Toc239188581"/>
      <w:r>
        <w:rPr>
          <w:lang w:val="en-GB" w:eastAsia="en-GB"/>
        </w:rPr>
        <w:lastRenderedPageBreak/>
        <w:t>Chapter 14</w:t>
      </w:r>
      <w:r w:rsidR="00012425" w:rsidRPr="00012425">
        <w:rPr>
          <w:lang w:val="en-GB" w:eastAsia="en-GB"/>
        </w:rPr>
        <w:t>:</w:t>
      </w:r>
      <w:r w:rsidR="00012425" w:rsidRPr="00012425">
        <w:t xml:space="preserve"> </w:t>
      </w:r>
      <w:r w:rsidR="00012425" w:rsidRPr="00012425">
        <w:rPr>
          <w:lang w:val="en-GB" w:eastAsia="en-GB"/>
        </w:rPr>
        <w:t>Reflection</w:t>
      </w:r>
      <w:bookmarkEnd w:id="132"/>
    </w:p>
    <w:p w14:paraId="0D9C9130" w14:textId="1E6FA079"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Working on this business development proposal for </w:t>
      </w:r>
      <w:proofErr w:type="spellStart"/>
      <w:r w:rsidRPr="00012425">
        <w:rPr>
          <w:rFonts w:ascii="Arial" w:hAnsi="Arial" w:cs="Arial"/>
          <w:sz w:val="24"/>
          <w:szCs w:val="24"/>
          <w:lang w:val="en-GB" w:eastAsia="en-GB"/>
        </w:rPr>
        <w:t>FitLife</w:t>
      </w:r>
      <w:proofErr w:type="spellEnd"/>
      <w:r w:rsidRPr="00012425">
        <w:rPr>
          <w:rFonts w:ascii="Arial" w:hAnsi="Arial" w:cs="Arial"/>
          <w:sz w:val="24"/>
          <w:szCs w:val="24"/>
          <w:lang w:val="en-GB" w:eastAsia="en-GB"/>
        </w:rPr>
        <w:t xml:space="preserve"> Smart Gym has been a great learning opportunity as I had to convert a business idea into a structured, evidence-based and commercially viable business proposal. The steps that were involved were Market Research, Competitor Analysis, Strategic Planning, Business Model Development, Financial Forecasting, Marketing and Sales Planning, Human Capital Planning, Operations Analysis, Feasibility and Implementation Planning. This experience made me aware that all these areas need to be worked on together as one since they all are interconne</w:t>
      </w:r>
      <w:r w:rsidR="005F1C36">
        <w:rPr>
          <w:rFonts w:ascii="Arial" w:hAnsi="Arial" w:cs="Arial"/>
          <w:sz w:val="24"/>
          <w:szCs w:val="24"/>
          <w:lang w:val="en-GB" w:eastAsia="en-GB"/>
        </w:rPr>
        <w:t>cted with one another.</w:t>
      </w:r>
    </w:p>
    <w:p w14:paraId="5E72AAB1" w14:textId="6E47E34F" w:rsidR="00012425" w:rsidRPr="005F1C36" w:rsidRDefault="005F1C36" w:rsidP="005F1C36">
      <w:pPr>
        <w:pStyle w:val="Heading2"/>
        <w:rPr>
          <w:lang w:val="en-GB" w:eastAsia="en-GB"/>
        </w:rPr>
      </w:pPr>
      <w:bookmarkStart w:id="133" w:name="_Toc239188582"/>
      <w:r>
        <w:rPr>
          <w:lang w:val="en-GB" w:eastAsia="en-GB"/>
        </w:rPr>
        <w:t xml:space="preserve">14.1 </w:t>
      </w:r>
      <w:r w:rsidR="00012425" w:rsidRPr="00012425">
        <w:rPr>
          <w:lang w:val="en-GB" w:eastAsia="en-GB"/>
        </w:rPr>
        <w:t>My Experience</w:t>
      </w:r>
      <w:bookmarkEnd w:id="133"/>
    </w:p>
    <w:p w14:paraId="77B07F29" w14:textId="7B030DD6"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Like in the methodology of the proposal, the first step of my experience was to conduct secondary research. I access and </w:t>
      </w:r>
      <w:r w:rsidR="005F1C36" w:rsidRPr="00012425">
        <w:rPr>
          <w:rFonts w:ascii="Arial" w:hAnsi="Arial" w:cs="Arial"/>
          <w:sz w:val="24"/>
          <w:szCs w:val="24"/>
          <w:lang w:val="en-GB" w:eastAsia="en-GB"/>
        </w:rPr>
        <w:t>analysed</w:t>
      </w:r>
      <w:r w:rsidRPr="00012425">
        <w:rPr>
          <w:rFonts w:ascii="Arial" w:hAnsi="Arial" w:cs="Arial"/>
          <w:sz w:val="24"/>
          <w:szCs w:val="24"/>
          <w:lang w:val="en-GB" w:eastAsia="en-GB"/>
        </w:rPr>
        <w:t xml:space="preserve"> academic papers and industry sources, while researching and evaluating product/market competitions and other valid sources of information, for the purpose of informing key business decisions. A major challenge for me was being able to select information that is reliable and relevant. I gained insight into the quality of research not just based on the number of sources, but on the quality of how evidence was linked to the research purposes and business decisions. This is in line with the importance of systematic and appropriate evidence selection in business research (Saunders, Lewis and Thorn</w:t>
      </w:r>
      <w:r w:rsidR="005F1C36">
        <w:rPr>
          <w:rFonts w:ascii="Arial" w:hAnsi="Arial" w:cs="Arial"/>
          <w:sz w:val="24"/>
          <w:szCs w:val="24"/>
          <w:lang w:val="en-GB" w:eastAsia="en-GB"/>
        </w:rPr>
        <w:t>hill 2019).</w:t>
      </w:r>
    </w:p>
    <w:p w14:paraId="4D4D61B2" w14:textId="4778B49C"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It was also a significant experience for me to apply strategic frameworks. The PESTLE analysis was useful to comprehend the external environment, and Porter's Five Forces was useful to gauge competitive pressures (Porter, 1980). In addition, I used STP for target market and positioning, and the Business Model Canvas to gain insight into the interactions between the elements of the proposed business model (</w:t>
      </w:r>
      <w:proofErr w:type="spellStart"/>
      <w:r w:rsidRPr="00012425">
        <w:rPr>
          <w:rFonts w:ascii="Arial" w:hAnsi="Arial" w:cs="Arial"/>
          <w:sz w:val="24"/>
          <w:szCs w:val="24"/>
          <w:lang w:val="en-GB" w:eastAsia="en-GB"/>
        </w:rPr>
        <w:t>Osterwalder</w:t>
      </w:r>
      <w:proofErr w:type="spellEnd"/>
      <w:r w:rsidRPr="00012425">
        <w:rPr>
          <w:rFonts w:ascii="Arial" w:hAnsi="Arial" w:cs="Arial"/>
          <w:sz w:val="24"/>
          <w:szCs w:val="24"/>
          <w:lang w:val="en-GB" w:eastAsia="en-GB"/>
        </w:rPr>
        <w:t xml:space="preserve"> and </w:t>
      </w:r>
      <w:proofErr w:type="spellStart"/>
      <w:r w:rsidRPr="00012425">
        <w:rPr>
          <w:rFonts w:ascii="Arial" w:hAnsi="Arial" w:cs="Arial"/>
          <w:sz w:val="24"/>
          <w:szCs w:val="24"/>
          <w:lang w:val="en-GB" w:eastAsia="en-GB"/>
        </w:rPr>
        <w:t>Pigneur</w:t>
      </w:r>
      <w:proofErr w:type="spellEnd"/>
      <w:r w:rsidRPr="00012425">
        <w:rPr>
          <w:rFonts w:ascii="Arial" w:hAnsi="Arial" w:cs="Arial"/>
          <w:sz w:val="24"/>
          <w:szCs w:val="24"/>
          <w:lang w:val="en-GB" w:eastAsia="en-GB"/>
        </w:rPr>
        <w:t>, 2010). At first, I saw these frameworks just as analytical tools, but once I finished the proposal, I realized the true value of these frameworks is in their</w:t>
      </w:r>
      <w:r w:rsidR="005F1C36">
        <w:rPr>
          <w:rFonts w:ascii="Arial" w:hAnsi="Arial" w:cs="Arial"/>
          <w:sz w:val="24"/>
          <w:szCs w:val="24"/>
          <w:lang w:val="en-GB" w:eastAsia="en-GB"/>
        </w:rPr>
        <w:t xml:space="preserve"> ability to make things happen.</w:t>
      </w:r>
    </w:p>
    <w:p w14:paraId="086795E9" w14:textId="168C0061" w:rsidR="00012425" w:rsidRPr="005F1C36" w:rsidRDefault="005F1C36" w:rsidP="005F1C36">
      <w:pPr>
        <w:pStyle w:val="Heading2"/>
        <w:rPr>
          <w:lang w:val="en-GB" w:eastAsia="en-GB"/>
        </w:rPr>
      </w:pPr>
      <w:bookmarkStart w:id="134" w:name="_Toc239188583"/>
      <w:r>
        <w:rPr>
          <w:lang w:val="en-GB" w:eastAsia="en-GB"/>
        </w:rPr>
        <w:t xml:space="preserve">14.2 </w:t>
      </w:r>
      <w:r w:rsidR="00012425" w:rsidRPr="00012425">
        <w:rPr>
          <w:lang w:val="en-GB" w:eastAsia="en-GB"/>
        </w:rPr>
        <w:t>What I Learned</w:t>
      </w:r>
      <w:bookmarkEnd w:id="134"/>
    </w:p>
    <w:p w14:paraId="48245115" w14:textId="3C7A9EC4"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My number one rule is that a good business idea is not necessarily a good business opportunity. Market demand needs to be linked to pricing, market entry, capacity, staffing and financial performance. This was especially apparent when writing the financial and feasibility chapters. Break-even analysis enabled me to have an </w:t>
      </w:r>
      <w:r w:rsidRPr="00012425">
        <w:rPr>
          <w:rFonts w:ascii="Arial" w:hAnsi="Arial" w:cs="Arial"/>
          <w:sz w:val="24"/>
          <w:szCs w:val="24"/>
          <w:lang w:val="en-GB" w:eastAsia="en-GB"/>
        </w:rPr>
        <w:lastRenderedPageBreak/>
        <w:t>understanding of the sales volume needed to break even, and sensitivity analysis helped me understand how increasing or decreasing of customer volumes or costs could affect viability (</w:t>
      </w:r>
      <w:proofErr w:type="spellStart"/>
      <w:r w:rsidRPr="00012425">
        <w:rPr>
          <w:rFonts w:ascii="Arial" w:hAnsi="Arial" w:cs="Arial"/>
          <w:sz w:val="24"/>
          <w:szCs w:val="24"/>
          <w:lang w:val="en-GB" w:eastAsia="en-GB"/>
        </w:rPr>
        <w:t>Atr</w:t>
      </w:r>
      <w:r w:rsidR="005F1C36">
        <w:rPr>
          <w:rFonts w:ascii="Arial" w:hAnsi="Arial" w:cs="Arial"/>
          <w:sz w:val="24"/>
          <w:szCs w:val="24"/>
          <w:lang w:val="en-GB" w:eastAsia="en-GB"/>
        </w:rPr>
        <w:t>ill</w:t>
      </w:r>
      <w:proofErr w:type="spellEnd"/>
      <w:r w:rsidR="005F1C36">
        <w:rPr>
          <w:rFonts w:ascii="Arial" w:hAnsi="Arial" w:cs="Arial"/>
          <w:sz w:val="24"/>
          <w:szCs w:val="24"/>
          <w:lang w:val="en-GB" w:eastAsia="en-GB"/>
        </w:rPr>
        <w:t xml:space="preserve"> and </w:t>
      </w:r>
      <w:proofErr w:type="spellStart"/>
      <w:r w:rsidR="005F1C36">
        <w:rPr>
          <w:rFonts w:ascii="Arial" w:hAnsi="Arial" w:cs="Arial"/>
          <w:sz w:val="24"/>
          <w:szCs w:val="24"/>
          <w:lang w:val="en-GB" w:eastAsia="en-GB"/>
        </w:rPr>
        <w:t>McLaney</w:t>
      </w:r>
      <w:proofErr w:type="spellEnd"/>
      <w:r w:rsidR="005F1C36">
        <w:rPr>
          <w:rFonts w:ascii="Arial" w:hAnsi="Arial" w:cs="Arial"/>
          <w:sz w:val="24"/>
          <w:szCs w:val="24"/>
          <w:lang w:val="en-GB" w:eastAsia="en-GB"/>
        </w:rPr>
        <w:t>, 2022).</w:t>
      </w:r>
    </w:p>
    <w:p w14:paraId="34581AE9" w14:textId="7CCBBEE5"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Oh, and I also found out how vital it is for consistency between yourself and your story. For instance, customer volumes to be incorporated in the financial forecast should be possible within the proposed marketing efforts and capacity. Likewise, there should be adequate numbers of staff to provide the promised level of service to the customer without creating unsustainable labour costs. This strengthened the resource-based perspective of competitive advantage being derived from the effective management of valuable resources and organisation</w:t>
      </w:r>
      <w:r w:rsidR="005F1C36">
        <w:rPr>
          <w:rFonts w:ascii="Arial" w:hAnsi="Arial" w:cs="Arial"/>
          <w:sz w:val="24"/>
          <w:szCs w:val="24"/>
          <w:lang w:val="en-GB" w:eastAsia="en-GB"/>
        </w:rPr>
        <w:t>al capabilities (Barney, 1991).</w:t>
      </w:r>
    </w:p>
    <w:p w14:paraId="1D4EE074" w14:textId="25EB43B9"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Another valuable lesson had to do with critical thinking. I knew that I did not just need to show that </w:t>
      </w:r>
      <w:proofErr w:type="spellStart"/>
      <w:r w:rsidRPr="00012425">
        <w:rPr>
          <w:rFonts w:ascii="Arial" w:hAnsi="Arial" w:cs="Arial"/>
          <w:sz w:val="24"/>
          <w:szCs w:val="24"/>
          <w:lang w:val="en-GB" w:eastAsia="en-GB"/>
        </w:rPr>
        <w:t>FitLife</w:t>
      </w:r>
      <w:proofErr w:type="spellEnd"/>
      <w:r w:rsidRPr="00012425">
        <w:rPr>
          <w:rFonts w:ascii="Arial" w:hAnsi="Arial" w:cs="Arial"/>
          <w:sz w:val="24"/>
          <w:szCs w:val="24"/>
          <w:lang w:val="en-GB" w:eastAsia="en-GB"/>
        </w:rPr>
        <w:t xml:space="preserve"> Smart Gym would work. A solid proposal is one in which assumptions, uncertainties and potential risks are correctly identified and the feasibility of controlling risks is determined. This changed my approach from descriptive writing tow</w:t>
      </w:r>
      <w:r w:rsidR="005F1C36">
        <w:rPr>
          <w:rFonts w:ascii="Arial" w:hAnsi="Arial" w:cs="Arial"/>
          <w:sz w:val="24"/>
          <w:szCs w:val="24"/>
          <w:lang w:val="en-GB" w:eastAsia="en-GB"/>
        </w:rPr>
        <w:t>ards evidence-based evaluation.</w:t>
      </w:r>
    </w:p>
    <w:p w14:paraId="4D0A82B6" w14:textId="5A74FF50" w:rsidR="00012425" w:rsidRPr="005F1C36" w:rsidRDefault="005F1C36" w:rsidP="005F1C36">
      <w:pPr>
        <w:pStyle w:val="Heading2"/>
        <w:rPr>
          <w:lang w:val="en-GB" w:eastAsia="en-GB"/>
        </w:rPr>
      </w:pPr>
      <w:bookmarkStart w:id="135" w:name="_Toc239188584"/>
      <w:r>
        <w:rPr>
          <w:lang w:val="en-GB" w:eastAsia="en-GB"/>
        </w:rPr>
        <w:t xml:space="preserve">14.3 </w:t>
      </w:r>
      <w:r w:rsidR="00012425" w:rsidRPr="00012425">
        <w:rPr>
          <w:lang w:val="en-GB" w:eastAsia="en-GB"/>
        </w:rPr>
        <w:t>How I Would Do Things Differently Next Time!</w:t>
      </w:r>
      <w:bookmarkEnd w:id="135"/>
    </w:p>
    <w:p w14:paraId="2E13F596" w14:textId="2AA21A5D"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In a follow-up to the same, I would start the research and evidence gathering process sooner. I would make an evidence matrix that would document each source, its date of publication, critical findings, reliability and the specific business decision that would be supported by the evidence. This would facilitate the structuring of secondary research and ensure that evidence to inform recommendations would be consistent throughout the report (Saunde</w:t>
      </w:r>
      <w:r w:rsidR="005F1C36">
        <w:rPr>
          <w:rFonts w:ascii="Arial" w:hAnsi="Arial" w:cs="Arial"/>
          <w:sz w:val="24"/>
          <w:szCs w:val="24"/>
          <w:lang w:val="en-GB" w:eastAsia="en-GB"/>
        </w:rPr>
        <w:t>rs, Lewis and Thornhill, 2019).</w:t>
      </w:r>
    </w:p>
    <w:p w14:paraId="6827843E" w14:textId="11DA17BD"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I would also check which assumptions are crucial and validate them before creating detailed financial forecasts. I would gather more robust primary data on willingness to pay, preferred membership, rate of acquisition and retention intentions, in particular. A more solid foundation to estimate demand and minimize uncertainty may be provided by combining secondary </w:t>
      </w:r>
      <w:r w:rsidR="005F1C36">
        <w:rPr>
          <w:rFonts w:ascii="Arial" w:hAnsi="Arial" w:cs="Arial"/>
          <w:sz w:val="24"/>
          <w:szCs w:val="24"/>
          <w:lang w:val="en-GB" w:eastAsia="en-GB"/>
        </w:rPr>
        <w:t>research with primary research.</w:t>
      </w:r>
    </w:p>
    <w:p w14:paraId="4F091F1B" w14:textId="77777777"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Last but not least, I would make some integration tests throughout the project, not just at the end. I would do comparisons of the strategy, the Business Model Canvas, marketing plan, staffing, operations and financial assumptions on a regular basis. This would enable contradictions to be spotted and rectified sooner.</w:t>
      </w:r>
    </w:p>
    <w:p w14:paraId="2BFB2DD2" w14:textId="77777777" w:rsidR="00012425" w:rsidRPr="00012425" w:rsidRDefault="00012425" w:rsidP="00012425">
      <w:pPr>
        <w:spacing w:line="360" w:lineRule="auto"/>
        <w:jc w:val="both"/>
        <w:rPr>
          <w:rFonts w:ascii="Arial" w:hAnsi="Arial" w:cs="Arial"/>
          <w:sz w:val="24"/>
          <w:szCs w:val="24"/>
          <w:lang w:val="en-GB" w:eastAsia="en-GB"/>
        </w:rPr>
      </w:pPr>
    </w:p>
    <w:p w14:paraId="7B9BDACE" w14:textId="5E19910D" w:rsidR="00012425" w:rsidRPr="00996C42"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Overall, my research, strategic analysis, financial planning, critical thinking and decision making skills were greatly enhanced. First and foremost, I discovered that business development is based on evidence; it involves making realistic assumptions that ought to be integrated within both the business plan and the way the business is taken care of. The proposal process was therefore a boost to my skills in evaluating a business opportunity critically, rather than an optimistic business idea.</w:t>
      </w:r>
    </w:p>
    <w:p w14:paraId="61602D2A" w14:textId="049C0FEE" w:rsidR="001A384C" w:rsidRDefault="001A384C" w:rsidP="00E04AAD">
      <w:pPr>
        <w:spacing w:before="240" w:line="360" w:lineRule="auto"/>
        <w:jc w:val="both"/>
        <w:rPr>
          <w:rFonts w:ascii="Arial" w:hAnsi="Arial" w:cs="Arial"/>
          <w:sz w:val="24"/>
          <w:szCs w:val="24"/>
          <w:lang w:val="en-GB" w:eastAsia="en-GB"/>
        </w:rPr>
      </w:pPr>
    </w:p>
    <w:p w14:paraId="721BD68E" w14:textId="39222F5E" w:rsidR="001A384C" w:rsidRDefault="001A384C" w:rsidP="00E04AAD">
      <w:pPr>
        <w:spacing w:before="240" w:line="360" w:lineRule="auto"/>
        <w:jc w:val="both"/>
        <w:rPr>
          <w:rFonts w:ascii="Arial" w:hAnsi="Arial" w:cs="Arial"/>
          <w:sz w:val="24"/>
          <w:szCs w:val="24"/>
          <w:lang w:val="en-GB" w:eastAsia="en-GB"/>
        </w:rPr>
      </w:pPr>
    </w:p>
    <w:p w14:paraId="6F7FF533" w14:textId="0FAB2504" w:rsidR="001A384C" w:rsidRDefault="001A384C" w:rsidP="00E04AAD">
      <w:pPr>
        <w:spacing w:before="240" w:line="360" w:lineRule="auto"/>
        <w:jc w:val="both"/>
        <w:rPr>
          <w:rFonts w:ascii="Arial" w:hAnsi="Arial" w:cs="Arial"/>
          <w:sz w:val="24"/>
          <w:szCs w:val="24"/>
          <w:lang w:val="en-GB" w:eastAsia="en-GB"/>
        </w:rPr>
      </w:pPr>
    </w:p>
    <w:p w14:paraId="33B7C340" w14:textId="1B7DED76" w:rsidR="001A384C" w:rsidRDefault="001A384C" w:rsidP="00E04AAD">
      <w:pPr>
        <w:spacing w:before="240" w:line="360" w:lineRule="auto"/>
        <w:jc w:val="both"/>
        <w:rPr>
          <w:rFonts w:ascii="Arial" w:hAnsi="Arial" w:cs="Arial"/>
          <w:sz w:val="24"/>
          <w:szCs w:val="24"/>
          <w:lang w:val="en-GB" w:eastAsia="en-GB"/>
        </w:rPr>
      </w:pPr>
    </w:p>
    <w:p w14:paraId="490B998A" w14:textId="431606C1" w:rsidR="00A908C3" w:rsidRDefault="00A908C3" w:rsidP="00E04AAD">
      <w:pPr>
        <w:spacing w:before="240" w:line="360" w:lineRule="auto"/>
        <w:jc w:val="both"/>
        <w:rPr>
          <w:rFonts w:ascii="Arial" w:hAnsi="Arial" w:cs="Arial"/>
          <w:sz w:val="24"/>
          <w:szCs w:val="24"/>
          <w:lang w:val="en-GB" w:eastAsia="en-GB"/>
        </w:rPr>
      </w:pPr>
    </w:p>
    <w:p w14:paraId="3F0DE857" w14:textId="5DCADBF5" w:rsidR="00A908C3" w:rsidRDefault="00A908C3" w:rsidP="00E04AAD">
      <w:pPr>
        <w:spacing w:before="240" w:line="360" w:lineRule="auto"/>
        <w:jc w:val="both"/>
        <w:rPr>
          <w:rFonts w:ascii="Arial" w:hAnsi="Arial" w:cs="Arial"/>
          <w:sz w:val="24"/>
          <w:szCs w:val="24"/>
          <w:lang w:val="en-GB" w:eastAsia="en-GB"/>
        </w:rPr>
      </w:pPr>
    </w:p>
    <w:p w14:paraId="4A653B7E" w14:textId="6B0F35A3" w:rsidR="00A908C3" w:rsidRDefault="00A908C3" w:rsidP="00E04AAD">
      <w:pPr>
        <w:spacing w:before="240" w:line="360" w:lineRule="auto"/>
        <w:jc w:val="both"/>
        <w:rPr>
          <w:rFonts w:ascii="Arial" w:hAnsi="Arial" w:cs="Arial"/>
          <w:sz w:val="24"/>
          <w:szCs w:val="24"/>
          <w:lang w:val="en-GB" w:eastAsia="en-GB"/>
        </w:rPr>
      </w:pPr>
    </w:p>
    <w:p w14:paraId="4189A534" w14:textId="5E41925E" w:rsidR="00A908C3" w:rsidRDefault="00A908C3" w:rsidP="00E04AAD">
      <w:pPr>
        <w:spacing w:before="240" w:line="360" w:lineRule="auto"/>
        <w:jc w:val="both"/>
        <w:rPr>
          <w:rFonts w:ascii="Arial" w:hAnsi="Arial" w:cs="Arial"/>
          <w:sz w:val="24"/>
          <w:szCs w:val="24"/>
          <w:lang w:val="en-GB" w:eastAsia="en-GB"/>
        </w:rPr>
      </w:pPr>
    </w:p>
    <w:p w14:paraId="14990947" w14:textId="5F67ED02" w:rsidR="00A908C3" w:rsidRDefault="00A908C3" w:rsidP="00E04AAD">
      <w:pPr>
        <w:spacing w:before="240" w:line="360" w:lineRule="auto"/>
        <w:jc w:val="both"/>
        <w:rPr>
          <w:rFonts w:ascii="Arial" w:hAnsi="Arial" w:cs="Arial"/>
          <w:sz w:val="24"/>
          <w:szCs w:val="24"/>
          <w:lang w:val="en-GB" w:eastAsia="en-GB"/>
        </w:rPr>
      </w:pPr>
    </w:p>
    <w:p w14:paraId="30FC4350" w14:textId="10F06640" w:rsidR="00A908C3" w:rsidRDefault="00A908C3" w:rsidP="00E04AAD">
      <w:pPr>
        <w:spacing w:before="240" w:line="360" w:lineRule="auto"/>
        <w:jc w:val="both"/>
        <w:rPr>
          <w:rFonts w:ascii="Arial" w:hAnsi="Arial" w:cs="Arial"/>
          <w:sz w:val="24"/>
          <w:szCs w:val="24"/>
          <w:lang w:val="en-GB" w:eastAsia="en-GB"/>
        </w:rPr>
      </w:pPr>
    </w:p>
    <w:p w14:paraId="718F629D" w14:textId="77777777" w:rsidR="00A908C3" w:rsidRDefault="00A908C3" w:rsidP="00E04AAD">
      <w:pPr>
        <w:spacing w:before="240" w:line="360" w:lineRule="auto"/>
        <w:jc w:val="both"/>
        <w:rPr>
          <w:rFonts w:ascii="Arial" w:hAnsi="Arial" w:cs="Arial"/>
          <w:sz w:val="24"/>
          <w:szCs w:val="24"/>
          <w:lang w:val="en-GB" w:eastAsia="en-GB"/>
        </w:rPr>
      </w:pPr>
    </w:p>
    <w:p w14:paraId="221CDB34" w14:textId="1E6D3AF6" w:rsidR="001A384C" w:rsidRDefault="001A384C" w:rsidP="00E04AAD">
      <w:pPr>
        <w:spacing w:before="240" w:line="360" w:lineRule="auto"/>
        <w:jc w:val="both"/>
        <w:rPr>
          <w:rFonts w:ascii="Arial" w:hAnsi="Arial" w:cs="Arial"/>
          <w:sz w:val="24"/>
          <w:szCs w:val="24"/>
          <w:lang w:val="en-GB" w:eastAsia="en-GB"/>
        </w:rPr>
      </w:pPr>
    </w:p>
    <w:p w14:paraId="5F7BAC6F" w14:textId="2525FEFF" w:rsidR="001A384C" w:rsidRDefault="001A384C" w:rsidP="00E04AAD">
      <w:pPr>
        <w:spacing w:before="240" w:line="360" w:lineRule="auto"/>
        <w:jc w:val="both"/>
        <w:rPr>
          <w:rFonts w:ascii="Arial" w:hAnsi="Arial" w:cs="Arial"/>
          <w:sz w:val="24"/>
          <w:szCs w:val="24"/>
          <w:lang w:val="en-GB" w:eastAsia="en-GB"/>
        </w:rPr>
      </w:pPr>
    </w:p>
    <w:p w14:paraId="3DB43954" w14:textId="77777777" w:rsidR="001A384C" w:rsidRDefault="001A384C" w:rsidP="00E04AAD">
      <w:pPr>
        <w:spacing w:before="240" w:line="360" w:lineRule="auto"/>
        <w:jc w:val="both"/>
        <w:rPr>
          <w:rFonts w:ascii="Arial" w:hAnsi="Arial" w:cs="Arial"/>
          <w:sz w:val="24"/>
          <w:szCs w:val="24"/>
          <w:lang w:val="en-GB" w:eastAsia="en-GB"/>
        </w:rPr>
      </w:pPr>
    </w:p>
    <w:p w14:paraId="1F6DE8CE" w14:textId="63096A0D" w:rsidR="00320ED2" w:rsidRDefault="00320ED2" w:rsidP="00E61401">
      <w:pPr>
        <w:spacing w:line="360" w:lineRule="auto"/>
        <w:jc w:val="both"/>
        <w:rPr>
          <w:rFonts w:ascii="Arial" w:hAnsi="Arial" w:cs="Arial"/>
          <w:sz w:val="24"/>
          <w:szCs w:val="24"/>
          <w:lang w:val="en-GB" w:eastAsia="en-GB"/>
        </w:rPr>
      </w:pPr>
    </w:p>
    <w:p w14:paraId="76C3065E" w14:textId="3A32AADA" w:rsidR="00320ED2" w:rsidRPr="00320ED2" w:rsidRDefault="00320ED2" w:rsidP="002073FB">
      <w:pPr>
        <w:pStyle w:val="Heading1"/>
        <w:rPr>
          <w:rFonts w:eastAsia="Times New Roman"/>
          <w:lang w:val="en-GB" w:eastAsia="en-GB"/>
        </w:rPr>
      </w:pPr>
      <w:r w:rsidRPr="00320ED2">
        <w:rPr>
          <w:rFonts w:eastAsia="Times New Roman"/>
          <w:lang w:val="en-GB" w:eastAsia="en-GB"/>
        </w:rPr>
        <w:lastRenderedPageBreak/>
        <w:t xml:space="preserve"> </w:t>
      </w:r>
      <w:bookmarkStart w:id="136" w:name="_Toc239188585"/>
      <w:r w:rsidRPr="00320ED2">
        <w:rPr>
          <w:rFonts w:eastAsia="Times New Roman"/>
          <w:lang w:val="en-GB" w:eastAsia="en-GB"/>
        </w:rPr>
        <w:t>References</w:t>
      </w:r>
      <w:bookmarkEnd w:id="136"/>
    </w:p>
    <w:p w14:paraId="32D830F2"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Aaker</w:t>
      </w:r>
      <w:proofErr w:type="spellEnd"/>
      <w:r w:rsidRPr="00320ED2">
        <w:rPr>
          <w:rFonts w:ascii="Arial" w:eastAsia="Times New Roman" w:hAnsi="Arial" w:cs="Arial"/>
          <w:sz w:val="24"/>
          <w:szCs w:val="24"/>
          <w:lang w:val="en-GB" w:eastAsia="en-GB"/>
        </w:rPr>
        <w:t xml:space="preserve">, D.A. (1996) </w:t>
      </w:r>
      <w:r w:rsidRPr="00320ED2">
        <w:rPr>
          <w:rFonts w:ascii="Arial" w:eastAsia="Times New Roman" w:hAnsi="Arial" w:cs="Arial"/>
          <w:i/>
          <w:iCs/>
          <w:sz w:val="24"/>
          <w:szCs w:val="24"/>
          <w:lang w:val="en-GB" w:eastAsia="en-GB"/>
        </w:rPr>
        <w:t>Building Strong Brands</w:t>
      </w:r>
      <w:r w:rsidRPr="00320ED2">
        <w:rPr>
          <w:rFonts w:ascii="Arial" w:eastAsia="Times New Roman" w:hAnsi="Arial" w:cs="Arial"/>
          <w:sz w:val="24"/>
          <w:szCs w:val="24"/>
          <w:lang w:val="en-GB" w:eastAsia="en-GB"/>
        </w:rPr>
        <w:t xml:space="preserve">. New York: Free Press. Publisher/Google Books </w:t>
      </w:r>
    </w:p>
    <w:p w14:paraId="2ADA83DD"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Achtenhagen</w:t>
      </w:r>
      <w:proofErr w:type="spellEnd"/>
      <w:r w:rsidRPr="00320ED2">
        <w:rPr>
          <w:rFonts w:ascii="Arial" w:eastAsia="Times New Roman" w:hAnsi="Arial" w:cs="Arial"/>
          <w:sz w:val="24"/>
          <w:szCs w:val="24"/>
          <w:lang w:val="en-GB" w:eastAsia="en-GB"/>
        </w:rPr>
        <w:t xml:space="preserve">, L., </w:t>
      </w:r>
      <w:proofErr w:type="spellStart"/>
      <w:r w:rsidRPr="00320ED2">
        <w:rPr>
          <w:rFonts w:ascii="Arial" w:eastAsia="Times New Roman" w:hAnsi="Arial" w:cs="Arial"/>
          <w:sz w:val="24"/>
          <w:szCs w:val="24"/>
          <w:lang w:val="en-GB" w:eastAsia="en-GB"/>
        </w:rPr>
        <w:t>Melin</w:t>
      </w:r>
      <w:proofErr w:type="spellEnd"/>
      <w:r w:rsidRPr="00320ED2">
        <w:rPr>
          <w:rFonts w:ascii="Arial" w:eastAsia="Times New Roman" w:hAnsi="Arial" w:cs="Arial"/>
          <w:sz w:val="24"/>
          <w:szCs w:val="24"/>
          <w:lang w:val="en-GB" w:eastAsia="en-GB"/>
        </w:rPr>
        <w:t xml:space="preserve">, L. and </w:t>
      </w:r>
      <w:proofErr w:type="spellStart"/>
      <w:r w:rsidRPr="00320ED2">
        <w:rPr>
          <w:rFonts w:ascii="Arial" w:eastAsia="Times New Roman" w:hAnsi="Arial" w:cs="Arial"/>
          <w:sz w:val="24"/>
          <w:szCs w:val="24"/>
          <w:lang w:val="en-GB" w:eastAsia="en-GB"/>
        </w:rPr>
        <w:t>Naldi</w:t>
      </w:r>
      <w:proofErr w:type="spellEnd"/>
      <w:r w:rsidRPr="00320ED2">
        <w:rPr>
          <w:rFonts w:ascii="Arial" w:eastAsia="Times New Roman" w:hAnsi="Arial" w:cs="Arial"/>
          <w:sz w:val="24"/>
          <w:szCs w:val="24"/>
          <w:lang w:val="en-GB" w:eastAsia="en-GB"/>
        </w:rPr>
        <w:t xml:space="preserve">, L. (2013) ‘Dynamics of business models’, </w:t>
      </w:r>
      <w:r w:rsidRPr="00320ED2">
        <w:rPr>
          <w:rFonts w:ascii="Arial" w:eastAsia="Times New Roman" w:hAnsi="Arial" w:cs="Arial"/>
          <w:i/>
          <w:iCs/>
          <w:sz w:val="24"/>
          <w:szCs w:val="24"/>
          <w:lang w:val="en-GB" w:eastAsia="en-GB"/>
        </w:rPr>
        <w:t>Long Range Planning</w:t>
      </w:r>
      <w:r w:rsidRPr="00320ED2">
        <w:rPr>
          <w:rFonts w:ascii="Arial" w:eastAsia="Times New Roman" w:hAnsi="Arial" w:cs="Arial"/>
          <w:sz w:val="24"/>
          <w:szCs w:val="24"/>
          <w:lang w:val="en-GB" w:eastAsia="en-GB"/>
        </w:rPr>
        <w:t xml:space="preserve">, 46(6), pp. 427–442. Article DOI </w:t>
      </w:r>
    </w:p>
    <w:p w14:paraId="1C0187DC"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Barney, J. (1991) ‘Firm resources and sustained competitive advantage’, </w:t>
      </w:r>
      <w:r w:rsidRPr="00320ED2">
        <w:rPr>
          <w:rFonts w:ascii="Arial" w:eastAsia="Times New Roman" w:hAnsi="Arial" w:cs="Arial"/>
          <w:i/>
          <w:iCs/>
          <w:sz w:val="24"/>
          <w:szCs w:val="24"/>
          <w:lang w:val="en-GB" w:eastAsia="en-GB"/>
        </w:rPr>
        <w:t>Journal of Management</w:t>
      </w:r>
      <w:r w:rsidRPr="00320ED2">
        <w:rPr>
          <w:rFonts w:ascii="Arial" w:eastAsia="Times New Roman" w:hAnsi="Arial" w:cs="Arial"/>
          <w:sz w:val="24"/>
          <w:szCs w:val="24"/>
          <w:lang w:val="en-GB" w:eastAsia="en-GB"/>
        </w:rPr>
        <w:t xml:space="preserve">, 17(1), pp. 99–120. </w:t>
      </w:r>
      <w:hyperlink r:id="rId14"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01C5BCD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Becker, L. and </w:t>
      </w:r>
      <w:proofErr w:type="spellStart"/>
      <w:r w:rsidRPr="00320ED2">
        <w:rPr>
          <w:rFonts w:ascii="Arial" w:eastAsia="Times New Roman" w:hAnsi="Arial" w:cs="Arial"/>
          <w:sz w:val="24"/>
          <w:szCs w:val="24"/>
          <w:lang w:val="en-GB" w:eastAsia="en-GB"/>
        </w:rPr>
        <w:t>Jaakkola</w:t>
      </w:r>
      <w:proofErr w:type="spellEnd"/>
      <w:r w:rsidRPr="00320ED2">
        <w:rPr>
          <w:rFonts w:ascii="Arial" w:eastAsia="Times New Roman" w:hAnsi="Arial" w:cs="Arial"/>
          <w:sz w:val="24"/>
          <w:szCs w:val="24"/>
          <w:lang w:val="en-GB" w:eastAsia="en-GB"/>
        </w:rPr>
        <w:t xml:space="preserve">, E. (2020) ‘Customer experience: fundamental premises and implications for research’, </w:t>
      </w:r>
      <w:r w:rsidRPr="00320ED2">
        <w:rPr>
          <w:rFonts w:ascii="Arial" w:eastAsia="Times New Roman" w:hAnsi="Arial" w:cs="Arial"/>
          <w:i/>
          <w:iCs/>
          <w:sz w:val="24"/>
          <w:szCs w:val="24"/>
          <w:lang w:val="en-GB" w:eastAsia="en-GB"/>
        </w:rPr>
        <w:t>Journal of the Academy of Marketing Science</w:t>
      </w:r>
      <w:r w:rsidRPr="00320ED2">
        <w:rPr>
          <w:rFonts w:ascii="Arial" w:eastAsia="Times New Roman" w:hAnsi="Arial" w:cs="Arial"/>
          <w:sz w:val="24"/>
          <w:szCs w:val="24"/>
          <w:lang w:val="en-GB" w:eastAsia="en-GB"/>
        </w:rPr>
        <w:t xml:space="preserve">, 48, pp. 630–648. </w:t>
      </w:r>
      <w:hyperlink r:id="rId15"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19EA6D9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Bijmolt</w:t>
      </w:r>
      <w:proofErr w:type="spellEnd"/>
      <w:r w:rsidRPr="00320ED2">
        <w:rPr>
          <w:rFonts w:ascii="Arial" w:eastAsia="Times New Roman" w:hAnsi="Arial" w:cs="Arial"/>
          <w:sz w:val="24"/>
          <w:szCs w:val="24"/>
          <w:lang w:val="en-GB" w:eastAsia="en-GB"/>
        </w:rPr>
        <w:t xml:space="preserve">, T.H.A., Wedel, M. and </w:t>
      </w:r>
      <w:proofErr w:type="spellStart"/>
      <w:r w:rsidRPr="00320ED2">
        <w:rPr>
          <w:rFonts w:ascii="Arial" w:eastAsia="Times New Roman" w:hAnsi="Arial" w:cs="Arial"/>
          <w:sz w:val="24"/>
          <w:szCs w:val="24"/>
          <w:lang w:val="en-GB" w:eastAsia="en-GB"/>
        </w:rPr>
        <w:t>DeSarbo</w:t>
      </w:r>
      <w:proofErr w:type="spellEnd"/>
      <w:r w:rsidRPr="00320ED2">
        <w:rPr>
          <w:rFonts w:ascii="Arial" w:eastAsia="Times New Roman" w:hAnsi="Arial" w:cs="Arial"/>
          <w:sz w:val="24"/>
          <w:szCs w:val="24"/>
          <w:lang w:val="en-GB" w:eastAsia="en-GB"/>
        </w:rPr>
        <w:t xml:space="preserve">, W.S. (2021) ‘Adaptive multidimensional scaling: brand positioning based on decision sets and dissimilarity judgments’, </w:t>
      </w:r>
      <w:r w:rsidRPr="00320ED2">
        <w:rPr>
          <w:rFonts w:ascii="Arial" w:eastAsia="Times New Roman" w:hAnsi="Arial" w:cs="Arial"/>
          <w:i/>
          <w:iCs/>
          <w:sz w:val="24"/>
          <w:szCs w:val="24"/>
          <w:lang w:val="en-GB" w:eastAsia="en-GB"/>
        </w:rPr>
        <w:t>Customer Needs and Solutions</w:t>
      </w:r>
      <w:r w:rsidRPr="00320ED2">
        <w:rPr>
          <w:rFonts w:ascii="Arial" w:eastAsia="Times New Roman" w:hAnsi="Arial" w:cs="Arial"/>
          <w:sz w:val="24"/>
          <w:szCs w:val="24"/>
          <w:lang w:val="en-GB" w:eastAsia="en-GB"/>
        </w:rPr>
        <w:t xml:space="preserve">, 8, pp. 1–15. </w:t>
      </w:r>
      <w:hyperlink r:id="rId16"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517BA38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British Business Bank (2025) </w:t>
      </w:r>
      <w:r w:rsidRPr="00320ED2">
        <w:rPr>
          <w:rFonts w:ascii="Arial" w:eastAsia="Times New Roman" w:hAnsi="Arial" w:cs="Arial"/>
          <w:i/>
          <w:iCs/>
          <w:sz w:val="24"/>
          <w:szCs w:val="24"/>
          <w:lang w:val="en-GB" w:eastAsia="en-GB"/>
        </w:rPr>
        <w:t>Small Business Finance Markets Report 2025</w:t>
      </w:r>
      <w:r w:rsidRPr="00320ED2">
        <w:rPr>
          <w:rFonts w:ascii="Arial" w:eastAsia="Times New Roman" w:hAnsi="Arial" w:cs="Arial"/>
          <w:sz w:val="24"/>
          <w:szCs w:val="24"/>
          <w:lang w:val="en-GB" w:eastAsia="en-GB"/>
        </w:rPr>
        <w:t xml:space="preserve">. </w:t>
      </w:r>
      <w:hyperlink r:id="rId17" w:tgtFrame="_blank" w:history="1">
        <w:r w:rsidRPr="00320ED2">
          <w:rPr>
            <w:rFonts w:ascii="Arial" w:eastAsia="Times New Roman" w:hAnsi="Arial" w:cs="Arial"/>
            <w:color w:val="0000FF"/>
            <w:sz w:val="24"/>
            <w:szCs w:val="24"/>
            <w:u w:val="single"/>
            <w:lang w:val="en-GB" w:eastAsia="en-GB"/>
          </w:rPr>
          <w:t>British Business Bank report</w:t>
        </w:r>
      </w:hyperlink>
      <w:r w:rsidRPr="00320ED2">
        <w:rPr>
          <w:rFonts w:ascii="Arial" w:eastAsia="Times New Roman" w:hAnsi="Arial" w:cs="Arial"/>
          <w:sz w:val="24"/>
          <w:szCs w:val="24"/>
          <w:lang w:val="en-GB" w:eastAsia="en-GB"/>
        </w:rPr>
        <w:t xml:space="preserve"> </w:t>
      </w:r>
    </w:p>
    <w:p w14:paraId="0F3E8409"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Brinckmann</w:t>
      </w:r>
      <w:proofErr w:type="spellEnd"/>
      <w:r w:rsidRPr="00320ED2">
        <w:rPr>
          <w:rFonts w:ascii="Arial" w:eastAsia="Times New Roman" w:hAnsi="Arial" w:cs="Arial"/>
          <w:sz w:val="24"/>
          <w:szCs w:val="24"/>
          <w:lang w:val="en-GB" w:eastAsia="en-GB"/>
        </w:rPr>
        <w:t xml:space="preserve">, J., </w:t>
      </w:r>
      <w:proofErr w:type="spellStart"/>
      <w:r w:rsidRPr="00320ED2">
        <w:rPr>
          <w:rFonts w:ascii="Arial" w:eastAsia="Times New Roman" w:hAnsi="Arial" w:cs="Arial"/>
          <w:sz w:val="24"/>
          <w:szCs w:val="24"/>
          <w:lang w:val="en-GB" w:eastAsia="en-GB"/>
        </w:rPr>
        <w:t>Grichnik</w:t>
      </w:r>
      <w:proofErr w:type="spellEnd"/>
      <w:r w:rsidRPr="00320ED2">
        <w:rPr>
          <w:rFonts w:ascii="Arial" w:eastAsia="Times New Roman" w:hAnsi="Arial" w:cs="Arial"/>
          <w:sz w:val="24"/>
          <w:szCs w:val="24"/>
          <w:lang w:val="en-GB" w:eastAsia="en-GB"/>
        </w:rPr>
        <w:t xml:space="preserve">, D. and </w:t>
      </w:r>
      <w:proofErr w:type="spellStart"/>
      <w:r w:rsidRPr="00320ED2">
        <w:rPr>
          <w:rFonts w:ascii="Arial" w:eastAsia="Times New Roman" w:hAnsi="Arial" w:cs="Arial"/>
          <w:sz w:val="24"/>
          <w:szCs w:val="24"/>
          <w:lang w:val="en-GB" w:eastAsia="en-GB"/>
        </w:rPr>
        <w:t>Kapsa</w:t>
      </w:r>
      <w:proofErr w:type="spellEnd"/>
      <w:r w:rsidRPr="00320ED2">
        <w:rPr>
          <w:rFonts w:ascii="Arial" w:eastAsia="Times New Roman" w:hAnsi="Arial" w:cs="Arial"/>
          <w:sz w:val="24"/>
          <w:szCs w:val="24"/>
          <w:lang w:val="en-GB" w:eastAsia="en-GB"/>
        </w:rPr>
        <w:t xml:space="preserve">, D. (2010) ‘Should entrepreneurs plan or just storm the castle?’, </w:t>
      </w:r>
      <w:r w:rsidRPr="00320ED2">
        <w:rPr>
          <w:rFonts w:ascii="Arial" w:eastAsia="Times New Roman" w:hAnsi="Arial" w:cs="Arial"/>
          <w:i/>
          <w:iCs/>
          <w:sz w:val="24"/>
          <w:szCs w:val="24"/>
          <w:lang w:val="en-GB" w:eastAsia="en-GB"/>
        </w:rPr>
        <w:t>Journal of Business Venturing</w:t>
      </w:r>
      <w:r w:rsidRPr="00320ED2">
        <w:rPr>
          <w:rFonts w:ascii="Arial" w:eastAsia="Times New Roman" w:hAnsi="Arial" w:cs="Arial"/>
          <w:sz w:val="24"/>
          <w:szCs w:val="24"/>
          <w:lang w:val="en-GB" w:eastAsia="en-GB"/>
        </w:rPr>
        <w:t xml:space="preserve">, 25(1), pp. 24–40. Article DOI </w:t>
      </w:r>
    </w:p>
    <w:p w14:paraId="6C5C140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Burns, P. (2022) </w:t>
      </w:r>
      <w:r w:rsidRPr="00320ED2">
        <w:rPr>
          <w:rFonts w:ascii="Arial" w:eastAsia="Times New Roman" w:hAnsi="Arial" w:cs="Arial"/>
          <w:i/>
          <w:iCs/>
          <w:sz w:val="24"/>
          <w:szCs w:val="24"/>
          <w:lang w:val="en-GB" w:eastAsia="en-GB"/>
        </w:rPr>
        <w:t>Entrepreneurship and Small Business</w:t>
      </w:r>
      <w:r w:rsidRPr="00320ED2">
        <w:rPr>
          <w:rFonts w:ascii="Arial" w:eastAsia="Times New Roman" w:hAnsi="Arial" w:cs="Arial"/>
          <w:sz w:val="24"/>
          <w:szCs w:val="24"/>
          <w:lang w:val="en-GB" w:eastAsia="en-GB"/>
        </w:rPr>
        <w:t xml:space="preserve">. 5th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London: Red Globe Press. Publisher </w:t>
      </w:r>
    </w:p>
    <w:p w14:paraId="23782FD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Chaffey, D. and Ellis-Chadwick, F. (2022) </w:t>
      </w:r>
      <w:r w:rsidRPr="00320ED2">
        <w:rPr>
          <w:rFonts w:ascii="Arial" w:eastAsia="Times New Roman" w:hAnsi="Arial" w:cs="Arial"/>
          <w:i/>
          <w:iCs/>
          <w:sz w:val="24"/>
          <w:szCs w:val="24"/>
          <w:lang w:val="en-GB" w:eastAsia="en-GB"/>
        </w:rPr>
        <w:t>Digital Marketing</w:t>
      </w:r>
      <w:r w:rsidRPr="00320ED2">
        <w:rPr>
          <w:rFonts w:ascii="Arial" w:eastAsia="Times New Roman" w:hAnsi="Arial" w:cs="Arial"/>
          <w:sz w:val="24"/>
          <w:szCs w:val="24"/>
          <w:lang w:val="en-GB" w:eastAsia="en-GB"/>
        </w:rPr>
        <w:t xml:space="preserve">. 8th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Pearson </w:t>
      </w:r>
    </w:p>
    <w:p w14:paraId="54CF73D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Christopher, M. (2016) </w:t>
      </w:r>
      <w:r w:rsidRPr="00320ED2">
        <w:rPr>
          <w:rFonts w:ascii="Arial" w:eastAsia="Times New Roman" w:hAnsi="Arial" w:cs="Arial"/>
          <w:i/>
          <w:iCs/>
          <w:sz w:val="24"/>
          <w:szCs w:val="24"/>
          <w:lang w:val="en-GB" w:eastAsia="en-GB"/>
        </w:rPr>
        <w:t>Logistics &amp; Supply Chain Management</w:t>
      </w:r>
      <w:r w:rsidRPr="00320ED2">
        <w:rPr>
          <w:rFonts w:ascii="Arial" w:eastAsia="Times New Roman" w:hAnsi="Arial" w:cs="Arial"/>
          <w:sz w:val="24"/>
          <w:szCs w:val="24"/>
          <w:lang w:val="en-GB" w:eastAsia="en-GB"/>
        </w:rPr>
        <w:t xml:space="preserve">. 5th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18" w:tgtFrame="_blank" w:history="1">
        <w:r w:rsidRPr="00320ED2">
          <w:rPr>
            <w:rFonts w:ascii="Arial" w:eastAsia="Times New Roman" w:hAnsi="Arial" w:cs="Arial"/>
            <w:color w:val="0000FF"/>
            <w:sz w:val="24"/>
            <w:szCs w:val="24"/>
            <w:u w:val="single"/>
            <w:lang w:val="en-GB" w:eastAsia="en-GB"/>
          </w:rPr>
          <w:t>Publisher</w:t>
        </w:r>
      </w:hyperlink>
      <w:r w:rsidRPr="00320ED2">
        <w:rPr>
          <w:rFonts w:ascii="Arial" w:eastAsia="Times New Roman" w:hAnsi="Arial" w:cs="Arial"/>
          <w:sz w:val="24"/>
          <w:szCs w:val="24"/>
          <w:lang w:val="en-GB" w:eastAsia="en-GB"/>
        </w:rPr>
        <w:t xml:space="preserve"> </w:t>
      </w:r>
    </w:p>
    <w:p w14:paraId="359ADB5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Cooper, R.G. (2019) </w:t>
      </w:r>
      <w:r w:rsidRPr="00320ED2">
        <w:rPr>
          <w:rFonts w:ascii="Arial" w:eastAsia="Times New Roman" w:hAnsi="Arial" w:cs="Arial"/>
          <w:i/>
          <w:iCs/>
          <w:sz w:val="24"/>
          <w:szCs w:val="24"/>
          <w:lang w:val="en-GB" w:eastAsia="en-GB"/>
        </w:rPr>
        <w:t>Winning at New Products</w:t>
      </w:r>
      <w:r w:rsidRPr="00320ED2">
        <w:rPr>
          <w:rFonts w:ascii="Arial" w:eastAsia="Times New Roman" w:hAnsi="Arial" w:cs="Arial"/>
          <w:sz w:val="24"/>
          <w:szCs w:val="24"/>
          <w:lang w:val="en-GB" w:eastAsia="en-GB"/>
        </w:rPr>
        <w:t xml:space="preserve">. 5th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New York: Basic Books. Publisher/Google Books </w:t>
      </w:r>
    </w:p>
    <w:p w14:paraId="10DC635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Covin</w:t>
      </w:r>
      <w:proofErr w:type="spellEnd"/>
      <w:r w:rsidRPr="00320ED2">
        <w:rPr>
          <w:rFonts w:ascii="Arial" w:eastAsia="Times New Roman" w:hAnsi="Arial" w:cs="Arial"/>
          <w:sz w:val="24"/>
          <w:szCs w:val="24"/>
          <w:lang w:val="en-GB" w:eastAsia="en-GB"/>
        </w:rPr>
        <w:t xml:space="preserve">, J.G. and </w:t>
      </w:r>
      <w:proofErr w:type="spellStart"/>
      <w:r w:rsidRPr="00320ED2">
        <w:rPr>
          <w:rFonts w:ascii="Arial" w:eastAsia="Times New Roman" w:hAnsi="Arial" w:cs="Arial"/>
          <w:sz w:val="24"/>
          <w:szCs w:val="24"/>
          <w:lang w:val="en-GB" w:eastAsia="en-GB"/>
        </w:rPr>
        <w:t>Slevin</w:t>
      </w:r>
      <w:proofErr w:type="spellEnd"/>
      <w:r w:rsidRPr="00320ED2">
        <w:rPr>
          <w:rFonts w:ascii="Arial" w:eastAsia="Times New Roman" w:hAnsi="Arial" w:cs="Arial"/>
          <w:sz w:val="24"/>
          <w:szCs w:val="24"/>
          <w:lang w:val="en-GB" w:eastAsia="en-GB"/>
        </w:rPr>
        <w:t xml:space="preserve">, D.P. (1991) ‘A conceptual model of entrepreneurship as firm behaviour’, </w:t>
      </w:r>
      <w:r w:rsidRPr="00320ED2">
        <w:rPr>
          <w:rFonts w:ascii="Arial" w:eastAsia="Times New Roman" w:hAnsi="Arial" w:cs="Arial"/>
          <w:i/>
          <w:iCs/>
          <w:sz w:val="24"/>
          <w:szCs w:val="24"/>
          <w:lang w:val="en-GB" w:eastAsia="en-GB"/>
        </w:rPr>
        <w:t>Entrepreneurship Theory and Practice</w:t>
      </w:r>
      <w:r w:rsidRPr="00320ED2">
        <w:rPr>
          <w:rFonts w:ascii="Arial" w:eastAsia="Times New Roman" w:hAnsi="Arial" w:cs="Arial"/>
          <w:sz w:val="24"/>
          <w:szCs w:val="24"/>
          <w:lang w:val="en-GB" w:eastAsia="en-GB"/>
        </w:rPr>
        <w:t xml:space="preserve">, 16(1), pp. 7–25. </w:t>
      </w:r>
      <w:hyperlink r:id="rId19"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71DC64FC"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Cox, D. and </w:t>
      </w:r>
      <w:proofErr w:type="spellStart"/>
      <w:r w:rsidRPr="00320ED2">
        <w:rPr>
          <w:rFonts w:ascii="Arial" w:eastAsia="Times New Roman" w:hAnsi="Arial" w:cs="Arial"/>
          <w:sz w:val="24"/>
          <w:szCs w:val="24"/>
          <w:lang w:val="en-GB" w:eastAsia="en-GB"/>
        </w:rPr>
        <w:t>Fardon</w:t>
      </w:r>
      <w:proofErr w:type="spellEnd"/>
      <w:r w:rsidRPr="00320ED2">
        <w:rPr>
          <w:rFonts w:ascii="Arial" w:eastAsia="Times New Roman" w:hAnsi="Arial" w:cs="Arial"/>
          <w:sz w:val="24"/>
          <w:szCs w:val="24"/>
          <w:lang w:val="en-GB" w:eastAsia="en-GB"/>
        </w:rPr>
        <w:t xml:space="preserve">, M. (2020) </w:t>
      </w:r>
      <w:r w:rsidRPr="00320ED2">
        <w:rPr>
          <w:rFonts w:ascii="Arial" w:eastAsia="Times New Roman" w:hAnsi="Arial" w:cs="Arial"/>
          <w:i/>
          <w:iCs/>
          <w:sz w:val="24"/>
          <w:szCs w:val="24"/>
          <w:lang w:val="en-GB" w:eastAsia="en-GB"/>
        </w:rPr>
        <w:t>Management Accounting for Decision Makers</w:t>
      </w:r>
      <w:r w:rsidRPr="00320ED2">
        <w:rPr>
          <w:rFonts w:ascii="Arial" w:eastAsia="Times New Roman" w:hAnsi="Arial" w:cs="Arial"/>
          <w:sz w:val="24"/>
          <w:szCs w:val="24"/>
          <w:lang w:val="en-GB" w:eastAsia="en-GB"/>
        </w:rPr>
        <w:t xml:space="preserve">. 9th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20"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2F1B09F7"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lastRenderedPageBreak/>
        <w:t xml:space="preserve">Department for Business and Trade (2025) </w:t>
      </w:r>
      <w:r w:rsidRPr="00320ED2">
        <w:rPr>
          <w:rFonts w:ascii="Arial" w:eastAsia="Times New Roman" w:hAnsi="Arial" w:cs="Arial"/>
          <w:i/>
          <w:iCs/>
          <w:sz w:val="24"/>
          <w:szCs w:val="24"/>
          <w:lang w:val="en-GB" w:eastAsia="en-GB"/>
        </w:rPr>
        <w:t>Business Population Estimates for the UK and Regions 2025</w:t>
      </w:r>
      <w:r w:rsidRPr="00320ED2">
        <w:rPr>
          <w:rFonts w:ascii="Arial" w:eastAsia="Times New Roman" w:hAnsi="Arial" w:cs="Arial"/>
          <w:sz w:val="24"/>
          <w:szCs w:val="24"/>
          <w:lang w:val="en-GB" w:eastAsia="en-GB"/>
        </w:rPr>
        <w:t xml:space="preserve">. </w:t>
      </w:r>
      <w:hyperlink r:id="rId21" w:tgtFrame="_blank" w:history="1">
        <w:r w:rsidRPr="00320ED2">
          <w:rPr>
            <w:rFonts w:ascii="Arial" w:eastAsia="Times New Roman" w:hAnsi="Arial" w:cs="Arial"/>
            <w:color w:val="0000FF"/>
            <w:sz w:val="24"/>
            <w:szCs w:val="24"/>
            <w:u w:val="single"/>
            <w:lang w:val="en-GB" w:eastAsia="en-GB"/>
          </w:rPr>
          <w:t>GOV.UK source</w:t>
        </w:r>
      </w:hyperlink>
      <w:r w:rsidRPr="00320ED2">
        <w:rPr>
          <w:rFonts w:ascii="Arial" w:eastAsia="Times New Roman" w:hAnsi="Arial" w:cs="Arial"/>
          <w:sz w:val="24"/>
          <w:szCs w:val="24"/>
          <w:lang w:val="en-GB" w:eastAsia="en-GB"/>
        </w:rPr>
        <w:t xml:space="preserve"> </w:t>
      </w:r>
    </w:p>
    <w:p w14:paraId="3B5A0A4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Department for Business and Trade (2025) </w:t>
      </w:r>
      <w:r w:rsidRPr="00320ED2">
        <w:rPr>
          <w:rFonts w:ascii="Arial" w:eastAsia="Times New Roman" w:hAnsi="Arial" w:cs="Arial"/>
          <w:i/>
          <w:iCs/>
          <w:sz w:val="24"/>
          <w:szCs w:val="24"/>
          <w:lang w:val="en-GB" w:eastAsia="en-GB"/>
        </w:rPr>
        <w:t>Small Business Survey 2024</w:t>
      </w:r>
      <w:r w:rsidRPr="00320ED2">
        <w:rPr>
          <w:rFonts w:ascii="Arial" w:eastAsia="Times New Roman" w:hAnsi="Arial" w:cs="Arial"/>
          <w:sz w:val="24"/>
          <w:szCs w:val="24"/>
          <w:lang w:val="en-GB" w:eastAsia="en-GB"/>
        </w:rPr>
        <w:t xml:space="preserve">. </w:t>
      </w:r>
      <w:hyperlink r:id="rId22" w:tgtFrame="_blank" w:history="1">
        <w:r w:rsidRPr="00320ED2">
          <w:rPr>
            <w:rFonts w:ascii="Arial" w:eastAsia="Times New Roman" w:hAnsi="Arial" w:cs="Arial"/>
            <w:color w:val="0000FF"/>
            <w:sz w:val="24"/>
            <w:szCs w:val="24"/>
            <w:u w:val="single"/>
            <w:lang w:val="en-GB" w:eastAsia="en-GB"/>
          </w:rPr>
          <w:t>GOV.UK Small Business Survey</w:t>
        </w:r>
      </w:hyperlink>
      <w:r w:rsidRPr="00320ED2">
        <w:rPr>
          <w:rFonts w:ascii="Arial" w:eastAsia="Times New Roman" w:hAnsi="Arial" w:cs="Arial"/>
          <w:sz w:val="24"/>
          <w:szCs w:val="24"/>
          <w:lang w:val="en-GB" w:eastAsia="en-GB"/>
        </w:rPr>
        <w:t xml:space="preserve"> </w:t>
      </w:r>
    </w:p>
    <w:p w14:paraId="0849B69E"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Department for Business and Trade (2026) </w:t>
      </w:r>
      <w:r w:rsidRPr="00320ED2">
        <w:rPr>
          <w:rFonts w:ascii="Arial" w:eastAsia="Times New Roman" w:hAnsi="Arial" w:cs="Arial"/>
          <w:i/>
          <w:iCs/>
          <w:sz w:val="24"/>
          <w:szCs w:val="24"/>
          <w:lang w:val="en-GB" w:eastAsia="en-GB"/>
        </w:rPr>
        <w:t>National Minimum Wage: Calculating the Minimum Wage</w:t>
      </w:r>
      <w:r w:rsidRPr="00320ED2">
        <w:rPr>
          <w:rFonts w:ascii="Arial" w:eastAsia="Times New Roman" w:hAnsi="Arial" w:cs="Arial"/>
          <w:sz w:val="24"/>
          <w:szCs w:val="24"/>
          <w:lang w:val="en-GB" w:eastAsia="en-GB"/>
        </w:rPr>
        <w:t xml:space="preserve">. </w:t>
      </w:r>
      <w:hyperlink r:id="rId23" w:tgtFrame="_blank" w:history="1">
        <w:r w:rsidRPr="00320ED2">
          <w:rPr>
            <w:rFonts w:ascii="Arial" w:eastAsia="Times New Roman" w:hAnsi="Arial" w:cs="Arial"/>
            <w:color w:val="0000FF"/>
            <w:sz w:val="24"/>
            <w:szCs w:val="24"/>
            <w:u w:val="single"/>
            <w:lang w:val="en-GB" w:eastAsia="en-GB"/>
          </w:rPr>
          <w:t>GOV.UK guidance</w:t>
        </w:r>
      </w:hyperlink>
      <w:r w:rsidRPr="00320ED2">
        <w:rPr>
          <w:rFonts w:ascii="Arial" w:eastAsia="Times New Roman" w:hAnsi="Arial" w:cs="Arial"/>
          <w:sz w:val="24"/>
          <w:szCs w:val="24"/>
          <w:lang w:val="en-GB" w:eastAsia="en-GB"/>
        </w:rPr>
        <w:t xml:space="preserve"> </w:t>
      </w:r>
    </w:p>
    <w:p w14:paraId="0EEF76E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Dess</w:t>
      </w:r>
      <w:proofErr w:type="spellEnd"/>
      <w:r w:rsidRPr="00320ED2">
        <w:rPr>
          <w:rFonts w:ascii="Arial" w:eastAsia="Times New Roman" w:hAnsi="Arial" w:cs="Arial"/>
          <w:sz w:val="24"/>
          <w:szCs w:val="24"/>
          <w:lang w:val="en-GB" w:eastAsia="en-GB"/>
        </w:rPr>
        <w:t xml:space="preserve">, G.G., McNamara, G., Eisner, A.B. and </w:t>
      </w:r>
      <w:proofErr w:type="spellStart"/>
      <w:r w:rsidRPr="00320ED2">
        <w:rPr>
          <w:rFonts w:ascii="Arial" w:eastAsia="Times New Roman" w:hAnsi="Arial" w:cs="Arial"/>
          <w:sz w:val="24"/>
          <w:szCs w:val="24"/>
          <w:lang w:val="en-GB" w:eastAsia="en-GB"/>
        </w:rPr>
        <w:t>Sauerwald</w:t>
      </w:r>
      <w:proofErr w:type="spellEnd"/>
      <w:r w:rsidRPr="00320ED2">
        <w:rPr>
          <w:rFonts w:ascii="Arial" w:eastAsia="Times New Roman" w:hAnsi="Arial" w:cs="Arial"/>
          <w:sz w:val="24"/>
          <w:szCs w:val="24"/>
          <w:lang w:val="en-GB" w:eastAsia="en-GB"/>
        </w:rPr>
        <w:t xml:space="preserve">, S. (2020) </w:t>
      </w:r>
      <w:r w:rsidRPr="00320ED2">
        <w:rPr>
          <w:rFonts w:ascii="Arial" w:eastAsia="Times New Roman" w:hAnsi="Arial" w:cs="Arial"/>
          <w:i/>
          <w:iCs/>
          <w:sz w:val="24"/>
          <w:szCs w:val="24"/>
          <w:lang w:val="en-GB" w:eastAsia="en-GB"/>
        </w:rPr>
        <w:t>Strategic Management: Text and Cases</w:t>
      </w:r>
      <w:r w:rsidRPr="00320ED2">
        <w:rPr>
          <w:rFonts w:ascii="Arial" w:eastAsia="Times New Roman" w:hAnsi="Arial" w:cs="Arial"/>
          <w:sz w:val="24"/>
          <w:szCs w:val="24"/>
          <w:lang w:val="en-GB" w:eastAsia="en-GB"/>
        </w:rPr>
        <w:t xml:space="preserve">. 10th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New York: McGraw-Hill. </w:t>
      </w:r>
      <w:hyperlink r:id="rId24" w:tgtFrame="_blank" w:history="1">
        <w:r w:rsidRPr="00320ED2">
          <w:rPr>
            <w:rFonts w:ascii="Arial" w:eastAsia="Times New Roman" w:hAnsi="Arial" w:cs="Arial"/>
            <w:color w:val="0000FF"/>
            <w:sz w:val="24"/>
            <w:szCs w:val="24"/>
            <w:u w:val="single"/>
            <w:lang w:val="en-GB" w:eastAsia="en-GB"/>
          </w:rPr>
          <w:t>McGraw Hill</w:t>
        </w:r>
      </w:hyperlink>
      <w:r w:rsidRPr="00320ED2">
        <w:rPr>
          <w:rFonts w:ascii="Arial" w:eastAsia="Times New Roman" w:hAnsi="Arial" w:cs="Arial"/>
          <w:sz w:val="24"/>
          <w:szCs w:val="24"/>
          <w:lang w:val="en-GB" w:eastAsia="en-GB"/>
        </w:rPr>
        <w:t xml:space="preserve"> </w:t>
      </w:r>
    </w:p>
    <w:p w14:paraId="13B276C2"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Drucker, P.F. (1985) </w:t>
      </w:r>
      <w:r w:rsidRPr="00320ED2">
        <w:rPr>
          <w:rFonts w:ascii="Arial" w:eastAsia="Times New Roman" w:hAnsi="Arial" w:cs="Arial"/>
          <w:i/>
          <w:iCs/>
          <w:sz w:val="24"/>
          <w:szCs w:val="24"/>
          <w:lang w:val="en-GB" w:eastAsia="en-GB"/>
        </w:rPr>
        <w:t>Innovation and Entrepreneurship</w:t>
      </w:r>
      <w:r w:rsidRPr="00320ED2">
        <w:rPr>
          <w:rFonts w:ascii="Arial" w:eastAsia="Times New Roman" w:hAnsi="Arial" w:cs="Arial"/>
          <w:sz w:val="24"/>
          <w:szCs w:val="24"/>
          <w:lang w:val="en-GB" w:eastAsia="en-GB"/>
        </w:rPr>
        <w:t xml:space="preserve">. New York: Harper &amp; Row. Google Books </w:t>
      </w:r>
    </w:p>
    <w:p w14:paraId="4082B257"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Eisenhardt</w:t>
      </w:r>
      <w:proofErr w:type="spellEnd"/>
      <w:r w:rsidRPr="00320ED2">
        <w:rPr>
          <w:rFonts w:ascii="Arial" w:eastAsia="Times New Roman" w:hAnsi="Arial" w:cs="Arial"/>
          <w:sz w:val="24"/>
          <w:szCs w:val="24"/>
          <w:lang w:val="en-GB" w:eastAsia="en-GB"/>
        </w:rPr>
        <w:t xml:space="preserve">, K.M. and Martin, J.A. (2000) ‘Dynamic capabilities: what are they?’, </w:t>
      </w:r>
      <w:r w:rsidRPr="00320ED2">
        <w:rPr>
          <w:rFonts w:ascii="Arial" w:eastAsia="Times New Roman" w:hAnsi="Arial" w:cs="Arial"/>
          <w:i/>
          <w:iCs/>
          <w:sz w:val="24"/>
          <w:szCs w:val="24"/>
          <w:lang w:val="en-GB" w:eastAsia="en-GB"/>
        </w:rPr>
        <w:t>Strategic Management Journal</w:t>
      </w:r>
      <w:r w:rsidRPr="00320ED2">
        <w:rPr>
          <w:rFonts w:ascii="Arial" w:eastAsia="Times New Roman" w:hAnsi="Arial" w:cs="Arial"/>
          <w:sz w:val="24"/>
          <w:szCs w:val="24"/>
          <w:lang w:val="en-GB" w:eastAsia="en-GB"/>
        </w:rPr>
        <w:t xml:space="preserve">, 21(10–11), pp. 1105–1121. Article DOI </w:t>
      </w:r>
    </w:p>
    <w:p w14:paraId="7100807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European Commission (2020) </w:t>
      </w:r>
      <w:r w:rsidRPr="00320ED2">
        <w:rPr>
          <w:rFonts w:ascii="Arial" w:eastAsia="Times New Roman" w:hAnsi="Arial" w:cs="Arial"/>
          <w:i/>
          <w:iCs/>
          <w:sz w:val="24"/>
          <w:szCs w:val="24"/>
          <w:lang w:val="en-GB" w:eastAsia="en-GB"/>
        </w:rPr>
        <w:t>User Guide to the SME Definition</w:t>
      </w:r>
      <w:r w:rsidRPr="00320ED2">
        <w:rPr>
          <w:rFonts w:ascii="Arial" w:eastAsia="Times New Roman" w:hAnsi="Arial" w:cs="Arial"/>
          <w:sz w:val="24"/>
          <w:szCs w:val="24"/>
          <w:lang w:val="en-GB" w:eastAsia="en-GB"/>
        </w:rPr>
        <w:t xml:space="preserve">. Brussels: European Commission. </w:t>
      </w:r>
      <w:hyperlink r:id="rId25" w:tgtFrame="_blank" w:history="1">
        <w:r w:rsidRPr="00320ED2">
          <w:rPr>
            <w:rFonts w:ascii="Arial" w:eastAsia="Times New Roman" w:hAnsi="Arial" w:cs="Arial"/>
            <w:color w:val="0000FF"/>
            <w:sz w:val="24"/>
            <w:szCs w:val="24"/>
            <w:u w:val="single"/>
            <w:lang w:val="en-GB" w:eastAsia="en-GB"/>
          </w:rPr>
          <w:t>European Commission</w:t>
        </w:r>
      </w:hyperlink>
      <w:r w:rsidRPr="00320ED2">
        <w:rPr>
          <w:rFonts w:ascii="Arial" w:eastAsia="Times New Roman" w:hAnsi="Arial" w:cs="Arial"/>
          <w:sz w:val="24"/>
          <w:szCs w:val="24"/>
          <w:lang w:val="en-GB" w:eastAsia="en-GB"/>
        </w:rPr>
        <w:t xml:space="preserve"> </w:t>
      </w:r>
    </w:p>
    <w:p w14:paraId="3B4DD676"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Food Standards Agency (2024) </w:t>
      </w:r>
      <w:r w:rsidRPr="00320ED2">
        <w:rPr>
          <w:rFonts w:ascii="Arial" w:eastAsia="Times New Roman" w:hAnsi="Arial" w:cs="Arial"/>
          <w:i/>
          <w:iCs/>
          <w:sz w:val="24"/>
          <w:szCs w:val="24"/>
          <w:lang w:val="en-GB" w:eastAsia="en-GB"/>
        </w:rPr>
        <w:t>Food Safety Management</w:t>
      </w:r>
      <w:r w:rsidRPr="00320ED2">
        <w:rPr>
          <w:rFonts w:ascii="Arial" w:eastAsia="Times New Roman" w:hAnsi="Arial" w:cs="Arial"/>
          <w:sz w:val="24"/>
          <w:szCs w:val="24"/>
          <w:lang w:val="en-GB" w:eastAsia="en-GB"/>
        </w:rPr>
        <w:t xml:space="preserve">. Food Standards Agency </w:t>
      </w:r>
    </w:p>
    <w:p w14:paraId="3429365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Food Standards Agency (2025) </w:t>
      </w:r>
      <w:r w:rsidRPr="00320ED2">
        <w:rPr>
          <w:rFonts w:ascii="Arial" w:eastAsia="Times New Roman" w:hAnsi="Arial" w:cs="Arial"/>
          <w:i/>
          <w:iCs/>
          <w:sz w:val="24"/>
          <w:szCs w:val="24"/>
          <w:lang w:val="en-GB" w:eastAsia="en-GB"/>
        </w:rPr>
        <w:t>General Food Law</w:t>
      </w:r>
      <w:r w:rsidRPr="00320ED2">
        <w:rPr>
          <w:rFonts w:ascii="Arial" w:eastAsia="Times New Roman" w:hAnsi="Arial" w:cs="Arial"/>
          <w:sz w:val="24"/>
          <w:szCs w:val="24"/>
          <w:lang w:val="en-GB" w:eastAsia="en-GB"/>
        </w:rPr>
        <w:t xml:space="preserve">. </w:t>
      </w:r>
      <w:hyperlink r:id="rId26"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2C17BB9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Food Standards Agency (2025) </w:t>
      </w:r>
      <w:r w:rsidRPr="00320ED2">
        <w:rPr>
          <w:rFonts w:ascii="Arial" w:eastAsia="Times New Roman" w:hAnsi="Arial" w:cs="Arial"/>
          <w:i/>
          <w:iCs/>
          <w:sz w:val="24"/>
          <w:szCs w:val="24"/>
          <w:lang w:val="en-GB" w:eastAsia="en-GB"/>
        </w:rPr>
        <w:t>Starting a Food Business Safely</w:t>
      </w:r>
      <w:r w:rsidRPr="00320ED2">
        <w:rPr>
          <w:rFonts w:ascii="Arial" w:eastAsia="Times New Roman" w:hAnsi="Arial" w:cs="Arial"/>
          <w:sz w:val="24"/>
          <w:szCs w:val="24"/>
          <w:lang w:val="en-GB" w:eastAsia="en-GB"/>
        </w:rPr>
        <w:t xml:space="preserve">. </w:t>
      </w:r>
      <w:hyperlink r:id="rId27" w:tgtFrame="_blank" w:history="1">
        <w:r w:rsidRPr="00320ED2">
          <w:rPr>
            <w:rFonts w:ascii="Arial" w:eastAsia="Times New Roman" w:hAnsi="Arial" w:cs="Arial"/>
            <w:color w:val="0000FF"/>
            <w:sz w:val="24"/>
            <w:szCs w:val="24"/>
            <w:u w:val="single"/>
            <w:lang w:val="en-GB" w:eastAsia="en-GB"/>
          </w:rPr>
          <w:t>GOV.UK guidance</w:t>
        </w:r>
      </w:hyperlink>
      <w:r w:rsidRPr="00320ED2">
        <w:rPr>
          <w:rFonts w:ascii="Arial" w:eastAsia="Times New Roman" w:hAnsi="Arial" w:cs="Arial"/>
          <w:sz w:val="24"/>
          <w:szCs w:val="24"/>
          <w:lang w:val="en-GB" w:eastAsia="en-GB"/>
        </w:rPr>
        <w:t xml:space="preserve"> </w:t>
      </w:r>
    </w:p>
    <w:p w14:paraId="258585D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Freeman, R.E. (1984) </w:t>
      </w:r>
      <w:r w:rsidRPr="00320ED2">
        <w:rPr>
          <w:rFonts w:ascii="Arial" w:eastAsia="Times New Roman" w:hAnsi="Arial" w:cs="Arial"/>
          <w:i/>
          <w:iCs/>
          <w:sz w:val="24"/>
          <w:szCs w:val="24"/>
          <w:lang w:val="en-GB" w:eastAsia="en-GB"/>
        </w:rPr>
        <w:t>Strategic Management: A Stakeholder Approach</w:t>
      </w:r>
      <w:r w:rsidRPr="00320ED2">
        <w:rPr>
          <w:rFonts w:ascii="Arial" w:eastAsia="Times New Roman" w:hAnsi="Arial" w:cs="Arial"/>
          <w:sz w:val="24"/>
          <w:szCs w:val="24"/>
          <w:lang w:val="en-GB" w:eastAsia="en-GB"/>
        </w:rPr>
        <w:t xml:space="preserve">. Boston: Pitman. Google Books </w:t>
      </w:r>
    </w:p>
    <w:p w14:paraId="0E6BB8F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Grönroos</w:t>
      </w:r>
      <w:proofErr w:type="spellEnd"/>
      <w:r w:rsidRPr="00320ED2">
        <w:rPr>
          <w:rFonts w:ascii="Arial" w:eastAsia="Times New Roman" w:hAnsi="Arial" w:cs="Arial"/>
          <w:sz w:val="24"/>
          <w:szCs w:val="24"/>
          <w:lang w:val="en-GB" w:eastAsia="en-GB"/>
        </w:rPr>
        <w:t xml:space="preserve">, C. (2007) </w:t>
      </w:r>
      <w:r w:rsidRPr="00320ED2">
        <w:rPr>
          <w:rFonts w:ascii="Arial" w:eastAsia="Times New Roman" w:hAnsi="Arial" w:cs="Arial"/>
          <w:i/>
          <w:iCs/>
          <w:sz w:val="24"/>
          <w:szCs w:val="24"/>
          <w:lang w:val="en-GB" w:eastAsia="en-GB"/>
        </w:rPr>
        <w:t>Service Management and Marketing</w:t>
      </w:r>
      <w:r w:rsidRPr="00320ED2">
        <w:rPr>
          <w:rFonts w:ascii="Arial" w:eastAsia="Times New Roman" w:hAnsi="Arial" w:cs="Arial"/>
          <w:sz w:val="24"/>
          <w:szCs w:val="24"/>
          <w:lang w:val="en-GB" w:eastAsia="en-GB"/>
        </w:rPr>
        <w:t xml:space="preserve">. 3rd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Chichester: Wiley. </w:t>
      </w:r>
      <w:hyperlink r:id="rId28" w:tgtFrame="_blank" w:history="1">
        <w:r w:rsidRPr="00320ED2">
          <w:rPr>
            <w:rFonts w:ascii="Arial" w:eastAsia="Times New Roman" w:hAnsi="Arial" w:cs="Arial"/>
            <w:color w:val="0000FF"/>
            <w:sz w:val="24"/>
            <w:szCs w:val="24"/>
            <w:u w:val="single"/>
            <w:lang w:val="en-GB" w:eastAsia="en-GB"/>
          </w:rPr>
          <w:t>Wiley</w:t>
        </w:r>
      </w:hyperlink>
      <w:r w:rsidRPr="00320ED2">
        <w:rPr>
          <w:rFonts w:ascii="Arial" w:eastAsia="Times New Roman" w:hAnsi="Arial" w:cs="Arial"/>
          <w:sz w:val="24"/>
          <w:szCs w:val="24"/>
          <w:lang w:val="en-GB" w:eastAsia="en-GB"/>
        </w:rPr>
        <w:t xml:space="preserve"> </w:t>
      </w:r>
    </w:p>
    <w:p w14:paraId="55A27506"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Hair, J.F., Page, M. and </w:t>
      </w:r>
      <w:proofErr w:type="spellStart"/>
      <w:r w:rsidRPr="00320ED2">
        <w:rPr>
          <w:rFonts w:ascii="Arial" w:eastAsia="Times New Roman" w:hAnsi="Arial" w:cs="Arial"/>
          <w:sz w:val="24"/>
          <w:szCs w:val="24"/>
          <w:lang w:val="en-GB" w:eastAsia="en-GB"/>
        </w:rPr>
        <w:t>Brunsveld</w:t>
      </w:r>
      <w:proofErr w:type="spellEnd"/>
      <w:r w:rsidRPr="00320ED2">
        <w:rPr>
          <w:rFonts w:ascii="Arial" w:eastAsia="Times New Roman" w:hAnsi="Arial" w:cs="Arial"/>
          <w:sz w:val="24"/>
          <w:szCs w:val="24"/>
          <w:lang w:val="en-GB" w:eastAsia="en-GB"/>
        </w:rPr>
        <w:t xml:space="preserve">, N. (2020) </w:t>
      </w:r>
      <w:r w:rsidRPr="00320ED2">
        <w:rPr>
          <w:rFonts w:ascii="Arial" w:eastAsia="Times New Roman" w:hAnsi="Arial" w:cs="Arial"/>
          <w:i/>
          <w:iCs/>
          <w:sz w:val="24"/>
          <w:szCs w:val="24"/>
          <w:lang w:val="en-GB" w:eastAsia="en-GB"/>
        </w:rPr>
        <w:t>Essentials of Business Research Methods</w:t>
      </w:r>
      <w:r w:rsidRPr="00320ED2">
        <w:rPr>
          <w:rFonts w:ascii="Arial" w:eastAsia="Times New Roman" w:hAnsi="Arial" w:cs="Arial"/>
          <w:sz w:val="24"/>
          <w:szCs w:val="24"/>
          <w:lang w:val="en-GB" w:eastAsia="en-GB"/>
        </w:rPr>
        <w:t xml:space="preserve">. 4th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New York: Routledge. </w:t>
      </w:r>
      <w:hyperlink r:id="rId29" w:tgtFrame="_blank" w:history="1">
        <w:r w:rsidRPr="00320ED2">
          <w:rPr>
            <w:rFonts w:ascii="Arial" w:eastAsia="Times New Roman" w:hAnsi="Arial" w:cs="Arial"/>
            <w:color w:val="0000FF"/>
            <w:sz w:val="24"/>
            <w:szCs w:val="24"/>
            <w:u w:val="single"/>
            <w:lang w:val="en-GB" w:eastAsia="en-GB"/>
          </w:rPr>
          <w:t>Routledge</w:t>
        </w:r>
      </w:hyperlink>
      <w:r w:rsidRPr="00320ED2">
        <w:rPr>
          <w:rFonts w:ascii="Arial" w:eastAsia="Times New Roman" w:hAnsi="Arial" w:cs="Arial"/>
          <w:sz w:val="24"/>
          <w:szCs w:val="24"/>
          <w:lang w:val="en-GB" w:eastAsia="en-GB"/>
        </w:rPr>
        <w:t xml:space="preserve"> </w:t>
      </w:r>
    </w:p>
    <w:p w14:paraId="54705CF7"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Heizer</w:t>
      </w:r>
      <w:proofErr w:type="spellEnd"/>
      <w:r w:rsidRPr="00320ED2">
        <w:rPr>
          <w:rFonts w:ascii="Arial" w:eastAsia="Times New Roman" w:hAnsi="Arial" w:cs="Arial"/>
          <w:sz w:val="24"/>
          <w:szCs w:val="24"/>
          <w:lang w:val="en-GB" w:eastAsia="en-GB"/>
        </w:rPr>
        <w:t xml:space="preserve">, J., Render, B. and Munson, C. (2020) </w:t>
      </w:r>
      <w:r w:rsidRPr="00320ED2">
        <w:rPr>
          <w:rFonts w:ascii="Arial" w:eastAsia="Times New Roman" w:hAnsi="Arial" w:cs="Arial"/>
          <w:i/>
          <w:iCs/>
          <w:sz w:val="24"/>
          <w:szCs w:val="24"/>
          <w:lang w:val="en-GB" w:eastAsia="en-GB"/>
        </w:rPr>
        <w:t>Operations Management: Sustainability and Supply Chain Management</w:t>
      </w:r>
      <w:r w:rsidRPr="00320ED2">
        <w:rPr>
          <w:rFonts w:ascii="Arial" w:eastAsia="Times New Roman" w:hAnsi="Arial" w:cs="Arial"/>
          <w:sz w:val="24"/>
          <w:szCs w:val="24"/>
          <w:lang w:val="en-GB" w:eastAsia="en-GB"/>
        </w:rPr>
        <w:t xml:space="preserve">. 13th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30"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75AB5E3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Hisrich</w:t>
      </w:r>
      <w:proofErr w:type="spellEnd"/>
      <w:r w:rsidRPr="00320ED2">
        <w:rPr>
          <w:rFonts w:ascii="Arial" w:eastAsia="Times New Roman" w:hAnsi="Arial" w:cs="Arial"/>
          <w:sz w:val="24"/>
          <w:szCs w:val="24"/>
          <w:lang w:val="en-GB" w:eastAsia="en-GB"/>
        </w:rPr>
        <w:t xml:space="preserve">, R.D., Peters, M.P. and Shepherd, D.A. (2020) </w:t>
      </w:r>
      <w:r w:rsidRPr="00320ED2">
        <w:rPr>
          <w:rFonts w:ascii="Arial" w:eastAsia="Times New Roman" w:hAnsi="Arial" w:cs="Arial"/>
          <w:i/>
          <w:iCs/>
          <w:sz w:val="24"/>
          <w:szCs w:val="24"/>
          <w:lang w:val="en-GB" w:eastAsia="en-GB"/>
        </w:rPr>
        <w:t>Entrepreneurship</w:t>
      </w:r>
      <w:r w:rsidRPr="00320ED2">
        <w:rPr>
          <w:rFonts w:ascii="Arial" w:eastAsia="Times New Roman" w:hAnsi="Arial" w:cs="Arial"/>
          <w:sz w:val="24"/>
          <w:szCs w:val="24"/>
          <w:lang w:val="en-GB" w:eastAsia="en-GB"/>
        </w:rPr>
        <w:t xml:space="preserve">. 11th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New York: McGraw-Hill. </w:t>
      </w:r>
      <w:hyperlink r:id="rId31" w:tgtFrame="_blank" w:history="1">
        <w:r w:rsidRPr="00320ED2">
          <w:rPr>
            <w:rFonts w:ascii="Arial" w:eastAsia="Times New Roman" w:hAnsi="Arial" w:cs="Arial"/>
            <w:color w:val="0000FF"/>
            <w:sz w:val="24"/>
            <w:szCs w:val="24"/>
            <w:u w:val="single"/>
            <w:lang w:val="en-GB" w:eastAsia="en-GB"/>
          </w:rPr>
          <w:t>McGraw Hill</w:t>
        </w:r>
      </w:hyperlink>
      <w:r w:rsidRPr="00320ED2">
        <w:rPr>
          <w:rFonts w:ascii="Arial" w:eastAsia="Times New Roman" w:hAnsi="Arial" w:cs="Arial"/>
          <w:sz w:val="24"/>
          <w:szCs w:val="24"/>
          <w:lang w:val="en-GB" w:eastAsia="en-GB"/>
        </w:rPr>
        <w:t xml:space="preserve"> </w:t>
      </w:r>
    </w:p>
    <w:p w14:paraId="4A4B940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Hitt</w:t>
      </w:r>
      <w:proofErr w:type="spellEnd"/>
      <w:r w:rsidRPr="00320ED2">
        <w:rPr>
          <w:rFonts w:ascii="Arial" w:eastAsia="Times New Roman" w:hAnsi="Arial" w:cs="Arial"/>
          <w:sz w:val="24"/>
          <w:szCs w:val="24"/>
          <w:lang w:val="en-GB" w:eastAsia="en-GB"/>
        </w:rPr>
        <w:t xml:space="preserve">, M.A., Ireland, R.D. and </w:t>
      </w:r>
      <w:proofErr w:type="spellStart"/>
      <w:r w:rsidRPr="00320ED2">
        <w:rPr>
          <w:rFonts w:ascii="Arial" w:eastAsia="Times New Roman" w:hAnsi="Arial" w:cs="Arial"/>
          <w:sz w:val="24"/>
          <w:szCs w:val="24"/>
          <w:lang w:val="en-GB" w:eastAsia="en-GB"/>
        </w:rPr>
        <w:t>Hoskisson</w:t>
      </w:r>
      <w:proofErr w:type="spellEnd"/>
      <w:r w:rsidRPr="00320ED2">
        <w:rPr>
          <w:rFonts w:ascii="Arial" w:eastAsia="Times New Roman" w:hAnsi="Arial" w:cs="Arial"/>
          <w:sz w:val="24"/>
          <w:szCs w:val="24"/>
          <w:lang w:val="en-GB" w:eastAsia="en-GB"/>
        </w:rPr>
        <w:t xml:space="preserve">, R.E. (2020) </w:t>
      </w:r>
      <w:r w:rsidRPr="00320ED2">
        <w:rPr>
          <w:rFonts w:ascii="Arial" w:eastAsia="Times New Roman" w:hAnsi="Arial" w:cs="Arial"/>
          <w:i/>
          <w:iCs/>
          <w:sz w:val="24"/>
          <w:szCs w:val="24"/>
          <w:lang w:val="en-GB" w:eastAsia="en-GB"/>
        </w:rPr>
        <w:t>Strategic Management: Competitiveness and Globalization</w:t>
      </w:r>
      <w:r w:rsidRPr="00320ED2">
        <w:rPr>
          <w:rFonts w:ascii="Arial" w:eastAsia="Times New Roman" w:hAnsi="Arial" w:cs="Arial"/>
          <w:sz w:val="24"/>
          <w:szCs w:val="24"/>
          <w:lang w:val="en-GB" w:eastAsia="en-GB"/>
        </w:rPr>
        <w:t xml:space="preserve">. 13th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Boston: Cengage. </w:t>
      </w:r>
      <w:hyperlink r:id="rId32" w:tgtFrame="_blank" w:history="1">
        <w:r w:rsidRPr="00320ED2">
          <w:rPr>
            <w:rFonts w:ascii="Arial" w:eastAsia="Times New Roman" w:hAnsi="Arial" w:cs="Arial"/>
            <w:color w:val="0000FF"/>
            <w:sz w:val="24"/>
            <w:szCs w:val="24"/>
            <w:u w:val="single"/>
            <w:lang w:val="en-GB" w:eastAsia="en-GB"/>
          </w:rPr>
          <w:t>Cengage</w:t>
        </w:r>
      </w:hyperlink>
      <w:r w:rsidRPr="00320ED2">
        <w:rPr>
          <w:rFonts w:ascii="Arial" w:eastAsia="Times New Roman" w:hAnsi="Arial" w:cs="Arial"/>
          <w:sz w:val="24"/>
          <w:szCs w:val="24"/>
          <w:lang w:val="en-GB" w:eastAsia="en-GB"/>
        </w:rPr>
        <w:t xml:space="preserve"> </w:t>
      </w:r>
    </w:p>
    <w:p w14:paraId="507A447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Information Commissioner's Office (2025) </w:t>
      </w:r>
      <w:r w:rsidRPr="00320ED2">
        <w:rPr>
          <w:rFonts w:ascii="Arial" w:eastAsia="Times New Roman" w:hAnsi="Arial" w:cs="Arial"/>
          <w:i/>
          <w:iCs/>
          <w:sz w:val="24"/>
          <w:szCs w:val="24"/>
          <w:lang w:val="en-GB" w:eastAsia="en-GB"/>
        </w:rPr>
        <w:t>Data Protection and Your Business</w:t>
      </w:r>
      <w:r w:rsidRPr="00320ED2">
        <w:rPr>
          <w:rFonts w:ascii="Arial" w:eastAsia="Times New Roman" w:hAnsi="Arial" w:cs="Arial"/>
          <w:sz w:val="24"/>
          <w:szCs w:val="24"/>
          <w:lang w:val="en-GB" w:eastAsia="en-GB"/>
        </w:rPr>
        <w:t xml:space="preserve">. </w:t>
      </w:r>
      <w:hyperlink r:id="rId33" w:tgtFrame="_blank" w:history="1">
        <w:r w:rsidRPr="00320ED2">
          <w:rPr>
            <w:rFonts w:ascii="Arial" w:eastAsia="Times New Roman" w:hAnsi="Arial" w:cs="Arial"/>
            <w:color w:val="0000FF"/>
            <w:sz w:val="24"/>
            <w:szCs w:val="24"/>
            <w:u w:val="single"/>
            <w:lang w:val="en-GB" w:eastAsia="en-GB"/>
          </w:rPr>
          <w:t>ICO/GOV.UK guidance</w:t>
        </w:r>
      </w:hyperlink>
      <w:r w:rsidRPr="00320ED2">
        <w:rPr>
          <w:rFonts w:ascii="Arial" w:eastAsia="Times New Roman" w:hAnsi="Arial" w:cs="Arial"/>
          <w:sz w:val="24"/>
          <w:szCs w:val="24"/>
          <w:lang w:val="en-GB" w:eastAsia="en-GB"/>
        </w:rPr>
        <w:t xml:space="preserve"> </w:t>
      </w:r>
    </w:p>
    <w:p w14:paraId="7DA1F327"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lastRenderedPageBreak/>
        <w:t xml:space="preserve">Information Commissioner's Office (2025) </w:t>
      </w:r>
      <w:r w:rsidRPr="00320ED2">
        <w:rPr>
          <w:rFonts w:ascii="Arial" w:eastAsia="Times New Roman" w:hAnsi="Arial" w:cs="Arial"/>
          <w:i/>
          <w:iCs/>
          <w:sz w:val="24"/>
          <w:szCs w:val="24"/>
          <w:lang w:val="en-GB" w:eastAsia="en-GB"/>
        </w:rPr>
        <w:t>UK GDPR Guidance</w:t>
      </w:r>
      <w:r w:rsidRPr="00320ED2">
        <w:rPr>
          <w:rFonts w:ascii="Arial" w:eastAsia="Times New Roman" w:hAnsi="Arial" w:cs="Arial"/>
          <w:sz w:val="24"/>
          <w:szCs w:val="24"/>
          <w:lang w:val="en-GB" w:eastAsia="en-GB"/>
        </w:rPr>
        <w:t xml:space="preserve">. </w:t>
      </w:r>
      <w:hyperlink r:id="rId34" w:tgtFrame="_blank" w:history="1">
        <w:r w:rsidRPr="00320ED2">
          <w:rPr>
            <w:rFonts w:ascii="Arial" w:eastAsia="Times New Roman" w:hAnsi="Arial" w:cs="Arial"/>
            <w:color w:val="0000FF"/>
            <w:sz w:val="24"/>
            <w:szCs w:val="24"/>
            <w:u w:val="single"/>
            <w:lang w:val="en-GB" w:eastAsia="en-GB"/>
          </w:rPr>
          <w:t>ICO</w:t>
        </w:r>
      </w:hyperlink>
      <w:r w:rsidRPr="00320ED2">
        <w:rPr>
          <w:rFonts w:ascii="Arial" w:eastAsia="Times New Roman" w:hAnsi="Arial" w:cs="Arial"/>
          <w:sz w:val="24"/>
          <w:szCs w:val="24"/>
          <w:lang w:val="en-GB" w:eastAsia="en-GB"/>
        </w:rPr>
        <w:t xml:space="preserve"> </w:t>
      </w:r>
    </w:p>
    <w:p w14:paraId="48FA228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International Labour Organization (2022) </w:t>
      </w:r>
      <w:r w:rsidRPr="00320ED2">
        <w:rPr>
          <w:rFonts w:ascii="Arial" w:eastAsia="Times New Roman" w:hAnsi="Arial" w:cs="Arial"/>
          <w:i/>
          <w:iCs/>
          <w:sz w:val="24"/>
          <w:szCs w:val="24"/>
          <w:lang w:val="en-GB" w:eastAsia="en-GB"/>
        </w:rPr>
        <w:t>World Employment and Social Outlook</w:t>
      </w:r>
      <w:r w:rsidRPr="00320ED2">
        <w:rPr>
          <w:rFonts w:ascii="Arial" w:eastAsia="Times New Roman" w:hAnsi="Arial" w:cs="Arial"/>
          <w:sz w:val="24"/>
          <w:szCs w:val="24"/>
          <w:lang w:val="en-GB" w:eastAsia="en-GB"/>
        </w:rPr>
        <w:t xml:space="preserve">. Geneva: ILO. ILO </w:t>
      </w:r>
    </w:p>
    <w:p w14:paraId="3F0B0BD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Johnson, G., Whittington, R., </w:t>
      </w:r>
      <w:proofErr w:type="spellStart"/>
      <w:r w:rsidRPr="00320ED2">
        <w:rPr>
          <w:rFonts w:ascii="Arial" w:eastAsia="Times New Roman" w:hAnsi="Arial" w:cs="Arial"/>
          <w:sz w:val="24"/>
          <w:szCs w:val="24"/>
          <w:lang w:val="en-GB" w:eastAsia="en-GB"/>
        </w:rPr>
        <w:t>Regnér</w:t>
      </w:r>
      <w:proofErr w:type="spellEnd"/>
      <w:r w:rsidRPr="00320ED2">
        <w:rPr>
          <w:rFonts w:ascii="Arial" w:eastAsia="Times New Roman" w:hAnsi="Arial" w:cs="Arial"/>
          <w:sz w:val="24"/>
          <w:szCs w:val="24"/>
          <w:lang w:val="en-GB" w:eastAsia="en-GB"/>
        </w:rPr>
        <w:t xml:space="preserve">, P., </w:t>
      </w:r>
      <w:proofErr w:type="spellStart"/>
      <w:r w:rsidRPr="00320ED2">
        <w:rPr>
          <w:rFonts w:ascii="Arial" w:eastAsia="Times New Roman" w:hAnsi="Arial" w:cs="Arial"/>
          <w:sz w:val="24"/>
          <w:szCs w:val="24"/>
          <w:lang w:val="en-GB" w:eastAsia="en-GB"/>
        </w:rPr>
        <w:t>Angwin</w:t>
      </w:r>
      <w:proofErr w:type="spellEnd"/>
      <w:r w:rsidRPr="00320ED2">
        <w:rPr>
          <w:rFonts w:ascii="Arial" w:eastAsia="Times New Roman" w:hAnsi="Arial" w:cs="Arial"/>
          <w:sz w:val="24"/>
          <w:szCs w:val="24"/>
          <w:lang w:val="en-GB" w:eastAsia="en-GB"/>
        </w:rPr>
        <w:t xml:space="preserve">, D. and Scholes, K. (2020) </w:t>
      </w:r>
      <w:r w:rsidRPr="00320ED2">
        <w:rPr>
          <w:rFonts w:ascii="Arial" w:eastAsia="Times New Roman" w:hAnsi="Arial" w:cs="Arial"/>
          <w:i/>
          <w:iCs/>
          <w:sz w:val="24"/>
          <w:szCs w:val="24"/>
          <w:lang w:val="en-GB" w:eastAsia="en-GB"/>
        </w:rPr>
        <w:t>Exploring Strategy</w:t>
      </w:r>
      <w:r w:rsidRPr="00320ED2">
        <w:rPr>
          <w:rFonts w:ascii="Arial" w:eastAsia="Times New Roman" w:hAnsi="Arial" w:cs="Arial"/>
          <w:sz w:val="24"/>
          <w:szCs w:val="24"/>
          <w:lang w:val="en-GB" w:eastAsia="en-GB"/>
        </w:rPr>
        <w:t xml:space="preserve">. 12th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35"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25D190BE"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Kaplan, R.S. and Norton, D.P. (1996) </w:t>
      </w:r>
      <w:r w:rsidRPr="00320ED2">
        <w:rPr>
          <w:rFonts w:ascii="Arial" w:eastAsia="Times New Roman" w:hAnsi="Arial" w:cs="Arial"/>
          <w:i/>
          <w:iCs/>
          <w:sz w:val="24"/>
          <w:szCs w:val="24"/>
          <w:lang w:val="en-GB" w:eastAsia="en-GB"/>
        </w:rPr>
        <w:t>The Balanced Scorecard</w:t>
      </w:r>
      <w:r w:rsidRPr="00320ED2">
        <w:rPr>
          <w:rFonts w:ascii="Arial" w:eastAsia="Times New Roman" w:hAnsi="Arial" w:cs="Arial"/>
          <w:sz w:val="24"/>
          <w:szCs w:val="24"/>
          <w:lang w:val="en-GB" w:eastAsia="en-GB"/>
        </w:rPr>
        <w:t xml:space="preserve">. Boston: Harvard Business School Press. </w:t>
      </w:r>
      <w:hyperlink r:id="rId36" w:tgtFrame="_blank" w:history="1">
        <w:r w:rsidRPr="00320ED2">
          <w:rPr>
            <w:rFonts w:ascii="Arial" w:eastAsia="Times New Roman" w:hAnsi="Arial" w:cs="Arial"/>
            <w:color w:val="0000FF"/>
            <w:sz w:val="24"/>
            <w:szCs w:val="24"/>
            <w:u w:val="single"/>
            <w:lang w:val="en-GB" w:eastAsia="en-GB"/>
          </w:rPr>
          <w:t>Harvard Business Review</w:t>
        </w:r>
      </w:hyperlink>
      <w:r w:rsidRPr="00320ED2">
        <w:rPr>
          <w:rFonts w:ascii="Arial" w:eastAsia="Times New Roman" w:hAnsi="Arial" w:cs="Arial"/>
          <w:sz w:val="24"/>
          <w:szCs w:val="24"/>
          <w:lang w:val="en-GB" w:eastAsia="en-GB"/>
        </w:rPr>
        <w:t xml:space="preserve"> </w:t>
      </w:r>
    </w:p>
    <w:p w14:paraId="73AAA2DC"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Keller, K.L. and </w:t>
      </w:r>
      <w:proofErr w:type="spellStart"/>
      <w:r w:rsidRPr="00320ED2">
        <w:rPr>
          <w:rFonts w:ascii="Arial" w:eastAsia="Times New Roman" w:hAnsi="Arial" w:cs="Arial"/>
          <w:sz w:val="24"/>
          <w:szCs w:val="24"/>
          <w:lang w:val="en-GB" w:eastAsia="en-GB"/>
        </w:rPr>
        <w:t>Swaminathan</w:t>
      </w:r>
      <w:proofErr w:type="spellEnd"/>
      <w:r w:rsidRPr="00320ED2">
        <w:rPr>
          <w:rFonts w:ascii="Arial" w:eastAsia="Times New Roman" w:hAnsi="Arial" w:cs="Arial"/>
          <w:sz w:val="24"/>
          <w:szCs w:val="24"/>
          <w:lang w:val="en-GB" w:eastAsia="en-GB"/>
        </w:rPr>
        <w:t xml:space="preserve">, V. (2020) </w:t>
      </w:r>
      <w:r w:rsidRPr="00320ED2">
        <w:rPr>
          <w:rFonts w:ascii="Arial" w:eastAsia="Times New Roman" w:hAnsi="Arial" w:cs="Arial"/>
          <w:i/>
          <w:iCs/>
          <w:sz w:val="24"/>
          <w:szCs w:val="24"/>
          <w:lang w:val="en-GB" w:eastAsia="en-GB"/>
        </w:rPr>
        <w:t>Strategic Brand Management</w:t>
      </w:r>
      <w:r w:rsidRPr="00320ED2">
        <w:rPr>
          <w:rFonts w:ascii="Arial" w:eastAsia="Times New Roman" w:hAnsi="Arial" w:cs="Arial"/>
          <w:sz w:val="24"/>
          <w:szCs w:val="24"/>
          <w:lang w:val="en-GB" w:eastAsia="en-GB"/>
        </w:rPr>
        <w:t xml:space="preserve">. 5th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37"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7436C9F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Kotler, P., Keller, K.L. and </w:t>
      </w:r>
      <w:proofErr w:type="spellStart"/>
      <w:r w:rsidRPr="00320ED2">
        <w:rPr>
          <w:rFonts w:ascii="Arial" w:eastAsia="Times New Roman" w:hAnsi="Arial" w:cs="Arial"/>
          <w:sz w:val="24"/>
          <w:szCs w:val="24"/>
          <w:lang w:val="en-GB" w:eastAsia="en-GB"/>
        </w:rPr>
        <w:t>Chernev</w:t>
      </w:r>
      <w:proofErr w:type="spellEnd"/>
      <w:r w:rsidRPr="00320ED2">
        <w:rPr>
          <w:rFonts w:ascii="Arial" w:eastAsia="Times New Roman" w:hAnsi="Arial" w:cs="Arial"/>
          <w:sz w:val="24"/>
          <w:szCs w:val="24"/>
          <w:lang w:val="en-GB" w:eastAsia="en-GB"/>
        </w:rPr>
        <w:t xml:space="preserve">, A. (2022) </w:t>
      </w:r>
      <w:r w:rsidRPr="00320ED2">
        <w:rPr>
          <w:rFonts w:ascii="Arial" w:eastAsia="Times New Roman" w:hAnsi="Arial" w:cs="Arial"/>
          <w:i/>
          <w:iCs/>
          <w:sz w:val="24"/>
          <w:szCs w:val="24"/>
          <w:lang w:val="en-GB" w:eastAsia="en-GB"/>
        </w:rPr>
        <w:t>Marketing Management</w:t>
      </w:r>
      <w:r w:rsidRPr="00320ED2">
        <w:rPr>
          <w:rFonts w:ascii="Arial" w:eastAsia="Times New Roman" w:hAnsi="Arial" w:cs="Arial"/>
          <w:sz w:val="24"/>
          <w:szCs w:val="24"/>
          <w:lang w:val="en-GB" w:eastAsia="en-GB"/>
        </w:rPr>
        <w:t xml:space="preserve">. 16th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Pearson </w:t>
      </w:r>
    </w:p>
    <w:p w14:paraId="74EE958A"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Kotler, P. and Armstrong, G. (2021) </w:t>
      </w:r>
      <w:r w:rsidRPr="00320ED2">
        <w:rPr>
          <w:rFonts w:ascii="Arial" w:eastAsia="Times New Roman" w:hAnsi="Arial" w:cs="Arial"/>
          <w:i/>
          <w:iCs/>
          <w:sz w:val="24"/>
          <w:szCs w:val="24"/>
          <w:lang w:val="en-GB" w:eastAsia="en-GB"/>
        </w:rPr>
        <w:t>Principles of Marketing</w:t>
      </w:r>
      <w:r w:rsidRPr="00320ED2">
        <w:rPr>
          <w:rFonts w:ascii="Arial" w:eastAsia="Times New Roman" w:hAnsi="Arial" w:cs="Arial"/>
          <w:sz w:val="24"/>
          <w:szCs w:val="24"/>
          <w:lang w:val="en-GB" w:eastAsia="en-GB"/>
        </w:rPr>
        <w:t xml:space="preserve">. 18th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38"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7FEBD1B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Kotler, P., </w:t>
      </w:r>
      <w:proofErr w:type="spellStart"/>
      <w:r w:rsidRPr="00320ED2">
        <w:rPr>
          <w:rFonts w:ascii="Arial" w:eastAsia="Times New Roman" w:hAnsi="Arial" w:cs="Arial"/>
          <w:sz w:val="24"/>
          <w:szCs w:val="24"/>
          <w:lang w:val="en-GB" w:eastAsia="en-GB"/>
        </w:rPr>
        <w:t>Kartajaya</w:t>
      </w:r>
      <w:proofErr w:type="spellEnd"/>
      <w:r w:rsidRPr="00320ED2">
        <w:rPr>
          <w:rFonts w:ascii="Arial" w:eastAsia="Times New Roman" w:hAnsi="Arial" w:cs="Arial"/>
          <w:sz w:val="24"/>
          <w:szCs w:val="24"/>
          <w:lang w:val="en-GB" w:eastAsia="en-GB"/>
        </w:rPr>
        <w:t xml:space="preserve">, H. and </w:t>
      </w:r>
      <w:proofErr w:type="spellStart"/>
      <w:r w:rsidRPr="00320ED2">
        <w:rPr>
          <w:rFonts w:ascii="Arial" w:eastAsia="Times New Roman" w:hAnsi="Arial" w:cs="Arial"/>
          <w:sz w:val="24"/>
          <w:szCs w:val="24"/>
          <w:lang w:val="en-GB" w:eastAsia="en-GB"/>
        </w:rPr>
        <w:t>Setiawan</w:t>
      </w:r>
      <w:proofErr w:type="spellEnd"/>
      <w:r w:rsidRPr="00320ED2">
        <w:rPr>
          <w:rFonts w:ascii="Arial" w:eastAsia="Times New Roman" w:hAnsi="Arial" w:cs="Arial"/>
          <w:sz w:val="24"/>
          <w:szCs w:val="24"/>
          <w:lang w:val="en-GB" w:eastAsia="en-GB"/>
        </w:rPr>
        <w:t xml:space="preserve">, I. (2021) </w:t>
      </w:r>
      <w:r w:rsidRPr="00320ED2">
        <w:rPr>
          <w:rFonts w:ascii="Arial" w:eastAsia="Times New Roman" w:hAnsi="Arial" w:cs="Arial"/>
          <w:i/>
          <w:iCs/>
          <w:sz w:val="24"/>
          <w:szCs w:val="24"/>
          <w:lang w:val="en-GB" w:eastAsia="en-GB"/>
        </w:rPr>
        <w:t>Marketing 5.0: Technology for Humanity</w:t>
      </w:r>
      <w:r w:rsidRPr="00320ED2">
        <w:rPr>
          <w:rFonts w:ascii="Arial" w:eastAsia="Times New Roman" w:hAnsi="Arial" w:cs="Arial"/>
          <w:sz w:val="24"/>
          <w:szCs w:val="24"/>
          <w:lang w:val="en-GB" w:eastAsia="en-GB"/>
        </w:rPr>
        <w:t xml:space="preserve">. Hoboken: Wiley. </w:t>
      </w:r>
      <w:hyperlink r:id="rId39" w:tgtFrame="_blank" w:history="1">
        <w:r w:rsidRPr="00320ED2">
          <w:rPr>
            <w:rFonts w:ascii="Arial" w:eastAsia="Times New Roman" w:hAnsi="Arial" w:cs="Arial"/>
            <w:color w:val="0000FF"/>
            <w:sz w:val="24"/>
            <w:szCs w:val="24"/>
            <w:u w:val="single"/>
            <w:lang w:val="en-GB" w:eastAsia="en-GB"/>
          </w:rPr>
          <w:t>Wiley</w:t>
        </w:r>
      </w:hyperlink>
      <w:r w:rsidRPr="00320ED2">
        <w:rPr>
          <w:rFonts w:ascii="Arial" w:eastAsia="Times New Roman" w:hAnsi="Arial" w:cs="Arial"/>
          <w:sz w:val="24"/>
          <w:szCs w:val="24"/>
          <w:lang w:val="en-GB" w:eastAsia="en-GB"/>
        </w:rPr>
        <w:t xml:space="preserve"> </w:t>
      </w:r>
    </w:p>
    <w:p w14:paraId="14D9E3DA"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Leatherbee</w:t>
      </w:r>
      <w:proofErr w:type="spellEnd"/>
      <w:r w:rsidRPr="00320ED2">
        <w:rPr>
          <w:rFonts w:ascii="Arial" w:eastAsia="Times New Roman" w:hAnsi="Arial" w:cs="Arial"/>
          <w:sz w:val="24"/>
          <w:szCs w:val="24"/>
          <w:lang w:val="en-GB" w:eastAsia="en-GB"/>
        </w:rPr>
        <w:t xml:space="preserve">, M. and </w:t>
      </w:r>
      <w:proofErr w:type="spellStart"/>
      <w:r w:rsidRPr="00320ED2">
        <w:rPr>
          <w:rFonts w:ascii="Arial" w:eastAsia="Times New Roman" w:hAnsi="Arial" w:cs="Arial"/>
          <w:sz w:val="24"/>
          <w:szCs w:val="24"/>
          <w:lang w:val="en-GB" w:eastAsia="en-GB"/>
        </w:rPr>
        <w:t>Katila</w:t>
      </w:r>
      <w:proofErr w:type="spellEnd"/>
      <w:r w:rsidRPr="00320ED2">
        <w:rPr>
          <w:rFonts w:ascii="Arial" w:eastAsia="Times New Roman" w:hAnsi="Arial" w:cs="Arial"/>
          <w:sz w:val="24"/>
          <w:szCs w:val="24"/>
          <w:lang w:val="en-GB" w:eastAsia="en-GB"/>
        </w:rPr>
        <w:t xml:space="preserve">, R. (2020) ‘The lean </w:t>
      </w:r>
      <w:proofErr w:type="spellStart"/>
      <w:r w:rsidRPr="00320ED2">
        <w:rPr>
          <w:rFonts w:ascii="Arial" w:eastAsia="Times New Roman" w:hAnsi="Arial" w:cs="Arial"/>
          <w:sz w:val="24"/>
          <w:szCs w:val="24"/>
          <w:lang w:val="en-GB" w:eastAsia="en-GB"/>
        </w:rPr>
        <w:t>startup</w:t>
      </w:r>
      <w:proofErr w:type="spellEnd"/>
      <w:r w:rsidRPr="00320ED2">
        <w:rPr>
          <w:rFonts w:ascii="Arial" w:eastAsia="Times New Roman" w:hAnsi="Arial" w:cs="Arial"/>
          <w:sz w:val="24"/>
          <w:szCs w:val="24"/>
          <w:lang w:val="en-GB" w:eastAsia="en-GB"/>
        </w:rPr>
        <w:t xml:space="preserve"> method: early-stage teams and hypothesis-based probing of business ideas’, </w:t>
      </w:r>
      <w:r w:rsidRPr="00320ED2">
        <w:rPr>
          <w:rFonts w:ascii="Arial" w:eastAsia="Times New Roman" w:hAnsi="Arial" w:cs="Arial"/>
          <w:i/>
          <w:iCs/>
          <w:sz w:val="24"/>
          <w:szCs w:val="24"/>
          <w:lang w:val="en-GB" w:eastAsia="en-GB"/>
        </w:rPr>
        <w:t>Strategic Entrepreneurship Journal</w:t>
      </w:r>
      <w:r w:rsidRPr="00320ED2">
        <w:rPr>
          <w:rFonts w:ascii="Arial" w:eastAsia="Times New Roman" w:hAnsi="Arial" w:cs="Arial"/>
          <w:sz w:val="24"/>
          <w:szCs w:val="24"/>
          <w:lang w:val="en-GB" w:eastAsia="en-GB"/>
        </w:rPr>
        <w:t xml:space="preserve">, 14(4), pp. 570–593. </w:t>
      </w:r>
      <w:hyperlink r:id="rId40"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0606F1D9"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Lee, I. and Shin, Y.J. (2018) ‘Fintech: ecosystem, business models, investment decisions, and challenges’, </w:t>
      </w:r>
      <w:r w:rsidRPr="00320ED2">
        <w:rPr>
          <w:rFonts w:ascii="Arial" w:eastAsia="Times New Roman" w:hAnsi="Arial" w:cs="Arial"/>
          <w:i/>
          <w:iCs/>
          <w:sz w:val="24"/>
          <w:szCs w:val="24"/>
          <w:lang w:val="en-GB" w:eastAsia="en-GB"/>
        </w:rPr>
        <w:t>Business Horizons</w:t>
      </w:r>
      <w:r w:rsidRPr="00320ED2">
        <w:rPr>
          <w:rFonts w:ascii="Arial" w:eastAsia="Times New Roman" w:hAnsi="Arial" w:cs="Arial"/>
          <w:sz w:val="24"/>
          <w:szCs w:val="24"/>
          <w:lang w:val="en-GB" w:eastAsia="en-GB"/>
        </w:rPr>
        <w:t xml:space="preserve">, 61(1), pp. 35–46. </w:t>
      </w:r>
      <w:hyperlink r:id="rId41"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5378C887"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McCarthy, E.J. (1960) </w:t>
      </w:r>
      <w:r w:rsidRPr="00320ED2">
        <w:rPr>
          <w:rFonts w:ascii="Arial" w:eastAsia="Times New Roman" w:hAnsi="Arial" w:cs="Arial"/>
          <w:i/>
          <w:iCs/>
          <w:sz w:val="24"/>
          <w:szCs w:val="24"/>
          <w:lang w:val="en-GB" w:eastAsia="en-GB"/>
        </w:rPr>
        <w:t>Basic Marketing: A Managerial Approach</w:t>
      </w:r>
      <w:r w:rsidRPr="00320ED2">
        <w:rPr>
          <w:rFonts w:ascii="Arial" w:eastAsia="Times New Roman" w:hAnsi="Arial" w:cs="Arial"/>
          <w:sz w:val="24"/>
          <w:szCs w:val="24"/>
          <w:lang w:val="en-GB" w:eastAsia="en-GB"/>
        </w:rPr>
        <w:t xml:space="preserve">. Homewood: Irwin. Google Books </w:t>
      </w:r>
    </w:p>
    <w:p w14:paraId="5BB1D3C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McKinsey &amp; Company (2021) </w:t>
      </w:r>
      <w:r w:rsidRPr="00320ED2">
        <w:rPr>
          <w:rFonts w:ascii="Arial" w:eastAsia="Times New Roman" w:hAnsi="Arial" w:cs="Arial"/>
          <w:i/>
          <w:iCs/>
          <w:sz w:val="24"/>
          <w:szCs w:val="24"/>
          <w:lang w:val="en-GB" w:eastAsia="en-GB"/>
        </w:rPr>
        <w:t>The State of New-Business Building</w:t>
      </w:r>
      <w:r w:rsidRPr="00320ED2">
        <w:rPr>
          <w:rFonts w:ascii="Arial" w:eastAsia="Times New Roman" w:hAnsi="Arial" w:cs="Arial"/>
          <w:sz w:val="24"/>
          <w:szCs w:val="24"/>
          <w:lang w:val="en-GB" w:eastAsia="en-GB"/>
        </w:rPr>
        <w:t xml:space="preserve">. </w:t>
      </w:r>
      <w:hyperlink r:id="rId42" w:tgtFrame="_blank" w:history="1">
        <w:r w:rsidRPr="00320ED2">
          <w:rPr>
            <w:rFonts w:ascii="Arial" w:eastAsia="Times New Roman" w:hAnsi="Arial" w:cs="Arial"/>
            <w:color w:val="0000FF"/>
            <w:sz w:val="24"/>
            <w:szCs w:val="24"/>
            <w:u w:val="single"/>
            <w:lang w:val="en-GB" w:eastAsia="en-GB"/>
          </w:rPr>
          <w:t>McKinsey</w:t>
        </w:r>
      </w:hyperlink>
      <w:r w:rsidRPr="00320ED2">
        <w:rPr>
          <w:rFonts w:ascii="Arial" w:eastAsia="Times New Roman" w:hAnsi="Arial" w:cs="Arial"/>
          <w:sz w:val="24"/>
          <w:szCs w:val="24"/>
          <w:lang w:val="en-GB" w:eastAsia="en-GB"/>
        </w:rPr>
        <w:t xml:space="preserve"> </w:t>
      </w:r>
    </w:p>
    <w:p w14:paraId="5017943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Mintzberg</w:t>
      </w:r>
      <w:proofErr w:type="spellEnd"/>
      <w:r w:rsidRPr="00320ED2">
        <w:rPr>
          <w:rFonts w:ascii="Arial" w:eastAsia="Times New Roman" w:hAnsi="Arial" w:cs="Arial"/>
          <w:sz w:val="24"/>
          <w:szCs w:val="24"/>
          <w:lang w:val="en-GB" w:eastAsia="en-GB"/>
        </w:rPr>
        <w:t xml:space="preserve">, H. (1994) </w:t>
      </w:r>
      <w:r w:rsidRPr="00320ED2">
        <w:rPr>
          <w:rFonts w:ascii="Arial" w:eastAsia="Times New Roman" w:hAnsi="Arial" w:cs="Arial"/>
          <w:i/>
          <w:iCs/>
          <w:sz w:val="24"/>
          <w:szCs w:val="24"/>
          <w:lang w:val="en-GB" w:eastAsia="en-GB"/>
        </w:rPr>
        <w:t>The Rise and Fall of Strategic Planning</w:t>
      </w:r>
      <w:r w:rsidRPr="00320ED2">
        <w:rPr>
          <w:rFonts w:ascii="Arial" w:eastAsia="Times New Roman" w:hAnsi="Arial" w:cs="Arial"/>
          <w:sz w:val="24"/>
          <w:szCs w:val="24"/>
          <w:lang w:val="en-GB" w:eastAsia="en-GB"/>
        </w:rPr>
        <w:t xml:space="preserve">. New York: Free Press. Google Books </w:t>
      </w:r>
    </w:p>
    <w:p w14:paraId="339D46DD"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Morgan, N.A., </w:t>
      </w:r>
      <w:proofErr w:type="spellStart"/>
      <w:r w:rsidRPr="00320ED2">
        <w:rPr>
          <w:rFonts w:ascii="Arial" w:eastAsia="Times New Roman" w:hAnsi="Arial" w:cs="Arial"/>
          <w:sz w:val="24"/>
          <w:szCs w:val="24"/>
          <w:lang w:val="en-GB" w:eastAsia="en-GB"/>
        </w:rPr>
        <w:t>Whitler</w:t>
      </w:r>
      <w:proofErr w:type="spellEnd"/>
      <w:r w:rsidRPr="00320ED2">
        <w:rPr>
          <w:rFonts w:ascii="Arial" w:eastAsia="Times New Roman" w:hAnsi="Arial" w:cs="Arial"/>
          <w:sz w:val="24"/>
          <w:szCs w:val="24"/>
          <w:lang w:val="en-GB" w:eastAsia="en-GB"/>
        </w:rPr>
        <w:t xml:space="preserve">, K.A. and Feng, H. (2019) ‘Research in marketing strategy’, </w:t>
      </w:r>
      <w:r w:rsidRPr="00320ED2">
        <w:rPr>
          <w:rFonts w:ascii="Arial" w:eastAsia="Times New Roman" w:hAnsi="Arial" w:cs="Arial"/>
          <w:i/>
          <w:iCs/>
          <w:sz w:val="24"/>
          <w:szCs w:val="24"/>
          <w:lang w:val="en-GB" w:eastAsia="en-GB"/>
        </w:rPr>
        <w:t>Journal of the Academy of Marketing Science</w:t>
      </w:r>
      <w:r w:rsidRPr="00320ED2">
        <w:rPr>
          <w:rFonts w:ascii="Arial" w:eastAsia="Times New Roman" w:hAnsi="Arial" w:cs="Arial"/>
          <w:sz w:val="24"/>
          <w:szCs w:val="24"/>
          <w:lang w:val="en-GB" w:eastAsia="en-GB"/>
        </w:rPr>
        <w:t xml:space="preserve">, 47, pp. 4–29. </w:t>
      </w:r>
      <w:hyperlink r:id="rId43"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33B45A1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Osterwalder</w:t>
      </w:r>
      <w:proofErr w:type="spellEnd"/>
      <w:r w:rsidRPr="00320ED2">
        <w:rPr>
          <w:rFonts w:ascii="Arial" w:eastAsia="Times New Roman" w:hAnsi="Arial" w:cs="Arial"/>
          <w:sz w:val="24"/>
          <w:szCs w:val="24"/>
          <w:lang w:val="en-GB" w:eastAsia="en-GB"/>
        </w:rPr>
        <w:t xml:space="preserve">, A. and </w:t>
      </w:r>
      <w:proofErr w:type="spellStart"/>
      <w:r w:rsidRPr="00320ED2">
        <w:rPr>
          <w:rFonts w:ascii="Arial" w:eastAsia="Times New Roman" w:hAnsi="Arial" w:cs="Arial"/>
          <w:sz w:val="24"/>
          <w:szCs w:val="24"/>
          <w:lang w:val="en-GB" w:eastAsia="en-GB"/>
        </w:rPr>
        <w:t>Pigneur</w:t>
      </w:r>
      <w:proofErr w:type="spellEnd"/>
      <w:r w:rsidRPr="00320ED2">
        <w:rPr>
          <w:rFonts w:ascii="Arial" w:eastAsia="Times New Roman" w:hAnsi="Arial" w:cs="Arial"/>
          <w:sz w:val="24"/>
          <w:szCs w:val="24"/>
          <w:lang w:val="en-GB" w:eastAsia="en-GB"/>
        </w:rPr>
        <w:t xml:space="preserve">, Y. (2010) </w:t>
      </w:r>
      <w:r w:rsidRPr="00320ED2">
        <w:rPr>
          <w:rFonts w:ascii="Arial" w:eastAsia="Times New Roman" w:hAnsi="Arial" w:cs="Arial"/>
          <w:i/>
          <w:iCs/>
          <w:sz w:val="24"/>
          <w:szCs w:val="24"/>
          <w:lang w:val="en-GB" w:eastAsia="en-GB"/>
        </w:rPr>
        <w:t>Business Model Generation</w:t>
      </w:r>
      <w:r w:rsidRPr="00320ED2">
        <w:rPr>
          <w:rFonts w:ascii="Arial" w:eastAsia="Times New Roman" w:hAnsi="Arial" w:cs="Arial"/>
          <w:sz w:val="24"/>
          <w:szCs w:val="24"/>
          <w:lang w:val="en-GB" w:eastAsia="en-GB"/>
        </w:rPr>
        <w:t xml:space="preserve">. Hoboken: Wiley. Wiley </w:t>
      </w:r>
    </w:p>
    <w:p w14:paraId="28EFE01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Panagiotakopoulos</w:t>
      </w:r>
      <w:proofErr w:type="spellEnd"/>
      <w:r w:rsidRPr="00320ED2">
        <w:rPr>
          <w:rFonts w:ascii="Arial" w:eastAsia="Times New Roman" w:hAnsi="Arial" w:cs="Arial"/>
          <w:sz w:val="24"/>
          <w:szCs w:val="24"/>
          <w:lang w:val="en-GB" w:eastAsia="en-GB"/>
        </w:rPr>
        <w:t xml:space="preserve">, A. (2020) ‘Exploring the link between management training and organizational performance in the small business context’, </w:t>
      </w:r>
      <w:r w:rsidRPr="00320ED2">
        <w:rPr>
          <w:rFonts w:ascii="Arial" w:eastAsia="Times New Roman" w:hAnsi="Arial" w:cs="Arial"/>
          <w:i/>
          <w:iCs/>
          <w:sz w:val="24"/>
          <w:szCs w:val="24"/>
          <w:lang w:val="en-GB" w:eastAsia="en-GB"/>
        </w:rPr>
        <w:t>Journal of Workplace Learning</w:t>
      </w:r>
      <w:r w:rsidRPr="00320ED2">
        <w:rPr>
          <w:rFonts w:ascii="Arial" w:eastAsia="Times New Roman" w:hAnsi="Arial" w:cs="Arial"/>
          <w:sz w:val="24"/>
          <w:szCs w:val="24"/>
          <w:lang w:val="en-GB" w:eastAsia="en-GB"/>
        </w:rPr>
        <w:t xml:space="preserve">, 32(4), pp. 245–257. </w:t>
      </w:r>
      <w:hyperlink r:id="rId44"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1575C39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Porter, M.E. (1980) </w:t>
      </w:r>
      <w:r w:rsidRPr="00320ED2">
        <w:rPr>
          <w:rFonts w:ascii="Arial" w:eastAsia="Times New Roman" w:hAnsi="Arial" w:cs="Arial"/>
          <w:i/>
          <w:iCs/>
          <w:sz w:val="24"/>
          <w:szCs w:val="24"/>
          <w:lang w:val="en-GB" w:eastAsia="en-GB"/>
        </w:rPr>
        <w:t>Competitive Strategy</w:t>
      </w:r>
      <w:r w:rsidRPr="00320ED2">
        <w:rPr>
          <w:rFonts w:ascii="Arial" w:eastAsia="Times New Roman" w:hAnsi="Arial" w:cs="Arial"/>
          <w:sz w:val="24"/>
          <w:szCs w:val="24"/>
          <w:lang w:val="en-GB" w:eastAsia="en-GB"/>
        </w:rPr>
        <w:t xml:space="preserve">. New York: Free Press. Google Books </w:t>
      </w:r>
    </w:p>
    <w:p w14:paraId="61DDC99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lastRenderedPageBreak/>
        <w:t xml:space="preserve">Porter, M.E. (1985) </w:t>
      </w:r>
      <w:r w:rsidRPr="00320ED2">
        <w:rPr>
          <w:rFonts w:ascii="Arial" w:eastAsia="Times New Roman" w:hAnsi="Arial" w:cs="Arial"/>
          <w:i/>
          <w:iCs/>
          <w:sz w:val="24"/>
          <w:szCs w:val="24"/>
          <w:lang w:val="en-GB" w:eastAsia="en-GB"/>
        </w:rPr>
        <w:t>Competitive Advantage</w:t>
      </w:r>
      <w:r w:rsidRPr="00320ED2">
        <w:rPr>
          <w:rFonts w:ascii="Arial" w:eastAsia="Times New Roman" w:hAnsi="Arial" w:cs="Arial"/>
          <w:sz w:val="24"/>
          <w:szCs w:val="24"/>
          <w:lang w:val="en-GB" w:eastAsia="en-GB"/>
        </w:rPr>
        <w:t xml:space="preserve">. New York: Free Press. Google Books </w:t>
      </w:r>
    </w:p>
    <w:p w14:paraId="148B1C6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Prahalad</w:t>
      </w:r>
      <w:proofErr w:type="spellEnd"/>
      <w:r w:rsidRPr="00320ED2">
        <w:rPr>
          <w:rFonts w:ascii="Arial" w:eastAsia="Times New Roman" w:hAnsi="Arial" w:cs="Arial"/>
          <w:sz w:val="24"/>
          <w:szCs w:val="24"/>
          <w:lang w:val="en-GB" w:eastAsia="en-GB"/>
        </w:rPr>
        <w:t xml:space="preserve">, C.K. and Hamel, G. (1990) ‘The core competence of the corporation’, </w:t>
      </w:r>
      <w:r w:rsidRPr="00320ED2">
        <w:rPr>
          <w:rFonts w:ascii="Arial" w:eastAsia="Times New Roman" w:hAnsi="Arial" w:cs="Arial"/>
          <w:i/>
          <w:iCs/>
          <w:sz w:val="24"/>
          <w:szCs w:val="24"/>
          <w:lang w:val="en-GB" w:eastAsia="en-GB"/>
        </w:rPr>
        <w:t>Harvard Business Review</w:t>
      </w:r>
      <w:r w:rsidRPr="00320ED2">
        <w:rPr>
          <w:rFonts w:ascii="Arial" w:eastAsia="Times New Roman" w:hAnsi="Arial" w:cs="Arial"/>
          <w:sz w:val="24"/>
          <w:szCs w:val="24"/>
          <w:lang w:val="en-GB" w:eastAsia="en-GB"/>
        </w:rPr>
        <w:t xml:space="preserve">, 68(3), pp. 79–91. </w:t>
      </w:r>
      <w:hyperlink r:id="rId45" w:tgtFrame="_blank" w:history="1">
        <w:r w:rsidRPr="00320ED2">
          <w:rPr>
            <w:rFonts w:ascii="Arial" w:eastAsia="Times New Roman" w:hAnsi="Arial" w:cs="Arial"/>
            <w:color w:val="0000FF"/>
            <w:sz w:val="24"/>
            <w:szCs w:val="24"/>
            <w:u w:val="single"/>
            <w:lang w:val="en-GB" w:eastAsia="en-GB"/>
          </w:rPr>
          <w:t>Harvard Business Review</w:t>
        </w:r>
      </w:hyperlink>
      <w:r w:rsidRPr="00320ED2">
        <w:rPr>
          <w:rFonts w:ascii="Arial" w:eastAsia="Times New Roman" w:hAnsi="Arial" w:cs="Arial"/>
          <w:sz w:val="24"/>
          <w:szCs w:val="24"/>
          <w:lang w:val="en-GB" w:eastAsia="en-GB"/>
        </w:rPr>
        <w:t xml:space="preserve"> </w:t>
      </w:r>
    </w:p>
    <w:p w14:paraId="37CDECB2"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Ries</w:t>
      </w:r>
      <w:proofErr w:type="spellEnd"/>
      <w:r w:rsidRPr="00320ED2">
        <w:rPr>
          <w:rFonts w:ascii="Arial" w:eastAsia="Times New Roman" w:hAnsi="Arial" w:cs="Arial"/>
          <w:sz w:val="24"/>
          <w:szCs w:val="24"/>
          <w:lang w:val="en-GB" w:eastAsia="en-GB"/>
        </w:rPr>
        <w:t xml:space="preserve">, E. (2011) </w:t>
      </w:r>
      <w:r w:rsidRPr="00320ED2">
        <w:rPr>
          <w:rFonts w:ascii="Arial" w:eastAsia="Times New Roman" w:hAnsi="Arial" w:cs="Arial"/>
          <w:i/>
          <w:iCs/>
          <w:sz w:val="24"/>
          <w:szCs w:val="24"/>
          <w:lang w:val="en-GB" w:eastAsia="en-GB"/>
        </w:rPr>
        <w:t xml:space="preserve">The Lean </w:t>
      </w:r>
      <w:proofErr w:type="spellStart"/>
      <w:r w:rsidRPr="00320ED2">
        <w:rPr>
          <w:rFonts w:ascii="Arial" w:eastAsia="Times New Roman" w:hAnsi="Arial" w:cs="Arial"/>
          <w:i/>
          <w:iCs/>
          <w:sz w:val="24"/>
          <w:szCs w:val="24"/>
          <w:lang w:val="en-GB" w:eastAsia="en-GB"/>
        </w:rPr>
        <w:t>Startup</w:t>
      </w:r>
      <w:proofErr w:type="spellEnd"/>
      <w:r w:rsidRPr="00320ED2">
        <w:rPr>
          <w:rFonts w:ascii="Arial" w:eastAsia="Times New Roman" w:hAnsi="Arial" w:cs="Arial"/>
          <w:sz w:val="24"/>
          <w:szCs w:val="24"/>
          <w:lang w:val="en-GB" w:eastAsia="en-GB"/>
        </w:rPr>
        <w:t xml:space="preserve">. New York: Crown Business. Google Books </w:t>
      </w:r>
    </w:p>
    <w:p w14:paraId="71FE288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Saunders, M., Lewis, P. and Thornhill, A. (2019) </w:t>
      </w:r>
      <w:r w:rsidRPr="00320ED2">
        <w:rPr>
          <w:rFonts w:ascii="Arial" w:eastAsia="Times New Roman" w:hAnsi="Arial" w:cs="Arial"/>
          <w:i/>
          <w:iCs/>
          <w:sz w:val="24"/>
          <w:szCs w:val="24"/>
          <w:lang w:val="en-GB" w:eastAsia="en-GB"/>
        </w:rPr>
        <w:t>Research Methods for Business Students</w:t>
      </w:r>
      <w:r w:rsidRPr="00320ED2">
        <w:rPr>
          <w:rFonts w:ascii="Arial" w:eastAsia="Times New Roman" w:hAnsi="Arial" w:cs="Arial"/>
          <w:sz w:val="24"/>
          <w:szCs w:val="24"/>
          <w:lang w:val="en-GB" w:eastAsia="en-GB"/>
        </w:rPr>
        <w:t xml:space="preserve">. 8th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46"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3E64AD69"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Schumpeter, J.A. (1934) </w:t>
      </w:r>
      <w:r w:rsidRPr="00320ED2">
        <w:rPr>
          <w:rFonts w:ascii="Arial" w:eastAsia="Times New Roman" w:hAnsi="Arial" w:cs="Arial"/>
          <w:i/>
          <w:iCs/>
          <w:sz w:val="24"/>
          <w:szCs w:val="24"/>
          <w:lang w:val="en-GB" w:eastAsia="en-GB"/>
        </w:rPr>
        <w:t>The Theory of Economic Development</w:t>
      </w:r>
      <w:r w:rsidRPr="00320ED2">
        <w:rPr>
          <w:rFonts w:ascii="Arial" w:eastAsia="Times New Roman" w:hAnsi="Arial" w:cs="Arial"/>
          <w:sz w:val="24"/>
          <w:szCs w:val="24"/>
          <w:lang w:val="en-GB" w:eastAsia="en-GB"/>
        </w:rPr>
        <w:t xml:space="preserve">. Cambridge, MA: Harvard University Press. </w:t>
      </w:r>
      <w:hyperlink r:id="rId47" w:tgtFrame="_blank" w:history="1">
        <w:r w:rsidRPr="00320ED2">
          <w:rPr>
            <w:rFonts w:ascii="Arial" w:eastAsia="Times New Roman" w:hAnsi="Arial" w:cs="Arial"/>
            <w:color w:val="0000FF"/>
            <w:sz w:val="24"/>
            <w:szCs w:val="24"/>
            <w:u w:val="single"/>
            <w:lang w:val="en-GB" w:eastAsia="en-GB"/>
          </w:rPr>
          <w:t>Harvard University Press</w:t>
        </w:r>
      </w:hyperlink>
      <w:r w:rsidRPr="00320ED2">
        <w:rPr>
          <w:rFonts w:ascii="Arial" w:eastAsia="Times New Roman" w:hAnsi="Arial" w:cs="Arial"/>
          <w:sz w:val="24"/>
          <w:szCs w:val="24"/>
          <w:lang w:val="en-GB" w:eastAsia="en-GB"/>
        </w:rPr>
        <w:t xml:space="preserve"> </w:t>
      </w:r>
    </w:p>
    <w:p w14:paraId="375D792D"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Shepherd, D.A. and Gruber, M. (2021) ‘The Lean </w:t>
      </w:r>
      <w:proofErr w:type="spellStart"/>
      <w:r w:rsidRPr="00320ED2">
        <w:rPr>
          <w:rFonts w:ascii="Arial" w:eastAsia="Times New Roman" w:hAnsi="Arial" w:cs="Arial"/>
          <w:sz w:val="24"/>
          <w:szCs w:val="24"/>
          <w:lang w:val="en-GB" w:eastAsia="en-GB"/>
        </w:rPr>
        <w:t>Startup</w:t>
      </w:r>
      <w:proofErr w:type="spellEnd"/>
      <w:r w:rsidRPr="00320ED2">
        <w:rPr>
          <w:rFonts w:ascii="Arial" w:eastAsia="Times New Roman" w:hAnsi="Arial" w:cs="Arial"/>
          <w:sz w:val="24"/>
          <w:szCs w:val="24"/>
          <w:lang w:val="en-GB" w:eastAsia="en-GB"/>
        </w:rPr>
        <w:t xml:space="preserve"> Framework: Closing the Academic–Practitioner Divide’, </w:t>
      </w:r>
      <w:r w:rsidRPr="00320ED2">
        <w:rPr>
          <w:rFonts w:ascii="Arial" w:eastAsia="Times New Roman" w:hAnsi="Arial" w:cs="Arial"/>
          <w:i/>
          <w:iCs/>
          <w:sz w:val="24"/>
          <w:szCs w:val="24"/>
          <w:lang w:val="en-GB" w:eastAsia="en-GB"/>
        </w:rPr>
        <w:t>Entrepreneurship Theory and Practice</w:t>
      </w:r>
      <w:r w:rsidRPr="00320ED2">
        <w:rPr>
          <w:rFonts w:ascii="Arial" w:eastAsia="Times New Roman" w:hAnsi="Arial" w:cs="Arial"/>
          <w:sz w:val="24"/>
          <w:szCs w:val="24"/>
          <w:lang w:val="en-GB" w:eastAsia="en-GB"/>
        </w:rPr>
        <w:t xml:space="preserve">, 45(5), pp. 967–998. </w:t>
      </w:r>
      <w:hyperlink r:id="rId48"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17FE79A2"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Silva, D.S., </w:t>
      </w:r>
      <w:proofErr w:type="spellStart"/>
      <w:r w:rsidRPr="00320ED2">
        <w:rPr>
          <w:rFonts w:ascii="Arial" w:eastAsia="Times New Roman" w:hAnsi="Arial" w:cs="Arial"/>
          <w:sz w:val="24"/>
          <w:szCs w:val="24"/>
          <w:lang w:val="en-GB" w:eastAsia="en-GB"/>
        </w:rPr>
        <w:t>Ghezzi</w:t>
      </w:r>
      <w:proofErr w:type="spellEnd"/>
      <w:r w:rsidRPr="00320ED2">
        <w:rPr>
          <w:rFonts w:ascii="Arial" w:eastAsia="Times New Roman" w:hAnsi="Arial" w:cs="Arial"/>
          <w:sz w:val="24"/>
          <w:szCs w:val="24"/>
          <w:lang w:val="en-GB" w:eastAsia="en-GB"/>
        </w:rPr>
        <w:t xml:space="preserve">, A., </w:t>
      </w:r>
      <w:proofErr w:type="spellStart"/>
      <w:r w:rsidRPr="00320ED2">
        <w:rPr>
          <w:rFonts w:ascii="Arial" w:eastAsia="Times New Roman" w:hAnsi="Arial" w:cs="Arial"/>
          <w:sz w:val="24"/>
          <w:szCs w:val="24"/>
          <w:lang w:val="en-GB" w:eastAsia="en-GB"/>
        </w:rPr>
        <w:t>Cavallo</w:t>
      </w:r>
      <w:proofErr w:type="spellEnd"/>
      <w:r w:rsidRPr="00320ED2">
        <w:rPr>
          <w:rFonts w:ascii="Arial" w:eastAsia="Times New Roman" w:hAnsi="Arial" w:cs="Arial"/>
          <w:sz w:val="24"/>
          <w:szCs w:val="24"/>
          <w:lang w:val="en-GB" w:eastAsia="en-GB"/>
        </w:rPr>
        <w:t xml:space="preserve">, A. and </w:t>
      </w:r>
      <w:proofErr w:type="spellStart"/>
      <w:r w:rsidRPr="00320ED2">
        <w:rPr>
          <w:rFonts w:ascii="Arial" w:eastAsia="Times New Roman" w:hAnsi="Arial" w:cs="Arial"/>
          <w:sz w:val="24"/>
          <w:szCs w:val="24"/>
          <w:lang w:val="en-GB" w:eastAsia="en-GB"/>
        </w:rPr>
        <w:t>Cortimiglia</w:t>
      </w:r>
      <w:proofErr w:type="spellEnd"/>
      <w:r w:rsidRPr="00320ED2">
        <w:rPr>
          <w:rFonts w:ascii="Arial" w:eastAsia="Times New Roman" w:hAnsi="Arial" w:cs="Arial"/>
          <w:sz w:val="24"/>
          <w:szCs w:val="24"/>
          <w:lang w:val="en-GB" w:eastAsia="en-GB"/>
        </w:rPr>
        <w:t xml:space="preserve">, M.N. (2021) ‘Lean </w:t>
      </w:r>
      <w:proofErr w:type="spellStart"/>
      <w:r w:rsidRPr="00320ED2">
        <w:rPr>
          <w:rFonts w:ascii="Arial" w:eastAsia="Times New Roman" w:hAnsi="Arial" w:cs="Arial"/>
          <w:sz w:val="24"/>
          <w:szCs w:val="24"/>
          <w:lang w:val="en-GB" w:eastAsia="en-GB"/>
        </w:rPr>
        <w:t>startup</w:t>
      </w:r>
      <w:proofErr w:type="spellEnd"/>
      <w:r w:rsidRPr="00320ED2">
        <w:rPr>
          <w:rFonts w:ascii="Arial" w:eastAsia="Times New Roman" w:hAnsi="Arial" w:cs="Arial"/>
          <w:sz w:val="24"/>
          <w:szCs w:val="24"/>
          <w:lang w:val="en-GB" w:eastAsia="en-GB"/>
        </w:rPr>
        <w:t xml:space="preserve"> for opportunity exploitation’, </w:t>
      </w:r>
      <w:r w:rsidRPr="00320ED2">
        <w:rPr>
          <w:rFonts w:ascii="Arial" w:eastAsia="Times New Roman" w:hAnsi="Arial" w:cs="Arial"/>
          <w:i/>
          <w:iCs/>
          <w:sz w:val="24"/>
          <w:szCs w:val="24"/>
          <w:lang w:val="en-GB" w:eastAsia="en-GB"/>
        </w:rPr>
        <w:t xml:space="preserve">International Journal of Entrepreneurial </w:t>
      </w:r>
      <w:proofErr w:type="spellStart"/>
      <w:r w:rsidRPr="00320ED2">
        <w:rPr>
          <w:rFonts w:ascii="Arial" w:eastAsia="Times New Roman" w:hAnsi="Arial" w:cs="Arial"/>
          <w:i/>
          <w:iCs/>
          <w:sz w:val="24"/>
          <w:szCs w:val="24"/>
          <w:lang w:val="en-GB" w:eastAsia="en-GB"/>
        </w:rPr>
        <w:t>Behavior</w:t>
      </w:r>
      <w:proofErr w:type="spellEnd"/>
      <w:r w:rsidRPr="00320ED2">
        <w:rPr>
          <w:rFonts w:ascii="Arial" w:eastAsia="Times New Roman" w:hAnsi="Arial" w:cs="Arial"/>
          <w:i/>
          <w:iCs/>
          <w:sz w:val="24"/>
          <w:szCs w:val="24"/>
          <w:lang w:val="en-GB" w:eastAsia="en-GB"/>
        </w:rPr>
        <w:t xml:space="preserve"> &amp; Research</w:t>
      </w:r>
      <w:r w:rsidRPr="00320ED2">
        <w:rPr>
          <w:rFonts w:ascii="Arial" w:eastAsia="Times New Roman" w:hAnsi="Arial" w:cs="Arial"/>
          <w:sz w:val="24"/>
          <w:szCs w:val="24"/>
          <w:lang w:val="en-GB" w:eastAsia="en-GB"/>
        </w:rPr>
        <w:t xml:space="preserve">. </w:t>
      </w:r>
      <w:hyperlink r:id="rId49"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188CFDDE"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Slack, N. and Brandon-Jones, A. (2022) </w:t>
      </w:r>
      <w:r w:rsidRPr="00320ED2">
        <w:rPr>
          <w:rFonts w:ascii="Arial" w:eastAsia="Times New Roman" w:hAnsi="Arial" w:cs="Arial"/>
          <w:i/>
          <w:iCs/>
          <w:sz w:val="24"/>
          <w:szCs w:val="24"/>
          <w:lang w:val="en-GB" w:eastAsia="en-GB"/>
        </w:rPr>
        <w:t>Operations Management</w:t>
      </w:r>
      <w:r w:rsidRPr="00320ED2">
        <w:rPr>
          <w:rFonts w:ascii="Arial" w:eastAsia="Times New Roman" w:hAnsi="Arial" w:cs="Arial"/>
          <w:sz w:val="24"/>
          <w:szCs w:val="24"/>
          <w:lang w:val="en-GB" w:eastAsia="en-GB"/>
        </w:rPr>
        <w:t xml:space="preserve">. 10th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50"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73F3E21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Teece</w:t>
      </w:r>
      <w:proofErr w:type="spellEnd"/>
      <w:r w:rsidRPr="00320ED2">
        <w:rPr>
          <w:rFonts w:ascii="Arial" w:eastAsia="Times New Roman" w:hAnsi="Arial" w:cs="Arial"/>
          <w:sz w:val="24"/>
          <w:szCs w:val="24"/>
          <w:lang w:val="en-GB" w:eastAsia="en-GB"/>
        </w:rPr>
        <w:t xml:space="preserve">, D.J. (2018) ‘Business models and dynamic capabilities’, </w:t>
      </w:r>
      <w:r w:rsidRPr="00320ED2">
        <w:rPr>
          <w:rFonts w:ascii="Arial" w:eastAsia="Times New Roman" w:hAnsi="Arial" w:cs="Arial"/>
          <w:i/>
          <w:iCs/>
          <w:sz w:val="24"/>
          <w:szCs w:val="24"/>
          <w:lang w:val="en-GB" w:eastAsia="en-GB"/>
        </w:rPr>
        <w:t>Long Range Planning</w:t>
      </w:r>
      <w:r w:rsidRPr="00320ED2">
        <w:rPr>
          <w:rFonts w:ascii="Arial" w:eastAsia="Times New Roman" w:hAnsi="Arial" w:cs="Arial"/>
          <w:sz w:val="24"/>
          <w:szCs w:val="24"/>
          <w:lang w:val="en-GB" w:eastAsia="en-GB"/>
        </w:rPr>
        <w:t xml:space="preserve">, 51(1), pp. 40–49. </w:t>
      </w:r>
      <w:hyperlink r:id="rId51"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6E35B89D"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Teece</w:t>
      </w:r>
      <w:proofErr w:type="spellEnd"/>
      <w:r w:rsidRPr="00320ED2">
        <w:rPr>
          <w:rFonts w:ascii="Arial" w:eastAsia="Times New Roman" w:hAnsi="Arial" w:cs="Arial"/>
          <w:sz w:val="24"/>
          <w:szCs w:val="24"/>
          <w:lang w:val="en-GB" w:eastAsia="en-GB"/>
        </w:rPr>
        <w:t xml:space="preserve">, D.J., Pisano, G. and </w:t>
      </w:r>
      <w:proofErr w:type="spellStart"/>
      <w:r w:rsidRPr="00320ED2">
        <w:rPr>
          <w:rFonts w:ascii="Arial" w:eastAsia="Times New Roman" w:hAnsi="Arial" w:cs="Arial"/>
          <w:sz w:val="24"/>
          <w:szCs w:val="24"/>
          <w:lang w:val="en-GB" w:eastAsia="en-GB"/>
        </w:rPr>
        <w:t>Shuen</w:t>
      </w:r>
      <w:proofErr w:type="spellEnd"/>
      <w:r w:rsidRPr="00320ED2">
        <w:rPr>
          <w:rFonts w:ascii="Arial" w:eastAsia="Times New Roman" w:hAnsi="Arial" w:cs="Arial"/>
          <w:sz w:val="24"/>
          <w:szCs w:val="24"/>
          <w:lang w:val="en-GB" w:eastAsia="en-GB"/>
        </w:rPr>
        <w:t xml:space="preserve">, A. (1997) ‘Dynamic capabilities and strategic management’, </w:t>
      </w:r>
      <w:r w:rsidRPr="00320ED2">
        <w:rPr>
          <w:rFonts w:ascii="Arial" w:eastAsia="Times New Roman" w:hAnsi="Arial" w:cs="Arial"/>
          <w:i/>
          <w:iCs/>
          <w:sz w:val="24"/>
          <w:szCs w:val="24"/>
          <w:lang w:val="en-GB" w:eastAsia="en-GB"/>
        </w:rPr>
        <w:t>Strategic Management Journal</w:t>
      </w:r>
      <w:r w:rsidRPr="00320ED2">
        <w:rPr>
          <w:rFonts w:ascii="Arial" w:eastAsia="Times New Roman" w:hAnsi="Arial" w:cs="Arial"/>
          <w:sz w:val="24"/>
          <w:szCs w:val="24"/>
          <w:lang w:val="en-GB" w:eastAsia="en-GB"/>
        </w:rPr>
        <w:t xml:space="preserve">, 18(7), pp. 509–533. Article DOI </w:t>
      </w:r>
    </w:p>
    <w:p w14:paraId="1DF84FA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Vargo</w:t>
      </w:r>
      <w:proofErr w:type="spellEnd"/>
      <w:r w:rsidRPr="00320ED2">
        <w:rPr>
          <w:rFonts w:ascii="Arial" w:eastAsia="Times New Roman" w:hAnsi="Arial" w:cs="Arial"/>
          <w:sz w:val="24"/>
          <w:szCs w:val="24"/>
          <w:lang w:val="en-GB" w:eastAsia="en-GB"/>
        </w:rPr>
        <w:t xml:space="preserve">, S.L. and </w:t>
      </w:r>
      <w:proofErr w:type="spellStart"/>
      <w:r w:rsidRPr="00320ED2">
        <w:rPr>
          <w:rFonts w:ascii="Arial" w:eastAsia="Times New Roman" w:hAnsi="Arial" w:cs="Arial"/>
          <w:sz w:val="24"/>
          <w:szCs w:val="24"/>
          <w:lang w:val="en-GB" w:eastAsia="en-GB"/>
        </w:rPr>
        <w:t>Lusch</w:t>
      </w:r>
      <w:proofErr w:type="spellEnd"/>
      <w:r w:rsidRPr="00320ED2">
        <w:rPr>
          <w:rFonts w:ascii="Arial" w:eastAsia="Times New Roman" w:hAnsi="Arial" w:cs="Arial"/>
          <w:sz w:val="24"/>
          <w:szCs w:val="24"/>
          <w:lang w:val="en-GB" w:eastAsia="en-GB"/>
        </w:rPr>
        <w:t xml:space="preserve">, R.F. (2008) ‘Service-dominant logic: continuing the evolution’, </w:t>
      </w:r>
      <w:r w:rsidRPr="00320ED2">
        <w:rPr>
          <w:rFonts w:ascii="Arial" w:eastAsia="Times New Roman" w:hAnsi="Arial" w:cs="Arial"/>
          <w:i/>
          <w:iCs/>
          <w:sz w:val="24"/>
          <w:szCs w:val="24"/>
          <w:lang w:val="en-GB" w:eastAsia="en-GB"/>
        </w:rPr>
        <w:t>Journal of the Academy of Marketing Science</w:t>
      </w:r>
      <w:r w:rsidRPr="00320ED2">
        <w:rPr>
          <w:rFonts w:ascii="Arial" w:eastAsia="Times New Roman" w:hAnsi="Arial" w:cs="Arial"/>
          <w:sz w:val="24"/>
          <w:szCs w:val="24"/>
          <w:lang w:val="en-GB" w:eastAsia="en-GB"/>
        </w:rPr>
        <w:t xml:space="preserve">, 36, pp. 1–10. </w:t>
      </w:r>
      <w:hyperlink r:id="rId52"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5A1493CE"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Wernerfelt</w:t>
      </w:r>
      <w:proofErr w:type="spellEnd"/>
      <w:r w:rsidRPr="00320ED2">
        <w:rPr>
          <w:rFonts w:ascii="Arial" w:eastAsia="Times New Roman" w:hAnsi="Arial" w:cs="Arial"/>
          <w:sz w:val="24"/>
          <w:szCs w:val="24"/>
          <w:lang w:val="en-GB" w:eastAsia="en-GB"/>
        </w:rPr>
        <w:t xml:space="preserve">, B. (1984) ‘A resource-based view of the firm’, </w:t>
      </w:r>
      <w:r w:rsidRPr="00320ED2">
        <w:rPr>
          <w:rFonts w:ascii="Arial" w:eastAsia="Times New Roman" w:hAnsi="Arial" w:cs="Arial"/>
          <w:i/>
          <w:iCs/>
          <w:sz w:val="24"/>
          <w:szCs w:val="24"/>
          <w:lang w:val="en-GB" w:eastAsia="en-GB"/>
        </w:rPr>
        <w:t>Strategic Management Journal</w:t>
      </w:r>
      <w:r w:rsidRPr="00320ED2">
        <w:rPr>
          <w:rFonts w:ascii="Arial" w:eastAsia="Times New Roman" w:hAnsi="Arial" w:cs="Arial"/>
          <w:sz w:val="24"/>
          <w:szCs w:val="24"/>
          <w:lang w:val="en-GB" w:eastAsia="en-GB"/>
        </w:rPr>
        <w:t xml:space="preserve">, 5(2), pp. 171–180. </w:t>
      </w:r>
      <w:hyperlink r:id="rId53"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62773361"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World Bank (2024) </w:t>
      </w:r>
      <w:r w:rsidRPr="00320ED2">
        <w:rPr>
          <w:rFonts w:ascii="Arial" w:eastAsia="Times New Roman" w:hAnsi="Arial" w:cs="Arial"/>
          <w:i/>
          <w:iCs/>
          <w:sz w:val="24"/>
          <w:szCs w:val="24"/>
          <w:lang w:val="en-GB" w:eastAsia="en-GB"/>
        </w:rPr>
        <w:t>Doing Business / Business Environment Data</w:t>
      </w:r>
      <w:r w:rsidRPr="00320ED2">
        <w:rPr>
          <w:rFonts w:ascii="Arial" w:eastAsia="Times New Roman" w:hAnsi="Arial" w:cs="Arial"/>
          <w:sz w:val="24"/>
          <w:szCs w:val="24"/>
          <w:lang w:val="en-GB" w:eastAsia="en-GB"/>
        </w:rPr>
        <w:t xml:space="preserve">. </w:t>
      </w:r>
      <w:hyperlink r:id="rId54" w:tgtFrame="_blank" w:history="1">
        <w:r w:rsidRPr="00320ED2">
          <w:rPr>
            <w:rFonts w:ascii="Arial" w:eastAsia="Times New Roman" w:hAnsi="Arial" w:cs="Arial"/>
            <w:color w:val="0000FF"/>
            <w:sz w:val="24"/>
            <w:szCs w:val="24"/>
            <w:u w:val="single"/>
            <w:lang w:val="en-GB" w:eastAsia="en-GB"/>
          </w:rPr>
          <w:t>World Bank Data</w:t>
        </w:r>
      </w:hyperlink>
      <w:r w:rsidRPr="00320ED2">
        <w:rPr>
          <w:rFonts w:ascii="Arial" w:eastAsia="Times New Roman" w:hAnsi="Arial" w:cs="Arial"/>
          <w:sz w:val="24"/>
          <w:szCs w:val="24"/>
          <w:lang w:val="en-GB" w:eastAsia="en-GB"/>
        </w:rPr>
        <w:t xml:space="preserve"> </w:t>
      </w:r>
    </w:p>
    <w:p w14:paraId="11FAFF8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World Economic Forum (2023) </w:t>
      </w:r>
      <w:r w:rsidRPr="00320ED2">
        <w:rPr>
          <w:rFonts w:ascii="Arial" w:eastAsia="Times New Roman" w:hAnsi="Arial" w:cs="Arial"/>
          <w:i/>
          <w:iCs/>
          <w:sz w:val="24"/>
          <w:szCs w:val="24"/>
          <w:lang w:val="en-GB" w:eastAsia="en-GB"/>
        </w:rPr>
        <w:t>The Future of Jobs Report 2023</w:t>
      </w:r>
      <w:r w:rsidRPr="00320ED2">
        <w:rPr>
          <w:rFonts w:ascii="Arial" w:eastAsia="Times New Roman" w:hAnsi="Arial" w:cs="Arial"/>
          <w:sz w:val="24"/>
          <w:szCs w:val="24"/>
          <w:lang w:val="en-GB" w:eastAsia="en-GB"/>
        </w:rPr>
        <w:t xml:space="preserve">. Geneva: WEF. </w:t>
      </w:r>
      <w:hyperlink r:id="rId55" w:tgtFrame="_blank" w:history="1">
        <w:r w:rsidRPr="00320ED2">
          <w:rPr>
            <w:rFonts w:ascii="Arial" w:eastAsia="Times New Roman" w:hAnsi="Arial" w:cs="Arial"/>
            <w:color w:val="0000FF"/>
            <w:sz w:val="24"/>
            <w:szCs w:val="24"/>
            <w:u w:val="single"/>
            <w:lang w:val="en-GB" w:eastAsia="en-GB"/>
          </w:rPr>
          <w:t>World Economic Forum</w:t>
        </w:r>
      </w:hyperlink>
      <w:r w:rsidRPr="00320ED2">
        <w:rPr>
          <w:rFonts w:ascii="Arial" w:eastAsia="Times New Roman" w:hAnsi="Arial" w:cs="Arial"/>
          <w:sz w:val="24"/>
          <w:szCs w:val="24"/>
          <w:lang w:val="en-GB" w:eastAsia="en-GB"/>
        </w:rPr>
        <w:t xml:space="preserve"> </w:t>
      </w:r>
    </w:p>
    <w:p w14:paraId="6528EDF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Chartered Institute of Marketing (2024) </w:t>
      </w:r>
      <w:r w:rsidRPr="00320ED2">
        <w:rPr>
          <w:rFonts w:ascii="Arial" w:eastAsia="Times New Roman" w:hAnsi="Arial" w:cs="Arial"/>
          <w:i/>
          <w:iCs/>
          <w:sz w:val="24"/>
          <w:szCs w:val="24"/>
          <w:lang w:val="en-GB" w:eastAsia="en-GB"/>
        </w:rPr>
        <w:t>Marketing and Business Resources</w:t>
      </w:r>
      <w:r w:rsidRPr="00320ED2">
        <w:rPr>
          <w:rFonts w:ascii="Arial" w:eastAsia="Times New Roman" w:hAnsi="Arial" w:cs="Arial"/>
          <w:sz w:val="24"/>
          <w:szCs w:val="24"/>
          <w:lang w:val="en-GB" w:eastAsia="en-GB"/>
        </w:rPr>
        <w:t xml:space="preserve">. </w:t>
      </w:r>
      <w:hyperlink r:id="rId56" w:tgtFrame="_blank" w:history="1">
        <w:r w:rsidRPr="00320ED2">
          <w:rPr>
            <w:rFonts w:ascii="Arial" w:eastAsia="Times New Roman" w:hAnsi="Arial" w:cs="Arial"/>
            <w:color w:val="0000FF"/>
            <w:sz w:val="24"/>
            <w:szCs w:val="24"/>
            <w:u w:val="single"/>
            <w:lang w:val="en-GB" w:eastAsia="en-GB"/>
          </w:rPr>
          <w:t>CIM</w:t>
        </w:r>
      </w:hyperlink>
      <w:r w:rsidRPr="00320ED2">
        <w:rPr>
          <w:rFonts w:ascii="Arial" w:eastAsia="Times New Roman" w:hAnsi="Arial" w:cs="Arial"/>
          <w:sz w:val="24"/>
          <w:szCs w:val="24"/>
          <w:lang w:val="en-GB" w:eastAsia="en-GB"/>
        </w:rPr>
        <w:t xml:space="preserve"> </w:t>
      </w:r>
    </w:p>
    <w:p w14:paraId="6E3D674E"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lastRenderedPageBreak/>
        <w:t xml:space="preserve">Chartered Institute of Personnel and Development (2024) </w:t>
      </w:r>
      <w:r w:rsidRPr="00320ED2">
        <w:rPr>
          <w:rFonts w:ascii="Arial" w:eastAsia="Times New Roman" w:hAnsi="Arial" w:cs="Arial"/>
          <w:i/>
          <w:iCs/>
          <w:sz w:val="24"/>
          <w:szCs w:val="24"/>
          <w:lang w:val="en-GB" w:eastAsia="en-GB"/>
        </w:rPr>
        <w:t>Good Work Index</w:t>
      </w:r>
      <w:r w:rsidRPr="00320ED2">
        <w:rPr>
          <w:rFonts w:ascii="Arial" w:eastAsia="Times New Roman" w:hAnsi="Arial" w:cs="Arial"/>
          <w:sz w:val="24"/>
          <w:szCs w:val="24"/>
          <w:lang w:val="en-GB" w:eastAsia="en-GB"/>
        </w:rPr>
        <w:t xml:space="preserve">. London: CIPD. </w:t>
      </w:r>
      <w:hyperlink r:id="rId57" w:tgtFrame="_blank" w:history="1">
        <w:r w:rsidRPr="00320ED2">
          <w:rPr>
            <w:rFonts w:ascii="Arial" w:eastAsia="Times New Roman" w:hAnsi="Arial" w:cs="Arial"/>
            <w:color w:val="0000FF"/>
            <w:sz w:val="24"/>
            <w:szCs w:val="24"/>
            <w:u w:val="single"/>
            <w:lang w:val="en-GB" w:eastAsia="en-GB"/>
          </w:rPr>
          <w:t>CIPD</w:t>
        </w:r>
      </w:hyperlink>
      <w:r w:rsidRPr="00320ED2">
        <w:rPr>
          <w:rFonts w:ascii="Arial" w:eastAsia="Times New Roman" w:hAnsi="Arial" w:cs="Arial"/>
          <w:sz w:val="24"/>
          <w:szCs w:val="24"/>
          <w:lang w:val="en-GB" w:eastAsia="en-GB"/>
        </w:rPr>
        <w:t xml:space="preserve"> </w:t>
      </w:r>
    </w:p>
    <w:p w14:paraId="44B107F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Chartered Institute of Personnel and Development (2024) </w:t>
      </w:r>
      <w:r w:rsidRPr="00320ED2">
        <w:rPr>
          <w:rFonts w:ascii="Arial" w:eastAsia="Times New Roman" w:hAnsi="Arial" w:cs="Arial"/>
          <w:i/>
          <w:iCs/>
          <w:sz w:val="24"/>
          <w:szCs w:val="24"/>
          <w:lang w:val="en-GB" w:eastAsia="en-GB"/>
        </w:rPr>
        <w:t>Learning at Work</w:t>
      </w:r>
      <w:r w:rsidRPr="00320ED2">
        <w:rPr>
          <w:rFonts w:ascii="Arial" w:eastAsia="Times New Roman" w:hAnsi="Arial" w:cs="Arial"/>
          <w:sz w:val="24"/>
          <w:szCs w:val="24"/>
          <w:lang w:val="en-GB" w:eastAsia="en-GB"/>
        </w:rPr>
        <w:t xml:space="preserve">. </w:t>
      </w:r>
      <w:hyperlink r:id="rId58" w:tgtFrame="_blank" w:history="1">
        <w:r w:rsidRPr="00320ED2">
          <w:rPr>
            <w:rFonts w:ascii="Arial" w:eastAsia="Times New Roman" w:hAnsi="Arial" w:cs="Arial"/>
            <w:color w:val="0000FF"/>
            <w:sz w:val="24"/>
            <w:szCs w:val="24"/>
            <w:u w:val="single"/>
            <w:lang w:val="en-GB" w:eastAsia="en-GB"/>
          </w:rPr>
          <w:t>CIPD</w:t>
        </w:r>
      </w:hyperlink>
      <w:r w:rsidRPr="00320ED2">
        <w:rPr>
          <w:rFonts w:ascii="Arial" w:eastAsia="Times New Roman" w:hAnsi="Arial" w:cs="Arial"/>
          <w:sz w:val="24"/>
          <w:szCs w:val="24"/>
          <w:lang w:val="en-GB" w:eastAsia="en-GB"/>
        </w:rPr>
        <w:t xml:space="preserve"> </w:t>
      </w:r>
    </w:p>
    <w:p w14:paraId="568C10B5"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Chartered Institute of Personnel and Development (2025) </w:t>
      </w:r>
      <w:r w:rsidRPr="00320ED2">
        <w:rPr>
          <w:rFonts w:ascii="Arial" w:eastAsia="Times New Roman" w:hAnsi="Arial" w:cs="Arial"/>
          <w:i/>
          <w:iCs/>
          <w:sz w:val="24"/>
          <w:szCs w:val="24"/>
          <w:lang w:val="en-GB" w:eastAsia="en-GB"/>
        </w:rPr>
        <w:t>Resourcing and Talent Planning</w:t>
      </w:r>
      <w:r w:rsidRPr="00320ED2">
        <w:rPr>
          <w:rFonts w:ascii="Arial" w:eastAsia="Times New Roman" w:hAnsi="Arial" w:cs="Arial"/>
          <w:sz w:val="24"/>
          <w:szCs w:val="24"/>
          <w:lang w:val="en-GB" w:eastAsia="en-GB"/>
        </w:rPr>
        <w:t xml:space="preserve">. CIPD </w:t>
      </w:r>
    </w:p>
    <w:p w14:paraId="5669D881"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Health and Safety Executive (2024) </w:t>
      </w:r>
      <w:r w:rsidRPr="00320ED2">
        <w:rPr>
          <w:rFonts w:ascii="Arial" w:eastAsia="Times New Roman" w:hAnsi="Arial" w:cs="Arial"/>
          <w:i/>
          <w:iCs/>
          <w:sz w:val="24"/>
          <w:szCs w:val="24"/>
          <w:lang w:val="en-GB" w:eastAsia="en-GB"/>
        </w:rPr>
        <w:t>Managing for Health and Safety</w:t>
      </w:r>
      <w:r w:rsidRPr="00320ED2">
        <w:rPr>
          <w:rFonts w:ascii="Arial" w:eastAsia="Times New Roman" w:hAnsi="Arial" w:cs="Arial"/>
          <w:sz w:val="24"/>
          <w:szCs w:val="24"/>
          <w:lang w:val="en-GB" w:eastAsia="en-GB"/>
        </w:rPr>
        <w:t xml:space="preserve">. </w:t>
      </w:r>
      <w:hyperlink r:id="rId59" w:tgtFrame="_blank" w:history="1">
        <w:r w:rsidRPr="00320ED2">
          <w:rPr>
            <w:rFonts w:ascii="Arial" w:eastAsia="Times New Roman" w:hAnsi="Arial" w:cs="Arial"/>
            <w:color w:val="0000FF"/>
            <w:sz w:val="24"/>
            <w:szCs w:val="24"/>
            <w:u w:val="single"/>
            <w:lang w:val="en-GB" w:eastAsia="en-GB"/>
          </w:rPr>
          <w:t>HSE</w:t>
        </w:r>
      </w:hyperlink>
      <w:r w:rsidRPr="00320ED2">
        <w:rPr>
          <w:rFonts w:ascii="Arial" w:eastAsia="Times New Roman" w:hAnsi="Arial" w:cs="Arial"/>
          <w:sz w:val="24"/>
          <w:szCs w:val="24"/>
          <w:lang w:val="en-GB" w:eastAsia="en-GB"/>
        </w:rPr>
        <w:t xml:space="preserve"> </w:t>
      </w:r>
    </w:p>
    <w:p w14:paraId="35A3A42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Health and Safety Executive (2025) </w:t>
      </w:r>
      <w:r w:rsidRPr="00320ED2">
        <w:rPr>
          <w:rFonts w:ascii="Arial" w:eastAsia="Times New Roman" w:hAnsi="Arial" w:cs="Arial"/>
          <w:i/>
          <w:iCs/>
          <w:sz w:val="24"/>
          <w:szCs w:val="24"/>
          <w:lang w:val="en-GB" w:eastAsia="en-GB"/>
        </w:rPr>
        <w:t>Risk Assessment</w:t>
      </w:r>
      <w:r w:rsidRPr="00320ED2">
        <w:rPr>
          <w:rFonts w:ascii="Arial" w:eastAsia="Times New Roman" w:hAnsi="Arial" w:cs="Arial"/>
          <w:sz w:val="24"/>
          <w:szCs w:val="24"/>
          <w:lang w:val="en-GB" w:eastAsia="en-GB"/>
        </w:rPr>
        <w:t xml:space="preserve">. </w:t>
      </w:r>
      <w:hyperlink r:id="rId60" w:tgtFrame="_blank" w:history="1">
        <w:r w:rsidRPr="00320ED2">
          <w:rPr>
            <w:rFonts w:ascii="Arial" w:eastAsia="Times New Roman" w:hAnsi="Arial" w:cs="Arial"/>
            <w:color w:val="0000FF"/>
            <w:sz w:val="24"/>
            <w:szCs w:val="24"/>
            <w:u w:val="single"/>
            <w:lang w:val="en-GB" w:eastAsia="en-GB"/>
          </w:rPr>
          <w:t>HSE</w:t>
        </w:r>
      </w:hyperlink>
      <w:r w:rsidRPr="00320ED2">
        <w:rPr>
          <w:rFonts w:ascii="Arial" w:eastAsia="Times New Roman" w:hAnsi="Arial" w:cs="Arial"/>
          <w:sz w:val="24"/>
          <w:szCs w:val="24"/>
          <w:lang w:val="en-GB" w:eastAsia="en-GB"/>
        </w:rPr>
        <w:t xml:space="preserve"> </w:t>
      </w:r>
    </w:p>
    <w:p w14:paraId="61DD5D75"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HM Revenue &amp; Customs (2025) </w:t>
      </w:r>
      <w:r w:rsidRPr="00320ED2">
        <w:rPr>
          <w:rFonts w:ascii="Arial" w:eastAsia="Times New Roman" w:hAnsi="Arial" w:cs="Arial"/>
          <w:i/>
          <w:iCs/>
          <w:sz w:val="24"/>
          <w:szCs w:val="24"/>
          <w:lang w:val="en-GB" w:eastAsia="en-GB"/>
        </w:rPr>
        <w:t>Starting Your Own Business</w:t>
      </w:r>
      <w:r w:rsidRPr="00320ED2">
        <w:rPr>
          <w:rFonts w:ascii="Arial" w:eastAsia="Times New Roman" w:hAnsi="Arial" w:cs="Arial"/>
          <w:sz w:val="24"/>
          <w:szCs w:val="24"/>
          <w:lang w:val="en-GB" w:eastAsia="en-GB"/>
        </w:rPr>
        <w:t xml:space="preserve">. </w:t>
      </w:r>
      <w:hyperlink r:id="rId61"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045743EC"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HM Revenue &amp; Customs (2025) </w:t>
      </w:r>
      <w:r w:rsidRPr="00320ED2">
        <w:rPr>
          <w:rFonts w:ascii="Arial" w:eastAsia="Times New Roman" w:hAnsi="Arial" w:cs="Arial"/>
          <w:i/>
          <w:iCs/>
          <w:sz w:val="24"/>
          <w:szCs w:val="24"/>
          <w:lang w:val="en-GB" w:eastAsia="en-GB"/>
        </w:rPr>
        <w:t>Business Tax</w:t>
      </w:r>
      <w:r w:rsidRPr="00320ED2">
        <w:rPr>
          <w:rFonts w:ascii="Arial" w:eastAsia="Times New Roman" w:hAnsi="Arial" w:cs="Arial"/>
          <w:sz w:val="24"/>
          <w:szCs w:val="24"/>
          <w:lang w:val="en-GB" w:eastAsia="en-GB"/>
        </w:rPr>
        <w:t xml:space="preserve">. GOV.UK </w:t>
      </w:r>
    </w:p>
    <w:p w14:paraId="22D57639"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Information Commissioner's Office (2025) </w:t>
      </w:r>
      <w:r w:rsidRPr="00320ED2">
        <w:rPr>
          <w:rFonts w:ascii="Arial" w:eastAsia="Times New Roman" w:hAnsi="Arial" w:cs="Arial"/>
          <w:i/>
          <w:iCs/>
          <w:sz w:val="24"/>
          <w:szCs w:val="24"/>
          <w:lang w:val="en-GB" w:eastAsia="en-GB"/>
        </w:rPr>
        <w:t>Data Protection and Your Business</w:t>
      </w:r>
      <w:r w:rsidRPr="00320ED2">
        <w:rPr>
          <w:rFonts w:ascii="Arial" w:eastAsia="Times New Roman" w:hAnsi="Arial" w:cs="Arial"/>
          <w:sz w:val="24"/>
          <w:szCs w:val="24"/>
          <w:lang w:val="en-GB" w:eastAsia="en-GB"/>
        </w:rPr>
        <w:t xml:space="preserve">. </w:t>
      </w:r>
      <w:hyperlink r:id="rId62" w:tgtFrame="_blank" w:history="1">
        <w:r w:rsidRPr="00320ED2">
          <w:rPr>
            <w:rFonts w:ascii="Arial" w:eastAsia="Times New Roman" w:hAnsi="Arial" w:cs="Arial"/>
            <w:color w:val="0000FF"/>
            <w:sz w:val="24"/>
            <w:szCs w:val="24"/>
            <w:u w:val="single"/>
            <w:lang w:val="en-GB" w:eastAsia="en-GB"/>
          </w:rPr>
          <w:t>GOV.UK/ICO</w:t>
        </w:r>
      </w:hyperlink>
      <w:r w:rsidRPr="00320ED2">
        <w:rPr>
          <w:rFonts w:ascii="Arial" w:eastAsia="Times New Roman" w:hAnsi="Arial" w:cs="Arial"/>
          <w:sz w:val="24"/>
          <w:szCs w:val="24"/>
          <w:lang w:val="en-GB" w:eastAsia="en-GB"/>
        </w:rPr>
        <w:t xml:space="preserve"> </w:t>
      </w:r>
    </w:p>
    <w:p w14:paraId="7225391A"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Information Commissioner's Office (2022) </w:t>
      </w:r>
      <w:r w:rsidRPr="00320ED2">
        <w:rPr>
          <w:rFonts w:ascii="Arial" w:eastAsia="Times New Roman" w:hAnsi="Arial" w:cs="Arial"/>
          <w:i/>
          <w:iCs/>
          <w:sz w:val="24"/>
          <w:szCs w:val="24"/>
          <w:lang w:val="en-GB" w:eastAsia="en-GB"/>
        </w:rPr>
        <w:t>Data Subject Rights</w:t>
      </w:r>
      <w:r w:rsidRPr="00320ED2">
        <w:rPr>
          <w:rFonts w:ascii="Arial" w:eastAsia="Times New Roman" w:hAnsi="Arial" w:cs="Arial"/>
          <w:sz w:val="24"/>
          <w:szCs w:val="24"/>
          <w:lang w:val="en-GB" w:eastAsia="en-GB"/>
        </w:rPr>
        <w:t xml:space="preserve">. </w:t>
      </w:r>
      <w:hyperlink r:id="rId63"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190C96D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Office for National Statistics (2025) </w:t>
      </w:r>
      <w:r w:rsidRPr="00320ED2">
        <w:rPr>
          <w:rFonts w:ascii="Arial" w:eastAsia="Times New Roman" w:hAnsi="Arial" w:cs="Arial"/>
          <w:i/>
          <w:iCs/>
          <w:sz w:val="24"/>
          <w:szCs w:val="24"/>
          <w:lang w:val="en-GB" w:eastAsia="en-GB"/>
        </w:rPr>
        <w:t>UK Business: Activity, Size and Location 2025</w:t>
      </w:r>
      <w:r w:rsidRPr="00320ED2">
        <w:rPr>
          <w:rFonts w:ascii="Arial" w:eastAsia="Times New Roman" w:hAnsi="Arial" w:cs="Arial"/>
          <w:sz w:val="24"/>
          <w:szCs w:val="24"/>
          <w:lang w:val="en-GB" w:eastAsia="en-GB"/>
        </w:rPr>
        <w:t xml:space="preserve">. </w:t>
      </w:r>
      <w:hyperlink r:id="rId64" w:tgtFrame="_blank" w:history="1">
        <w:r w:rsidRPr="00320ED2">
          <w:rPr>
            <w:rFonts w:ascii="Arial" w:eastAsia="Times New Roman" w:hAnsi="Arial" w:cs="Arial"/>
            <w:color w:val="0000FF"/>
            <w:sz w:val="24"/>
            <w:szCs w:val="24"/>
            <w:u w:val="single"/>
            <w:lang w:val="en-GB" w:eastAsia="en-GB"/>
          </w:rPr>
          <w:t>ONS</w:t>
        </w:r>
      </w:hyperlink>
      <w:r w:rsidRPr="00320ED2">
        <w:rPr>
          <w:rFonts w:ascii="Arial" w:eastAsia="Times New Roman" w:hAnsi="Arial" w:cs="Arial"/>
          <w:sz w:val="24"/>
          <w:szCs w:val="24"/>
          <w:lang w:val="en-GB" w:eastAsia="en-GB"/>
        </w:rPr>
        <w:t xml:space="preserve"> </w:t>
      </w:r>
    </w:p>
    <w:p w14:paraId="13030A9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Office for National Statistics (2025) </w:t>
      </w:r>
      <w:r w:rsidRPr="00320ED2">
        <w:rPr>
          <w:rFonts w:ascii="Arial" w:eastAsia="Times New Roman" w:hAnsi="Arial" w:cs="Arial"/>
          <w:i/>
          <w:iCs/>
          <w:sz w:val="24"/>
          <w:szCs w:val="24"/>
          <w:lang w:val="en-GB" w:eastAsia="en-GB"/>
        </w:rPr>
        <w:t>Business Demography</w:t>
      </w:r>
      <w:r w:rsidRPr="00320ED2">
        <w:rPr>
          <w:rFonts w:ascii="Arial" w:eastAsia="Times New Roman" w:hAnsi="Arial" w:cs="Arial"/>
          <w:sz w:val="24"/>
          <w:szCs w:val="24"/>
          <w:lang w:val="en-GB" w:eastAsia="en-GB"/>
        </w:rPr>
        <w:t xml:space="preserve">. </w:t>
      </w:r>
      <w:hyperlink r:id="rId65" w:tgtFrame="_blank" w:history="1">
        <w:r w:rsidRPr="00320ED2">
          <w:rPr>
            <w:rFonts w:ascii="Arial" w:eastAsia="Times New Roman" w:hAnsi="Arial" w:cs="Arial"/>
            <w:color w:val="0000FF"/>
            <w:sz w:val="24"/>
            <w:szCs w:val="24"/>
            <w:u w:val="single"/>
            <w:lang w:val="en-GB" w:eastAsia="en-GB"/>
          </w:rPr>
          <w:t>ONS Business Demography</w:t>
        </w:r>
      </w:hyperlink>
      <w:r w:rsidRPr="00320ED2">
        <w:rPr>
          <w:rFonts w:ascii="Arial" w:eastAsia="Times New Roman" w:hAnsi="Arial" w:cs="Arial"/>
          <w:sz w:val="24"/>
          <w:szCs w:val="24"/>
          <w:lang w:val="en-GB" w:eastAsia="en-GB"/>
        </w:rPr>
        <w:t xml:space="preserve"> </w:t>
      </w:r>
    </w:p>
    <w:p w14:paraId="76B96EC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Office for National Statistics (2025) </w:t>
      </w:r>
      <w:r w:rsidRPr="00320ED2">
        <w:rPr>
          <w:rFonts w:ascii="Arial" w:eastAsia="Times New Roman" w:hAnsi="Arial" w:cs="Arial"/>
          <w:i/>
          <w:iCs/>
          <w:sz w:val="24"/>
          <w:szCs w:val="24"/>
          <w:lang w:val="en-GB" w:eastAsia="en-GB"/>
        </w:rPr>
        <w:t>Labour Market Overview, UK</w:t>
      </w:r>
      <w:r w:rsidRPr="00320ED2">
        <w:rPr>
          <w:rFonts w:ascii="Arial" w:eastAsia="Times New Roman" w:hAnsi="Arial" w:cs="Arial"/>
          <w:sz w:val="24"/>
          <w:szCs w:val="24"/>
          <w:lang w:val="en-GB" w:eastAsia="en-GB"/>
        </w:rPr>
        <w:t xml:space="preserve">. </w:t>
      </w:r>
      <w:hyperlink r:id="rId66" w:tgtFrame="_blank" w:history="1">
        <w:r w:rsidRPr="00320ED2">
          <w:rPr>
            <w:rFonts w:ascii="Arial" w:eastAsia="Times New Roman" w:hAnsi="Arial" w:cs="Arial"/>
            <w:color w:val="0000FF"/>
            <w:sz w:val="24"/>
            <w:szCs w:val="24"/>
            <w:u w:val="single"/>
            <w:lang w:val="en-GB" w:eastAsia="en-GB"/>
          </w:rPr>
          <w:t>ONS Labour Market</w:t>
        </w:r>
      </w:hyperlink>
      <w:r w:rsidRPr="00320ED2">
        <w:rPr>
          <w:rFonts w:ascii="Arial" w:eastAsia="Times New Roman" w:hAnsi="Arial" w:cs="Arial"/>
          <w:sz w:val="24"/>
          <w:szCs w:val="24"/>
          <w:lang w:val="en-GB" w:eastAsia="en-GB"/>
        </w:rPr>
        <w:t xml:space="preserve"> </w:t>
      </w:r>
    </w:p>
    <w:p w14:paraId="42DBF68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Office for National Statistics (2025) </w:t>
      </w:r>
      <w:r w:rsidRPr="00320ED2">
        <w:rPr>
          <w:rFonts w:ascii="Arial" w:eastAsia="Times New Roman" w:hAnsi="Arial" w:cs="Arial"/>
          <w:i/>
          <w:iCs/>
          <w:sz w:val="24"/>
          <w:szCs w:val="24"/>
          <w:lang w:val="en-GB" w:eastAsia="en-GB"/>
        </w:rPr>
        <w:t>Consumer Price Inflation, UK</w:t>
      </w:r>
      <w:r w:rsidRPr="00320ED2">
        <w:rPr>
          <w:rFonts w:ascii="Arial" w:eastAsia="Times New Roman" w:hAnsi="Arial" w:cs="Arial"/>
          <w:sz w:val="24"/>
          <w:szCs w:val="24"/>
          <w:lang w:val="en-GB" w:eastAsia="en-GB"/>
        </w:rPr>
        <w:t xml:space="preserve">. </w:t>
      </w:r>
      <w:hyperlink r:id="rId67" w:tgtFrame="_blank" w:history="1">
        <w:r w:rsidRPr="00320ED2">
          <w:rPr>
            <w:rFonts w:ascii="Arial" w:eastAsia="Times New Roman" w:hAnsi="Arial" w:cs="Arial"/>
            <w:color w:val="0000FF"/>
            <w:sz w:val="24"/>
            <w:szCs w:val="24"/>
            <w:u w:val="single"/>
            <w:lang w:val="en-GB" w:eastAsia="en-GB"/>
          </w:rPr>
          <w:t>ONS CPI</w:t>
        </w:r>
      </w:hyperlink>
      <w:r w:rsidRPr="00320ED2">
        <w:rPr>
          <w:rFonts w:ascii="Arial" w:eastAsia="Times New Roman" w:hAnsi="Arial" w:cs="Arial"/>
          <w:sz w:val="24"/>
          <w:szCs w:val="24"/>
          <w:lang w:val="en-GB" w:eastAsia="en-GB"/>
        </w:rPr>
        <w:t xml:space="preserve"> </w:t>
      </w:r>
    </w:p>
    <w:p w14:paraId="0B8C727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Office for National Statistics (2025) </w:t>
      </w:r>
      <w:r w:rsidRPr="00320ED2">
        <w:rPr>
          <w:rFonts w:ascii="Arial" w:eastAsia="Times New Roman" w:hAnsi="Arial" w:cs="Arial"/>
          <w:i/>
          <w:iCs/>
          <w:sz w:val="24"/>
          <w:szCs w:val="24"/>
          <w:lang w:val="en-GB" w:eastAsia="en-GB"/>
        </w:rPr>
        <w:t>Retail Sales, Great Britain</w:t>
      </w:r>
      <w:r w:rsidRPr="00320ED2">
        <w:rPr>
          <w:rFonts w:ascii="Arial" w:eastAsia="Times New Roman" w:hAnsi="Arial" w:cs="Arial"/>
          <w:sz w:val="24"/>
          <w:szCs w:val="24"/>
          <w:lang w:val="en-GB" w:eastAsia="en-GB"/>
        </w:rPr>
        <w:t xml:space="preserve">. </w:t>
      </w:r>
      <w:hyperlink r:id="rId68" w:tgtFrame="_blank" w:history="1">
        <w:r w:rsidRPr="00320ED2">
          <w:rPr>
            <w:rFonts w:ascii="Arial" w:eastAsia="Times New Roman" w:hAnsi="Arial" w:cs="Arial"/>
            <w:color w:val="0000FF"/>
            <w:sz w:val="24"/>
            <w:szCs w:val="24"/>
            <w:u w:val="single"/>
            <w:lang w:val="en-GB" w:eastAsia="en-GB"/>
          </w:rPr>
          <w:t>ONS Retail Sales</w:t>
        </w:r>
      </w:hyperlink>
      <w:r w:rsidRPr="00320ED2">
        <w:rPr>
          <w:rFonts w:ascii="Arial" w:eastAsia="Times New Roman" w:hAnsi="Arial" w:cs="Arial"/>
          <w:sz w:val="24"/>
          <w:szCs w:val="24"/>
          <w:lang w:val="en-GB" w:eastAsia="en-GB"/>
        </w:rPr>
        <w:t xml:space="preserve"> </w:t>
      </w:r>
    </w:p>
    <w:p w14:paraId="2610945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Office for National Statistics (2025) </w:t>
      </w:r>
      <w:r w:rsidRPr="00320ED2">
        <w:rPr>
          <w:rFonts w:ascii="Arial" w:eastAsia="Times New Roman" w:hAnsi="Arial" w:cs="Arial"/>
          <w:i/>
          <w:iCs/>
          <w:sz w:val="24"/>
          <w:szCs w:val="24"/>
          <w:lang w:val="en-GB" w:eastAsia="en-GB"/>
        </w:rPr>
        <w:t>Family Spending</w:t>
      </w:r>
      <w:r w:rsidRPr="00320ED2">
        <w:rPr>
          <w:rFonts w:ascii="Arial" w:eastAsia="Times New Roman" w:hAnsi="Arial" w:cs="Arial"/>
          <w:sz w:val="24"/>
          <w:szCs w:val="24"/>
          <w:lang w:val="en-GB" w:eastAsia="en-GB"/>
        </w:rPr>
        <w:t xml:space="preserve">. </w:t>
      </w:r>
      <w:hyperlink r:id="rId69" w:tgtFrame="_blank" w:history="1">
        <w:r w:rsidRPr="00320ED2">
          <w:rPr>
            <w:rFonts w:ascii="Arial" w:eastAsia="Times New Roman" w:hAnsi="Arial" w:cs="Arial"/>
            <w:color w:val="0000FF"/>
            <w:sz w:val="24"/>
            <w:szCs w:val="24"/>
            <w:u w:val="single"/>
            <w:lang w:val="en-GB" w:eastAsia="en-GB"/>
          </w:rPr>
          <w:t>ONS</w:t>
        </w:r>
      </w:hyperlink>
      <w:r w:rsidRPr="00320ED2">
        <w:rPr>
          <w:rFonts w:ascii="Arial" w:eastAsia="Times New Roman" w:hAnsi="Arial" w:cs="Arial"/>
          <w:sz w:val="24"/>
          <w:szCs w:val="24"/>
          <w:lang w:val="en-GB" w:eastAsia="en-GB"/>
        </w:rPr>
        <w:t xml:space="preserve"> </w:t>
      </w:r>
    </w:p>
    <w:p w14:paraId="6517247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Department for Business and Trade (2025) </w:t>
      </w:r>
      <w:r w:rsidRPr="00320ED2">
        <w:rPr>
          <w:rFonts w:ascii="Arial" w:eastAsia="Times New Roman" w:hAnsi="Arial" w:cs="Arial"/>
          <w:i/>
          <w:iCs/>
          <w:sz w:val="24"/>
          <w:szCs w:val="24"/>
          <w:lang w:val="en-GB" w:eastAsia="en-GB"/>
        </w:rPr>
        <w:t>Consumer Rights Act Guidance</w:t>
      </w:r>
      <w:r w:rsidRPr="00320ED2">
        <w:rPr>
          <w:rFonts w:ascii="Arial" w:eastAsia="Times New Roman" w:hAnsi="Arial" w:cs="Arial"/>
          <w:sz w:val="24"/>
          <w:szCs w:val="24"/>
          <w:lang w:val="en-GB" w:eastAsia="en-GB"/>
        </w:rPr>
        <w:t xml:space="preserve">. </w:t>
      </w:r>
      <w:hyperlink r:id="rId70"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43DEF426"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Department for Business and Trade (2025) </w:t>
      </w:r>
      <w:r w:rsidRPr="00320ED2">
        <w:rPr>
          <w:rFonts w:ascii="Arial" w:eastAsia="Times New Roman" w:hAnsi="Arial" w:cs="Arial"/>
          <w:i/>
          <w:iCs/>
          <w:sz w:val="24"/>
          <w:szCs w:val="24"/>
          <w:lang w:val="en-GB" w:eastAsia="en-GB"/>
        </w:rPr>
        <w:t>Consumer Protection Guidance for Businesses</w:t>
      </w:r>
      <w:r w:rsidRPr="00320ED2">
        <w:rPr>
          <w:rFonts w:ascii="Arial" w:eastAsia="Times New Roman" w:hAnsi="Arial" w:cs="Arial"/>
          <w:sz w:val="24"/>
          <w:szCs w:val="24"/>
          <w:lang w:val="en-GB" w:eastAsia="en-GB"/>
        </w:rPr>
        <w:t xml:space="preserve">. GOV.UK </w:t>
      </w:r>
    </w:p>
    <w:p w14:paraId="5B49268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GOV.UK (2025) </w:t>
      </w:r>
      <w:r w:rsidRPr="00320ED2">
        <w:rPr>
          <w:rFonts w:ascii="Arial" w:eastAsia="Times New Roman" w:hAnsi="Arial" w:cs="Arial"/>
          <w:i/>
          <w:iCs/>
          <w:sz w:val="24"/>
          <w:szCs w:val="24"/>
          <w:lang w:val="en-GB" w:eastAsia="en-GB"/>
        </w:rPr>
        <w:t>Marketing and Advertising: The Law</w:t>
      </w:r>
      <w:r w:rsidRPr="00320ED2">
        <w:rPr>
          <w:rFonts w:ascii="Arial" w:eastAsia="Times New Roman" w:hAnsi="Arial" w:cs="Arial"/>
          <w:sz w:val="24"/>
          <w:szCs w:val="24"/>
          <w:lang w:val="en-GB" w:eastAsia="en-GB"/>
        </w:rPr>
        <w:t xml:space="preserve">. </w:t>
      </w:r>
      <w:hyperlink r:id="rId71"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2056EE65"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GOV.UK (2025) </w:t>
      </w:r>
      <w:r w:rsidRPr="00320ED2">
        <w:rPr>
          <w:rFonts w:ascii="Arial" w:eastAsia="Times New Roman" w:hAnsi="Arial" w:cs="Arial"/>
          <w:i/>
          <w:iCs/>
          <w:sz w:val="24"/>
          <w:szCs w:val="24"/>
          <w:lang w:val="en-GB" w:eastAsia="en-GB"/>
        </w:rPr>
        <w:t>Running a Business</w:t>
      </w:r>
      <w:r w:rsidRPr="00320ED2">
        <w:rPr>
          <w:rFonts w:ascii="Arial" w:eastAsia="Times New Roman" w:hAnsi="Arial" w:cs="Arial"/>
          <w:sz w:val="24"/>
          <w:szCs w:val="24"/>
          <w:lang w:val="en-GB" w:eastAsia="en-GB"/>
        </w:rPr>
        <w:t xml:space="preserve">. </w:t>
      </w:r>
      <w:hyperlink r:id="rId72" w:tgtFrame="_blank" w:history="1">
        <w:r w:rsidRPr="00320ED2">
          <w:rPr>
            <w:rFonts w:ascii="Arial" w:eastAsia="Times New Roman" w:hAnsi="Arial" w:cs="Arial"/>
            <w:color w:val="0000FF"/>
            <w:sz w:val="24"/>
            <w:szCs w:val="24"/>
            <w:u w:val="single"/>
            <w:lang w:val="en-GB" w:eastAsia="en-GB"/>
          </w:rPr>
          <w:t>GOV.UK Business Guidance</w:t>
        </w:r>
      </w:hyperlink>
      <w:r w:rsidRPr="00320ED2">
        <w:rPr>
          <w:rFonts w:ascii="Arial" w:eastAsia="Times New Roman" w:hAnsi="Arial" w:cs="Arial"/>
          <w:sz w:val="24"/>
          <w:szCs w:val="24"/>
          <w:lang w:val="en-GB" w:eastAsia="en-GB"/>
        </w:rPr>
        <w:t xml:space="preserve"> </w:t>
      </w:r>
    </w:p>
    <w:p w14:paraId="42044FC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GOV.UK (2025) </w:t>
      </w:r>
      <w:r w:rsidRPr="00320ED2">
        <w:rPr>
          <w:rFonts w:ascii="Arial" w:eastAsia="Times New Roman" w:hAnsi="Arial" w:cs="Arial"/>
          <w:i/>
          <w:iCs/>
          <w:sz w:val="24"/>
          <w:szCs w:val="24"/>
          <w:lang w:val="en-GB" w:eastAsia="en-GB"/>
        </w:rPr>
        <w:t>Food, Hospitality and Retail</w:t>
      </w:r>
      <w:r w:rsidRPr="00320ED2">
        <w:rPr>
          <w:rFonts w:ascii="Arial" w:eastAsia="Times New Roman" w:hAnsi="Arial" w:cs="Arial"/>
          <w:sz w:val="24"/>
          <w:szCs w:val="24"/>
          <w:lang w:val="en-GB" w:eastAsia="en-GB"/>
        </w:rPr>
        <w:t xml:space="preserve">. </w:t>
      </w:r>
      <w:hyperlink r:id="rId73"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3A74D916"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Companies House (2025) </w:t>
      </w:r>
      <w:r w:rsidRPr="00320ED2">
        <w:rPr>
          <w:rFonts w:ascii="Arial" w:eastAsia="Times New Roman" w:hAnsi="Arial" w:cs="Arial"/>
          <w:i/>
          <w:iCs/>
          <w:sz w:val="24"/>
          <w:szCs w:val="24"/>
          <w:lang w:val="en-GB" w:eastAsia="en-GB"/>
        </w:rPr>
        <w:t>Incorporation and Registration</w:t>
      </w:r>
      <w:r w:rsidRPr="00320ED2">
        <w:rPr>
          <w:rFonts w:ascii="Arial" w:eastAsia="Times New Roman" w:hAnsi="Arial" w:cs="Arial"/>
          <w:sz w:val="24"/>
          <w:szCs w:val="24"/>
          <w:lang w:val="en-GB" w:eastAsia="en-GB"/>
        </w:rPr>
        <w:t xml:space="preserve">. </w:t>
      </w:r>
      <w:hyperlink r:id="rId74" w:tgtFrame="_blank" w:history="1">
        <w:r w:rsidRPr="00320ED2">
          <w:rPr>
            <w:rFonts w:ascii="Arial" w:eastAsia="Times New Roman" w:hAnsi="Arial" w:cs="Arial"/>
            <w:color w:val="0000FF"/>
            <w:sz w:val="24"/>
            <w:szCs w:val="24"/>
            <w:u w:val="single"/>
            <w:lang w:val="en-GB" w:eastAsia="en-GB"/>
          </w:rPr>
          <w:t>Companies House</w:t>
        </w:r>
      </w:hyperlink>
      <w:r w:rsidRPr="00320ED2">
        <w:rPr>
          <w:rFonts w:ascii="Arial" w:eastAsia="Times New Roman" w:hAnsi="Arial" w:cs="Arial"/>
          <w:sz w:val="24"/>
          <w:szCs w:val="24"/>
          <w:lang w:val="en-GB" w:eastAsia="en-GB"/>
        </w:rPr>
        <w:t xml:space="preserve"> </w:t>
      </w:r>
    </w:p>
    <w:p w14:paraId="2FB8F46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UK Government (2025) </w:t>
      </w:r>
      <w:r w:rsidRPr="00320ED2">
        <w:rPr>
          <w:rFonts w:ascii="Arial" w:eastAsia="Times New Roman" w:hAnsi="Arial" w:cs="Arial"/>
          <w:i/>
          <w:iCs/>
          <w:sz w:val="24"/>
          <w:szCs w:val="24"/>
          <w:lang w:val="en-GB" w:eastAsia="en-GB"/>
        </w:rPr>
        <w:t>Employment Rights</w:t>
      </w:r>
      <w:r w:rsidRPr="00320ED2">
        <w:rPr>
          <w:rFonts w:ascii="Arial" w:eastAsia="Times New Roman" w:hAnsi="Arial" w:cs="Arial"/>
          <w:sz w:val="24"/>
          <w:szCs w:val="24"/>
          <w:lang w:val="en-GB" w:eastAsia="en-GB"/>
        </w:rPr>
        <w:t xml:space="preserve">. </w:t>
      </w:r>
      <w:hyperlink r:id="rId75" w:tgtFrame="_blank" w:history="1">
        <w:r w:rsidRPr="00320ED2">
          <w:rPr>
            <w:rFonts w:ascii="Arial" w:eastAsia="Times New Roman" w:hAnsi="Arial" w:cs="Arial"/>
            <w:color w:val="0000FF"/>
            <w:sz w:val="24"/>
            <w:szCs w:val="24"/>
            <w:u w:val="single"/>
            <w:lang w:val="en-GB" w:eastAsia="en-GB"/>
          </w:rPr>
          <w:t>GOV.UK Employment Rights</w:t>
        </w:r>
      </w:hyperlink>
      <w:r w:rsidRPr="00320ED2">
        <w:rPr>
          <w:rFonts w:ascii="Arial" w:eastAsia="Times New Roman" w:hAnsi="Arial" w:cs="Arial"/>
          <w:sz w:val="24"/>
          <w:szCs w:val="24"/>
          <w:lang w:val="en-GB" w:eastAsia="en-GB"/>
        </w:rPr>
        <w:t xml:space="preserve"> </w:t>
      </w:r>
    </w:p>
    <w:p w14:paraId="65845A2C"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UK Government (2025) </w:t>
      </w:r>
      <w:r w:rsidRPr="00320ED2">
        <w:rPr>
          <w:rFonts w:ascii="Arial" w:eastAsia="Times New Roman" w:hAnsi="Arial" w:cs="Arial"/>
          <w:i/>
          <w:iCs/>
          <w:sz w:val="24"/>
          <w:szCs w:val="24"/>
          <w:lang w:val="en-GB" w:eastAsia="en-GB"/>
        </w:rPr>
        <w:t>Working Time Regulations</w:t>
      </w:r>
      <w:r w:rsidRPr="00320ED2">
        <w:rPr>
          <w:rFonts w:ascii="Arial" w:eastAsia="Times New Roman" w:hAnsi="Arial" w:cs="Arial"/>
          <w:sz w:val="24"/>
          <w:szCs w:val="24"/>
          <w:lang w:val="en-GB" w:eastAsia="en-GB"/>
        </w:rPr>
        <w:t xml:space="preserve">. </w:t>
      </w:r>
      <w:hyperlink r:id="rId76"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21842C8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UK Government (2025) </w:t>
      </w:r>
      <w:r w:rsidRPr="00320ED2">
        <w:rPr>
          <w:rFonts w:ascii="Arial" w:eastAsia="Times New Roman" w:hAnsi="Arial" w:cs="Arial"/>
          <w:i/>
          <w:iCs/>
          <w:sz w:val="24"/>
          <w:szCs w:val="24"/>
          <w:lang w:val="en-GB" w:eastAsia="en-GB"/>
        </w:rPr>
        <w:t>Holiday Entitlement and Pay</w:t>
      </w:r>
      <w:r w:rsidRPr="00320ED2">
        <w:rPr>
          <w:rFonts w:ascii="Arial" w:eastAsia="Times New Roman" w:hAnsi="Arial" w:cs="Arial"/>
          <w:sz w:val="24"/>
          <w:szCs w:val="24"/>
          <w:lang w:val="en-GB" w:eastAsia="en-GB"/>
        </w:rPr>
        <w:t xml:space="preserve">. </w:t>
      </w:r>
      <w:hyperlink r:id="rId77"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66AC9852"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lastRenderedPageBreak/>
        <w:t xml:space="preserve">UK Government (2025) </w:t>
      </w:r>
      <w:r w:rsidRPr="00320ED2">
        <w:rPr>
          <w:rFonts w:ascii="Arial" w:eastAsia="Times New Roman" w:hAnsi="Arial" w:cs="Arial"/>
          <w:i/>
          <w:iCs/>
          <w:sz w:val="24"/>
          <w:szCs w:val="24"/>
          <w:lang w:val="en-GB" w:eastAsia="en-GB"/>
        </w:rPr>
        <w:t>Statutory Sick Pay</w:t>
      </w:r>
      <w:r w:rsidRPr="00320ED2">
        <w:rPr>
          <w:rFonts w:ascii="Arial" w:eastAsia="Times New Roman" w:hAnsi="Arial" w:cs="Arial"/>
          <w:sz w:val="24"/>
          <w:szCs w:val="24"/>
          <w:lang w:val="en-GB" w:eastAsia="en-GB"/>
        </w:rPr>
        <w:t xml:space="preserve">. </w:t>
      </w:r>
      <w:hyperlink r:id="rId78"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065C6FDD"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UK Government (2025) </w:t>
      </w:r>
      <w:r w:rsidRPr="00320ED2">
        <w:rPr>
          <w:rFonts w:ascii="Arial" w:eastAsia="Times New Roman" w:hAnsi="Arial" w:cs="Arial"/>
          <w:i/>
          <w:iCs/>
          <w:sz w:val="24"/>
          <w:szCs w:val="24"/>
          <w:lang w:val="en-GB" w:eastAsia="en-GB"/>
        </w:rPr>
        <w:t>Employers’ Liability Insurance</w:t>
      </w:r>
      <w:r w:rsidRPr="00320ED2">
        <w:rPr>
          <w:rFonts w:ascii="Arial" w:eastAsia="Times New Roman" w:hAnsi="Arial" w:cs="Arial"/>
          <w:sz w:val="24"/>
          <w:szCs w:val="24"/>
          <w:lang w:val="en-GB" w:eastAsia="en-GB"/>
        </w:rPr>
        <w:t xml:space="preserve">. </w:t>
      </w:r>
      <w:hyperlink r:id="rId79"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233C1E3F"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UK Government (2025) </w:t>
      </w:r>
      <w:r w:rsidRPr="00320ED2">
        <w:rPr>
          <w:rFonts w:ascii="Arial" w:eastAsia="Times New Roman" w:hAnsi="Arial" w:cs="Arial"/>
          <w:i/>
          <w:iCs/>
          <w:sz w:val="24"/>
          <w:szCs w:val="24"/>
          <w:lang w:val="en-GB" w:eastAsia="en-GB"/>
        </w:rPr>
        <w:t>Fire Safety in the Workplace</w:t>
      </w:r>
      <w:r w:rsidRPr="00320ED2">
        <w:rPr>
          <w:rFonts w:ascii="Arial" w:eastAsia="Times New Roman" w:hAnsi="Arial" w:cs="Arial"/>
          <w:sz w:val="24"/>
          <w:szCs w:val="24"/>
          <w:lang w:val="en-GB" w:eastAsia="en-GB"/>
        </w:rPr>
        <w:t xml:space="preserve">. </w:t>
      </w:r>
      <w:hyperlink r:id="rId80"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546109C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UK Government (2025) </w:t>
      </w:r>
      <w:r w:rsidRPr="00320ED2">
        <w:rPr>
          <w:rFonts w:ascii="Arial" w:eastAsia="Times New Roman" w:hAnsi="Arial" w:cs="Arial"/>
          <w:i/>
          <w:iCs/>
          <w:sz w:val="24"/>
          <w:szCs w:val="24"/>
          <w:lang w:val="en-GB" w:eastAsia="en-GB"/>
        </w:rPr>
        <w:t>Health and Safety at Work</w:t>
      </w:r>
      <w:r w:rsidRPr="00320ED2">
        <w:rPr>
          <w:rFonts w:ascii="Arial" w:eastAsia="Times New Roman" w:hAnsi="Arial" w:cs="Arial"/>
          <w:sz w:val="24"/>
          <w:szCs w:val="24"/>
          <w:lang w:val="en-GB" w:eastAsia="en-GB"/>
        </w:rPr>
        <w:t xml:space="preserve">. GOV.UK </w:t>
      </w:r>
    </w:p>
    <w:p w14:paraId="29C0647E"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UK Government (2025) </w:t>
      </w:r>
      <w:r w:rsidRPr="00320ED2">
        <w:rPr>
          <w:rFonts w:ascii="Arial" w:eastAsia="Times New Roman" w:hAnsi="Arial" w:cs="Arial"/>
          <w:i/>
          <w:iCs/>
          <w:sz w:val="24"/>
          <w:szCs w:val="24"/>
          <w:lang w:val="en-GB" w:eastAsia="en-GB"/>
        </w:rPr>
        <w:t>Business Rates</w:t>
      </w:r>
      <w:r w:rsidRPr="00320ED2">
        <w:rPr>
          <w:rFonts w:ascii="Arial" w:eastAsia="Times New Roman" w:hAnsi="Arial" w:cs="Arial"/>
          <w:sz w:val="24"/>
          <w:szCs w:val="24"/>
          <w:lang w:val="en-GB" w:eastAsia="en-GB"/>
        </w:rPr>
        <w:t xml:space="preserve">. </w:t>
      </w:r>
      <w:hyperlink r:id="rId81" w:tgtFrame="_blank" w:history="1">
        <w:r w:rsidRPr="00320ED2">
          <w:rPr>
            <w:rFonts w:ascii="Arial" w:eastAsia="Times New Roman" w:hAnsi="Arial" w:cs="Arial"/>
            <w:color w:val="0000FF"/>
            <w:sz w:val="24"/>
            <w:szCs w:val="24"/>
            <w:u w:val="single"/>
            <w:lang w:val="en-GB" w:eastAsia="en-GB"/>
          </w:rPr>
          <w:t>GOV.UK</w:t>
        </w:r>
      </w:hyperlink>
      <w:r w:rsidRPr="00320ED2">
        <w:rPr>
          <w:rFonts w:ascii="Arial" w:eastAsia="Times New Roman" w:hAnsi="Arial" w:cs="Arial"/>
          <w:sz w:val="24"/>
          <w:szCs w:val="24"/>
          <w:lang w:val="en-GB" w:eastAsia="en-GB"/>
        </w:rPr>
        <w:t xml:space="preserve"> </w:t>
      </w:r>
    </w:p>
    <w:p w14:paraId="54DC09C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British Standards Institution (2024) </w:t>
      </w:r>
      <w:r w:rsidRPr="00320ED2">
        <w:rPr>
          <w:rFonts w:ascii="Arial" w:eastAsia="Times New Roman" w:hAnsi="Arial" w:cs="Arial"/>
          <w:i/>
          <w:iCs/>
          <w:sz w:val="24"/>
          <w:szCs w:val="24"/>
          <w:lang w:val="en-GB" w:eastAsia="en-GB"/>
        </w:rPr>
        <w:t>Quality Management Systems – ISO 9001</w:t>
      </w:r>
      <w:r w:rsidRPr="00320ED2">
        <w:rPr>
          <w:rFonts w:ascii="Arial" w:eastAsia="Times New Roman" w:hAnsi="Arial" w:cs="Arial"/>
          <w:sz w:val="24"/>
          <w:szCs w:val="24"/>
          <w:lang w:val="en-GB" w:eastAsia="en-GB"/>
        </w:rPr>
        <w:t xml:space="preserve">. BSI </w:t>
      </w:r>
    </w:p>
    <w:p w14:paraId="186F95CC"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International Organization for Standardization (2015) </w:t>
      </w:r>
      <w:r w:rsidRPr="00320ED2">
        <w:rPr>
          <w:rFonts w:ascii="Arial" w:eastAsia="Times New Roman" w:hAnsi="Arial" w:cs="Arial"/>
          <w:i/>
          <w:iCs/>
          <w:sz w:val="24"/>
          <w:szCs w:val="24"/>
          <w:lang w:val="en-GB" w:eastAsia="en-GB"/>
        </w:rPr>
        <w:t>ISO 9001:2015 Quality Management Systems</w:t>
      </w:r>
      <w:r w:rsidRPr="00320ED2">
        <w:rPr>
          <w:rFonts w:ascii="Arial" w:eastAsia="Times New Roman" w:hAnsi="Arial" w:cs="Arial"/>
          <w:sz w:val="24"/>
          <w:szCs w:val="24"/>
          <w:lang w:val="en-GB" w:eastAsia="en-GB"/>
        </w:rPr>
        <w:t xml:space="preserve">. </w:t>
      </w:r>
      <w:hyperlink r:id="rId82" w:tgtFrame="_blank" w:history="1">
        <w:r w:rsidRPr="00320ED2">
          <w:rPr>
            <w:rFonts w:ascii="Arial" w:eastAsia="Times New Roman" w:hAnsi="Arial" w:cs="Arial"/>
            <w:color w:val="0000FF"/>
            <w:sz w:val="24"/>
            <w:szCs w:val="24"/>
            <w:u w:val="single"/>
            <w:lang w:val="en-GB" w:eastAsia="en-GB"/>
          </w:rPr>
          <w:t>ISO</w:t>
        </w:r>
      </w:hyperlink>
      <w:r w:rsidRPr="00320ED2">
        <w:rPr>
          <w:rFonts w:ascii="Arial" w:eastAsia="Times New Roman" w:hAnsi="Arial" w:cs="Arial"/>
          <w:sz w:val="24"/>
          <w:szCs w:val="24"/>
          <w:lang w:val="en-GB" w:eastAsia="en-GB"/>
        </w:rPr>
        <w:t xml:space="preserve"> </w:t>
      </w:r>
    </w:p>
    <w:p w14:paraId="0BD274AD"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International Organization for Standardization (2018) </w:t>
      </w:r>
      <w:r w:rsidRPr="00320ED2">
        <w:rPr>
          <w:rFonts w:ascii="Arial" w:eastAsia="Times New Roman" w:hAnsi="Arial" w:cs="Arial"/>
          <w:i/>
          <w:iCs/>
          <w:sz w:val="24"/>
          <w:szCs w:val="24"/>
          <w:lang w:val="en-GB" w:eastAsia="en-GB"/>
        </w:rPr>
        <w:t>ISO 31000: Risk Management</w:t>
      </w:r>
      <w:r w:rsidRPr="00320ED2">
        <w:rPr>
          <w:rFonts w:ascii="Arial" w:eastAsia="Times New Roman" w:hAnsi="Arial" w:cs="Arial"/>
          <w:sz w:val="24"/>
          <w:szCs w:val="24"/>
          <w:lang w:val="en-GB" w:eastAsia="en-GB"/>
        </w:rPr>
        <w:t xml:space="preserve">. </w:t>
      </w:r>
      <w:hyperlink r:id="rId83" w:tgtFrame="_blank" w:history="1">
        <w:r w:rsidRPr="00320ED2">
          <w:rPr>
            <w:rFonts w:ascii="Arial" w:eastAsia="Times New Roman" w:hAnsi="Arial" w:cs="Arial"/>
            <w:color w:val="0000FF"/>
            <w:sz w:val="24"/>
            <w:szCs w:val="24"/>
            <w:u w:val="single"/>
            <w:lang w:val="en-GB" w:eastAsia="en-GB"/>
          </w:rPr>
          <w:t>ISO</w:t>
        </w:r>
      </w:hyperlink>
      <w:r w:rsidRPr="00320ED2">
        <w:rPr>
          <w:rFonts w:ascii="Arial" w:eastAsia="Times New Roman" w:hAnsi="Arial" w:cs="Arial"/>
          <w:sz w:val="24"/>
          <w:szCs w:val="24"/>
          <w:lang w:val="en-GB" w:eastAsia="en-GB"/>
        </w:rPr>
        <w:t xml:space="preserve"> </w:t>
      </w:r>
    </w:p>
    <w:p w14:paraId="23D2C1DA"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International Organization for Standardization (2021) </w:t>
      </w:r>
      <w:r w:rsidRPr="00320ED2">
        <w:rPr>
          <w:rFonts w:ascii="Arial" w:eastAsia="Times New Roman" w:hAnsi="Arial" w:cs="Arial"/>
          <w:i/>
          <w:iCs/>
          <w:sz w:val="24"/>
          <w:szCs w:val="24"/>
          <w:lang w:val="en-GB" w:eastAsia="en-GB"/>
        </w:rPr>
        <w:t>ISO 45001 Occupational Health and Safety</w:t>
      </w:r>
      <w:r w:rsidRPr="00320ED2">
        <w:rPr>
          <w:rFonts w:ascii="Arial" w:eastAsia="Times New Roman" w:hAnsi="Arial" w:cs="Arial"/>
          <w:sz w:val="24"/>
          <w:szCs w:val="24"/>
          <w:lang w:val="en-GB" w:eastAsia="en-GB"/>
        </w:rPr>
        <w:t xml:space="preserve">. </w:t>
      </w:r>
      <w:hyperlink r:id="rId84" w:tgtFrame="_blank" w:history="1">
        <w:r w:rsidRPr="00320ED2">
          <w:rPr>
            <w:rFonts w:ascii="Arial" w:eastAsia="Times New Roman" w:hAnsi="Arial" w:cs="Arial"/>
            <w:color w:val="0000FF"/>
            <w:sz w:val="24"/>
            <w:szCs w:val="24"/>
            <w:u w:val="single"/>
            <w:lang w:val="en-GB" w:eastAsia="en-GB"/>
          </w:rPr>
          <w:t>ISO</w:t>
        </w:r>
      </w:hyperlink>
      <w:r w:rsidRPr="00320ED2">
        <w:rPr>
          <w:rFonts w:ascii="Arial" w:eastAsia="Times New Roman" w:hAnsi="Arial" w:cs="Arial"/>
          <w:sz w:val="24"/>
          <w:szCs w:val="24"/>
          <w:lang w:val="en-GB" w:eastAsia="en-GB"/>
        </w:rPr>
        <w:t xml:space="preserve"> </w:t>
      </w:r>
    </w:p>
    <w:p w14:paraId="67639A17"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International Organization for Standardization (2022) </w:t>
      </w:r>
      <w:r w:rsidRPr="00320ED2">
        <w:rPr>
          <w:rFonts w:ascii="Arial" w:eastAsia="Times New Roman" w:hAnsi="Arial" w:cs="Arial"/>
          <w:i/>
          <w:iCs/>
          <w:sz w:val="24"/>
          <w:szCs w:val="24"/>
          <w:lang w:val="en-GB" w:eastAsia="en-GB"/>
        </w:rPr>
        <w:t>ISO 14001 Environmental Management</w:t>
      </w:r>
      <w:r w:rsidRPr="00320ED2">
        <w:rPr>
          <w:rFonts w:ascii="Arial" w:eastAsia="Times New Roman" w:hAnsi="Arial" w:cs="Arial"/>
          <w:sz w:val="24"/>
          <w:szCs w:val="24"/>
          <w:lang w:val="en-GB" w:eastAsia="en-GB"/>
        </w:rPr>
        <w:t xml:space="preserve">. </w:t>
      </w:r>
      <w:hyperlink r:id="rId85" w:tgtFrame="_blank" w:history="1">
        <w:r w:rsidRPr="00320ED2">
          <w:rPr>
            <w:rFonts w:ascii="Arial" w:eastAsia="Times New Roman" w:hAnsi="Arial" w:cs="Arial"/>
            <w:color w:val="0000FF"/>
            <w:sz w:val="24"/>
            <w:szCs w:val="24"/>
            <w:u w:val="single"/>
            <w:lang w:val="en-GB" w:eastAsia="en-GB"/>
          </w:rPr>
          <w:t>ISO</w:t>
        </w:r>
      </w:hyperlink>
      <w:r w:rsidRPr="00320ED2">
        <w:rPr>
          <w:rFonts w:ascii="Arial" w:eastAsia="Times New Roman" w:hAnsi="Arial" w:cs="Arial"/>
          <w:sz w:val="24"/>
          <w:szCs w:val="24"/>
          <w:lang w:val="en-GB" w:eastAsia="en-GB"/>
        </w:rPr>
        <w:t xml:space="preserve"> </w:t>
      </w:r>
    </w:p>
    <w:p w14:paraId="731B52A6"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Christopher, M. and Peck, H. (2004) ‘Building the resilient supply chain’, </w:t>
      </w:r>
      <w:r w:rsidRPr="00320ED2">
        <w:rPr>
          <w:rFonts w:ascii="Arial" w:eastAsia="Times New Roman" w:hAnsi="Arial" w:cs="Arial"/>
          <w:i/>
          <w:iCs/>
          <w:sz w:val="24"/>
          <w:szCs w:val="24"/>
          <w:lang w:val="en-GB" w:eastAsia="en-GB"/>
        </w:rPr>
        <w:t>International Journal of Logistics Management</w:t>
      </w:r>
      <w:r w:rsidRPr="00320ED2">
        <w:rPr>
          <w:rFonts w:ascii="Arial" w:eastAsia="Times New Roman" w:hAnsi="Arial" w:cs="Arial"/>
          <w:sz w:val="24"/>
          <w:szCs w:val="24"/>
          <w:lang w:val="en-GB" w:eastAsia="en-GB"/>
        </w:rPr>
        <w:t xml:space="preserve">, 15(2), pp. 1–14. </w:t>
      </w:r>
      <w:hyperlink r:id="rId86" w:tgtFrame="_blank" w:history="1">
        <w:r w:rsidRPr="00320ED2">
          <w:rPr>
            <w:rFonts w:ascii="Arial" w:eastAsia="Times New Roman" w:hAnsi="Arial" w:cs="Arial"/>
            <w:color w:val="0000FF"/>
            <w:sz w:val="24"/>
            <w:szCs w:val="24"/>
            <w:u w:val="single"/>
            <w:lang w:val="en-GB" w:eastAsia="en-GB"/>
          </w:rPr>
          <w:t>Article DOI/search</w:t>
        </w:r>
      </w:hyperlink>
      <w:r w:rsidRPr="00320ED2">
        <w:rPr>
          <w:rFonts w:ascii="Arial" w:eastAsia="Times New Roman" w:hAnsi="Arial" w:cs="Arial"/>
          <w:sz w:val="24"/>
          <w:szCs w:val="24"/>
          <w:lang w:val="en-GB" w:eastAsia="en-GB"/>
        </w:rPr>
        <w:t xml:space="preserve"> </w:t>
      </w:r>
    </w:p>
    <w:p w14:paraId="7A3E9287"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Sheffi</w:t>
      </w:r>
      <w:proofErr w:type="spellEnd"/>
      <w:r w:rsidRPr="00320ED2">
        <w:rPr>
          <w:rFonts w:ascii="Arial" w:eastAsia="Times New Roman" w:hAnsi="Arial" w:cs="Arial"/>
          <w:sz w:val="24"/>
          <w:szCs w:val="24"/>
          <w:lang w:val="en-GB" w:eastAsia="en-GB"/>
        </w:rPr>
        <w:t xml:space="preserve">, Y. (2015) </w:t>
      </w:r>
      <w:r w:rsidRPr="00320ED2">
        <w:rPr>
          <w:rFonts w:ascii="Arial" w:eastAsia="Times New Roman" w:hAnsi="Arial" w:cs="Arial"/>
          <w:i/>
          <w:iCs/>
          <w:sz w:val="24"/>
          <w:szCs w:val="24"/>
          <w:lang w:val="en-GB" w:eastAsia="en-GB"/>
        </w:rPr>
        <w:t>The Power of Resilience</w:t>
      </w:r>
      <w:r w:rsidRPr="00320ED2">
        <w:rPr>
          <w:rFonts w:ascii="Arial" w:eastAsia="Times New Roman" w:hAnsi="Arial" w:cs="Arial"/>
          <w:sz w:val="24"/>
          <w:szCs w:val="24"/>
          <w:lang w:val="en-GB" w:eastAsia="en-GB"/>
        </w:rPr>
        <w:t xml:space="preserve">. Cambridge, MA: MIT Press. MIT Press </w:t>
      </w:r>
    </w:p>
    <w:p w14:paraId="4D88385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Ivanov, D. and </w:t>
      </w:r>
      <w:proofErr w:type="spellStart"/>
      <w:r w:rsidRPr="00320ED2">
        <w:rPr>
          <w:rFonts w:ascii="Arial" w:eastAsia="Times New Roman" w:hAnsi="Arial" w:cs="Arial"/>
          <w:sz w:val="24"/>
          <w:szCs w:val="24"/>
          <w:lang w:val="en-GB" w:eastAsia="en-GB"/>
        </w:rPr>
        <w:t>Dolgui</w:t>
      </w:r>
      <w:proofErr w:type="spellEnd"/>
      <w:r w:rsidRPr="00320ED2">
        <w:rPr>
          <w:rFonts w:ascii="Arial" w:eastAsia="Times New Roman" w:hAnsi="Arial" w:cs="Arial"/>
          <w:sz w:val="24"/>
          <w:szCs w:val="24"/>
          <w:lang w:val="en-GB" w:eastAsia="en-GB"/>
        </w:rPr>
        <w:t xml:space="preserve">, A. (2020) ‘Viability of intertwined supply networks’, </w:t>
      </w:r>
      <w:r w:rsidRPr="00320ED2">
        <w:rPr>
          <w:rFonts w:ascii="Arial" w:eastAsia="Times New Roman" w:hAnsi="Arial" w:cs="Arial"/>
          <w:i/>
          <w:iCs/>
          <w:sz w:val="24"/>
          <w:szCs w:val="24"/>
          <w:lang w:val="en-GB" w:eastAsia="en-GB"/>
        </w:rPr>
        <w:t>International Journal of Production Research</w:t>
      </w:r>
      <w:r w:rsidRPr="00320ED2">
        <w:rPr>
          <w:rFonts w:ascii="Arial" w:eastAsia="Times New Roman" w:hAnsi="Arial" w:cs="Arial"/>
          <w:sz w:val="24"/>
          <w:szCs w:val="24"/>
          <w:lang w:val="en-GB" w:eastAsia="en-GB"/>
        </w:rPr>
        <w:t xml:space="preserve">, 58(10), pp. 2904–2915. Article DOI </w:t>
      </w:r>
    </w:p>
    <w:p w14:paraId="7DE6E9E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Queiroz</w:t>
      </w:r>
      <w:proofErr w:type="spellEnd"/>
      <w:r w:rsidRPr="00320ED2">
        <w:rPr>
          <w:rFonts w:ascii="Arial" w:eastAsia="Times New Roman" w:hAnsi="Arial" w:cs="Arial"/>
          <w:sz w:val="24"/>
          <w:szCs w:val="24"/>
          <w:lang w:val="en-GB" w:eastAsia="en-GB"/>
        </w:rPr>
        <w:t xml:space="preserve">, M.M., Ivanov, D., </w:t>
      </w:r>
      <w:proofErr w:type="spellStart"/>
      <w:r w:rsidRPr="00320ED2">
        <w:rPr>
          <w:rFonts w:ascii="Arial" w:eastAsia="Times New Roman" w:hAnsi="Arial" w:cs="Arial"/>
          <w:sz w:val="24"/>
          <w:szCs w:val="24"/>
          <w:lang w:val="en-GB" w:eastAsia="en-GB"/>
        </w:rPr>
        <w:t>Dolgui</w:t>
      </w:r>
      <w:proofErr w:type="spellEnd"/>
      <w:r w:rsidRPr="00320ED2">
        <w:rPr>
          <w:rFonts w:ascii="Arial" w:eastAsia="Times New Roman" w:hAnsi="Arial" w:cs="Arial"/>
          <w:sz w:val="24"/>
          <w:szCs w:val="24"/>
          <w:lang w:val="en-GB" w:eastAsia="en-GB"/>
        </w:rPr>
        <w:t xml:space="preserve">, A. and </w:t>
      </w:r>
      <w:proofErr w:type="spellStart"/>
      <w:r w:rsidRPr="00320ED2">
        <w:rPr>
          <w:rFonts w:ascii="Arial" w:eastAsia="Times New Roman" w:hAnsi="Arial" w:cs="Arial"/>
          <w:sz w:val="24"/>
          <w:szCs w:val="24"/>
          <w:lang w:val="en-GB" w:eastAsia="en-GB"/>
        </w:rPr>
        <w:t>Fosso</w:t>
      </w:r>
      <w:proofErr w:type="spellEnd"/>
      <w:r w:rsidRPr="00320ED2">
        <w:rPr>
          <w:rFonts w:ascii="Arial" w:eastAsia="Times New Roman" w:hAnsi="Arial" w:cs="Arial"/>
          <w:sz w:val="24"/>
          <w:szCs w:val="24"/>
          <w:lang w:val="en-GB" w:eastAsia="en-GB"/>
        </w:rPr>
        <w:t xml:space="preserve"> </w:t>
      </w:r>
      <w:proofErr w:type="spellStart"/>
      <w:r w:rsidRPr="00320ED2">
        <w:rPr>
          <w:rFonts w:ascii="Arial" w:eastAsia="Times New Roman" w:hAnsi="Arial" w:cs="Arial"/>
          <w:sz w:val="24"/>
          <w:szCs w:val="24"/>
          <w:lang w:val="en-GB" w:eastAsia="en-GB"/>
        </w:rPr>
        <w:t>Wamba</w:t>
      </w:r>
      <w:proofErr w:type="spellEnd"/>
      <w:r w:rsidRPr="00320ED2">
        <w:rPr>
          <w:rFonts w:ascii="Arial" w:eastAsia="Times New Roman" w:hAnsi="Arial" w:cs="Arial"/>
          <w:sz w:val="24"/>
          <w:szCs w:val="24"/>
          <w:lang w:val="en-GB" w:eastAsia="en-GB"/>
        </w:rPr>
        <w:t xml:space="preserve">, S. (2020) ‘Impacts of epidemic outbreaks on supply chains’, </w:t>
      </w:r>
      <w:r w:rsidRPr="00320ED2">
        <w:rPr>
          <w:rFonts w:ascii="Arial" w:eastAsia="Times New Roman" w:hAnsi="Arial" w:cs="Arial"/>
          <w:i/>
          <w:iCs/>
          <w:sz w:val="24"/>
          <w:szCs w:val="24"/>
          <w:lang w:val="en-GB" w:eastAsia="en-GB"/>
        </w:rPr>
        <w:t>International Journal of Production Research</w:t>
      </w:r>
      <w:r w:rsidRPr="00320ED2">
        <w:rPr>
          <w:rFonts w:ascii="Arial" w:eastAsia="Times New Roman" w:hAnsi="Arial" w:cs="Arial"/>
          <w:sz w:val="24"/>
          <w:szCs w:val="24"/>
          <w:lang w:val="en-GB" w:eastAsia="en-GB"/>
        </w:rPr>
        <w:t xml:space="preserve">, 58(10), pp. 2877–2893. </w:t>
      </w:r>
      <w:hyperlink r:id="rId87"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1EA72905"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Ivanov, D. (2021) ‘Supply chain viability and the COVID-19 pandemic’, </w:t>
      </w:r>
      <w:r w:rsidRPr="00320ED2">
        <w:rPr>
          <w:rFonts w:ascii="Arial" w:eastAsia="Times New Roman" w:hAnsi="Arial" w:cs="Arial"/>
          <w:i/>
          <w:iCs/>
          <w:sz w:val="24"/>
          <w:szCs w:val="24"/>
          <w:lang w:val="en-GB" w:eastAsia="en-GB"/>
        </w:rPr>
        <w:t>International Journal of Production Research</w:t>
      </w:r>
      <w:r w:rsidRPr="00320ED2">
        <w:rPr>
          <w:rFonts w:ascii="Arial" w:eastAsia="Times New Roman" w:hAnsi="Arial" w:cs="Arial"/>
          <w:sz w:val="24"/>
          <w:szCs w:val="24"/>
          <w:lang w:val="en-GB" w:eastAsia="en-GB"/>
        </w:rPr>
        <w:t xml:space="preserve">, 59(12), pp. 3535–3555. Article DOI </w:t>
      </w:r>
    </w:p>
    <w:p w14:paraId="0DDD550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Christopher, M. (2016) ‘Logistics and supply chain management’, 5th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88"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7F128C9B"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Mentzer</w:t>
      </w:r>
      <w:proofErr w:type="spellEnd"/>
      <w:r w:rsidRPr="00320ED2">
        <w:rPr>
          <w:rFonts w:ascii="Arial" w:eastAsia="Times New Roman" w:hAnsi="Arial" w:cs="Arial"/>
          <w:sz w:val="24"/>
          <w:szCs w:val="24"/>
          <w:lang w:val="en-GB" w:eastAsia="en-GB"/>
        </w:rPr>
        <w:t xml:space="preserve">, J.T. et al. (2001) ‘Defining supply chain management’, </w:t>
      </w:r>
      <w:r w:rsidRPr="00320ED2">
        <w:rPr>
          <w:rFonts w:ascii="Arial" w:eastAsia="Times New Roman" w:hAnsi="Arial" w:cs="Arial"/>
          <w:i/>
          <w:iCs/>
          <w:sz w:val="24"/>
          <w:szCs w:val="24"/>
          <w:lang w:val="en-GB" w:eastAsia="en-GB"/>
        </w:rPr>
        <w:t>Journal of Business Logistics</w:t>
      </w:r>
      <w:r w:rsidRPr="00320ED2">
        <w:rPr>
          <w:rFonts w:ascii="Arial" w:eastAsia="Times New Roman" w:hAnsi="Arial" w:cs="Arial"/>
          <w:sz w:val="24"/>
          <w:szCs w:val="24"/>
          <w:lang w:val="en-GB" w:eastAsia="en-GB"/>
        </w:rPr>
        <w:t xml:space="preserve">, 22(2), pp. 1–25. </w:t>
      </w:r>
      <w:hyperlink r:id="rId89" w:tgtFrame="_blank" w:history="1">
        <w:r w:rsidRPr="00320ED2">
          <w:rPr>
            <w:rFonts w:ascii="Arial" w:eastAsia="Times New Roman" w:hAnsi="Arial" w:cs="Arial"/>
            <w:color w:val="0000FF"/>
            <w:sz w:val="24"/>
            <w:szCs w:val="24"/>
            <w:u w:val="single"/>
            <w:lang w:val="en-GB" w:eastAsia="en-GB"/>
          </w:rPr>
          <w:t>Article DOI/search</w:t>
        </w:r>
      </w:hyperlink>
      <w:r w:rsidRPr="00320ED2">
        <w:rPr>
          <w:rFonts w:ascii="Arial" w:eastAsia="Times New Roman" w:hAnsi="Arial" w:cs="Arial"/>
          <w:sz w:val="24"/>
          <w:szCs w:val="24"/>
          <w:lang w:val="en-GB" w:eastAsia="en-GB"/>
        </w:rPr>
        <w:t xml:space="preserve"> </w:t>
      </w:r>
    </w:p>
    <w:p w14:paraId="05A90B93"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lastRenderedPageBreak/>
        <w:t xml:space="preserve">Lee, H.L. (2004) ‘The triple-A supply chain’, </w:t>
      </w:r>
      <w:r w:rsidRPr="00320ED2">
        <w:rPr>
          <w:rFonts w:ascii="Arial" w:eastAsia="Times New Roman" w:hAnsi="Arial" w:cs="Arial"/>
          <w:i/>
          <w:iCs/>
          <w:sz w:val="24"/>
          <w:szCs w:val="24"/>
          <w:lang w:val="en-GB" w:eastAsia="en-GB"/>
        </w:rPr>
        <w:t>Harvard Business Review</w:t>
      </w:r>
      <w:r w:rsidRPr="00320ED2">
        <w:rPr>
          <w:rFonts w:ascii="Arial" w:eastAsia="Times New Roman" w:hAnsi="Arial" w:cs="Arial"/>
          <w:sz w:val="24"/>
          <w:szCs w:val="24"/>
          <w:lang w:val="en-GB" w:eastAsia="en-GB"/>
        </w:rPr>
        <w:t xml:space="preserve">, 82(10), pp. 102–112. </w:t>
      </w:r>
      <w:hyperlink r:id="rId90" w:tgtFrame="_blank" w:history="1">
        <w:r w:rsidRPr="00320ED2">
          <w:rPr>
            <w:rFonts w:ascii="Arial" w:eastAsia="Times New Roman" w:hAnsi="Arial" w:cs="Arial"/>
            <w:color w:val="0000FF"/>
            <w:sz w:val="24"/>
            <w:szCs w:val="24"/>
            <w:u w:val="single"/>
            <w:lang w:val="en-GB" w:eastAsia="en-GB"/>
          </w:rPr>
          <w:t>Harvard Business Review</w:t>
        </w:r>
      </w:hyperlink>
      <w:r w:rsidRPr="00320ED2">
        <w:rPr>
          <w:rFonts w:ascii="Arial" w:eastAsia="Times New Roman" w:hAnsi="Arial" w:cs="Arial"/>
          <w:sz w:val="24"/>
          <w:szCs w:val="24"/>
          <w:lang w:val="en-GB" w:eastAsia="en-GB"/>
        </w:rPr>
        <w:t xml:space="preserve"> </w:t>
      </w:r>
    </w:p>
    <w:p w14:paraId="412DC43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Armstrong, M. and Taylor, S. (2023) </w:t>
      </w:r>
      <w:r w:rsidRPr="00320ED2">
        <w:rPr>
          <w:rFonts w:ascii="Arial" w:eastAsia="Times New Roman" w:hAnsi="Arial" w:cs="Arial"/>
          <w:i/>
          <w:iCs/>
          <w:sz w:val="24"/>
          <w:szCs w:val="24"/>
          <w:lang w:val="en-GB" w:eastAsia="en-GB"/>
        </w:rPr>
        <w:t>Armstrong's Handbook of Human Resource Management Practice</w:t>
      </w:r>
      <w:r w:rsidRPr="00320ED2">
        <w:rPr>
          <w:rFonts w:ascii="Arial" w:eastAsia="Times New Roman" w:hAnsi="Arial" w:cs="Arial"/>
          <w:sz w:val="24"/>
          <w:szCs w:val="24"/>
          <w:lang w:val="en-GB" w:eastAsia="en-GB"/>
        </w:rPr>
        <w:t xml:space="preserve">. 16th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London: </w:t>
      </w:r>
      <w:proofErr w:type="spellStart"/>
      <w:r w:rsidRPr="00320ED2">
        <w:rPr>
          <w:rFonts w:ascii="Arial" w:eastAsia="Times New Roman" w:hAnsi="Arial" w:cs="Arial"/>
          <w:sz w:val="24"/>
          <w:szCs w:val="24"/>
          <w:lang w:val="en-GB" w:eastAsia="en-GB"/>
        </w:rPr>
        <w:t>Kogan</w:t>
      </w:r>
      <w:proofErr w:type="spellEnd"/>
      <w:r w:rsidRPr="00320ED2">
        <w:rPr>
          <w:rFonts w:ascii="Arial" w:eastAsia="Times New Roman" w:hAnsi="Arial" w:cs="Arial"/>
          <w:sz w:val="24"/>
          <w:szCs w:val="24"/>
          <w:lang w:val="en-GB" w:eastAsia="en-GB"/>
        </w:rPr>
        <w:t xml:space="preserve"> Page. </w:t>
      </w:r>
      <w:hyperlink r:id="rId91" w:tgtFrame="_blank" w:history="1">
        <w:proofErr w:type="spellStart"/>
        <w:r w:rsidRPr="00320ED2">
          <w:rPr>
            <w:rFonts w:ascii="Arial" w:eastAsia="Times New Roman" w:hAnsi="Arial" w:cs="Arial"/>
            <w:color w:val="0000FF"/>
            <w:sz w:val="24"/>
            <w:szCs w:val="24"/>
            <w:u w:val="single"/>
            <w:lang w:val="en-GB" w:eastAsia="en-GB"/>
          </w:rPr>
          <w:t>Kogan</w:t>
        </w:r>
        <w:proofErr w:type="spellEnd"/>
        <w:r w:rsidRPr="00320ED2">
          <w:rPr>
            <w:rFonts w:ascii="Arial" w:eastAsia="Times New Roman" w:hAnsi="Arial" w:cs="Arial"/>
            <w:color w:val="0000FF"/>
            <w:sz w:val="24"/>
            <w:szCs w:val="24"/>
            <w:u w:val="single"/>
            <w:lang w:val="en-GB" w:eastAsia="en-GB"/>
          </w:rPr>
          <w:t xml:space="preserve"> Page</w:t>
        </w:r>
      </w:hyperlink>
      <w:r w:rsidRPr="00320ED2">
        <w:rPr>
          <w:rFonts w:ascii="Arial" w:eastAsia="Times New Roman" w:hAnsi="Arial" w:cs="Arial"/>
          <w:sz w:val="24"/>
          <w:szCs w:val="24"/>
          <w:lang w:val="en-GB" w:eastAsia="en-GB"/>
        </w:rPr>
        <w:t xml:space="preserve"> </w:t>
      </w:r>
    </w:p>
    <w:p w14:paraId="13CD6C91"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Boxall, P. and Purcell, J. (2016) </w:t>
      </w:r>
      <w:r w:rsidRPr="00320ED2">
        <w:rPr>
          <w:rFonts w:ascii="Arial" w:eastAsia="Times New Roman" w:hAnsi="Arial" w:cs="Arial"/>
          <w:i/>
          <w:iCs/>
          <w:sz w:val="24"/>
          <w:szCs w:val="24"/>
          <w:lang w:val="en-GB" w:eastAsia="en-GB"/>
        </w:rPr>
        <w:t>Strategy and Human Resource Management</w:t>
      </w:r>
      <w:r w:rsidRPr="00320ED2">
        <w:rPr>
          <w:rFonts w:ascii="Arial" w:eastAsia="Times New Roman" w:hAnsi="Arial" w:cs="Arial"/>
          <w:sz w:val="24"/>
          <w:szCs w:val="24"/>
          <w:lang w:val="en-GB" w:eastAsia="en-GB"/>
        </w:rPr>
        <w:t xml:space="preserve">. 4th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London: Palgrave. Publisher </w:t>
      </w:r>
    </w:p>
    <w:p w14:paraId="4ACAB072"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Bratton, J. and Gold, J. (2017) </w:t>
      </w:r>
      <w:r w:rsidRPr="00320ED2">
        <w:rPr>
          <w:rFonts w:ascii="Arial" w:eastAsia="Times New Roman" w:hAnsi="Arial" w:cs="Arial"/>
          <w:i/>
          <w:iCs/>
          <w:sz w:val="24"/>
          <w:szCs w:val="24"/>
          <w:lang w:val="en-GB" w:eastAsia="en-GB"/>
        </w:rPr>
        <w:t>Human Resource Management: Theory and Practice</w:t>
      </w:r>
      <w:r w:rsidRPr="00320ED2">
        <w:rPr>
          <w:rFonts w:ascii="Arial" w:eastAsia="Times New Roman" w:hAnsi="Arial" w:cs="Arial"/>
          <w:sz w:val="24"/>
          <w:szCs w:val="24"/>
          <w:lang w:val="en-GB" w:eastAsia="en-GB"/>
        </w:rPr>
        <w:t xml:space="preserve">. 6th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London: Palgrave. </w:t>
      </w:r>
      <w:hyperlink r:id="rId92" w:tgtFrame="_blank" w:history="1">
        <w:r w:rsidRPr="00320ED2">
          <w:rPr>
            <w:rFonts w:ascii="Arial" w:eastAsia="Times New Roman" w:hAnsi="Arial" w:cs="Arial"/>
            <w:color w:val="0000FF"/>
            <w:sz w:val="24"/>
            <w:szCs w:val="24"/>
            <w:u w:val="single"/>
            <w:lang w:val="en-GB" w:eastAsia="en-GB"/>
          </w:rPr>
          <w:t>Springer</w:t>
        </w:r>
      </w:hyperlink>
      <w:r w:rsidRPr="00320ED2">
        <w:rPr>
          <w:rFonts w:ascii="Arial" w:eastAsia="Times New Roman" w:hAnsi="Arial" w:cs="Arial"/>
          <w:sz w:val="24"/>
          <w:szCs w:val="24"/>
          <w:lang w:val="en-GB" w:eastAsia="en-GB"/>
        </w:rPr>
        <w:t xml:space="preserve"> </w:t>
      </w:r>
    </w:p>
    <w:p w14:paraId="5CDFE0FA"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Guest, D.E. (1997) ‘Human resource management and performance’, </w:t>
      </w:r>
      <w:r w:rsidRPr="00320ED2">
        <w:rPr>
          <w:rFonts w:ascii="Arial" w:eastAsia="Times New Roman" w:hAnsi="Arial" w:cs="Arial"/>
          <w:i/>
          <w:iCs/>
          <w:sz w:val="24"/>
          <w:szCs w:val="24"/>
          <w:lang w:val="en-GB" w:eastAsia="en-GB"/>
        </w:rPr>
        <w:t>International Journal of Human Resource Management</w:t>
      </w:r>
      <w:r w:rsidRPr="00320ED2">
        <w:rPr>
          <w:rFonts w:ascii="Arial" w:eastAsia="Times New Roman" w:hAnsi="Arial" w:cs="Arial"/>
          <w:sz w:val="24"/>
          <w:szCs w:val="24"/>
          <w:lang w:val="en-GB" w:eastAsia="en-GB"/>
        </w:rPr>
        <w:t xml:space="preserve">, 8(3), pp. 263–276. </w:t>
      </w:r>
      <w:hyperlink r:id="rId93"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13C6AF5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Becker, B.E. and </w:t>
      </w:r>
      <w:proofErr w:type="spellStart"/>
      <w:r w:rsidRPr="00320ED2">
        <w:rPr>
          <w:rFonts w:ascii="Arial" w:eastAsia="Times New Roman" w:hAnsi="Arial" w:cs="Arial"/>
          <w:sz w:val="24"/>
          <w:szCs w:val="24"/>
          <w:lang w:val="en-GB" w:eastAsia="en-GB"/>
        </w:rPr>
        <w:t>Huselid</w:t>
      </w:r>
      <w:proofErr w:type="spellEnd"/>
      <w:r w:rsidRPr="00320ED2">
        <w:rPr>
          <w:rFonts w:ascii="Arial" w:eastAsia="Times New Roman" w:hAnsi="Arial" w:cs="Arial"/>
          <w:sz w:val="24"/>
          <w:szCs w:val="24"/>
          <w:lang w:val="en-GB" w:eastAsia="en-GB"/>
        </w:rPr>
        <w:t xml:space="preserve">, M.A. (2006) ‘Strategic human resources management’, </w:t>
      </w:r>
      <w:r w:rsidRPr="00320ED2">
        <w:rPr>
          <w:rFonts w:ascii="Arial" w:eastAsia="Times New Roman" w:hAnsi="Arial" w:cs="Arial"/>
          <w:i/>
          <w:iCs/>
          <w:sz w:val="24"/>
          <w:szCs w:val="24"/>
          <w:lang w:val="en-GB" w:eastAsia="en-GB"/>
        </w:rPr>
        <w:t>Academy of Management Perspectives</w:t>
      </w:r>
      <w:r w:rsidRPr="00320ED2">
        <w:rPr>
          <w:rFonts w:ascii="Arial" w:eastAsia="Times New Roman" w:hAnsi="Arial" w:cs="Arial"/>
          <w:sz w:val="24"/>
          <w:szCs w:val="24"/>
          <w:lang w:val="en-GB" w:eastAsia="en-GB"/>
        </w:rPr>
        <w:t xml:space="preserve">, 20(1), pp. 34–48. Article DOI/search </w:t>
      </w:r>
    </w:p>
    <w:p w14:paraId="48405765"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Jiang, K., </w:t>
      </w:r>
      <w:proofErr w:type="spellStart"/>
      <w:r w:rsidRPr="00320ED2">
        <w:rPr>
          <w:rFonts w:ascii="Arial" w:eastAsia="Times New Roman" w:hAnsi="Arial" w:cs="Arial"/>
          <w:sz w:val="24"/>
          <w:szCs w:val="24"/>
          <w:lang w:val="en-GB" w:eastAsia="en-GB"/>
        </w:rPr>
        <w:t>Lepak</w:t>
      </w:r>
      <w:proofErr w:type="spellEnd"/>
      <w:r w:rsidRPr="00320ED2">
        <w:rPr>
          <w:rFonts w:ascii="Arial" w:eastAsia="Times New Roman" w:hAnsi="Arial" w:cs="Arial"/>
          <w:sz w:val="24"/>
          <w:szCs w:val="24"/>
          <w:lang w:val="en-GB" w:eastAsia="en-GB"/>
        </w:rPr>
        <w:t xml:space="preserve">, D.P., Hu, J. and Baer, J.C. (2012) ‘How does human resource management influence organizational outcomes?’, </w:t>
      </w:r>
      <w:r w:rsidRPr="00320ED2">
        <w:rPr>
          <w:rFonts w:ascii="Arial" w:eastAsia="Times New Roman" w:hAnsi="Arial" w:cs="Arial"/>
          <w:i/>
          <w:iCs/>
          <w:sz w:val="24"/>
          <w:szCs w:val="24"/>
          <w:lang w:val="en-GB" w:eastAsia="en-GB"/>
        </w:rPr>
        <w:t>Academy of Management Journal</w:t>
      </w:r>
      <w:r w:rsidRPr="00320ED2">
        <w:rPr>
          <w:rFonts w:ascii="Arial" w:eastAsia="Times New Roman" w:hAnsi="Arial" w:cs="Arial"/>
          <w:sz w:val="24"/>
          <w:szCs w:val="24"/>
          <w:lang w:val="en-GB" w:eastAsia="en-GB"/>
        </w:rPr>
        <w:t xml:space="preserve">, 55(6), pp. 1264–1294. </w:t>
      </w:r>
      <w:hyperlink r:id="rId94"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6765948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Noe</w:t>
      </w:r>
      <w:proofErr w:type="spellEnd"/>
      <w:r w:rsidRPr="00320ED2">
        <w:rPr>
          <w:rFonts w:ascii="Arial" w:eastAsia="Times New Roman" w:hAnsi="Arial" w:cs="Arial"/>
          <w:sz w:val="24"/>
          <w:szCs w:val="24"/>
          <w:lang w:val="en-GB" w:eastAsia="en-GB"/>
        </w:rPr>
        <w:t xml:space="preserve">, R.A. (2020) </w:t>
      </w:r>
      <w:r w:rsidRPr="00320ED2">
        <w:rPr>
          <w:rFonts w:ascii="Arial" w:eastAsia="Times New Roman" w:hAnsi="Arial" w:cs="Arial"/>
          <w:i/>
          <w:iCs/>
          <w:sz w:val="24"/>
          <w:szCs w:val="24"/>
          <w:lang w:val="en-GB" w:eastAsia="en-GB"/>
        </w:rPr>
        <w:t>Employee Training and Development</w:t>
      </w:r>
      <w:r w:rsidRPr="00320ED2">
        <w:rPr>
          <w:rFonts w:ascii="Arial" w:eastAsia="Times New Roman" w:hAnsi="Arial" w:cs="Arial"/>
          <w:sz w:val="24"/>
          <w:szCs w:val="24"/>
          <w:lang w:val="en-GB" w:eastAsia="en-GB"/>
        </w:rPr>
        <w:t xml:space="preserve">. 8th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New York: McGraw-Hill. </w:t>
      </w:r>
      <w:hyperlink r:id="rId95" w:tgtFrame="_blank" w:history="1">
        <w:r w:rsidRPr="00320ED2">
          <w:rPr>
            <w:rFonts w:ascii="Arial" w:eastAsia="Times New Roman" w:hAnsi="Arial" w:cs="Arial"/>
            <w:color w:val="0000FF"/>
            <w:sz w:val="24"/>
            <w:szCs w:val="24"/>
            <w:u w:val="single"/>
            <w:lang w:val="en-GB" w:eastAsia="en-GB"/>
          </w:rPr>
          <w:t>McGraw Hill</w:t>
        </w:r>
      </w:hyperlink>
      <w:r w:rsidRPr="00320ED2">
        <w:rPr>
          <w:rFonts w:ascii="Arial" w:eastAsia="Times New Roman" w:hAnsi="Arial" w:cs="Arial"/>
          <w:sz w:val="24"/>
          <w:szCs w:val="24"/>
          <w:lang w:val="en-GB" w:eastAsia="en-GB"/>
        </w:rPr>
        <w:t xml:space="preserve"> </w:t>
      </w:r>
    </w:p>
    <w:p w14:paraId="3F001340"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Panagiotakopoulos</w:t>
      </w:r>
      <w:proofErr w:type="spellEnd"/>
      <w:r w:rsidRPr="00320ED2">
        <w:rPr>
          <w:rFonts w:ascii="Arial" w:eastAsia="Times New Roman" w:hAnsi="Arial" w:cs="Arial"/>
          <w:sz w:val="24"/>
          <w:szCs w:val="24"/>
          <w:lang w:val="en-GB" w:eastAsia="en-GB"/>
        </w:rPr>
        <w:t xml:space="preserve">, A. (2020) ‘Exploring the link between management training and organizational performance in the small business context’, </w:t>
      </w:r>
      <w:r w:rsidRPr="00320ED2">
        <w:rPr>
          <w:rFonts w:ascii="Arial" w:eastAsia="Times New Roman" w:hAnsi="Arial" w:cs="Arial"/>
          <w:i/>
          <w:iCs/>
          <w:sz w:val="24"/>
          <w:szCs w:val="24"/>
          <w:lang w:val="en-GB" w:eastAsia="en-GB"/>
        </w:rPr>
        <w:t>Journal of Workplace Learning</w:t>
      </w:r>
      <w:r w:rsidRPr="00320ED2">
        <w:rPr>
          <w:rFonts w:ascii="Arial" w:eastAsia="Times New Roman" w:hAnsi="Arial" w:cs="Arial"/>
          <w:sz w:val="24"/>
          <w:szCs w:val="24"/>
          <w:lang w:val="en-GB" w:eastAsia="en-GB"/>
        </w:rPr>
        <w:t xml:space="preserve">, 32(4), pp. 245–257. </w:t>
      </w:r>
      <w:hyperlink r:id="rId96" w:tgtFrame="_blank" w:history="1">
        <w:r w:rsidRPr="00320ED2">
          <w:rPr>
            <w:rFonts w:ascii="Arial" w:eastAsia="Times New Roman" w:hAnsi="Arial" w:cs="Arial"/>
            <w:color w:val="0000FF"/>
            <w:sz w:val="24"/>
            <w:szCs w:val="24"/>
            <w:u w:val="single"/>
            <w:lang w:val="en-GB" w:eastAsia="en-GB"/>
          </w:rPr>
          <w:t>Emerald/Article DOI</w:t>
        </w:r>
      </w:hyperlink>
      <w:r w:rsidRPr="00320ED2">
        <w:rPr>
          <w:rFonts w:ascii="Arial" w:eastAsia="Times New Roman" w:hAnsi="Arial" w:cs="Arial"/>
          <w:sz w:val="24"/>
          <w:szCs w:val="24"/>
          <w:lang w:val="en-GB" w:eastAsia="en-GB"/>
        </w:rPr>
        <w:t xml:space="preserve"> </w:t>
      </w:r>
    </w:p>
    <w:p w14:paraId="00EF630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i/>
          <w:iCs/>
          <w:sz w:val="24"/>
          <w:szCs w:val="24"/>
          <w:lang w:val="en-GB" w:eastAsia="en-GB"/>
        </w:rPr>
        <w:t>Training and performance in SMEs: Empirical evidence from large-scale data from the UK</w:t>
      </w:r>
      <w:r w:rsidRPr="00320ED2">
        <w:rPr>
          <w:rFonts w:ascii="Arial" w:eastAsia="Times New Roman" w:hAnsi="Arial" w:cs="Arial"/>
          <w:sz w:val="24"/>
          <w:szCs w:val="24"/>
          <w:lang w:val="en-GB" w:eastAsia="en-GB"/>
        </w:rPr>
        <w:t xml:space="preserve"> (2023), </w:t>
      </w:r>
      <w:r w:rsidRPr="00320ED2">
        <w:rPr>
          <w:rFonts w:ascii="Arial" w:eastAsia="Times New Roman" w:hAnsi="Arial" w:cs="Arial"/>
          <w:i/>
          <w:iCs/>
          <w:sz w:val="24"/>
          <w:szCs w:val="24"/>
          <w:lang w:val="en-GB" w:eastAsia="en-GB"/>
        </w:rPr>
        <w:t>Journal of Small Business Management</w:t>
      </w:r>
      <w:r w:rsidRPr="00320ED2">
        <w:rPr>
          <w:rFonts w:ascii="Arial" w:eastAsia="Times New Roman" w:hAnsi="Arial" w:cs="Arial"/>
          <w:sz w:val="24"/>
          <w:szCs w:val="24"/>
          <w:lang w:val="en-GB" w:eastAsia="en-GB"/>
        </w:rPr>
        <w:t xml:space="preserve">, 61(2). </w:t>
      </w:r>
      <w:hyperlink r:id="rId97"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7AB6E92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20ED2">
        <w:rPr>
          <w:rFonts w:ascii="Arial" w:eastAsia="Times New Roman" w:hAnsi="Arial" w:cs="Arial"/>
          <w:sz w:val="24"/>
          <w:szCs w:val="24"/>
          <w:lang w:val="en-GB" w:eastAsia="en-GB"/>
        </w:rPr>
        <w:t>Deci</w:t>
      </w:r>
      <w:proofErr w:type="spellEnd"/>
      <w:r w:rsidRPr="00320ED2">
        <w:rPr>
          <w:rFonts w:ascii="Arial" w:eastAsia="Times New Roman" w:hAnsi="Arial" w:cs="Arial"/>
          <w:sz w:val="24"/>
          <w:szCs w:val="24"/>
          <w:lang w:val="en-GB" w:eastAsia="en-GB"/>
        </w:rPr>
        <w:t xml:space="preserve">, E.L. and Ryan, R.M. (2000) ‘The “what” and “why” of goal pursuits’, </w:t>
      </w:r>
      <w:r w:rsidRPr="00320ED2">
        <w:rPr>
          <w:rFonts w:ascii="Arial" w:eastAsia="Times New Roman" w:hAnsi="Arial" w:cs="Arial"/>
          <w:i/>
          <w:iCs/>
          <w:sz w:val="24"/>
          <w:szCs w:val="24"/>
          <w:lang w:val="en-GB" w:eastAsia="en-GB"/>
        </w:rPr>
        <w:t>Psychological Inquiry</w:t>
      </w:r>
      <w:r w:rsidRPr="00320ED2">
        <w:rPr>
          <w:rFonts w:ascii="Arial" w:eastAsia="Times New Roman" w:hAnsi="Arial" w:cs="Arial"/>
          <w:sz w:val="24"/>
          <w:szCs w:val="24"/>
          <w:lang w:val="en-GB" w:eastAsia="en-GB"/>
        </w:rPr>
        <w:t xml:space="preserve">, 11(4), pp. 227–268. </w:t>
      </w:r>
      <w:hyperlink r:id="rId98"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561B15F8"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Locke, E.A. and Latham, G.P. (2002) ‘Building a practically useful theory of goal setting’, </w:t>
      </w:r>
      <w:r w:rsidRPr="00320ED2">
        <w:rPr>
          <w:rFonts w:ascii="Arial" w:eastAsia="Times New Roman" w:hAnsi="Arial" w:cs="Arial"/>
          <w:i/>
          <w:iCs/>
          <w:sz w:val="24"/>
          <w:szCs w:val="24"/>
          <w:lang w:val="en-GB" w:eastAsia="en-GB"/>
        </w:rPr>
        <w:t>American Psychologist</w:t>
      </w:r>
      <w:r w:rsidRPr="00320ED2">
        <w:rPr>
          <w:rFonts w:ascii="Arial" w:eastAsia="Times New Roman" w:hAnsi="Arial" w:cs="Arial"/>
          <w:sz w:val="24"/>
          <w:szCs w:val="24"/>
          <w:lang w:val="en-GB" w:eastAsia="en-GB"/>
        </w:rPr>
        <w:t xml:space="preserve">, 57(9), pp. 705–717. </w:t>
      </w:r>
      <w:hyperlink r:id="rId99"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6826B544"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Kotler, P. and Keller, K.L. (2016) </w:t>
      </w:r>
      <w:r w:rsidRPr="00320ED2">
        <w:rPr>
          <w:rFonts w:ascii="Arial" w:eastAsia="Times New Roman" w:hAnsi="Arial" w:cs="Arial"/>
          <w:i/>
          <w:iCs/>
          <w:sz w:val="24"/>
          <w:szCs w:val="24"/>
          <w:lang w:val="en-GB" w:eastAsia="en-GB"/>
        </w:rPr>
        <w:t>Marketing Management</w:t>
      </w:r>
      <w:r w:rsidRPr="00320ED2">
        <w:rPr>
          <w:rFonts w:ascii="Arial" w:eastAsia="Times New Roman" w:hAnsi="Arial" w:cs="Arial"/>
          <w:sz w:val="24"/>
          <w:szCs w:val="24"/>
          <w:lang w:val="en-GB" w:eastAsia="en-GB"/>
        </w:rPr>
        <w:t xml:space="preserve">. 15th </w:t>
      </w:r>
      <w:proofErr w:type="spellStart"/>
      <w:r w:rsidRPr="00320ED2">
        <w:rPr>
          <w:rFonts w:ascii="Arial" w:eastAsia="Times New Roman" w:hAnsi="Arial" w:cs="Arial"/>
          <w:sz w:val="24"/>
          <w:szCs w:val="24"/>
          <w:lang w:val="en-GB" w:eastAsia="en-GB"/>
        </w:rPr>
        <w:t>edn</w:t>
      </w:r>
      <w:proofErr w:type="spellEnd"/>
      <w:r w:rsidRPr="00320ED2">
        <w:rPr>
          <w:rFonts w:ascii="Arial" w:eastAsia="Times New Roman" w:hAnsi="Arial" w:cs="Arial"/>
          <w:sz w:val="24"/>
          <w:szCs w:val="24"/>
          <w:lang w:val="en-GB" w:eastAsia="en-GB"/>
        </w:rPr>
        <w:t xml:space="preserve">. Harlow: Pearson. </w:t>
      </w:r>
      <w:hyperlink r:id="rId100" w:tgtFrame="_blank" w:history="1">
        <w:r w:rsidRPr="00320ED2">
          <w:rPr>
            <w:rFonts w:ascii="Arial" w:eastAsia="Times New Roman" w:hAnsi="Arial" w:cs="Arial"/>
            <w:color w:val="0000FF"/>
            <w:sz w:val="24"/>
            <w:szCs w:val="24"/>
            <w:u w:val="single"/>
            <w:lang w:val="en-GB" w:eastAsia="en-GB"/>
          </w:rPr>
          <w:t>Pearson</w:t>
        </w:r>
      </w:hyperlink>
      <w:r w:rsidRPr="00320ED2">
        <w:rPr>
          <w:rFonts w:ascii="Arial" w:eastAsia="Times New Roman" w:hAnsi="Arial" w:cs="Arial"/>
          <w:sz w:val="24"/>
          <w:szCs w:val="24"/>
          <w:lang w:val="en-GB" w:eastAsia="en-GB"/>
        </w:rPr>
        <w:t xml:space="preserve"> </w:t>
      </w:r>
    </w:p>
    <w:p w14:paraId="3004DA4E"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Lemon, K.N. and </w:t>
      </w:r>
      <w:proofErr w:type="spellStart"/>
      <w:r w:rsidRPr="00320ED2">
        <w:rPr>
          <w:rFonts w:ascii="Arial" w:eastAsia="Times New Roman" w:hAnsi="Arial" w:cs="Arial"/>
          <w:sz w:val="24"/>
          <w:szCs w:val="24"/>
          <w:lang w:val="en-GB" w:eastAsia="en-GB"/>
        </w:rPr>
        <w:t>Verhoef</w:t>
      </w:r>
      <w:proofErr w:type="spellEnd"/>
      <w:r w:rsidRPr="00320ED2">
        <w:rPr>
          <w:rFonts w:ascii="Arial" w:eastAsia="Times New Roman" w:hAnsi="Arial" w:cs="Arial"/>
          <w:sz w:val="24"/>
          <w:szCs w:val="24"/>
          <w:lang w:val="en-GB" w:eastAsia="en-GB"/>
        </w:rPr>
        <w:t xml:space="preserve">, P.C. (2016) ‘Understanding customer experience throughout the customer journey’, </w:t>
      </w:r>
      <w:r w:rsidRPr="00320ED2">
        <w:rPr>
          <w:rFonts w:ascii="Arial" w:eastAsia="Times New Roman" w:hAnsi="Arial" w:cs="Arial"/>
          <w:i/>
          <w:iCs/>
          <w:sz w:val="24"/>
          <w:szCs w:val="24"/>
          <w:lang w:val="en-GB" w:eastAsia="en-GB"/>
        </w:rPr>
        <w:t>Journal of Marketing</w:t>
      </w:r>
      <w:r w:rsidRPr="00320ED2">
        <w:rPr>
          <w:rFonts w:ascii="Arial" w:eastAsia="Times New Roman" w:hAnsi="Arial" w:cs="Arial"/>
          <w:sz w:val="24"/>
          <w:szCs w:val="24"/>
          <w:lang w:val="en-GB" w:eastAsia="en-GB"/>
        </w:rPr>
        <w:t xml:space="preserve">, 80(6), pp. 69–96. </w:t>
      </w:r>
      <w:hyperlink r:id="rId101" w:tgtFrame="_blank" w:history="1">
        <w:r w:rsidRPr="00320ED2">
          <w:rPr>
            <w:rFonts w:ascii="Arial" w:eastAsia="Times New Roman" w:hAnsi="Arial" w:cs="Arial"/>
            <w:color w:val="0000FF"/>
            <w:sz w:val="24"/>
            <w:szCs w:val="24"/>
            <w:u w:val="single"/>
            <w:lang w:val="en-GB" w:eastAsia="en-GB"/>
          </w:rPr>
          <w:t>Article DOI</w:t>
        </w:r>
      </w:hyperlink>
      <w:r w:rsidRPr="00320ED2">
        <w:rPr>
          <w:rFonts w:ascii="Arial" w:eastAsia="Times New Roman" w:hAnsi="Arial" w:cs="Arial"/>
          <w:sz w:val="24"/>
          <w:szCs w:val="24"/>
          <w:lang w:val="en-GB" w:eastAsia="en-GB"/>
        </w:rPr>
        <w:t xml:space="preserve"> </w:t>
      </w:r>
    </w:p>
    <w:p w14:paraId="4537ABB1"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lastRenderedPageBreak/>
        <w:t xml:space="preserve">Payne, A., </w:t>
      </w:r>
      <w:proofErr w:type="spellStart"/>
      <w:r w:rsidRPr="00320ED2">
        <w:rPr>
          <w:rFonts w:ascii="Arial" w:eastAsia="Times New Roman" w:hAnsi="Arial" w:cs="Arial"/>
          <w:sz w:val="24"/>
          <w:szCs w:val="24"/>
          <w:lang w:val="en-GB" w:eastAsia="en-GB"/>
        </w:rPr>
        <w:t>Frow</w:t>
      </w:r>
      <w:proofErr w:type="spellEnd"/>
      <w:r w:rsidRPr="00320ED2">
        <w:rPr>
          <w:rFonts w:ascii="Arial" w:eastAsia="Times New Roman" w:hAnsi="Arial" w:cs="Arial"/>
          <w:sz w:val="24"/>
          <w:szCs w:val="24"/>
          <w:lang w:val="en-GB" w:eastAsia="en-GB"/>
        </w:rPr>
        <w:t xml:space="preserve">, P. and Eggert, A. (2017) ‘A strategic framework for customer relationship management’, </w:t>
      </w:r>
      <w:r w:rsidRPr="00320ED2">
        <w:rPr>
          <w:rFonts w:ascii="Arial" w:eastAsia="Times New Roman" w:hAnsi="Arial" w:cs="Arial"/>
          <w:i/>
          <w:iCs/>
          <w:sz w:val="24"/>
          <w:szCs w:val="24"/>
          <w:lang w:val="en-GB" w:eastAsia="en-GB"/>
        </w:rPr>
        <w:t>Journal of the Academy of Marketing Science</w:t>
      </w:r>
      <w:r w:rsidRPr="00320ED2">
        <w:rPr>
          <w:rFonts w:ascii="Arial" w:eastAsia="Times New Roman" w:hAnsi="Arial" w:cs="Arial"/>
          <w:sz w:val="24"/>
          <w:szCs w:val="24"/>
          <w:lang w:val="en-GB" w:eastAsia="en-GB"/>
        </w:rPr>
        <w:t xml:space="preserve">, 45, pp. 135–152. Article DOI </w:t>
      </w:r>
    </w:p>
    <w:p w14:paraId="03C2787A"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Morgan, N.A. (2012) ‘Marketing and business performance’, </w:t>
      </w:r>
      <w:r w:rsidRPr="00320ED2">
        <w:rPr>
          <w:rFonts w:ascii="Arial" w:eastAsia="Times New Roman" w:hAnsi="Arial" w:cs="Arial"/>
          <w:i/>
          <w:iCs/>
          <w:sz w:val="24"/>
          <w:szCs w:val="24"/>
          <w:lang w:val="en-GB" w:eastAsia="en-GB"/>
        </w:rPr>
        <w:t>Journal of the Academy of Marketing Science</w:t>
      </w:r>
      <w:r w:rsidRPr="00320ED2">
        <w:rPr>
          <w:rFonts w:ascii="Arial" w:eastAsia="Times New Roman" w:hAnsi="Arial" w:cs="Arial"/>
          <w:sz w:val="24"/>
          <w:szCs w:val="24"/>
          <w:lang w:val="en-GB" w:eastAsia="en-GB"/>
        </w:rPr>
        <w:t xml:space="preserve">, 40, pp. 102–119. Article DOI </w:t>
      </w:r>
    </w:p>
    <w:p w14:paraId="56948542" w14:textId="77777777" w:rsidR="00320ED2" w:rsidRPr="00320ED2" w:rsidRDefault="00320ED2" w:rsidP="00320ED2">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320ED2">
        <w:rPr>
          <w:rFonts w:ascii="Arial" w:eastAsia="Times New Roman" w:hAnsi="Arial" w:cs="Arial"/>
          <w:sz w:val="24"/>
          <w:szCs w:val="24"/>
          <w:lang w:val="en-GB" w:eastAsia="en-GB"/>
        </w:rPr>
        <w:t xml:space="preserve">Hein, A., </w:t>
      </w:r>
      <w:proofErr w:type="spellStart"/>
      <w:r w:rsidRPr="00320ED2">
        <w:rPr>
          <w:rFonts w:ascii="Arial" w:eastAsia="Times New Roman" w:hAnsi="Arial" w:cs="Arial"/>
          <w:sz w:val="24"/>
          <w:szCs w:val="24"/>
          <w:lang w:val="en-GB" w:eastAsia="en-GB"/>
        </w:rPr>
        <w:t>Weking</w:t>
      </w:r>
      <w:proofErr w:type="spellEnd"/>
      <w:r w:rsidRPr="00320ED2">
        <w:rPr>
          <w:rFonts w:ascii="Arial" w:eastAsia="Times New Roman" w:hAnsi="Arial" w:cs="Arial"/>
          <w:sz w:val="24"/>
          <w:szCs w:val="24"/>
          <w:lang w:val="en-GB" w:eastAsia="en-GB"/>
        </w:rPr>
        <w:t xml:space="preserve">, J., </w:t>
      </w:r>
      <w:proofErr w:type="spellStart"/>
      <w:r w:rsidRPr="00320ED2">
        <w:rPr>
          <w:rFonts w:ascii="Arial" w:eastAsia="Times New Roman" w:hAnsi="Arial" w:cs="Arial"/>
          <w:sz w:val="24"/>
          <w:szCs w:val="24"/>
          <w:lang w:val="en-GB" w:eastAsia="en-GB"/>
        </w:rPr>
        <w:t>Schreieck</w:t>
      </w:r>
      <w:proofErr w:type="spellEnd"/>
      <w:r w:rsidRPr="00320ED2">
        <w:rPr>
          <w:rFonts w:ascii="Arial" w:eastAsia="Times New Roman" w:hAnsi="Arial" w:cs="Arial"/>
          <w:sz w:val="24"/>
          <w:szCs w:val="24"/>
          <w:lang w:val="en-GB" w:eastAsia="en-GB"/>
        </w:rPr>
        <w:t xml:space="preserve">, M. and </w:t>
      </w:r>
      <w:proofErr w:type="spellStart"/>
      <w:r w:rsidRPr="00320ED2">
        <w:rPr>
          <w:rFonts w:ascii="Arial" w:eastAsia="Times New Roman" w:hAnsi="Arial" w:cs="Arial"/>
          <w:sz w:val="24"/>
          <w:szCs w:val="24"/>
          <w:lang w:val="en-GB" w:eastAsia="en-GB"/>
        </w:rPr>
        <w:t>Krcmar</w:t>
      </w:r>
      <w:proofErr w:type="spellEnd"/>
      <w:r w:rsidRPr="00320ED2">
        <w:rPr>
          <w:rFonts w:ascii="Arial" w:eastAsia="Times New Roman" w:hAnsi="Arial" w:cs="Arial"/>
          <w:sz w:val="24"/>
          <w:szCs w:val="24"/>
          <w:lang w:val="en-GB" w:eastAsia="en-GB"/>
        </w:rPr>
        <w:t xml:space="preserve">, H. (2022) ‘Continuous business model innovation and dynamic capabilities’, </w:t>
      </w:r>
      <w:r w:rsidRPr="00320ED2">
        <w:rPr>
          <w:rFonts w:ascii="Arial" w:eastAsia="Times New Roman" w:hAnsi="Arial" w:cs="Arial"/>
          <w:i/>
          <w:iCs/>
          <w:sz w:val="24"/>
          <w:szCs w:val="24"/>
          <w:lang w:val="en-GB" w:eastAsia="en-GB"/>
        </w:rPr>
        <w:t>International Journal of Innovation Management</w:t>
      </w:r>
      <w:r w:rsidRPr="00320ED2">
        <w:rPr>
          <w:rFonts w:ascii="Arial" w:eastAsia="Times New Roman" w:hAnsi="Arial" w:cs="Arial"/>
          <w:sz w:val="24"/>
          <w:szCs w:val="24"/>
          <w:lang w:val="en-GB" w:eastAsia="en-GB"/>
        </w:rPr>
        <w:t xml:space="preserve">. </w:t>
      </w:r>
      <w:hyperlink r:id="rId102" w:tgtFrame="_blank" w:history="1">
        <w:r w:rsidRPr="00320ED2">
          <w:rPr>
            <w:rFonts w:ascii="Arial" w:eastAsia="Times New Roman" w:hAnsi="Arial" w:cs="Arial"/>
            <w:color w:val="0000FF"/>
            <w:sz w:val="24"/>
            <w:szCs w:val="24"/>
            <w:u w:val="single"/>
            <w:lang w:val="en-GB" w:eastAsia="en-GB"/>
          </w:rPr>
          <w:t>Article DOI</w:t>
        </w:r>
      </w:hyperlink>
    </w:p>
    <w:p w14:paraId="2FDE5FE9" w14:textId="77777777" w:rsidR="00320ED2" w:rsidRPr="00E61401" w:rsidRDefault="00320ED2" w:rsidP="00E61401">
      <w:pPr>
        <w:spacing w:line="360" w:lineRule="auto"/>
        <w:jc w:val="both"/>
        <w:rPr>
          <w:rFonts w:ascii="Arial" w:hAnsi="Arial" w:cs="Arial"/>
          <w:sz w:val="24"/>
          <w:szCs w:val="24"/>
          <w:lang w:val="en-GB" w:eastAsia="en-GB"/>
        </w:rPr>
      </w:pPr>
    </w:p>
    <w:p w14:paraId="79CA33EF" w14:textId="77777777" w:rsidR="00606942" w:rsidRPr="0049422E" w:rsidRDefault="00606942" w:rsidP="00E04AAD">
      <w:pPr>
        <w:spacing w:before="240" w:line="360" w:lineRule="auto"/>
        <w:jc w:val="both"/>
        <w:rPr>
          <w:rFonts w:ascii="Arial" w:hAnsi="Arial" w:cs="Arial"/>
          <w:sz w:val="24"/>
          <w:szCs w:val="24"/>
          <w:lang w:val="en-GB" w:eastAsia="en-GB"/>
        </w:rPr>
      </w:pPr>
    </w:p>
    <w:sectPr w:rsidR="00606942" w:rsidRPr="0049422E" w:rsidSect="00B50C6B">
      <w:headerReference w:type="default" r:id="rId103"/>
      <w:footerReference w:type="default" r:id="rId10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285EE9" w14:textId="77777777" w:rsidR="00D50A83" w:rsidRDefault="00D50A83" w:rsidP="00226B65">
      <w:pPr>
        <w:spacing w:after="0" w:line="240" w:lineRule="auto"/>
      </w:pPr>
      <w:r>
        <w:separator/>
      </w:r>
    </w:p>
  </w:endnote>
  <w:endnote w:type="continuationSeparator" w:id="0">
    <w:p w14:paraId="1C5C233C" w14:textId="77777777" w:rsidR="00D50A83" w:rsidRDefault="00D50A83"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8665987"/>
      <w:docPartObj>
        <w:docPartGallery w:val="Page Numbers (Bottom of Page)"/>
        <w:docPartUnique/>
      </w:docPartObj>
    </w:sdtPr>
    <w:sdtEndPr>
      <w:rPr>
        <w:noProof/>
      </w:rPr>
    </w:sdtEndPr>
    <w:sdtContent>
      <w:p w14:paraId="11FBF282" w14:textId="33995747" w:rsidR="00FF2927" w:rsidRDefault="00FF2927">
        <w:pPr>
          <w:pStyle w:val="Footer"/>
          <w:jc w:val="center"/>
        </w:pPr>
        <w:r>
          <w:fldChar w:fldCharType="begin"/>
        </w:r>
        <w:r>
          <w:instrText xml:space="preserve"> PAGE   \* MERGEFORMAT </w:instrText>
        </w:r>
        <w:r>
          <w:fldChar w:fldCharType="separate"/>
        </w:r>
        <w:r w:rsidR="001D3DBF">
          <w:rPr>
            <w:noProof/>
          </w:rPr>
          <w:t>vii</w:t>
        </w:r>
        <w:r>
          <w:rPr>
            <w:noProof/>
          </w:rPr>
          <w:fldChar w:fldCharType="end"/>
        </w:r>
      </w:p>
    </w:sdtContent>
  </w:sdt>
  <w:p w14:paraId="09932598" w14:textId="77777777" w:rsidR="00FF2927" w:rsidRDefault="00FF292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08057D90" w:rsidR="00FF2927" w:rsidRDefault="00FF2927">
        <w:pPr>
          <w:pStyle w:val="Footer"/>
          <w:jc w:val="center"/>
        </w:pPr>
        <w:r>
          <w:fldChar w:fldCharType="begin"/>
        </w:r>
        <w:r>
          <w:instrText xml:space="preserve"> PAGE   \* MERGEFORMAT </w:instrText>
        </w:r>
        <w:r>
          <w:fldChar w:fldCharType="separate"/>
        </w:r>
        <w:r w:rsidR="001D3DBF">
          <w:rPr>
            <w:noProof/>
          </w:rPr>
          <w:t>1</w:t>
        </w:r>
        <w:r>
          <w:rPr>
            <w:noProof/>
          </w:rPr>
          <w:fldChar w:fldCharType="end"/>
        </w:r>
      </w:p>
    </w:sdtContent>
  </w:sdt>
  <w:p w14:paraId="751981B7" w14:textId="77777777" w:rsidR="00FF2927" w:rsidRPr="00F706E3" w:rsidRDefault="00FF2927">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500F29" w14:textId="77777777" w:rsidR="00D50A83" w:rsidRDefault="00D50A83" w:rsidP="00226B65">
      <w:pPr>
        <w:spacing w:after="0" w:line="240" w:lineRule="auto"/>
      </w:pPr>
      <w:r>
        <w:separator/>
      </w:r>
    </w:p>
  </w:footnote>
  <w:footnote w:type="continuationSeparator" w:id="0">
    <w:p w14:paraId="44B6F129" w14:textId="77777777" w:rsidR="00D50A83" w:rsidRDefault="00D50A83"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FF2927" w:rsidRDefault="00FF292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32578"/>
    <w:multiLevelType w:val="multilevel"/>
    <w:tmpl w:val="4E38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60767"/>
    <w:multiLevelType w:val="multilevel"/>
    <w:tmpl w:val="4036A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A0B52"/>
    <w:multiLevelType w:val="multilevel"/>
    <w:tmpl w:val="D8A60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E77D5A"/>
    <w:multiLevelType w:val="multilevel"/>
    <w:tmpl w:val="85F48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431094"/>
    <w:multiLevelType w:val="multilevel"/>
    <w:tmpl w:val="4FC8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C309F0"/>
    <w:multiLevelType w:val="multilevel"/>
    <w:tmpl w:val="DABAB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73DE2"/>
    <w:multiLevelType w:val="multilevel"/>
    <w:tmpl w:val="7BE0D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C446E3"/>
    <w:multiLevelType w:val="hybridMultilevel"/>
    <w:tmpl w:val="82FA4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264844"/>
    <w:multiLevelType w:val="multilevel"/>
    <w:tmpl w:val="22D84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E6A2D"/>
    <w:multiLevelType w:val="multilevel"/>
    <w:tmpl w:val="051A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4601A"/>
    <w:multiLevelType w:val="multilevel"/>
    <w:tmpl w:val="0CE6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627FA0"/>
    <w:multiLevelType w:val="multilevel"/>
    <w:tmpl w:val="F6E2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6E167F"/>
    <w:multiLevelType w:val="multilevel"/>
    <w:tmpl w:val="5938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E11CB2"/>
    <w:multiLevelType w:val="hybridMultilevel"/>
    <w:tmpl w:val="30D851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F5236E"/>
    <w:multiLevelType w:val="multilevel"/>
    <w:tmpl w:val="D1067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1C4BD4"/>
    <w:multiLevelType w:val="hybridMultilevel"/>
    <w:tmpl w:val="AED6C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046752"/>
    <w:multiLevelType w:val="multilevel"/>
    <w:tmpl w:val="F954B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5D1F11"/>
    <w:multiLevelType w:val="multilevel"/>
    <w:tmpl w:val="2912F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F02E27"/>
    <w:multiLevelType w:val="multilevel"/>
    <w:tmpl w:val="83526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605FC9"/>
    <w:multiLevelType w:val="multilevel"/>
    <w:tmpl w:val="E1C0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66648C"/>
    <w:multiLevelType w:val="multilevel"/>
    <w:tmpl w:val="5B8C6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6739B5"/>
    <w:multiLevelType w:val="multilevel"/>
    <w:tmpl w:val="0E8ED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0012B1"/>
    <w:multiLevelType w:val="multilevel"/>
    <w:tmpl w:val="6844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213DCE"/>
    <w:multiLevelType w:val="multilevel"/>
    <w:tmpl w:val="A9BE5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B80556"/>
    <w:multiLevelType w:val="multilevel"/>
    <w:tmpl w:val="AA3AF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BC1016"/>
    <w:multiLevelType w:val="multilevel"/>
    <w:tmpl w:val="9BA6D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3C25AB"/>
    <w:multiLevelType w:val="hybridMultilevel"/>
    <w:tmpl w:val="733C6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234BCD"/>
    <w:multiLevelType w:val="multilevel"/>
    <w:tmpl w:val="9D3C6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007B0E"/>
    <w:multiLevelType w:val="multilevel"/>
    <w:tmpl w:val="5482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DF3238"/>
    <w:multiLevelType w:val="multilevel"/>
    <w:tmpl w:val="7A8CE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0B7E46"/>
    <w:multiLevelType w:val="hybridMultilevel"/>
    <w:tmpl w:val="0922CA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7A51B9"/>
    <w:multiLevelType w:val="multilevel"/>
    <w:tmpl w:val="E04A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80485A"/>
    <w:multiLevelType w:val="multilevel"/>
    <w:tmpl w:val="AB86B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7437BB"/>
    <w:multiLevelType w:val="multilevel"/>
    <w:tmpl w:val="5A8C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6F75A0"/>
    <w:multiLevelType w:val="multilevel"/>
    <w:tmpl w:val="7C30C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9F22D0"/>
    <w:multiLevelType w:val="multilevel"/>
    <w:tmpl w:val="6E6A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986486"/>
    <w:multiLevelType w:val="multilevel"/>
    <w:tmpl w:val="6AAE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EB0484"/>
    <w:multiLevelType w:val="multilevel"/>
    <w:tmpl w:val="E2BA8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3A4D8E"/>
    <w:multiLevelType w:val="multilevel"/>
    <w:tmpl w:val="30B4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E71192"/>
    <w:multiLevelType w:val="multilevel"/>
    <w:tmpl w:val="9B26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D434E0"/>
    <w:multiLevelType w:val="multilevel"/>
    <w:tmpl w:val="7A581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A34F69"/>
    <w:multiLevelType w:val="multilevel"/>
    <w:tmpl w:val="8938D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3E0FED"/>
    <w:multiLevelType w:val="multilevel"/>
    <w:tmpl w:val="337689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433E07"/>
    <w:multiLevelType w:val="multilevel"/>
    <w:tmpl w:val="82E2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AF3228"/>
    <w:multiLevelType w:val="multilevel"/>
    <w:tmpl w:val="D2EAE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B9B3EE9"/>
    <w:multiLevelType w:val="hybridMultilevel"/>
    <w:tmpl w:val="454A8E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6A4DC6"/>
    <w:multiLevelType w:val="multilevel"/>
    <w:tmpl w:val="B8505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5"/>
  </w:num>
  <w:num w:numId="3">
    <w:abstractNumId w:val="43"/>
  </w:num>
  <w:num w:numId="4">
    <w:abstractNumId w:val="15"/>
  </w:num>
  <w:num w:numId="5">
    <w:abstractNumId w:val="26"/>
  </w:num>
  <w:num w:numId="6">
    <w:abstractNumId w:val="30"/>
  </w:num>
  <w:num w:numId="7">
    <w:abstractNumId w:val="42"/>
  </w:num>
  <w:num w:numId="8">
    <w:abstractNumId w:val="9"/>
  </w:num>
  <w:num w:numId="9">
    <w:abstractNumId w:val="3"/>
  </w:num>
  <w:num w:numId="10">
    <w:abstractNumId w:val="4"/>
  </w:num>
  <w:num w:numId="11">
    <w:abstractNumId w:val="33"/>
  </w:num>
  <w:num w:numId="12">
    <w:abstractNumId w:val="39"/>
  </w:num>
  <w:num w:numId="13">
    <w:abstractNumId w:val="37"/>
  </w:num>
  <w:num w:numId="14">
    <w:abstractNumId w:val="12"/>
  </w:num>
  <w:num w:numId="15">
    <w:abstractNumId w:val="8"/>
  </w:num>
  <w:num w:numId="16">
    <w:abstractNumId w:val="18"/>
  </w:num>
  <w:num w:numId="17">
    <w:abstractNumId w:val="36"/>
  </w:num>
  <w:num w:numId="18">
    <w:abstractNumId w:val="2"/>
  </w:num>
  <w:num w:numId="19">
    <w:abstractNumId w:val="44"/>
  </w:num>
  <w:num w:numId="20">
    <w:abstractNumId w:val="1"/>
  </w:num>
  <w:num w:numId="21">
    <w:abstractNumId w:val="40"/>
  </w:num>
  <w:num w:numId="22">
    <w:abstractNumId w:val="5"/>
  </w:num>
  <w:num w:numId="23">
    <w:abstractNumId w:val="28"/>
  </w:num>
  <w:num w:numId="24">
    <w:abstractNumId w:val="21"/>
  </w:num>
  <w:num w:numId="25">
    <w:abstractNumId w:val="11"/>
  </w:num>
  <w:num w:numId="26">
    <w:abstractNumId w:val="25"/>
  </w:num>
  <w:num w:numId="27">
    <w:abstractNumId w:val="0"/>
  </w:num>
  <w:num w:numId="28">
    <w:abstractNumId w:val="41"/>
  </w:num>
  <w:num w:numId="29">
    <w:abstractNumId w:val="38"/>
  </w:num>
  <w:num w:numId="30">
    <w:abstractNumId w:val="35"/>
  </w:num>
  <w:num w:numId="31">
    <w:abstractNumId w:val="14"/>
  </w:num>
  <w:num w:numId="32">
    <w:abstractNumId w:val="29"/>
  </w:num>
  <w:num w:numId="33">
    <w:abstractNumId w:val="16"/>
  </w:num>
  <w:num w:numId="34">
    <w:abstractNumId w:val="6"/>
  </w:num>
  <w:num w:numId="35">
    <w:abstractNumId w:val="17"/>
  </w:num>
  <w:num w:numId="36">
    <w:abstractNumId w:val="46"/>
  </w:num>
  <w:num w:numId="37">
    <w:abstractNumId w:val="27"/>
  </w:num>
  <w:num w:numId="38">
    <w:abstractNumId w:val="10"/>
  </w:num>
  <w:num w:numId="39">
    <w:abstractNumId w:val="13"/>
  </w:num>
  <w:num w:numId="40">
    <w:abstractNumId w:val="24"/>
  </w:num>
  <w:num w:numId="41">
    <w:abstractNumId w:val="19"/>
  </w:num>
  <w:num w:numId="42">
    <w:abstractNumId w:val="22"/>
  </w:num>
  <w:num w:numId="43">
    <w:abstractNumId w:val="34"/>
  </w:num>
  <w:num w:numId="44">
    <w:abstractNumId w:val="31"/>
  </w:num>
  <w:num w:numId="45">
    <w:abstractNumId w:val="32"/>
  </w:num>
  <w:num w:numId="46">
    <w:abstractNumId w:val="23"/>
  </w:num>
  <w:num w:numId="47">
    <w:abstractNumId w:val="2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170D"/>
    <w:rsid w:val="00002D76"/>
    <w:rsid w:val="00004D04"/>
    <w:rsid w:val="00004D6C"/>
    <w:rsid w:val="00004F05"/>
    <w:rsid w:val="00007561"/>
    <w:rsid w:val="00007FFB"/>
    <w:rsid w:val="000117E4"/>
    <w:rsid w:val="00012261"/>
    <w:rsid w:val="00012425"/>
    <w:rsid w:val="00013335"/>
    <w:rsid w:val="0001370B"/>
    <w:rsid w:val="00015648"/>
    <w:rsid w:val="00023F41"/>
    <w:rsid w:val="0002406A"/>
    <w:rsid w:val="00027E3A"/>
    <w:rsid w:val="0003067C"/>
    <w:rsid w:val="0003247A"/>
    <w:rsid w:val="00036E37"/>
    <w:rsid w:val="00041586"/>
    <w:rsid w:val="000438AB"/>
    <w:rsid w:val="00044370"/>
    <w:rsid w:val="000447C7"/>
    <w:rsid w:val="00045BE0"/>
    <w:rsid w:val="00046CE1"/>
    <w:rsid w:val="000479E1"/>
    <w:rsid w:val="00047C8C"/>
    <w:rsid w:val="00050148"/>
    <w:rsid w:val="00052669"/>
    <w:rsid w:val="000573C7"/>
    <w:rsid w:val="00064403"/>
    <w:rsid w:val="0007015E"/>
    <w:rsid w:val="000720BB"/>
    <w:rsid w:val="00072CF9"/>
    <w:rsid w:val="00074493"/>
    <w:rsid w:val="000754D0"/>
    <w:rsid w:val="000755AF"/>
    <w:rsid w:val="00082254"/>
    <w:rsid w:val="00094C6A"/>
    <w:rsid w:val="00095B12"/>
    <w:rsid w:val="000A0440"/>
    <w:rsid w:val="000A1D89"/>
    <w:rsid w:val="000A297B"/>
    <w:rsid w:val="000A5248"/>
    <w:rsid w:val="000A66F0"/>
    <w:rsid w:val="000A6A23"/>
    <w:rsid w:val="000A7D86"/>
    <w:rsid w:val="000B0548"/>
    <w:rsid w:val="000B2740"/>
    <w:rsid w:val="000B2756"/>
    <w:rsid w:val="000B3E28"/>
    <w:rsid w:val="000B4B84"/>
    <w:rsid w:val="000B5FCE"/>
    <w:rsid w:val="000B6E6E"/>
    <w:rsid w:val="000C4DA0"/>
    <w:rsid w:val="000C6B7F"/>
    <w:rsid w:val="000C7D8E"/>
    <w:rsid w:val="000C7FAD"/>
    <w:rsid w:val="000D5F4B"/>
    <w:rsid w:val="000D674A"/>
    <w:rsid w:val="000E1B28"/>
    <w:rsid w:val="000E68F1"/>
    <w:rsid w:val="000E76ED"/>
    <w:rsid w:val="000F0747"/>
    <w:rsid w:val="000F0956"/>
    <w:rsid w:val="000F0EB4"/>
    <w:rsid w:val="000F5EA9"/>
    <w:rsid w:val="00100F99"/>
    <w:rsid w:val="00105DB6"/>
    <w:rsid w:val="001064E9"/>
    <w:rsid w:val="00106CC9"/>
    <w:rsid w:val="00113FA5"/>
    <w:rsid w:val="00114D7F"/>
    <w:rsid w:val="00116CDA"/>
    <w:rsid w:val="00120896"/>
    <w:rsid w:val="00122C26"/>
    <w:rsid w:val="00124FA6"/>
    <w:rsid w:val="001254F4"/>
    <w:rsid w:val="001269B6"/>
    <w:rsid w:val="001346AE"/>
    <w:rsid w:val="00134C55"/>
    <w:rsid w:val="00137567"/>
    <w:rsid w:val="0014511B"/>
    <w:rsid w:val="0014628F"/>
    <w:rsid w:val="00153F74"/>
    <w:rsid w:val="00154BCB"/>
    <w:rsid w:val="001640E8"/>
    <w:rsid w:val="00167C72"/>
    <w:rsid w:val="00167EB0"/>
    <w:rsid w:val="00170C56"/>
    <w:rsid w:val="00172363"/>
    <w:rsid w:val="001740E6"/>
    <w:rsid w:val="00176736"/>
    <w:rsid w:val="001801FE"/>
    <w:rsid w:val="00180666"/>
    <w:rsid w:val="00187F30"/>
    <w:rsid w:val="001906A4"/>
    <w:rsid w:val="001929B4"/>
    <w:rsid w:val="001962E4"/>
    <w:rsid w:val="001964B6"/>
    <w:rsid w:val="001A08AB"/>
    <w:rsid w:val="001A2504"/>
    <w:rsid w:val="001A384C"/>
    <w:rsid w:val="001A5991"/>
    <w:rsid w:val="001A686C"/>
    <w:rsid w:val="001A70A9"/>
    <w:rsid w:val="001A7189"/>
    <w:rsid w:val="001B0AF8"/>
    <w:rsid w:val="001B2435"/>
    <w:rsid w:val="001B3201"/>
    <w:rsid w:val="001B6E3E"/>
    <w:rsid w:val="001C26FD"/>
    <w:rsid w:val="001D3DBF"/>
    <w:rsid w:val="001D3EBB"/>
    <w:rsid w:val="001D5EF2"/>
    <w:rsid w:val="001D7434"/>
    <w:rsid w:val="001E339C"/>
    <w:rsid w:val="001E64B7"/>
    <w:rsid w:val="001F27A2"/>
    <w:rsid w:val="001F2B4D"/>
    <w:rsid w:val="002049FF"/>
    <w:rsid w:val="00206428"/>
    <w:rsid w:val="002068A4"/>
    <w:rsid w:val="002073FB"/>
    <w:rsid w:val="00211196"/>
    <w:rsid w:val="002119EB"/>
    <w:rsid w:val="002129FD"/>
    <w:rsid w:val="00212ED5"/>
    <w:rsid w:val="002152EC"/>
    <w:rsid w:val="0021585B"/>
    <w:rsid w:val="002170D5"/>
    <w:rsid w:val="00217291"/>
    <w:rsid w:val="00220330"/>
    <w:rsid w:val="00220A5E"/>
    <w:rsid w:val="00221E59"/>
    <w:rsid w:val="00225388"/>
    <w:rsid w:val="00226606"/>
    <w:rsid w:val="00226B65"/>
    <w:rsid w:val="00226C15"/>
    <w:rsid w:val="0023208B"/>
    <w:rsid w:val="00233662"/>
    <w:rsid w:val="00236100"/>
    <w:rsid w:val="00241AE4"/>
    <w:rsid w:val="0024412D"/>
    <w:rsid w:val="00244702"/>
    <w:rsid w:val="00244CCB"/>
    <w:rsid w:val="00244FAE"/>
    <w:rsid w:val="00250651"/>
    <w:rsid w:val="002520F7"/>
    <w:rsid w:val="00253991"/>
    <w:rsid w:val="002570C1"/>
    <w:rsid w:val="002576E9"/>
    <w:rsid w:val="002620F2"/>
    <w:rsid w:val="00265497"/>
    <w:rsid w:val="00270008"/>
    <w:rsid w:val="00284522"/>
    <w:rsid w:val="00287FB7"/>
    <w:rsid w:val="002920E6"/>
    <w:rsid w:val="002930B6"/>
    <w:rsid w:val="00293DE1"/>
    <w:rsid w:val="00294FF8"/>
    <w:rsid w:val="002A1E74"/>
    <w:rsid w:val="002A6FCA"/>
    <w:rsid w:val="002A72BC"/>
    <w:rsid w:val="002B1BD3"/>
    <w:rsid w:val="002B3460"/>
    <w:rsid w:val="002B5F3C"/>
    <w:rsid w:val="002B623B"/>
    <w:rsid w:val="002B719C"/>
    <w:rsid w:val="002B7538"/>
    <w:rsid w:val="002C218A"/>
    <w:rsid w:val="002C23A0"/>
    <w:rsid w:val="002C6544"/>
    <w:rsid w:val="002D3C6B"/>
    <w:rsid w:val="002D4A25"/>
    <w:rsid w:val="002D6462"/>
    <w:rsid w:val="002D7021"/>
    <w:rsid w:val="002E1E0A"/>
    <w:rsid w:val="002E2D64"/>
    <w:rsid w:val="002E4DF0"/>
    <w:rsid w:val="002E5287"/>
    <w:rsid w:val="002F1D43"/>
    <w:rsid w:val="002F6A3D"/>
    <w:rsid w:val="00302559"/>
    <w:rsid w:val="00304029"/>
    <w:rsid w:val="00306545"/>
    <w:rsid w:val="00312AF4"/>
    <w:rsid w:val="00313BDB"/>
    <w:rsid w:val="003145AB"/>
    <w:rsid w:val="003146AD"/>
    <w:rsid w:val="0031596D"/>
    <w:rsid w:val="00316DB9"/>
    <w:rsid w:val="00320ED2"/>
    <w:rsid w:val="003220A6"/>
    <w:rsid w:val="003238BC"/>
    <w:rsid w:val="00325211"/>
    <w:rsid w:val="00326EBB"/>
    <w:rsid w:val="0032756A"/>
    <w:rsid w:val="00332B69"/>
    <w:rsid w:val="00335E27"/>
    <w:rsid w:val="00336C69"/>
    <w:rsid w:val="00336F5B"/>
    <w:rsid w:val="0034076E"/>
    <w:rsid w:val="00340969"/>
    <w:rsid w:val="00345B65"/>
    <w:rsid w:val="003546B9"/>
    <w:rsid w:val="003554EF"/>
    <w:rsid w:val="00356452"/>
    <w:rsid w:val="00361E3B"/>
    <w:rsid w:val="003657C6"/>
    <w:rsid w:val="003676E0"/>
    <w:rsid w:val="0037334C"/>
    <w:rsid w:val="00376D86"/>
    <w:rsid w:val="003806B5"/>
    <w:rsid w:val="0038198C"/>
    <w:rsid w:val="003822FD"/>
    <w:rsid w:val="00383247"/>
    <w:rsid w:val="00396281"/>
    <w:rsid w:val="0039798E"/>
    <w:rsid w:val="003A271D"/>
    <w:rsid w:val="003A3412"/>
    <w:rsid w:val="003A39A4"/>
    <w:rsid w:val="003A6E14"/>
    <w:rsid w:val="003B088A"/>
    <w:rsid w:val="003B1110"/>
    <w:rsid w:val="003B2213"/>
    <w:rsid w:val="003B27F6"/>
    <w:rsid w:val="003B280D"/>
    <w:rsid w:val="003B45A8"/>
    <w:rsid w:val="003C26CE"/>
    <w:rsid w:val="003C45F7"/>
    <w:rsid w:val="003C550C"/>
    <w:rsid w:val="003C60B2"/>
    <w:rsid w:val="003C7318"/>
    <w:rsid w:val="003D071E"/>
    <w:rsid w:val="003D0CA0"/>
    <w:rsid w:val="003D393B"/>
    <w:rsid w:val="003D42B7"/>
    <w:rsid w:val="003D7187"/>
    <w:rsid w:val="003E0A7D"/>
    <w:rsid w:val="003E0AAA"/>
    <w:rsid w:val="003E4183"/>
    <w:rsid w:val="003E554F"/>
    <w:rsid w:val="003F047C"/>
    <w:rsid w:val="003F17FF"/>
    <w:rsid w:val="00402F9F"/>
    <w:rsid w:val="00403881"/>
    <w:rsid w:val="00410EE2"/>
    <w:rsid w:val="00415A7C"/>
    <w:rsid w:val="00415D83"/>
    <w:rsid w:val="00420F82"/>
    <w:rsid w:val="004229B7"/>
    <w:rsid w:val="00422ACC"/>
    <w:rsid w:val="004257F5"/>
    <w:rsid w:val="00426935"/>
    <w:rsid w:val="00430977"/>
    <w:rsid w:val="00433D54"/>
    <w:rsid w:val="004374F8"/>
    <w:rsid w:val="00440CB8"/>
    <w:rsid w:val="004439A2"/>
    <w:rsid w:val="00445244"/>
    <w:rsid w:val="00453801"/>
    <w:rsid w:val="00453BDD"/>
    <w:rsid w:val="00460368"/>
    <w:rsid w:val="00460EDC"/>
    <w:rsid w:val="00460F76"/>
    <w:rsid w:val="004664C0"/>
    <w:rsid w:val="00467C2B"/>
    <w:rsid w:val="00475CF8"/>
    <w:rsid w:val="004778E6"/>
    <w:rsid w:val="00482C55"/>
    <w:rsid w:val="0048704A"/>
    <w:rsid w:val="00493CD3"/>
    <w:rsid w:val="0049422E"/>
    <w:rsid w:val="00494567"/>
    <w:rsid w:val="00497383"/>
    <w:rsid w:val="004A0E5E"/>
    <w:rsid w:val="004A2239"/>
    <w:rsid w:val="004A3190"/>
    <w:rsid w:val="004A3ACD"/>
    <w:rsid w:val="004A4D7C"/>
    <w:rsid w:val="004A5857"/>
    <w:rsid w:val="004A669A"/>
    <w:rsid w:val="004A6E35"/>
    <w:rsid w:val="004A7C6B"/>
    <w:rsid w:val="004B2D5C"/>
    <w:rsid w:val="004B7F03"/>
    <w:rsid w:val="004C0434"/>
    <w:rsid w:val="004C1558"/>
    <w:rsid w:val="004C2484"/>
    <w:rsid w:val="004C5F1B"/>
    <w:rsid w:val="004C67BA"/>
    <w:rsid w:val="004C6BDB"/>
    <w:rsid w:val="004D0A7B"/>
    <w:rsid w:val="004D498B"/>
    <w:rsid w:val="004E1A81"/>
    <w:rsid w:val="004E5561"/>
    <w:rsid w:val="004E59D2"/>
    <w:rsid w:val="004F0EA4"/>
    <w:rsid w:val="004F1B66"/>
    <w:rsid w:val="004F1B8C"/>
    <w:rsid w:val="004F31F9"/>
    <w:rsid w:val="004F7E53"/>
    <w:rsid w:val="005007A7"/>
    <w:rsid w:val="0050370C"/>
    <w:rsid w:val="00505BC0"/>
    <w:rsid w:val="0050713D"/>
    <w:rsid w:val="00507E1C"/>
    <w:rsid w:val="00512825"/>
    <w:rsid w:val="00513767"/>
    <w:rsid w:val="00515CB2"/>
    <w:rsid w:val="005174E7"/>
    <w:rsid w:val="00520D8F"/>
    <w:rsid w:val="005210CD"/>
    <w:rsid w:val="00522D32"/>
    <w:rsid w:val="00523927"/>
    <w:rsid w:val="00523B1C"/>
    <w:rsid w:val="00526E02"/>
    <w:rsid w:val="00532B48"/>
    <w:rsid w:val="00534005"/>
    <w:rsid w:val="005356A2"/>
    <w:rsid w:val="00537015"/>
    <w:rsid w:val="005410CD"/>
    <w:rsid w:val="00547219"/>
    <w:rsid w:val="0055279E"/>
    <w:rsid w:val="00556B65"/>
    <w:rsid w:val="005572AB"/>
    <w:rsid w:val="00561392"/>
    <w:rsid w:val="00562A0A"/>
    <w:rsid w:val="00563659"/>
    <w:rsid w:val="005647F3"/>
    <w:rsid w:val="00573E08"/>
    <w:rsid w:val="00574327"/>
    <w:rsid w:val="005829EB"/>
    <w:rsid w:val="00583BA8"/>
    <w:rsid w:val="005846CF"/>
    <w:rsid w:val="00584996"/>
    <w:rsid w:val="005859A6"/>
    <w:rsid w:val="00587052"/>
    <w:rsid w:val="0059125D"/>
    <w:rsid w:val="005916C6"/>
    <w:rsid w:val="005935D1"/>
    <w:rsid w:val="005942B4"/>
    <w:rsid w:val="00596E2D"/>
    <w:rsid w:val="005A3143"/>
    <w:rsid w:val="005A3D8C"/>
    <w:rsid w:val="005A4E1A"/>
    <w:rsid w:val="005A5A78"/>
    <w:rsid w:val="005A6570"/>
    <w:rsid w:val="005B1BE5"/>
    <w:rsid w:val="005B203B"/>
    <w:rsid w:val="005B7A69"/>
    <w:rsid w:val="005C08FE"/>
    <w:rsid w:val="005C5A1B"/>
    <w:rsid w:val="005C7A31"/>
    <w:rsid w:val="005D05D7"/>
    <w:rsid w:val="005D1B65"/>
    <w:rsid w:val="005D2B4F"/>
    <w:rsid w:val="005D4446"/>
    <w:rsid w:val="005D5DFF"/>
    <w:rsid w:val="005D7E96"/>
    <w:rsid w:val="005E651E"/>
    <w:rsid w:val="005F1C36"/>
    <w:rsid w:val="005F32BF"/>
    <w:rsid w:val="005F50A5"/>
    <w:rsid w:val="005F5171"/>
    <w:rsid w:val="005F5B09"/>
    <w:rsid w:val="00600C4A"/>
    <w:rsid w:val="00604954"/>
    <w:rsid w:val="00606019"/>
    <w:rsid w:val="00606942"/>
    <w:rsid w:val="006130A6"/>
    <w:rsid w:val="00622191"/>
    <w:rsid w:val="00624EC2"/>
    <w:rsid w:val="0063171D"/>
    <w:rsid w:val="00632A83"/>
    <w:rsid w:val="00641A51"/>
    <w:rsid w:val="00642665"/>
    <w:rsid w:val="00646D06"/>
    <w:rsid w:val="00651809"/>
    <w:rsid w:val="0065437D"/>
    <w:rsid w:val="006562F7"/>
    <w:rsid w:val="00656CC7"/>
    <w:rsid w:val="00661A72"/>
    <w:rsid w:val="0066448A"/>
    <w:rsid w:val="006657D1"/>
    <w:rsid w:val="00666BD6"/>
    <w:rsid w:val="0066772B"/>
    <w:rsid w:val="00670F56"/>
    <w:rsid w:val="0067434B"/>
    <w:rsid w:val="00674D39"/>
    <w:rsid w:val="006759BF"/>
    <w:rsid w:val="006801A4"/>
    <w:rsid w:val="006811F5"/>
    <w:rsid w:val="00682321"/>
    <w:rsid w:val="006828AF"/>
    <w:rsid w:val="00683B26"/>
    <w:rsid w:val="0068478F"/>
    <w:rsid w:val="00685B04"/>
    <w:rsid w:val="0069026C"/>
    <w:rsid w:val="00690A54"/>
    <w:rsid w:val="00691DE2"/>
    <w:rsid w:val="00692F51"/>
    <w:rsid w:val="006A3C5B"/>
    <w:rsid w:val="006A445B"/>
    <w:rsid w:val="006A52C0"/>
    <w:rsid w:val="006A5392"/>
    <w:rsid w:val="006A67AF"/>
    <w:rsid w:val="006B0B70"/>
    <w:rsid w:val="006B10AA"/>
    <w:rsid w:val="006B2BF5"/>
    <w:rsid w:val="006B2C43"/>
    <w:rsid w:val="006B2F97"/>
    <w:rsid w:val="006B4CFC"/>
    <w:rsid w:val="006B4F02"/>
    <w:rsid w:val="006B68BD"/>
    <w:rsid w:val="006C1E78"/>
    <w:rsid w:val="006C24DA"/>
    <w:rsid w:val="006C4681"/>
    <w:rsid w:val="006C7061"/>
    <w:rsid w:val="006D021F"/>
    <w:rsid w:val="006D0F86"/>
    <w:rsid w:val="006D1ABF"/>
    <w:rsid w:val="006D2A89"/>
    <w:rsid w:val="006D3621"/>
    <w:rsid w:val="006D4429"/>
    <w:rsid w:val="006D527A"/>
    <w:rsid w:val="006E19FF"/>
    <w:rsid w:val="006E29E7"/>
    <w:rsid w:val="006E45FD"/>
    <w:rsid w:val="006E4CEC"/>
    <w:rsid w:val="006E6B3E"/>
    <w:rsid w:val="006F45D0"/>
    <w:rsid w:val="006F5AA8"/>
    <w:rsid w:val="006F72FE"/>
    <w:rsid w:val="006F7B3F"/>
    <w:rsid w:val="00700D03"/>
    <w:rsid w:val="00700D77"/>
    <w:rsid w:val="00702DCA"/>
    <w:rsid w:val="007058AB"/>
    <w:rsid w:val="00706755"/>
    <w:rsid w:val="00710133"/>
    <w:rsid w:val="00712E6C"/>
    <w:rsid w:val="00714606"/>
    <w:rsid w:val="00717230"/>
    <w:rsid w:val="00717BB1"/>
    <w:rsid w:val="007238C4"/>
    <w:rsid w:val="00727433"/>
    <w:rsid w:val="007301C6"/>
    <w:rsid w:val="007313BE"/>
    <w:rsid w:val="00740946"/>
    <w:rsid w:val="00741047"/>
    <w:rsid w:val="00741A4B"/>
    <w:rsid w:val="007510F2"/>
    <w:rsid w:val="00751DB9"/>
    <w:rsid w:val="00762B89"/>
    <w:rsid w:val="007650F8"/>
    <w:rsid w:val="0076720A"/>
    <w:rsid w:val="007674EE"/>
    <w:rsid w:val="00767602"/>
    <w:rsid w:val="00771400"/>
    <w:rsid w:val="00773250"/>
    <w:rsid w:val="007732CB"/>
    <w:rsid w:val="00773DB6"/>
    <w:rsid w:val="00776EF3"/>
    <w:rsid w:val="007771A9"/>
    <w:rsid w:val="00777E77"/>
    <w:rsid w:val="00780295"/>
    <w:rsid w:val="007838AA"/>
    <w:rsid w:val="00783E97"/>
    <w:rsid w:val="00787832"/>
    <w:rsid w:val="00794174"/>
    <w:rsid w:val="00795405"/>
    <w:rsid w:val="007958E5"/>
    <w:rsid w:val="0079692D"/>
    <w:rsid w:val="007A2F5B"/>
    <w:rsid w:val="007A3BC5"/>
    <w:rsid w:val="007A7768"/>
    <w:rsid w:val="007B0C7A"/>
    <w:rsid w:val="007B17AF"/>
    <w:rsid w:val="007B2D07"/>
    <w:rsid w:val="007B5032"/>
    <w:rsid w:val="007B5D82"/>
    <w:rsid w:val="007B6510"/>
    <w:rsid w:val="007C50AF"/>
    <w:rsid w:val="007C5D58"/>
    <w:rsid w:val="007C6449"/>
    <w:rsid w:val="007D20A3"/>
    <w:rsid w:val="007D575E"/>
    <w:rsid w:val="007D6B38"/>
    <w:rsid w:val="007D762A"/>
    <w:rsid w:val="007E1958"/>
    <w:rsid w:val="007E238F"/>
    <w:rsid w:val="007F00D9"/>
    <w:rsid w:val="007F3C9C"/>
    <w:rsid w:val="007F44DE"/>
    <w:rsid w:val="007F46AC"/>
    <w:rsid w:val="008008A7"/>
    <w:rsid w:val="00801A51"/>
    <w:rsid w:val="008028C3"/>
    <w:rsid w:val="008058A4"/>
    <w:rsid w:val="00830A28"/>
    <w:rsid w:val="00831696"/>
    <w:rsid w:val="008328A6"/>
    <w:rsid w:val="00835784"/>
    <w:rsid w:val="00835E9A"/>
    <w:rsid w:val="0084379F"/>
    <w:rsid w:val="00846ED2"/>
    <w:rsid w:val="008505D3"/>
    <w:rsid w:val="008526BD"/>
    <w:rsid w:val="008558D0"/>
    <w:rsid w:val="00855D08"/>
    <w:rsid w:val="00856BBB"/>
    <w:rsid w:val="00864625"/>
    <w:rsid w:val="0086473A"/>
    <w:rsid w:val="00871EDA"/>
    <w:rsid w:val="00873848"/>
    <w:rsid w:val="00873C00"/>
    <w:rsid w:val="008740F8"/>
    <w:rsid w:val="008741B9"/>
    <w:rsid w:val="00887DE5"/>
    <w:rsid w:val="00890E7B"/>
    <w:rsid w:val="00892027"/>
    <w:rsid w:val="00893394"/>
    <w:rsid w:val="0089526A"/>
    <w:rsid w:val="008A0DD0"/>
    <w:rsid w:val="008A4171"/>
    <w:rsid w:val="008A5783"/>
    <w:rsid w:val="008B519F"/>
    <w:rsid w:val="008B52D5"/>
    <w:rsid w:val="008B67AC"/>
    <w:rsid w:val="008C346C"/>
    <w:rsid w:val="008C45E2"/>
    <w:rsid w:val="008C5799"/>
    <w:rsid w:val="008D295A"/>
    <w:rsid w:val="008E5A3F"/>
    <w:rsid w:val="008F15FE"/>
    <w:rsid w:val="0090018A"/>
    <w:rsid w:val="00901F1B"/>
    <w:rsid w:val="00903846"/>
    <w:rsid w:val="0090495E"/>
    <w:rsid w:val="00904BE5"/>
    <w:rsid w:val="00905B1B"/>
    <w:rsid w:val="00906685"/>
    <w:rsid w:val="00911CA1"/>
    <w:rsid w:val="009132F1"/>
    <w:rsid w:val="00913951"/>
    <w:rsid w:val="00915D41"/>
    <w:rsid w:val="0092313B"/>
    <w:rsid w:val="009239EF"/>
    <w:rsid w:val="009277B8"/>
    <w:rsid w:val="009346B5"/>
    <w:rsid w:val="00941029"/>
    <w:rsid w:val="009413A3"/>
    <w:rsid w:val="009414C5"/>
    <w:rsid w:val="00942173"/>
    <w:rsid w:val="00944003"/>
    <w:rsid w:val="00945E0C"/>
    <w:rsid w:val="009478CB"/>
    <w:rsid w:val="009642D1"/>
    <w:rsid w:val="009658A9"/>
    <w:rsid w:val="00974D5F"/>
    <w:rsid w:val="00974E94"/>
    <w:rsid w:val="00975E5B"/>
    <w:rsid w:val="009764C4"/>
    <w:rsid w:val="009779F0"/>
    <w:rsid w:val="009822F6"/>
    <w:rsid w:val="00983629"/>
    <w:rsid w:val="0098403E"/>
    <w:rsid w:val="009860C8"/>
    <w:rsid w:val="00995469"/>
    <w:rsid w:val="00996C42"/>
    <w:rsid w:val="009A0624"/>
    <w:rsid w:val="009A4E85"/>
    <w:rsid w:val="009A710A"/>
    <w:rsid w:val="009B0B7E"/>
    <w:rsid w:val="009B2B4A"/>
    <w:rsid w:val="009B5010"/>
    <w:rsid w:val="009C300E"/>
    <w:rsid w:val="009C31FA"/>
    <w:rsid w:val="009C4671"/>
    <w:rsid w:val="009C4AA4"/>
    <w:rsid w:val="009C7909"/>
    <w:rsid w:val="009D2B0E"/>
    <w:rsid w:val="009D716D"/>
    <w:rsid w:val="009E3967"/>
    <w:rsid w:val="009E3B11"/>
    <w:rsid w:val="009E4AAA"/>
    <w:rsid w:val="009E77E0"/>
    <w:rsid w:val="009F5F32"/>
    <w:rsid w:val="009F613F"/>
    <w:rsid w:val="00A02C1D"/>
    <w:rsid w:val="00A02DC5"/>
    <w:rsid w:val="00A03816"/>
    <w:rsid w:val="00A04741"/>
    <w:rsid w:val="00A11C56"/>
    <w:rsid w:val="00A14AD2"/>
    <w:rsid w:val="00A1613E"/>
    <w:rsid w:val="00A161D9"/>
    <w:rsid w:val="00A2397F"/>
    <w:rsid w:val="00A31DCA"/>
    <w:rsid w:val="00A32809"/>
    <w:rsid w:val="00A359D9"/>
    <w:rsid w:val="00A40A61"/>
    <w:rsid w:val="00A41811"/>
    <w:rsid w:val="00A41950"/>
    <w:rsid w:val="00A46CDF"/>
    <w:rsid w:val="00A47879"/>
    <w:rsid w:val="00A47AF4"/>
    <w:rsid w:val="00A5349B"/>
    <w:rsid w:val="00A553F3"/>
    <w:rsid w:val="00A61981"/>
    <w:rsid w:val="00A629F8"/>
    <w:rsid w:val="00A62C61"/>
    <w:rsid w:val="00A6667F"/>
    <w:rsid w:val="00A66D87"/>
    <w:rsid w:val="00A7047A"/>
    <w:rsid w:val="00A7274B"/>
    <w:rsid w:val="00A819B9"/>
    <w:rsid w:val="00A85AAC"/>
    <w:rsid w:val="00A86125"/>
    <w:rsid w:val="00A908C3"/>
    <w:rsid w:val="00A94592"/>
    <w:rsid w:val="00A960C0"/>
    <w:rsid w:val="00A9718C"/>
    <w:rsid w:val="00AA17D5"/>
    <w:rsid w:val="00AA40C7"/>
    <w:rsid w:val="00AA618E"/>
    <w:rsid w:val="00AB2619"/>
    <w:rsid w:val="00AB2863"/>
    <w:rsid w:val="00AB38F4"/>
    <w:rsid w:val="00AB400A"/>
    <w:rsid w:val="00AB5361"/>
    <w:rsid w:val="00AB5E8C"/>
    <w:rsid w:val="00AC24F6"/>
    <w:rsid w:val="00AC5C96"/>
    <w:rsid w:val="00AD0545"/>
    <w:rsid w:val="00AD05FC"/>
    <w:rsid w:val="00AD1DE1"/>
    <w:rsid w:val="00AD4C18"/>
    <w:rsid w:val="00AD507F"/>
    <w:rsid w:val="00AD5653"/>
    <w:rsid w:val="00AE151D"/>
    <w:rsid w:val="00AE237C"/>
    <w:rsid w:val="00AE2BB9"/>
    <w:rsid w:val="00AF137C"/>
    <w:rsid w:val="00AF152B"/>
    <w:rsid w:val="00AF39EE"/>
    <w:rsid w:val="00AF6385"/>
    <w:rsid w:val="00AF6DBE"/>
    <w:rsid w:val="00B01263"/>
    <w:rsid w:val="00B10013"/>
    <w:rsid w:val="00B1495C"/>
    <w:rsid w:val="00B16CDD"/>
    <w:rsid w:val="00B226A4"/>
    <w:rsid w:val="00B2423C"/>
    <w:rsid w:val="00B261B1"/>
    <w:rsid w:val="00B30498"/>
    <w:rsid w:val="00B32EC1"/>
    <w:rsid w:val="00B32FD6"/>
    <w:rsid w:val="00B37F80"/>
    <w:rsid w:val="00B41158"/>
    <w:rsid w:val="00B413F3"/>
    <w:rsid w:val="00B4323B"/>
    <w:rsid w:val="00B46763"/>
    <w:rsid w:val="00B4783C"/>
    <w:rsid w:val="00B50C6B"/>
    <w:rsid w:val="00B600DF"/>
    <w:rsid w:val="00B6513D"/>
    <w:rsid w:val="00B65360"/>
    <w:rsid w:val="00B70B37"/>
    <w:rsid w:val="00B72AA4"/>
    <w:rsid w:val="00B753F2"/>
    <w:rsid w:val="00B76C33"/>
    <w:rsid w:val="00B82C18"/>
    <w:rsid w:val="00B84A59"/>
    <w:rsid w:val="00B92C9F"/>
    <w:rsid w:val="00B94C1E"/>
    <w:rsid w:val="00B97ACC"/>
    <w:rsid w:val="00BA160D"/>
    <w:rsid w:val="00BA1C87"/>
    <w:rsid w:val="00BA34E4"/>
    <w:rsid w:val="00BA765C"/>
    <w:rsid w:val="00BB0876"/>
    <w:rsid w:val="00BB1857"/>
    <w:rsid w:val="00BB68B7"/>
    <w:rsid w:val="00BC06FB"/>
    <w:rsid w:val="00BC30E7"/>
    <w:rsid w:val="00BC3E68"/>
    <w:rsid w:val="00BC414F"/>
    <w:rsid w:val="00BC4173"/>
    <w:rsid w:val="00BC79AE"/>
    <w:rsid w:val="00BD2270"/>
    <w:rsid w:val="00BD44AF"/>
    <w:rsid w:val="00BD5A18"/>
    <w:rsid w:val="00BD744C"/>
    <w:rsid w:val="00BD74DA"/>
    <w:rsid w:val="00BE031E"/>
    <w:rsid w:val="00BE751F"/>
    <w:rsid w:val="00BF0DEC"/>
    <w:rsid w:val="00C02C66"/>
    <w:rsid w:val="00C03DB9"/>
    <w:rsid w:val="00C04769"/>
    <w:rsid w:val="00C04A2D"/>
    <w:rsid w:val="00C04ACD"/>
    <w:rsid w:val="00C0563D"/>
    <w:rsid w:val="00C056A3"/>
    <w:rsid w:val="00C13F03"/>
    <w:rsid w:val="00C14FFA"/>
    <w:rsid w:val="00C1648C"/>
    <w:rsid w:val="00C16CC4"/>
    <w:rsid w:val="00C226CC"/>
    <w:rsid w:val="00C23CE7"/>
    <w:rsid w:val="00C25348"/>
    <w:rsid w:val="00C26FE0"/>
    <w:rsid w:val="00C34222"/>
    <w:rsid w:val="00C34763"/>
    <w:rsid w:val="00C36142"/>
    <w:rsid w:val="00C362B0"/>
    <w:rsid w:val="00C370CE"/>
    <w:rsid w:val="00C37F76"/>
    <w:rsid w:val="00C4391B"/>
    <w:rsid w:val="00C45B35"/>
    <w:rsid w:val="00C5065E"/>
    <w:rsid w:val="00C53B43"/>
    <w:rsid w:val="00C627AB"/>
    <w:rsid w:val="00C63B8E"/>
    <w:rsid w:val="00C65039"/>
    <w:rsid w:val="00C666C9"/>
    <w:rsid w:val="00C72CC9"/>
    <w:rsid w:val="00C735EF"/>
    <w:rsid w:val="00C80C9F"/>
    <w:rsid w:val="00C810A4"/>
    <w:rsid w:val="00C84906"/>
    <w:rsid w:val="00C9473E"/>
    <w:rsid w:val="00C95F86"/>
    <w:rsid w:val="00CA1200"/>
    <w:rsid w:val="00CA4146"/>
    <w:rsid w:val="00CA5379"/>
    <w:rsid w:val="00CB058D"/>
    <w:rsid w:val="00CB34E1"/>
    <w:rsid w:val="00CB4D9D"/>
    <w:rsid w:val="00CC0BEE"/>
    <w:rsid w:val="00CC1A9A"/>
    <w:rsid w:val="00CC5934"/>
    <w:rsid w:val="00CC7EF2"/>
    <w:rsid w:val="00CD1582"/>
    <w:rsid w:val="00CD28A4"/>
    <w:rsid w:val="00CD3112"/>
    <w:rsid w:val="00CD4126"/>
    <w:rsid w:val="00CD442F"/>
    <w:rsid w:val="00CD487D"/>
    <w:rsid w:val="00CD6A8F"/>
    <w:rsid w:val="00CD7D1B"/>
    <w:rsid w:val="00CF144F"/>
    <w:rsid w:val="00CF1A3F"/>
    <w:rsid w:val="00CF1B54"/>
    <w:rsid w:val="00CF23AF"/>
    <w:rsid w:val="00CF23F6"/>
    <w:rsid w:val="00CF4B19"/>
    <w:rsid w:val="00CF56A0"/>
    <w:rsid w:val="00CF5763"/>
    <w:rsid w:val="00D00924"/>
    <w:rsid w:val="00D02648"/>
    <w:rsid w:val="00D11636"/>
    <w:rsid w:val="00D138CD"/>
    <w:rsid w:val="00D14E51"/>
    <w:rsid w:val="00D21550"/>
    <w:rsid w:val="00D22839"/>
    <w:rsid w:val="00D26005"/>
    <w:rsid w:val="00D2684D"/>
    <w:rsid w:val="00D26AC0"/>
    <w:rsid w:val="00D3761F"/>
    <w:rsid w:val="00D41F95"/>
    <w:rsid w:val="00D441EA"/>
    <w:rsid w:val="00D44498"/>
    <w:rsid w:val="00D45A22"/>
    <w:rsid w:val="00D45C36"/>
    <w:rsid w:val="00D47C5A"/>
    <w:rsid w:val="00D50A83"/>
    <w:rsid w:val="00D50B75"/>
    <w:rsid w:val="00D6240E"/>
    <w:rsid w:val="00D66D1A"/>
    <w:rsid w:val="00D67855"/>
    <w:rsid w:val="00D7094D"/>
    <w:rsid w:val="00D75C64"/>
    <w:rsid w:val="00D77381"/>
    <w:rsid w:val="00D77754"/>
    <w:rsid w:val="00D80E7A"/>
    <w:rsid w:val="00D814EC"/>
    <w:rsid w:val="00D81985"/>
    <w:rsid w:val="00D859A2"/>
    <w:rsid w:val="00D906FC"/>
    <w:rsid w:val="00D90E1F"/>
    <w:rsid w:val="00D938DF"/>
    <w:rsid w:val="00D9693D"/>
    <w:rsid w:val="00DA15E7"/>
    <w:rsid w:val="00DA3D95"/>
    <w:rsid w:val="00DA6144"/>
    <w:rsid w:val="00DA6228"/>
    <w:rsid w:val="00DB4F88"/>
    <w:rsid w:val="00DC0322"/>
    <w:rsid w:val="00DC0C90"/>
    <w:rsid w:val="00DC2C68"/>
    <w:rsid w:val="00DC3B87"/>
    <w:rsid w:val="00DC42E2"/>
    <w:rsid w:val="00DC4E73"/>
    <w:rsid w:val="00DC6032"/>
    <w:rsid w:val="00DD3D48"/>
    <w:rsid w:val="00DE1821"/>
    <w:rsid w:val="00DE2DBB"/>
    <w:rsid w:val="00DE6ADF"/>
    <w:rsid w:val="00DE7AA6"/>
    <w:rsid w:val="00DF1267"/>
    <w:rsid w:val="00DF1613"/>
    <w:rsid w:val="00DF6E27"/>
    <w:rsid w:val="00DF7256"/>
    <w:rsid w:val="00E003C4"/>
    <w:rsid w:val="00E005EF"/>
    <w:rsid w:val="00E01760"/>
    <w:rsid w:val="00E031E9"/>
    <w:rsid w:val="00E036D0"/>
    <w:rsid w:val="00E04AAD"/>
    <w:rsid w:val="00E04D4C"/>
    <w:rsid w:val="00E0797A"/>
    <w:rsid w:val="00E10BC4"/>
    <w:rsid w:val="00E122C3"/>
    <w:rsid w:val="00E1314E"/>
    <w:rsid w:val="00E13C23"/>
    <w:rsid w:val="00E145DA"/>
    <w:rsid w:val="00E21BAF"/>
    <w:rsid w:val="00E21DDB"/>
    <w:rsid w:val="00E23192"/>
    <w:rsid w:val="00E266A0"/>
    <w:rsid w:val="00E2725F"/>
    <w:rsid w:val="00E277A8"/>
    <w:rsid w:val="00E33D86"/>
    <w:rsid w:val="00E343F5"/>
    <w:rsid w:val="00E37528"/>
    <w:rsid w:val="00E515F8"/>
    <w:rsid w:val="00E54BF2"/>
    <w:rsid w:val="00E56550"/>
    <w:rsid w:val="00E56DAD"/>
    <w:rsid w:val="00E61039"/>
    <w:rsid w:val="00E61401"/>
    <w:rsid w:val="00E614A3"/>
    <w:rsid w:val="00E631C5"/>
    <w:rsid w:val="00E726A2"/>
    <w:rsid w:val="00E72878"/>
    <w:rsid w:val="00E7376B"/>
    <w:rsid w:val="00E7437F"/>
    <w:rsid w:val="00E7458E"/>
    <w:rsid w:val="00E76418"/>
    <w:rsid w:val="00E84D6D"/>
    <w:rsid w:val="00E876AA"/>
    <w:rsid w:val="00E9012F"/>
    <w:rsid w:val="00E912D1"/>
    <w:rsid w:val="00E91C72"/>
    <w:rsid w:val="00E93AFA"/>
    <w:rsid w:val="00E9427E"/>
    <w:rsid w:val="00E95158"/>
    <w:rsid w:val="00E9640E"/>
    <w:rsid w:val="00E97712"/>
    <w:rsid w:val="00EB6094"/>
    <w:rsid w:val="00EB71D0"/>
    <w:rsid w:val="00EC0791"/>
    <w:rsid w:val="00EC3740"/>
    <w:rsid w:val="00EC390E"/>
    <w:rsid w:val="00EC65FA"/>
    <w:rsid w:val="00ED0796"/>
    <w:rsid w:val="00ED0921"/>
    <w:rsid w:val="00ED2724"/>
    <w:rsid w:val="00ED2EA7"/>
    <w:rsid w:val="00ED4A3E"/>
    <w:rsid w:val="00ED6E75"/>
    <w:rsid w:val="00EE109D"/>
    <w:rsid w:val="00EE27B8"/>
    <w:rsid w:val="00EE59A3"/>
    <w:rsid w:val="00EE5DE2"/>
    <w:rsid w:val="00EF1C26"/>
    <w:rsid w:val="00F00546"/>
    <w:rsid w:val="00F03A5C"/>
    <w:rsid w:val="00F046D3"/>
    <w:rsid w:val="00F0627D"/>
    <w:rsid w:val="00F10817"/>
    <w:rsid w:val="00F10F8D"/>
    <w:rsid w:val="00F11316"/>
    <w:rsid w:val="00F12DAD"/>
    <w:rsid w:val="00F132E8"/>
    <w:rsid w:val="00F143E2"/>
    <w:rsid w:val="00F14AF5"/>
    <w:rsid w:val="00F179A0"/>
    <w:rsid w:val="00F21C9E"/>
    <w:rsid w:val="00F22236"/>
    <w:rsid w:val="00F252C2"/>
    <w:rsid w:val="00F25E76"/>
    <w:rsid w:val="00F26FF1"/>
    <w:rsid w:val="00F317E2"/>
    <w:rsid w:val="00F32037"/>
    <w:rsid w:val="00F32B79"/>
    <w:rsid w:val="00F356CD"/>
    <w:rsid w:val="00F35AF2"/>
    <w:rsid w:val="00F44C9E"/>
    <w:rsid w:val="00F4746D"/>
    <w:rsid w:val="00F5170D"/>
    <w:rsid w:val="00F521F8"/>
    <w:rsid w:val="00F5577F"/>
    <w:rsid w:val="00F60D4A"/>
    <w:rsid w:val="00F660EC"/>
    <w:rsid w:val="00F706E3"/>
    <w:rsid w:val="00F71EF5"/>
    <w:rsid w:val="00F72E74"/>
    <w:rsid w:val="00F72EAF"/>
    <w:rsid w:val="00F74612"/>
    <w:rsid w:val="00F746DE"/>
    <w:rsid w:val="00F74726"/>
    <w:rsid w:val="00F75761"/>
    <w:rsid w:val="00F76BAB"/>
    <w:rsid w:val="00F77588"/>
    <w:rsid w:val="00F833B7"/>
    <w:rsid w:val="00F84131"/>
    <w:rsid w:val="00F862CB"/>
    <w:rsid w:val="00F927B2"/>
    <w:rsid w:val="00F955BB"/>
    <w:rsid w:val="00FA1545"/>
    <w:rsid w:val="00FA400A"/>
    <w:rsid w:val="00FA67F3"/>
    <w:rsid w:val="00FA6DDB"/>
    <w:rsid w:val="00FB0B79"/>
    <w:rsid w:val="00FB1459"/>
    <w:rsid w:val="00FB3DE2"/>
    <w:rsid w:val="00FB416B"/>
    <w:rsid w:val="00FB7E3E"/>
    <w:rsid w:val="00FC12C2"/>
    <w:rsid w:val="00FC239A"/>
    <w:rsid w:val="00FC2848"/>
    <w:rsid w:val="00FC44BA"/>
    <w:rsid w:val="00FC715C"/>
    <w:rsid w:val="00FD07B4"/>
    <w:rsid w:val="00FD2C9A"/>
    <w:rsid w:val="00FE124A"/>
    <w:rsid w:val="00FE27F9"/>
    <w:rsid w:val="00FE6FF5"/>
    <w:rsid w:val="00FF2927"/>
    <w:rsid w:val="00FF4AEF"/>
    <w:rsid w:val="00FF4EA5"/>
    <w:rsid w:val="00FF5F31"/>
    <w:rsid w:val="00FF6803"/>
    <w:rsid w:val="00FF79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BD5A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317E2"/>
    <w:rPr>
      <w:b/>
      <w:bCs/>
    </w:rPr>
  </w:style>
  <w:style w:type="paragraph" w:styleId="TOC4">
    <w:name w:val="toc 4"/>
    <w:basedOn w:val="Normal"/>
    <w:next w:val="Normal"/>
    <w:autoRedefine/>
    <w:uiPriority w:val="39"/>
    <w:unhideWhenUsed/>
    <w:rsid w:val="00E031E9"/>
    <w:pPr>
      <w:spacing w:after="100"/>
      <w:ind w:left="660"/>
    </w:pPr>
    <w:rPr>
      <w:rFonts w:eastAsiaTheme="minorEastAsia"/>
      <w:lang w:val="en-GB" w:eastAsia="en-GB"/>
    </w:rPr>
  </w:style>
  <w:style w:type="paragraph" w:styleId="TOC5">
    <w:name w:val="toc 5"/>
    <w:basedOn w:val="Normal"/>
    <w:next w:val="Normal"/>
    <w:autoRedefine/>
    <w:uiPriority w:val="39"/>
    <w:unhideWhenUsed/>
    <w:rsid w:val="00E031E9"/>
    <w:pPr>
      <w:spacing w:after="100"/>
      <w:ind w:left="880"/>
    </w:pPr>
    <w:rPr>
      <w:rFonts w:eastAsiaTheme="minorEastAsia"/>
      <w:lang w:val="en-GB" w:eastAsia="en-GB"/>
    </w:rPr>
  </w:style>
  <w:style w:type="paragraph" w:styleId="TOC6">
    <w:name w:val="toc 6"/>
    <w:basedOn w:val="Normal"/>
    <w:next w:val="Normal"/>
    <w:autoRedefine/>
    <w:uiPriority w:val="39"/>
    <w:unhideWhenUsed/>
    <w:rsid w:val="00E031E9"/>
    <w:pPr>
      <w:spacing w:after="100"/>
      <w:ind w:left="1100"/>
    </w:pPr>
    <w:rPr>
      <w:rFonts w:eastAsiaTheme="minorEastAsia"/>
      <w:lang w:val="en-GB" w:eastAsia="en-GB"/>
    </w:rPr>
  </w:style>
  <w:style w:type="paragraph" w:styleId="TOC7">
    <w:name w:val="toc 7"/>
    <w:basedOn w:val="Normal"/>
    <w:next w:val="Normal"/>
    <w:autoRedefine/>
    <w:uiPriority w:val="39"/>
    <w:unhideWhenUsed/>
    <w:rsid w:val="00E031E9"/>
    <w:pPr>
      <w:spacing w:after="100"/>
      <w:ind w:left="1320"/>
    </w:pPr>
    <w:rPr>
      <w:rFonts w:eastAsiaTheme="minorEastAsia"/>
      <w:lang w:val="en-GB" w:eastAsia="en-GB"/>
    </w:rPr>
  </w:style>
  <w:style w:type="paragraph" w:styleId="TOC8">
    <w:name w:val="toc 8"/>
    <w:basedOn w:val="Normal"/>
    <w:next w:val="Normal"/>
    <w:autoRedefine/>
    <w:uiPriority w:val="39"/>
    <w:unhideWhenUsed/>
    <w:rsid w:val="00E031E9"/>
    <w:pPr>
      <w:spacing w:after="100"/>
      <w:ind w:left="1540"/>
    </w:pPr>
    <w:rPr>
      <w:rFonts w:eastAsiaTheme="minorEastAsia"/>
      <w:lang w:val="en-GB" w:eastAsia="en-GB"/>
    </w:rPr>
  </w:style>
  <w:style w:type="paragraph" w:styleId="TOC9">
    <w:name w:val="toc 9"/>
    <w:basedOn w:val="Normal"/>
    <w:next w:val="Normal"/>
    <w:autoRedefine/>
    <w:uiPriority w:val="39"/>
    <w:unhideWhenUsed/>
    <w:rsid w:val="00E031E9"/>
    <w:pPr>
      <w:spacing w:after="100"/>
      <w:ind w:left="1760"/>
    </w:pPr>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35130">
      <w:bodyDiv w:val="1"/>
      <w:marLeft w:val="0"/>
      <w:marRight w:val="0"/>
      <w:marTop w:val="0"/>
      <w:marBottom w:val="0"/>
      <w:divBdr>
        <w:top w:val="none" w:sz="0" w:space="0" w:color="auto"/>
        <w:left w:val="none" w:sz="0" w:space="0" w:color="auto"/>
        <w:bottom w:val="none" w:sz="0" w:space="0" w:color="auto"/>
        <w:right w:val="none" w:sz="0" w:space="0" w:color="auto"/>
      </w:divBdr>
    </w:div>
    <w:div w:id="128909953">
      <w:bodyDiv w:val="1"/>
      <w:marLeft w:val="0"/>
      <w:marRight w:val="0"/>
      <w:marTop w:val="0"/>
      <w:marBottom w:val="0"/>
      <w:divBdr>
        <w:top w:val="none" w:sz="0" w:space="0" w:color="auto"/>
        <w:left w:val="none" w:sz="0" w:space="0" w:color="auto"/>
        <w:bottom w:val="none" w:sz="0" w:space="0" w:color="auto"/>
        <w:right w:val="none" w:sz="0" w:space="0" w:color="auto"/>
      </w:divBdr>
      <w:divsChild>
        <w:div w:id="46859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2766442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191694876">
      <w:bodyDiv w:val="1"/>
      <w:marLeft w:val="0"/>
      <w:marRight w:val="0"/>
      <w:marTop w:val="0"/>
      <w:marBottom w:val="0"/>
      <w:divBdr>
        <w:top w:val="none" w:sz="0" w:space="0" w:color="auto"/>
        <w:left w:val="none" w:sz="0" w:space="0" w:color="auto"/>
        <w:bottom w:val="none" w:sz="0" w:space="0" w:color="auto"/>
        <w:right w:val="none" w:sz="0" w:space="0" w:color="auto"/>
      </w:divBdr>
    </w:div>
    <w:div w:id="197083040">
      <w:bodyDiv w:val="1"/>
      <w:marLeft w:val="0"/>
      <w:marRight w:val="0"/>
      <w:marTop w:val="0"/>
      <w:marBottom w:val="0"/>
      <w:divBdr>
        <w:top w:val="none" w:sz="0" w:space="0" w:color="auto"/>
        <w:left w:val="none" w:sz="0" w:space="0" w:color="auto"/>
        <w:bottom w:val="none" w:sz="0" w:space="0" w:color="auto"/>
        <w:right w:val="none" w:sz="0" w:space="0" w:color="auto"/>
      </w:divBdr>
      <w:divsChild>
        <w:div w:id="1531335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4745424">
      <w:bodyDiv w:val="1"/>
      <w:marLeft w:val="0"/>
      <w:marRight w:val="0"/>
      <w:marTop w:val="0"/>
      <w:marBottom w:val="0"/>
      <w:divBdr>
        <w:top w:val="none" w:sz="0" w:space="0" w:color="auto"/>
        <w:left w:val="none" w:sz="0" w:space="0" w:color="auto"/>
        <w:bottom w:val="none" w:sz="0" w:space="0" w:color="auto"/>
        <w:right w:val="none" w:sz="0" w:space="0" w:color="auto"/>
      </w:divBdr>
    </w:div>
    <w:div w:id="317347653">
      <w:bodyDiv w:val="1"/>
      <w:marLeft w:val="0"/>
      <w:marRight w:val="0"/>
      <w:marTop w:val="0"/>
      <w:marBottom w:val="0"/>
      <w:divBdr>
        <w:top w:val="none" w:sz="0" w:space="0" w:color="auto"/>
        <w:left w:val="none" w:sz="0" w:space="0" w:color="auto"/>
        <w:bottom w:val="none" w:sz="0" w:space="0" w:color="auto"/>
        <w:right w:val="none" w:sz="0" w:space="0" w:color="auto"/>
      </w:divBdr>
      <w:divsChild>
        <w:div w:id="614825511">
          <w:blockQuote w:val="1"/>
          <w:marLeft w:val="720"/>
          <w:marRight w:val="720"/>
          <w:marTop w:val="100"/>
          <w:marBottom w:val="100"/>
          <w:divBdr>
            <w:top w:val="none" w:sz="0" w:space="0" w:color="auto"/>
            <w:left w:val="none" w:sz="0" w:space="0" w:color="auto"/>
            <w:bottom w:val="none" w:sz="0" w:space="0" w:color="auto"/>
            <w:right w:val="none" w:sz="0" w:space="0" w:color="auto"/>
          </w:divBdr>
        </w:div>
        <w:div w:id="921111541">
          <w:blockQuote w:val="1"/>
          <w:marLeft w:val="720"/>
          <w:marRight w:val="720"/>
          <w:marTop w:val="100"/>
          <w:marBottom w:val="100"/>
          <w:divBdr>
            <w:top w:val="none" w:sz="0" w:space="0" w:color="auto"/>
            <w:left w:val="none" w:sz="0" w:space="0" w:color="auto"/>
            <w:bottom w:val="none" w:sz="0" w:space="0" w:color="auto"/>
            <w:right w:val="none" w:sz="0" w:space="0" w:color="auto"/>
          </w:divBdr>
        </w:div>
        <w:div w:id="1578204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034387045">
          <w:blockQuote w:val="1"/>
          <w:marLeft w:val="720"/>
          <w:marRight w:val="720"/>
          <w:marTop w:val="100"/>
          <w:marBottom w:val="100"/>
          <w:divBdr>
            <w:top w:val="none" w:sz="0" w:space="0" w:color="auto"/>
            <w:left w:val="none" w:sz="0" w:space="0" w:color="auto"/>
            <w:bottom w:val="none" w:sz="0" w:space="0" w:color="auto"/>
            <w:right w:val="none" w:sz="0" w:space="0" w:color="auto"/>
          </w:divBdr>
        </w:div>
        <w:div w:id="234896864">
          <w:blockQuote w:val="1"/>
          <w:marLeft w:val="720"/>
          <w:marRight w:val="720"/>
          <w:marTop w:val="100"/>
          <w:marBottom w:val="100"/>
          <w:divBdr>
            <w:top w:val="none" w:sz="0" w:space="0" w:color="auto"/>
            <w:left w:val="none" w:sz="0" w:space="0" w:color="auto"/>
            <w:bottom w:val="none" w:sz="0" w:space="0" w:color="auto"/>
            <w:right w:val="none" w:sz="0" w:space="0" w:color="auto"/>
          </w:divBdr>
        </w:div>
        <w:div w:id="1479804426">
          <w:blockQuote w:val="1"/>
          <w:marLeft w:val="720"/>
          <w:marRight w:val="720"/>
          <w:marTop w:val="100"/>
          <w:marBottom w:val="100"/>
          <w:divBdr>
            <w:top w:val="none" w:sz="0" w:space="0" w:color="auto"/>
            <w:left w:val="none" w:sz="0" w:space="0" w:color="auto"/>
            <w:bottom w:val="none" w:sz="0" w:space="0" w:color="auto"/>
            <w:right w:val="none" w:sz="0" w:space="0" w:color="auto"/>
          </w:divBdr>
        </w:div>
        <w:div w:id="773018950">
          <w:blockQuote w:val="1"/>
          <w:marLeft w:val="720"/>
          <w:marRight w:val="720"/>
          <w:marTop w:val="100"/>
          <w:marBottom w:val="100"/>
          <w:divBdr>
            <w:top w:val="none" w:sz="0" w:space="0" w:color="auto"/>
            <w:left w:val="none" w:sz="0" w:space="0" w:color="auto"/>
            <w:bottom w:val="none" w:sz="0" w:space="0" w:color="auto"/>
            <w:right w:val="none" w:sz="0" w:space="0" w:color="auto"/>
          </w:divBdr>
        </w:div>
        <w:div w:id="1966740906">
          <w:blockQuote w:val="1"/>
          <w:marLeft w:val="720"/>
          <w:marRight w:val="720"/>
          <w:marTop w:val="100"/>
          <w:marBottom w:val="100"/>
          <w:divBdr>
            <w:top w:val="none" w:sz="0" w:space="0" w:color="auto"/>
            <w:left w:val="none" w:sz="0" w:space="0" w:color="auto"/>
            <w:bottom w:val="none" w:sz="0" w:space="0" w:color="auto"/>
            <w:right w:val="none" w:sz="0" w:space="0" w:color="auto"/>
          </w:divBdr>
        </w:div>
        <w:div w:id="170416396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3544115">
          <w:marLeft w:val="0"/>
          <w:marRight w:val="0"/>
          <w:marTop w:val="0"/>
          <w:marBottom w:val="0"/>
          <w:divBdr>
            <w:top w:val="none" w:sz="0" w:space="0" w:color="auto"/>
            <w:left w:val="none" w:sz="0" w:space="0" w:color="auto"/>
            <w:bottom w:val="none" w:sz="0" w:space="0" w:color="auto"/>
            <w:right w:val="none" w:sz="0" w:space="0" w:color="auto"/>
          </w:divBdr>
          <w:divsChild>
            <w:div w:id="133675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31384">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03920010">
      <w:bodyDiv w:val="1"/>
      <w:marLeft w:val="0"/>
      <w:marRight w:val="0"/>
      <w:marTop w:val="0"/>
      <w:marBottom w:val="0"/>
      <w:divBdr>
        <w:top w:val="none" w:sz="0" w:space="0" w:color="auto"/>
        <w:left w:val="none" w:sz="0" w:space="0" w:color="auto"/>
        <w:bottom w:val="none" w:sz="0" w:space="0" w:color="auto"/>
        <w:right w:val="none" w:sz="0" w:space="0" w:color="auto"/>
      </w:divBdr>
      <w:divsChild>
        <w:div w:id="269096131">
          <w:marLeft w:val="0"/>
          <w:marRight w:val="0"/>
          <w:marTop w:val="0"/>
          <w:marBottom w:val="0"/>
          <w:divBdr>
            <w:top w:val="none" w:sz="0" w:space="0" w:color="auto"/>
            <w:left w:val="none" w:sz="0" w:space="0" w:color="auto"/>
            <w:bottom w:val="none" w:sz="0" w:space="0" w:color="auto"/>
            <w:right w:val="none" w:sz="0" w:space="0" w:color="auto"/>
          </w:divBdr>
          <w:divsChild>
            <w:div w:id="51951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96008">
      <w:bodyDiv w:val="1"/>
      <w:marLeft w:val="0"/>
      <w:marRight w:val="0"/>
      <w:marTop w:val="0"/>
      <w:marBottom w:val="0"/>
      <w:divBdr>
        <w:top w:val="none" w:sz="0" w:space="0" w:color="auto"/>
        <w:left w:val="none" w:sz="0" w:space="0" w:color="auto"/>
        <w:bottom w:val="none" w:sz="0" w:space="0" w:color="auto"/>
        <w:right w:val="none" w:sz="0" w:space="0" w:color="auto"/>
      </w:divBdr>
    </w:div>
    <w:div w:id="537622449">
      <w:bodyDiv w:val="1"/>
      <w:marLeft w:val="0"/>
      <w:marRight w:val="0"/>
      <w:marTop w:val="0"/>
      <w:marBottom w:val="0"/>
      <w:divBdr>
        <w:top w:val="none" w:sz="0" w:space="0" w:color="auto"/>
        <w:left w:val="none" w:sz="0" w:space="0" w:color="auto"/>
        <w:bottom w:val="none" w:sz="0" w:space="0" w:color="auto"/>
        <w:right w:val="none" w:sz="0" w:space="0" w:color="auto"/>
      </w:divBdr>
      <w:divsChild>
        <w:div w:id="725374606">
          <w:marLeft w:val="0"/>
          <w:marRight w:val="0"/>
          <w:marTop w:val="0"/>
          <w:marBottom w:val="0"/>
          <w:divBdr>
            <w:top w:val="none" w:sz="0" w:space="0" w:color="auto"/>
            <w:left w:val="none" w:sz="0" w:space="0" w:color="auto"/>
            <w:bottom w:val="none" w:sz="0" w:space="0" w:color="auto"/>
            <w:right w:val="none" w:sz="0" w:space="0" w:color="auto"/>
          </w:divBdr>
          <w:divsChild>
            <w:div w:id="128512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543868">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705720507">
      <w:bodyDiv w:val="1"/>
      <w:marLeft w:val="0"/>
      <w:marRight w:val="0"/>
      <w:marTop w:val="0"/>
      <w:marBottom w:val="0"/>
      <w:divBdr>
        <w:top w:val="none" w:sz="0" w:space="0" w:color="auto"/>
        <w:left w:val="none" w:sz="0" w:space="0" w:color="auto"/>
        <w:bottom w:val="none" w:sz="0" w:space="0" w:color="auto"/>
        <w:right w:val="none" w:sz="0" w:space="0" w:color="auto"/>
      </w:divBdr>
    </w:div>
    <w:div w:id="731924125">
      <w:bodyDiv w:val="1"/>
      <w:marLeft w:val="0"/>
      <w:marRight w:val="0"/>
      <w:marTop w:val="0"/>
      <w:marBottom w:val="0"/>
      <w:divBdr>
        <w:top w:val="none" w:sz="0" w:space="0" w:color="auto"/>
        <w:left w:val="none" w:sz="0" w:space="0" w:color="auto"/>
        <w:bottom w:val="none" w:sz="0" w:space="0" w:color="auto"/>
        <w:right w:val="none" w:sz="0" w:space="0" w:color="auto"/>
      </w:divBdr>
    </w:div>
    <w:div w:id="778766738">
      <w:bodyDiv w:val="1"/>
      <w:marLeft w:val="0"/>
      <w:marRight w:val="0"/>
      <w:marTop w:val="0"/>
      <w:marBottom w:val="0"/>
      <w:divBdr>
        <w:top w:val="none" w:sz="0" w:space="0" w:color="auto"/>
        <w:left w:val="none" w:sz="0" w:space="0" w:color="auto"/>
        <w:bottom w:val="none" w:sz="0" w:space="0" w:color="auto"/>
        <w:right w:val="none" w:sz="0" w:space="0" w:color="auto"/>
      </w:divBdr>
      <w:divsChild>
        <w:div w:id="12574002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84030659">
          <w:blockQuote w:val="1"/>
          <w:marLeft w:val="720"/>
          <w:marRight w:val="720"/>
          <w:marTop w:val="100"/>
          <w:marBottom w:val="100"/>
          <w:divBdr>
            <w:top w:val="none" w:sz="0" w:space="0" w:color="auto"/>
            <w:left w:val="none" w:sz="0" w:space="0" w:color="auto"/>
            <w:bottom w:val="none" w:sz="0" w:space="0" w:color="auto"/>
            <w:right w:val="none" w:sz="0" w:space="0" w:color="auto"/>
          </w:divBdr>
        </w:div>
        <w:div w:id="29498171">
          <w:marLeft w:val="0"/>
          <w:marRight w:val="0"/>
          <w:marTop w:val="0"/>
          <w:marBottom w:val="0"/>
          <w:divBdr>
            <w:top w:val="none" w:sz="0" w:space="0" w:color="auto"/>
            <w:left w:val="none" w:sz="0" w:space="0" w:color="auto"/>
            <w:bottom w:val="none" w:sz="0" w:space="0" w:color="auto"/>
            <w:right w:val="none" w:sz="0" w:space="0" w:color="auto"/>
          </w:divBdr>
          <w:divsChild>
            <w:div w:id="407503762">
              <w:marLeft w:val="0"/>
              <w:marRight w:val="0"/>
              <w:marTop w:val="0"/>
              <w:marBottom w:val="0"/>
              <w:divBdr>
                <w:top w:val="none" w:sz="0" w:space="0" w:color="auto"/>
                <w:left w:val="none" w:sz="0" w:space="0" w:color="auto"/>
                <w:bottom w:val="none" w:sz="0" w:space="0" w:color="auto"/>
                <w:right w:val="none" w:sz="0" w:space="0" w:color="auto"/>
              </w:divBdr>
            </w:div>
          </w:divsChild>
        </w:div>
        <w:div w:id="76245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806512787">
          <w:blockQuote w:val="1"/>
          <w:marLeft w:val="720"/>
          <w:marRight w:val="720"/>
          <w:marTop w:val="100"/>
          <w:marBottom w:val="100"/>
          <w:divBdr>
            <w:top w:val="none" w:sz="0" w:space="0" w:color="auto"/>
            <w:left w:val="none" w:sz="0" w:space="0" w:color="auto"/>
            <w:bottom w:val="none" w:sz="0" w:space="0" w:color="auto"/>
            <w:right w:val="none" w:sz="0" w:space="0" w:color="auto"/>
          </w:divBdr>
        </w:div>
        <w:div w:id="436802074">
          <w:blockQuote w:val="1"/>
          <w:marLeft w:val="720"/>
          <w:marRight w:val="720"/>
          <w:marTop w:val="100"/>
          <w:marBottom w:val="100"/>
          <w:divBdr>
            <w:top w:val="none" w:sz="0" w:space="0" w:color="auto"/>
            <w:left w:val="none" w:sz="0" w:space="0" w:color="auto"/>
            <w:bottom w:val="none" w:sz="0" w:space="0" w:color="auto"/>
            <w:right w:val="none" w:sz="0" w:space="0" w:color="auto"/>
          </w:divBdr>
        </w:div>
        <w:div w:id="226763168">
          <w:blockQuote w:val="1"/>
          <w:marLeft w:val="720"/>
          <w:marRight w:val="720"/>
          <w:marTop w:val="100"/>
          <w:marBottom w:val="100"/>
          <w:divBdr>
            <w:top w:val="none" w:sz="0" w:space="0" w:color="auto"/>
            <w:left w:val="none" w:sz="0" w:space="0" w:color="auto"/>
            <w:bottom w:val="none" w:sz="0" w:space="0" w:color="auto"/>
            <w:right w:val="none" w:sz="0" w:space="0" w:color="auto"/>
          </w:divBdr>
        </w:div>
        <w:div w:id="250624151">
          <w:blockQuote w:val="1"/>
          <w:marLeft w:val="720"/>
          <w:marRight w:val="720"/>
          <w:marTop w:val="100"/>
          <w:marBottom w:val="100"/>
          <w:divBdr>
            <w:top w:val="none" w:sz="0" w:space="0" w:color="auto"/>
            <w:left w:val="none" w:sz="0" w:space="0" w:color="auto"/>
            <w:bottom w:val="none" w:sz="0" w:space="0" w:color="auto"/>
            <w:right w:val="none" w:sz="0" w:space="0" w:color="auto"/>
          </w:divBdr>
        </w:div>
        <w:div w:id="480267726">
          <w:blockQuote w:val="1"/>
          <w:marLeft w:val="720"/>
          <w:marRight w:val="720"/>
          <w:marTop w:val="100"/>
          <w:marBottom w:val="100"/>
          <w:divBdr>
            <w:top w:val="none" w:sz="0" w:space="0" w:color="auto"/>
            <w:left w:val="none" w:sz="0" w:space="0" w:color="auto"/>
            <w:bottom w:val="none" w:sz="0" w:space="0" w:color="auto"/>
            <w:right w:val="none" w:sz="0" w:space="0" w:color="auto"/>
          </w:divBdr>
        </w:div>
        <w:div w:id="401606748">
          <w:marLeft w:val="0"/>
          <w:marRight w:val="0"/>
          <w:marTop w:val="0"/>
          <w:marBottom w:val="0"/>
          <w:divBdr>
            <w:top w:val="none" w:sz="0" w:space="0" w:color="auto"/>
            <w:left w:val="none" w:sz="0" w:space="0" w:color="auto"/>
            <w:bottom w:val="none" w:sz="0" w:space="0" w:color="auto"/>
            <w:right w:val="none" w:sz="0" w:space="0" w:color="auto"/>
          </w:divBdr>
          <w:divsChild>
            <w:div w:id="901713731">
              <w:marLeft w:val="0"/>
              <w:marRight w:val="0"/>
              <w:marTop w:val="0"/>
              <w:marBottom w:val="0"/>
              <w:divBdr>
                <w:top w:val="none" w:sz="0" w:space="0" w:color="auto"/>
                <w:left w:val="none" w:sz="0" w:space="0" w:color="auto"/>
                <w:bottom w:val="none" w:sz="0" w:space="0" w:color="auto"/>
                <w:right w:val="none" w:sz="0" w:space="0" w:color="auto"/>
              </w:divBdr>
            </w:div>
          </w:divsChild>
        </w:div>
        <w:div w:id="111124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16728740">
      <w:bodyDiv w:val="1"/>
      <w:marLeft w:val="0"/>
      <w:marRight w:val="0"/>
      <w:marTop w:val="0"/>
      <w:marBottom w:val="0"/>
      <w:divBdr>
        <w:top w:val="none" w:sz="0" w:space="0" w:color="auto"/>
        <w:left w:val="none" w:sz="0" w:space="0" w:color="auto"/>
        <w:bottom w:val="none" w:sz="0" w:space="0" w:color="auto"/>
        <w:right w:val="none" w:sz="0" w:space="0" w:color="auto"/>
      </w:divBdr>
      <w:divsChild>
        <w:div w:id="494687593">
          <w:marLeft w:val="0"/>
          <w:marRight w:val="0"/>
          <w:marTop w:val="0"/>
          <w:marBottom w:val="0"/>
          <w:divBdr>
            <w:top w:val="none" w:sz="0" w:space="0" w:color="auto"/>
            <w:left w:val="none" w:sz="0" w:space="0" w:color="auto"/>
            <w:bottom w:val="none" w:sz="0" w:space="0" w:color="auto"/>
            <w:right w:val="none" w:sz="0" w:space="0" w:color="auto"/>
          </w:divBdr>
          <w:divsChild>
            <w:div w:id="1698697611">
              <w:marLeft w:val="0"/>
              <w:marRight w:val="0"/>
              <w:marTop w:val="0"/>
              <w:marBottom w:val="0"/>
              <w:divBdr>
                <w:top w:val="none" w:sz="0" w:space="0" w:color="auto"/>
                <w:left w:val="none" w:sz="0" w:space="0" w:color="auto"/>
                <w:bottom w:val="none" w:sz="0" w:space="0" w:color="auto"/>
                <w:right w:val="none" w:sz="0" w:space="0" w:color="auto"/>
              </w:divBdr>
            </w:div>
          </w:divsChild>
        </w:div>
        <w:div w:id="1729498311">
          <w:marLeft w:val="0"/>
          <w:marRight w:val="0"/>
          <w:marTop w:val="0"/>
          <w:marBottom w:val="0"/>
          <w:divBdr>
            <w:top w:val="none" w:sz="0" w:space="0" w:color="auto"/>
            <w:left w:val="none" w:sz="0" w:space="0" w:color="auto"/>
            <w:bottom w:val="none" w:sz="0" w:space="0" w:color="auto"/>
            <w:right w:val="none" w:sz="0" w:space="0" w:color="auto"/>
          </w:divBdr>
          <w:divsChild>
            <w:div w:id="54849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843846">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1119297511">
      <w:bodyDiv w:val="1"/>
      <w:marLeft w:val="0"/>
      <w:marRight w:val="0"/>
      <w:marTop w:val="0"/>
      <w:marBottom w:val="0"/>
      <w:divBdr>
        <w:top w:val="none" w:sz="0" w:space="0" w:color="auto"/>
        <w:left w:val="none" w:sz="0" w:space="0" w:color="auto"/>
        <w:bottom w:val="none" w:sz="0" w:space="0" w:color="auto"/>
        <w:right w:val="none" w:sz="0" w:space="0" w:color="auto"/>
      </w:divBdr>
    </w:div>
    <w:div w:id="1183588494">
      <w:bodyDiv w:val="1"/>
      <w:marLeft w:val="0"/>
      <w:marRight w:val="0"/>
      <w:marTop w:val="0"/>
      <w:marBottom w:val="0"/>
      <w:divBdr>
        <w:top w:val="none" w:sz="0" w:space="0" w:color="auto"/>
        <w:left w:val="none" w:sz="0" w:space="0" w:color="auto"/>
        <w:bottom w:val="none" w:sz="0" w:space="0" w:color="auto"/>
        <w:right w:val="none" w:sz="0" w:space="0" w:color="auto"/>
      </w:divBdr>
    </w:div>
    <w:div w:id="1260600363">
      <w:bodyDiv w:val="1"/>
      <w:marLeft w:val="0"/>
      <w:marRight w:val="0"/>
      <w:marTop w:val="0"/>
      <w:marBottom w:val="0"/>
      <w:divBdr>
        <w:top w:val="none" w:sz="0" w:space="0" w:color="auto"/>
        <w:left w:val="none" w:sz="0" w:space="0" w:color="auto"/>
        <w:bottom w:val="none" w:sz="0" w:space="0" w:color="auto"/>
        <w:right w:val="none" w:sz="0" w:space="0" w:color="auto"/>
      </w:divBdr>
      <w:divsChild>
        <w:div w:id="640621658">
          <w:marLeft w:val="0"/>
          <w:marRight w:val="0"/>
          <w:marTop w:val="0"/>
          <w:marBottom w:val="0"/>
          <w:divBdr>
            <w:top w:val="none" w:sz="0" w:space="0" w:color="auto"/>
            <w:left w:val="none" w:sz="0" w:space="0" w:color="auto"/>
            <w:bottom w:val="none" w:sz="0" w:space="0" w:color="auto"/>
            <w:right w:val="none" w:sz="0" w:space="0" w:color="auto"/>
          </w:divBdr>
          <w:divsChild>
            <w:div w:id="170983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06534479">
      <w:bodyDiv w:val="1"/>
      <w:marLeft w:val="0"/>
      <w:marRight w:val="0"/>
      <w:marTop w:val="0"/>
      <w:marBottom w:val="0"/>
      <w:divBdr>
        <w:top w:val="none" w:sz="0" w:space="0" w:color="auto"/>
        <w:left w:val="none" w:sz="0" w:space="0" w:color="auto"/>
        <w:bottom w:val="none" w:sz="0" w:space="0" w:color="auto"/>
        <w:right w:val="none" w:sz="0" w:space="0" w:color="auto"/>
      </w:divBdr>
      <w:divsChild>
        <w:div w:id="349718632">
          <w:marLeft w:val="0"/>
          <w:marRight w:val="0"/>
          <w:marTop w:val="0"/>
          <w:marBottom w:val="0"/>
          <w:divBdr>
            <w:top w:val="none" w:sz="0" w:space="0" w:color="auto"/>
            <w:left w:val="none" w:sz="0" w:space="0" w:color="auto"/>
            <w:bottom w:val="none" w:sz="0" w:space="0" w:color="auto"/>
            <w:right w:val="none" w:sz="0" w:space="0" w:color="auto"/>
          </w:divBdr>
          <w:divsChild>
            <w:div w:id="408770203">
              <w:marLeft w:val="0"/>
              <w:marRight w:val="0"/>
              <w:marTop w:val="0"/>
              <w:marBottom w:val="0"/>
              <w:divBdr>
                <w:top w:val="none" w:sz="0" w:space="0" w:color="auto"/>
                <w:left w:val="none" w:sz="0" w:space="0" w:color="auto"/>
                <w:bottom w:val="none" w:sz="0" w:space="0" w:color="auto"/>
                <w:right w:val="none" w:sz="0" w:space="0" w:color="auto"/>
              </w:divBdr>
              <w:divsChild>
                <w:div w:id="1100250094">
                  <w:marLeft w:val="0"/>
                  <w:marRight w:val="0"/>
                  <w:marTop w:val="0"/>
                  <w:marBottom w:val="0"/>
                  <w:divBdr>
                    <w:top w:val="none" w:sz="0" w:space="0" w:color="auto"/>
                    <w:left w:val="none" w:sz="0" w:space="0" w:color="auto"/>
                    <w:bottom w:val="none" w:sz="0" w:space="0" w:color="auto"/>
                    <w:right w:val="none" w:sz="0" w:space="0" w:color="auto"/>
                  </w:divBdr>
                  <w:divsChild>
                    <w:div w:id="1714578050">
                      <w:marLeft w:val="0"/>
                      <w:marRight w:val="0"/>
                      <w:marTop w:val="0"/>
                      <w:marBottom w:val="0"/>
                      <w:divBdr>
                        <w:top w:val="none" w:sz="0" w:space="0" w:color="auto"/>
                        <w:left w:val="none" w:sz="0" w:space="0" w:color="auto"/>
                        <w:bottom w:val="none" w:sz="0" w:space="0" w:color="auto"/>
                        <w:right w:val="none" w:sz="0" w:space="0" w:color="auto"/>
                      </w:divBdr>
                      <w:divsChild>
                        <w:div w:id="92170393">
                          <w:marLeft w:val="0"/>
                          <w:marRight w:val="0"/>
                          <w:marTop w:val="0"/>
                          <w:marBottom w:val="0"/>
                          <w:divBdr>
                            <w:top w:val="none" w:sz="0" w:space="0" w:color="auto"/>
                            <w:left w:val="none" w:sz="0" w:space="0" w:color="auto"/>
                            <w:bottom w:val="none" w:sz="0" w:space="0" w:color="auto"/>
                            <w:right w:val="none" w:sz="0" w:space="0" w:color="auto"/>
                          </w:divBdr>
                          <w:divsChild>
                            <w:div w:id="1868324200">
                              <w:marLeft w:val="0"/>
                              <w:marRight w:val="0"/>
                              <w:marTop w:val="0"/>
                              <w:marBottom w:val="0"/>
                              <w:divBdr>
                                <w:top w:val="none" w:sz="0" w:space="0" w:color="auto"/>
                                <w:left w:val="none" w:sz="0" w:space="0" w:color="auto"/>
                                <w:bottom w:val="none" w:sz="0" w:space="0" w:color="auto"/>
                                <w:right w:val="none" w:sz="0" w:space="0" w:color="auto"/>
                              </w:divBdr>
                              <w:divsChild>
                                <w:div w:id="24138377">
                                  <w:marLeft w:val="0"/>
                                  <w:marRight w:val="0"/>
                                  <w:marTop w:val="0"/>
                                  <w:marBottom w:val="0"/>
                                  <w:divBdr>
                                    <w:top w:val="none" w:sz="0" w:space="0" w:color="auto"/>
                                    <w:left w:val="none" w:sz="0" w:space="0" w:color="auto"/>
                                    <w:bottom w:val="none" w:sz="0" w:space="0" w:color="auto"/>
                                    <w:right w:val="none" w:sz="0" w:space="0" w:color="auto"/>
                                  </w:divBdr>
                                  <w:divsChild>
                                    <w:div w:id="1648170929">
                                      <w:marLeft w:val="0"/>
                                      <w:marRight w:val="0"/>
                                      <w:marTop w:val="0"/>
                                      <w:marBottom w:val="0"/>
                                      <w:divBdr>
                                        <w:top w:val="none" w:sz="0" w:space="0" w:color="auto"/>
                                        <w:left w:val="none" w:sz="0" w:space="0" w:color="auto"/>
                                        <w:bottom w:val="none" w:sz="0" w:space="0" w:color="auto"/>
                                        <w:right w:val="none" w:sz="0" w:space="0" w:color="auto"/>
                                      </w:divBdr>
                                      <w:divsChild>
                                        <w:div w:id="477650516">
                                          <w:marLeft w:val="0"/>
                                          <w:marRight w:val="0"/>
                                          <w:marTop w:val="0"/>
                                          <w:marBottom w:val="0"/>
                                          <w:divBdr>
                                            <w:top w:val="none" w:sz="0" w:space="0" w:color="auto"/>
                                            <w:left w:val="none" w:sz="0" w:space="0" w:color="auto"/>
                                            <w:bottom w:val="none" w:sz="0" w:space="0" w:color="auto"/>
                                            <w:right w:val="none" w:sz="0" w:space="0" w:color="auto"/>
                                          </w:divBdr>
                                          <w:divsChild>
                                            <w:div w:id="2131972516">
                                              <w:marLeft w:val="0"/>
                                              <w:marRight w:val="0"/>
                                              <w:marTop w:val="0"/>
                                              <w:marBottom w:val="0"/>
                                              <w:divBdr>
                                                <w:top w:val="none" w:sz="0" w:space="0" w:color="auto"/>
                                                <w:left w:val="none" w:sz="0" w:space="0" w:color="auto"/>
                                                <w:bottom w:val="none" w:sz="0" w:space="0" w:color="auto"/>
                                                <w:right w:val="none" w:sz="0" w:space="0" w:color="auto"/>
                                              </w:divBdr>
                                              <w:divsChild>
                                                <w:div w:id="517348974">
                                                  <w:marLeft w:val="0"/>
                                                  <w:marRight w:val="0"/>
                                                  <w:marTop w:val="0"/>
                                                  <w:marBottom w:val="0"/>
                                                  <w:divBdr>
                                                    <w:top w:val="none" w:sz="0" w:space="0" w:color="auto"/>
                                                    <w:left w:val="none" w:sz="0" w:space="0" w:color="auto"/>
                                                    <w:bottom w:val="none" w:sz="0" w:space="0" w:color="auto"/>
                                                    <w:right w:val="none" w:sz="0" w:space="0" w:color="auto"/>
                                                  </w:divBdr>
                                                  <w:divsChild>
                                                    <w:div w:id="269777059">
                                                      <w:marLeft w:val="0"/>
                                                      <w:marRight w:val="0"/>
                                                      <w:marTop w:val="0"/>
                                                      <w:marBottom w:val="0"/>
                                                      <w:divBdr>
                                                        <w:top w:val="none" w:sz="0" w:space="0" w:color="auto"/>
                                                        <w:left w:val="none" w:sz="0" w:space="0" w:color="auto"/>
                                                        <w:bottom w:val="none" w:sz="0" w:space="0" w:color="auto"/>
                                                        <w:right w:val="none" w:sz="0" w:space="0" w:color="auto"/>
                                                      </w:divBdr>
                                                      <w:divsChild>
                                                        <w:div w:id="202979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0884391">
      <w:bodyDiv w:val="1"/>
      <w:marLeft w:val="0"/>
      <w:marRight w:val="0"/>
      <w:marTop w:val="0"/>
      <w:marBottom w:val="0"/>
      <w:divBdr>
        <w:top w:val="none" w:sz="0" w:space="0" w:color="auto"/>
        <w:left w:val="none" w:sz="0" w:space="0" w:color="auto"/>
        <w:bottom w:val="none" w:sz="0" w:space="0" w:color="auto"/>
        <w:right w:val="none" w:sz="0" w:space="0" w:color="auto"/>
      </w:divBdr>
    </w:div>
    <w:div w:id="1424187494">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630356818">
      <w:bodyDiv w:val="1"/>
      <w:marLeft w:val="0"/>
      <w:marRight w:val="0"/>
      <w:marTop w:val="0"/>
      <w:marBottom w:val="0"/>
      <w:divBdr>
        <w:top w:val="none" w:sz="0" w:space="0" w:color="auto"/>
        <w:left w:val="none" w:sz="0" w:space="0" w:color="auto"/>
        <w:bottom w:val="none" w:sz="0" w:space="0" w:color="auto"/>
        <w:right w:val="none" w:sz="0" w:space="0" w:color="auto"/>
      </w:divBdr>
    </w:div>
    <w:div w:id="1730153345">
      <w:bodyDiv w:val="1"/>
      <w:marLeft w:val="0"/>
      <w:marRight w:val="0"/>
      <w:marTop w:val="0"/>
      <w:marBottom w:val="0"/>
      <w:divBdr>
        <w:top w:val="none" w:sz="0" w:space="0" w:color="auto"/>
        <w:left w:val="none" w:sz="0" w:space="0" w:color="auto"/>
        <w:bottom w:val="none" w:sz="0" w:space="0" w:color="auto"/>
        <w:right w:val="none" w:sz="0" w:space="0" w:color="auto"/>
      </w:divBdr>
    </w:div>
    <w:div w:id="1766924918">
      <w:bodyDiv w:val="1"/>
      <w:marLeft w:val="0"/>
      <w:marRight w:val="0"/>
      <w:marTop w:val="0"/>
      <w:marBottom w:val="0"/>
      <w:divBdr>
        <w:top w:val="none" w:sz="0" w:space="0" w:color="auto"/>
        <w:left w:val="none" w:sz="0" w:space="0" w:color="auto"/>
        <w:bottom w:val="none" w:sz="0" w:space="0" w:color="auto"/>
        <w:right w:val="none" w:sz="0" w:space="0" w:color="auto"/>
      </w:divBdr>
    </w:div>
    <w:div w:id="1771658797">
      <w:bodyDiv w:val="1"/>
      <w:marLeft w:val="0"/>
      <w:marRight w:val="0"/>
      <w:marTop w:val="0"/>
      <w:marBottom w:val="0"/>
      <w:divBdr>
        <w:top w:val="none" w:sz="0" w:space="0" w:color="auto"/>
        <w:left w:val="none" w:sz="0" w:space="0" w:color="auto"/>
        <w:bottom w:val="none" w:sz="0" w:space="0" w:color="auto"/>
        <w:right w:val="none" w:sz="0" w:space="0" w:color="auto"/>
      </w:divBdr>
    </w:div>
    <w:div w:id="1815097183">
      <w:bodyDiv w:val="1"/>
      <w:marLeft w:val="0"/>
      <w:marRight w:val="0"/>
      <w:marTop w:val="0"/>
      <w:marBottom w:val="0"/>
      <w:divBdr>
        <w:top w:val="none" w:sz="0" w:space="0" w:color="auto"/>
        <w:left w:val="none" w:sz="0" w:space="0" w:color="auto"/>
        <w:bottom w:val="none" w:sz="0" w:space="0" w:color="auto"/>
        <w:right w:val="none" w:sz="0" w:space="0" w:color="auto"/>
      </w:divBdr>
    </w:div>
    <w:div w:id="1850175677">
      <w:bodyDiv w:val="1"/>
      <w:marLeft w:val="0"/>
      <w:marRight w:val="0"/>
      <w:marTop w:val="0"/>
      <w:marBottom w:val="0"/>
      <w:divBdr>
        <w:top w:val="none" w:sz="0" w:space="0" w:color="auto"/>
        <w:left w:val="none" w:sz="0" w:space="0" w:color="auto"/>
        <w:bottom w:val="none" w:sz="0" w:space="0" w:color="auto"/>
        <w:right w:val="none" w:sz="0" w:space="0" w:color="auto"/>
      </w:divBdr>
    </w:div>
    <w:div w:id="185194703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635286">
      <w:bodyDiv w:val="1"/>
      <w:marLeft w:val="0"/>
      <w:marRight w:val="0"/>
      <w:marTop w:val="0"/>
      <w:marBottom w:val="0"/>
      <w:divBdr>
        <w:top w:val="none" w:sz="0" w:space="0" w:color="auto"/>
        <w:left w:val="none" w:sz="0" w:space="0" w:color="auto"/>
        <w:bottom w:val="none" w:sz="0" w:space="0" w:color="auto"/>
        <w:right w:val="none" w:sz="0" w:space="0" w:color="auto"/>
      </w:divBdr>
      <w:divsChild>
        <w:div w:id="1759013288">
          <w:blockQuote w:val="1"/>
          <w:marLeft w:val="720"/>
          <w:marRight w:val="720"/>
          <w:marTop w:val="100"/>
          <w:marBottom w:val="100"/>
          <w:divBdr>
            <w:top w:val="none" w:sz="0" w:space="0" w:color="auto"/>
            <w:left w:val="none" w:sz="0" w:space="0" w:color="auto"/>
            <w:bottom w:val="none" w:sz="0" w:space="0" w:color="auto"/>
            <w:right w:val="none" w:sz="0" w:space="0" w:color="auto"/>
          </w:divBdr>
        </w:div>
        <w:div w:id="304437421">
          <w:marLeft w:val="0"/>
          <w:marRight w:val="0"/>
          <w:marTop w:val="0"/>
          <w:marBottom w:val="0"/>
          <w:divBdr>
            <w:top w:val="none" w:sz="0" w:space="0" w:color="auto"/>
            <w:left w:val="none" w:sz="0" w:space="0" w:color="auto"/>
            <w:bottom w:val="none" w:sz="0" w:space="0" w:color="auto"/>
            <w:right w:val="none" w:sz="0" w:space="0" w:color="auto"/>
          </w:divBdr>
          <w:divsChild>
            <w:div w:id="1065375077">
              <w:marLeft w:val="0"/>
              <w:marRight w:val="0"/>
              <w:marTop w:val="0"/>
              <w:marBottom w:val="0"/>
              <w:divBdr>
                <w:top w:val="none" w:sz="0" w:space="0" w:color="auto"/>
                <w:left w:val="none" w:sz="0" w:space="0" w:color="auto"/>
                <w:bottom w:val="none" w:sz="0" w:space="0" w:color="auto"/>
                <w:right w:val="none" w:sz="0" w:space="0" w:color="auto"/>
              </w:divBdr>
            </w:div>
          </w:divsChild>
        </w:div>
        <w:div w:id="190729848">
          <w:blockQuote w:val="1"/>
          <w:marLeft w:val="720"/>
          <w:marRight w:val="720"/>
          <w:marTop w:val="100"/>
          <w:marBottom w:val="100"/>
          <w:divBdr>
            <w:top w:val="none" w:sz="0" w:space="0" w:color="auto"/>
            <w:left w:val="none" w:sz="0" w:space="0" w:color="auto"/>
            <w:bottom w:val="none" w:sz="0" w:space="0" w:color="auto"/>
            <w:right w:val="none" w:sz="0" w:space="0" w:color="auto"/>
          </w:divBdr>
        </w:div>
        <w:div w:id="2051101315">
          <w:blockQuote w:val="1"/>
          <w:marLeft w:val="720"/>
          <w:marRight w:val="720"/>
          <w:marTop w:val="100"/>
          <w:marBottom w:val="100"/>
          <w:divBdr>
            <w:top w:val="none" w:sz="0" w:space="0" w:color="auto"/>
            <w:left w:val="none" w:sz="0" w:space="0" w:color="auto"/>
            <w:bottom w:val="none" w:sz="0" w:space="0" w:color="auto"/>
            <w:right w:val="none" w:sz="0" w:space="0" w:color="auto"/>
          </w:divBdr>
        </w:div>
        <w:div w:id="330183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606569546">
          <w:marLeft w:val="0"/>
          <w:marRight w:val="0"/>
          <w:marTop w:val="0"/>
          <w:marBottom w:val="0"/>
          <w:divBdr>
            <w:top w:val="none" w:sz="0" w:space="0" w:color="auto"/>
            <w:left w:val="none" w:sz="0" w:space="0" w:color="auto"/>
            <w:bottom w:val="none" w:sz="0" w:space="0" w:color="auto"/>
            <w:right w:val="none" w:sz="0" w:space="0" w:color="auto"/>
          </w:divBdr>
          <w:divsChild>
            <w:div w:id="1327825469">
              <w:marLeft w:val="0"/>
              <w:marRight w:val="0"/>
              <w:marTop w:val="0"/>
              <w:marBottom w:val="0"/>
              <w:divBdr>
                <w:top w:val="none" w:sz="0" w:space="0" w:color="auto"/>
                <w:left w:val="none" w:sz="0" w:space="0" w:color="auto"/>
                <w:bottom w:val="none" w:sz="0" w:space="0" w:color="auto"/>
                <w:right w:val="none" w:sz="0" w:space="0" w:color="auto"/>
              </w:divBdr>
            </w:div>
          </w:divsChild>
        </w:div>
        <w:div w:id="134690498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3659354">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18553">
          <w:marLeft w:val="0"/>
          <w:marRight w:val="0"/>
          <w:marTop w:val="0"/>
          <w:marBottom w:val="0"/>
          <w:divBdr>
            <w:top w:val="none" w:sz="0" w:space="0" w:color="auto"/>
            <w:left w:val="none" w:sz="0" w:space="0" w:color="auto"/>
            <w:bottom w:val="none" w:sz="0" w:space="0" w:color="auto"/>
            <w:right w:val="none" w:sz="0" w:space="0" w:color="auto"/>
          </w:divBdr>
          <w:divsChild>
            <w:div w:id="2078089208">
              <w:marLeft w:val="0"/>
              <w:marRight w:val="0"/>
              <w:marTop w:val="0"/>
              <w:marBottom w:val="0"/>
              <w:divBdr>
                <w:top w:val="none" w:sz="0" w:space="0" w:color="auto"/>
                <w:left w:val="none" w:sz="0" w:space="0" w:color="auto"/>
                <w:bottom w:val="none" w:sz="0" w:space="0" w:color="auto"/>
                <w:right w:val="none" w:sz="0" w:space="0" w:color="auto"/>
              </w:divBdr>
            </w:div>
          </w:divsChild>
        </w:div>
        <w:div w:id="1125076560">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2443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5330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general-food-law/general-food-law?utm_source=chatgpt.com" TargetMode="External"/><Relationship Id="rId21" Type="http://schemas.openxmlformats.org/officeDocument/2006/relationships/hyperlink" Target="https://www.gov.uk/government/statistics/business-population-estimates-2025/business-population-estimates-for-the-uk-and-regions-2025-statistical-release?utm_source=chatgpt.com" TargetMode="External"/><Relationship Id="rId42" Type="http://schemas.openxmlformats.org/officeDocument/2006/relationships/hyperlink" Target="https://www.mckinsey.com/capabilities/growth-marketing-and-sales/our-insights?utm_source=chatgpt.com" TargetMode="External"/><Relationship Id="rId47" Type="http://schemas.openxmlformats.org/officeDocument/2006/relationships/hyperlink" Target="https://www.hup.harvard.edu/?utm_source=chatgpt.com" TargetMode="External"/><Relationship Id="rId63" Type="http://schemas.openxmlformats.org/officeDocument/2006/relationships/hyperlink" Target="https://www.gov.uk/government/publications/data-subject-rights/data-subject-rights?utm_source=chatgpt.com" TargetMode="External"/><Relationship Id="rId68" Type="http://schemas.openxmlformats.org/officeDocument/2006/relationships/hyperlink" Target="https://www.ons.gov.uk/businessindustryandtrade/retailindustry?utm_source=chatgpt.com" TargetMode="External"/><Relationship Id="rId84" Type="http://schemas.openxmlformats.org/officeDocument/2006/relationships/hyperlink" Target="https://www.iso.org/iso-45001-occupational-health-and-safety.html?utm_source=chatgpt.com" TargetMode="External"/><Relationship Id="rId89" Type="http://schemas.openxmlformats.org/officeDocument/2006/relationships/hyperlink" Target="https://doi.org/10.1002/j.2158-1592.2001.tb00001.x?utm_source=chatgpt.com" TargetMode="External"/><Relationship Id="rId7" Type="http://schemas.openxmlformats.org/officeDocument/2006/relationships/endnotes" Target="endnotes.xml"/><Relationship Id="rId71" Type="http://schemas.openxmlformats.org/officeDocument/2006/relationships/hyperlink" Target="https://www.gov.uk/marketing-advertising-law?utm_source=chatgpt.com" TargetMode="External"/><Relationship Id="rId92" Type="http://schemas.openxmlformats.org/officeDocument/2006/relationships/hyperlink" Target="https://link.springer.com/?utm_source=chatgpt.com" TargetMode="External"/><Relationship Id="rId2" Type="http://schemas.openxmlformats.org/officeDocument/2006/relationships/numbering" Target="numbering.xml"/><Relationship Id="rId16" Type="http://schemas.openxmlformats.org/officeDocument/2006/relationships/hyperlink" Target="https://doi.org/10.1007/s40547-020-00112-7?utm_source=chatgpt.com" TargetMode="External"/><Relationship Id="rId29" Type="http://schemas.openxmlformats.org/officeDocument/2006/relationships/hyperlink" Target="https://www.routledge.com/?utm_source=chatgpt.com" TargetMode="External"/><Relationship Id="rId11" Type="http://schemas.openxmlformats.org/officeDocument/2006/relationships/footer" Target="footer1.xml"/><Relationship Id="rId24" Type="http://schemas.openxmlformats.org/officeDocument/2006/relationships/hyperlink" Target="https://www.mheducation.com/?utm_source=chatgpt.com" TargetMode="External"/><Relationship Id="rId32" Type="http://schemas.openxmlformats.org/officeDocument/2006/relationships/hyperlink" Target="https://www.cengage.com/?utm_source=chatgpt.com" TargetMode="External"/><Relationship Id="rId37" Type="http://schemas.openxmlformats.org/officeDocument/2006/relationships/hyperlink" Target="https://www.pearson.com/?utm_source=chatgpt.com" TargetMode="External"/><Relationship Id="rId40" Type="http://schemas.openxmlformats.org/officeDocument/2006/relationships/hyperlink" Target="https://doi.org/10.1002/sej.1373?utm_source=chatgpt.com" TargetMode="External"/><Relationship Id="rId45" Type="http://schemas.openxmlformats.org/officeDocument/2006/relationships/hyperlink" Target="https://hbr.org/1990/05/the-core-competence-of-the-corporation?utm_source=chatgpt.com" TargetMode="External"/><Relationship Id="rId53" Type="http://schemas.openxmlformats.org/officeDocument/2006/relationships/hyperlink" Target="https://doi.org/10.1002/smj.4250050207?utm_source=chatgpt.com" TargetMode="External"/><Relationship Id="rId58" Type="http://schemas.openxmlformats.org/officeDocument/2006/relationships/hyperlink" Target="https://www.cipd.org/uk/knowledge/?utm_source=chatgpt.com" TargetMode="External"/><Relationship Id="rId66" Type="http://schemas.openxmlformats.org/officeDocument/2006/relationships/hyperlink" Target="https://www.ons.gov.uk/employmentandlabourmarket/peopleinwork/employmentandemployeetypes?utm_source=chatgpt.com" TargetMode="External"/><Relationship Id="rId74" Type="http://schemas.openxmlformats.org/officeDocument/2006/relationships/hyperlink" Target="https://www.gov.uk/government/organisations/companies-house?utm_source=chatgpt.com" TargetMode="External"/><Relationship Id="rId79" Type="http://schemas.openxmlformats.org/officeDocument/2006/relationships/hyperlink" Target="https://www.gov.uk/employers-liability-insurance?utm_source=chatgpt.com" TargetMode="External"/><Relationship Id="rId87" Type="http://schemas.openxmlformats.org/officeDocument/2006/relationships/hyperlink" Target="https://doi.org/10.1080/00207543.2020.1750727?utm_source=chatgpt.com" TargetMode="External"/><Relationship Id="rId102" Type="http://schemas.openxmlformats.org/officeDocument/2006/relationships/hyperlink" Target="https://doi.org/10.1142/S1363919622500384?utm_source=chatgpt.com" TargetMode="External"/><Relationship Id="rId5" Type="http://schemas.openxmlformats.org/officeDocument/2006/relationships/webSettings" Target="webSettings.xml"/><Relationship Id="rId61" Type="http://schemas.openxmlformats.org/officeDocument/2006/relationships/hyperlink" Target="https://www.gov.uk/set-up-business?utm_source=chatgpt.com" TargetMode="External"/><Relationship Id="rId82" Type="http://schemas.openxmlformats.org/officeDocument/2006/relationships/hyperlink" Target="https://www.iso.org/standard/62085.html?utm_source=chatgpt.com" TargetMode="External"/><Relationship Id="rId90" Type="http://schemas.openxmlformats.org/officeDocument/2006/relationships/hyperlink" Target="https://hbr.org/2004/10/the-triple-a-supply-chain?utm_source=chatgpt.com" TargetMode="External"/><Relationship Id="rId95" Type="http://schemas.openxmlformats.org/officeDocument/2006/relationships/hyperlink" Target="https://www.mheducation.com/?utm_source=chatgpt.com" TargetMode="External"/><Relationship Id="rId19" Type="http://schemas.openxmlformats.org/officeDocument/2006/relationships/hyperlink" Target="https://doi.org/10.1177/104225879101600102?utm_source=chatgpt.com" TargetMode="External"/><Relationship Id="rId14" Type="http://schemas.openxmlformats.org/officeDocument/2006/relationships/hyperlink" Target="https://doi.org/10.1177/014920639101700108?utm_source=chatgpt.com" TargetMode="External"/><Relationship Id="rId22" Type="http://schemas.openxmlformats.org/officeDocument/2006/relationships/hyperlink" Target="https://www.gov.uk/government/organisations/department-for-business-innovation-skills/series/small-business-survey-reports?utm_source=chatgpt.com" TargetMode="External"/><Relationship Id="rId27" Type="http://schemas.openxmlformats.org/officeDocument/2006/relationships/hyperlink" Target="https://www.gov.uk/guidance/starting-a-food-business?utm_source=chatgpt.com" TargetMode="External"/><Relationship Id="rId30" Type="http://schemas.openxmlformats.org/officeDocument/2006/relationships/hyperlink" Target="https://www.pearson.com/?utm_source=chatgpt.com" TargetMode="External"/><Relationship Id="rId35" Type="http://schemas.openxmlformats.org/officeDocument/2006/relationships/hyperlink" Target="https://www.pearson.com/?utm_source=chatgpt.com" TargetMode="External"/><Relationship Id="rId43" Type="http://schemas.openxmlformats.org/officeDocument/2006/relationships/hyperlink" Target="https://doi.org/10.1007/s11747-018-0598-1?utm_source=chatgpt.com" TargetMode="External"/><Relationship Id="rId48" Type="http://schemas.openxmlformats.org/officeDocument/2006/relationships/hyperlink" Target="https://doi.org/10.1177/1042258719899415?utm_source=chatgpt.com" TargetMode="External"/><Relationship Id="rId56" Type="http://schemas.openxmlformats.org/officeDocument/2006/relationships/hyperlink" Target="https://www.cim.co.uk/?utm_source=chatgpt.com" TargetMode="External"/><Relationship Id="rId64" Type="http://schemas.openxmlformats.org/officeDocument/2006/relationships/hyperlink" Target="https://www.ons.gov.uk/businessindustryandtrade/business/activitysizeandlocation/bulletins/ukbusinessactivitysizeandlocation/latest?utm_source=chatgpt.com" TargetMode="External"/><Relationship Id="rId69" Type="http://schemas.openxmlformats.org/officeDocument/2006/relationships/hyperlink" Target="https://www.ons.gov.uk/peoplepopulationandcommunity/personalandhouseholdfinances/expenditure?utm_source=chatgpt.com" TargetMode="External"/><Relationship Id="rId77" Type="http://schemas.openxmlformats.org/officeDocument/2006/relationships/hyperlink" Target="https://www.gov.uk/holiday-entitlement-rights?utm_source=chatgpt.com" TargetMode="External"/><Relationship Id="rId100" Type="http://schemas.openxmlformats.org/officeDocument/2006/relationships/hyperlink" Target="https://www.pearson.com/?utm_source=chatgpt.com"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16/j.lrp.2017.06.007?utm_source=chatgpt.com" TargetMode="External"/><Relationship Id="rId72" Type="http://schemas.openxmlformats.org/officeDocument/2006/relationships/hyperlink" Target="https://www.gov.uk/browse/business/keep-your-business-running?utm_source=chatgpt.com" TargetMode="External"/><Relationship Id="rId80" Type="http://schemas.openxmlformats.org/officeDocument/2006/relationships/hyperlink" Target="https://www.gov.uk/workplace-fire-safety-your-responsibilities?utm_source=chatgpt.com" TargetMode="External"/><Relationship Id="rId85" Type="http://schemas.openxmlformats.org/officeDocument/2006/relationships/hyperlink" Target="https://www.iso.org/iso-14001-environmental-management.html?utm_source=chatgpt.com" TargetMode="External"/><Relationship Id="rId93" Type="http://schemas.openxmlformats.org/officeDocument/2006/relationships/hyperlink" Target="https://doi.org/10.1080/095851997341630?utm_source=chatgpt.com" TargetMode="External"/><Relationship Id="rId98" Type="http://schemas.openxmlformats.org/officeDocument/2006/relationships/hyperlink" Target="https://doi.org/10.1207/S15327965PLI1104_01?utm_source=chatgpt.com"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british-business-bank.co.uk/about/research-and-publications/small-business-finance-markets-report-2025?utm_source=chatgpt.com" TargetMode="External"/><Relationship Id="rId25" Type="http://schemas.openxmlformats.org/officeDocument/2006/relationships/hyperlink" Target="https://single-market-economy.ec.europa.eu/?utm_source=chatgpt.com" TargetMode="External"/><Relationship Id="rId33" Type="http://schemas.openxmlformats.org/officeDocument/2006/relationships/hyperlink" Target="https://www.gov.uk/data-protection-your-business?utm_source=chatgpt.com" TargetMode="External"/><Relationship Id="rId38" Type="http://schemas.openxmlformats.org/officeDocument/2006/relationships/hyperlink" Target="https://www.pearson.com/?utm_source=chatgpt.com" TargetMode="External"/><Relationship Id="rId46" Type="http://schemas.openxmlformats.org/officeDocument/2006/relationships/hyperlink" Target="https://www.pearson.com/?utm_source=chatgpt.com" TargetMode="External"/><Relationship Id="rId59" Type="http://schemas.openxmlformats.org/officeDocument/2006/relationships/hyperlink" Target="https://www.hse.gov.uk/simple-health-safety/?utm_source=chatgpt.com" TargetMode="External"/><Relationship Id="rId67" Type="http://schemas.openxmlformats.org/officeDocument/2006/relationships/hyperlink" Target="https://www.ons.gov.uk/economy/inflationandpriceindices?utm_source=chatgpt.com" TargetMode="External"/><Relationship Id="rId103" Type="http://schemas.openxmlformats.org/officeDocument/2006/relationships/header" Target="header1.xml"/><Relationship Id="rId20" Type="http://schemas.openxmlformats.org/officeDocument/2006/relationships/hyperlink" Target="https://www.pearson.com/?utm_source=chatgpt.com" TargetMode="External"/><Relationship Id="rId41" Type="http://schemas.openxmlformats.org/officeDocument/2006/relationships/hyperlink" Target="https://doi.org/10.1016/j.bushor.2017.09.003?utm_source=chatgpt.com" TargetMode="External"/><Relationship Id="rId54" Type="http://schemas.openxmlformats.org/officeDocument/2006/relationships/hyperlink" Target="https://data.worldbank.org/?utm_source=chatgpt.com" TargetMode="External"/><Relationship Id="rId62" Type="http://schemas.openxmlformats.org/officeDocument/2006/relationships/hyperlink" Target="https://www.gov.uk/data-protection-your-business?utm_source=chatgpt.com" TargetMode="External"/><Relationship Id="rId70" Type="http://schemas.openxmlformats.org/officeDocument/2006/relationships/hyperlink" Target="https://www.gov.uk/consumer-protection-rights?utm_source=chatgpt.com" TargetMode="External"/><Relationship Id="rId75" Type="http://schemas.openxmlformats.org/officeDocument/2006/relationships/hyperlink" Target="https://www.gov.uk/employment-contracts-and-conditions?utm_source=chatgpt.com" TargetMode="External"/><Relationship Id="rId83" Type="http://schemas.openxmlformats.org/officeDocument/2006/relationships/hyperlink" Target="https://www.iso.org/iso-31000-risk-management.html?utm_source=chatgpt.com" TargetMode="External"/><Relationship Id="rId88" Type="http://schemas.openxmlformats.org/officeDocument/2006/relationships/hyperlink" Target="https://www.pearson.com/?utm_source=chatgpt.com" TargetMode="External"/><Relationship Id="rId91" Type="http://schemas.openxmlformats.org/officeDocument/2006/relationships/hyperlink" Target="https://www.koganpage.com/?utm_source=chatgpt.com" TargetMode="External"/><Relationship Id="rId96" Type="http://schemas.openxmlformats.org/officeDocument/2006/relationships/hyperlink" Target="https://doi.org/10.1108%2FJWL-10-2019-0121?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11747-019-00718-x?utm_source=chatgpt.com" TargetMode="External"/><Relationship Id="rId23" Type="http://schemas.openxmlformats.org/officeDocument/2006/relationships/hyperlink" Target="https://www.gov.uk/guidance/calculating-the-minimum-wage?utm_source=chatgpt.com" TargetMode="External"/><Relationship Id="rId28" Type="http://schemas.openxmlformats.org/officeDocument/2006/relationships/hyperlink" Target="https://www.wiley.com/?utm_source=chatgpt.com" TargetMode="External"/><Relationship Id="rId36" Type="http://schemas.openxmlformats.org/officeDocument/2006/relationships/hyperlink" Target="https://hbr.org/?utm_source=chatgpt.com" TargetMode="External"/><Relationship Id="rId49" Type="http://schemas.openxmlformats.org/officeDocument/2006/relationships/hyperlink" Target="https://doi.org/10.1108%2FIJEBR-01-2020-0030?utm_source=chatgpt.com" TargetMode="External"/><Relationship Id="rId57" Type="http://schemas.openxmlformats.org/officeDocument/2006/relationships/hyperlink" Target="https://www.cipd.org/uk/knowledge/reports/goodwork/?utm_source=chatgpt.com" TargetMode="External"/><Relationship Id="rId106"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www.mheducation.com/?utm_source=chatgpt.com" TargetMode="External"/><Relationship Id="rId44" Type="http://schemas.openxmlformats.org/officeDocument/2006/relationships/hyperlink" Target="https://doi.org/10.1108%2FJWL-10-2019-0121?utm_source=chatgpt.com" TargetMode="External"/><Relationship Id="rId52" Type="http://schemas.openxmlformats.org/officeDocument/2006/relationships/hyperlink" Target="https://doi.org/10.1007/s11747-007-0069-6?utm_source=chatgpt.com" TargetMode="External"/><Relationship Id="rId60" Type="http://schemas.openxmlformats.org/officeDocument/2006/relationships/hyperlink" Target="https://www.hse.gov.uk/simple-health-safety/risk/?utm_source=chatgpt.com" TargetMode="External"/><Relationship Id="rId65" Type="http://schemas.openxmlformats.org/officeDocument/2006/relationships/hyperlink" Target="https://www.ons.gov.uk/businessindustryandtrade/business/activitysizeandlocation?utm_source=chatgpt.com" TargetMode="External"/><Relationship Id="rId73" Type="http://schemas.openxmlformats.org/officeDocument/2006/relationships/hyperlink" Target="https://www.gov.uk/browse/business/food-hospitality-retail?utm_source=chatgpt.com" TargetMode="External"/><Relationship Id="rId78" Type="http://schemas.openxmlformats.org/officeDocument/2006/relationships/hyperlink" Target="https://www.gov.uk/statutory-sick-pay?utm_source=chatgpt.com" TargetMode="External"/><Relationship Id="rId81" Type="http://schemas.openxmlformats.org/officeDocument/2006/relationships/hyperlink" Target="https://www.gov.uk/introduction-to-business-rates?utm_source=chatgpt.com" TargetMode="External"/><Relationship Id="rId86" Type="http://schemas.openxmlformats.org/officeDocument/2006/relationships/hyperlink" Target="https://doi.org/10.1108/09574090410700275?utm_source=chatgpt.com" TargetMode="External"/><Relationship Id="rId94" Type="http://schemas.openxmlformats.org/officeDocument/2006/relationships/hyperlink" Target="https://doi.org/10.5465/amj.2011.0088?utm_source=chatgpt.com" TargetMode="External"/><Relationship Id="rId99" Type="http://schemas.openxmlformats.org/officeDocument/2006/relationships/hyperlink" Target="https://doi.org/10.1037/0003-066X.57.9.705?utm_source=chatgpt.com" TargetMode="External"/><Relationship Id="rId101" Type="http://schemas.openxmlformats.org/officeDocument/2006/relationships/hyperlink" Target="https://doi.org/10.1509/jm.15.0420?utm_source=chatgpt.com"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image" Target="media/image4.png"/><Relationship Id="rId18" Type="http://schemas.openxmlformats.org/officeDocument/2006/relationships/hyperlink" Target="https://www.pearson.com/?utm_source=chatgpt.com" TargetMode="External"/><Relationship Id="rId39" Type="http://schemas.openxmlformats.org/officeDocument/2006/relationships/hyperlink" Target="https://www.wiley.com/?utm_source=chatgpt.com" TargetMode="External"/><Relationship Id="rId34" Type="http://schemas.openxmlformats.org/officeDocument/2006/relationships/hyperlink" Target="https://ico.org.uk/for-organisations/uk-gdpr-guidance-and-resources/?utm_source=chatgpt.com" TargetMode="External"/><Relationship Id="rId50" Type="http://schemas.openxmlformats.org/officeDocument/2006/relationships/hyperlink" Target="https://www.pearson.com/?utm_source=chatgpt.com" TargetMode="External"/><Relationship Id="rId55" Type="http://schemas.openxmlformats.org/officeDocument/2006/relationships/hyperlink" Target="https://www.weforum.org/publications/the-future-of-jobs-report-2023/?utm_source=chatgpt.com" TargetMode="External"/><Relationship Id="rId76" Type="http://schemas.openxmlformats.org/officeDocument/2006/relationships/hyperlink" Target="https://www.gov.uk/maximum-weekly-working-hours?utm_source=chatgpt.com" TargetMode="External"/><Relationship Id="rId97" Type="http://schemas.openxmlformats.org/officeDocument/2006/relationships/hyperlink" Target="https://doi.org/10.1080/00472778.2020.1816431?utm_source=chatgpt.com" TargetMode="External"/><Relationship Id="rId10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69D5A-0623-4EA2-997C-30A3CBD1A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88</Pages>
  <Words>25427</Words>
  <Characters>144936</Characters>
  <Application>Microsoft Office Word</Application>
  <DocSecurity>0</DocSecurity>
  <Lines>1207</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Biplob das</dc:creator>
  <cp:keywords/>
  <dc:description/>
  <cp:lastModifiedBy>MLC</cp:lastModifiedBy>
  <cp:revision>187</cp:revision>
  <cp:lastPrinted>2025-09-29T07:23:00Z</cp:lastPrinted>
  <dcterms:created xsi:type="dcterms:W3CDTF">2026-08-14T06:32:00Z</dcterms:created>
  <dcterms:modified xsi:type="dcterms:W3CDTF">2026-09-01T14:55:00Z</dcterms:modified>
</cp:coreProperties>
</file>