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26A25" w14:textId="23C1AF26" w:rsidR="00900329" w:rsidRPr="00071EC1" w:rsidRDefault="000C6300" w:rsidP="000C6300">
      <w:pPr>
        <w:jc w:val="center"/>
        <w:rPr>
          <w:rFonts w:ascii="Times New Roman" w:hAnsi="Times New Roman" w:cs="Times New Roman"/>
          <w:b/>
          <w:bCs/>
          <w:sz w:val="36"/>
          <w:szCs w:val="36"/>
        </w:rPr>
      </w:pPr>
      <w:r w:rsidRPr="000C6300">
        <w:rPr>
          <w:rFonts w:ascii="Times New Roman" w:hAnsi="Times New Roman" w:cs="Times New Roman"/>
          <w:noProof/>
          <w:sz w:val="36"/>
          <w:szCs w:val="36"/>
        </w:rPr>
        <w:drawing>
          <wp:inline distT="0" distB="0" distL="0" distR="0" wp14:anchorId="646D3EC4" wp14:editId="47E83FA7">
            <wp:extent cx="5274310" cy="2841625"/>
            <wp:effectExtent l="0" t="0" r="2540" b="0"/>
            <wp:docPr id="18186850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841625"/>
                    </a:xfrm>
                    <a:prstGeom prst="rect">
                      <a:avLst/>
                    </a:prstGeom>
                    <a:noFill/>
                    <a:ln>
                      <a:noFill/>
                    </a:ln>
                  </pic:spPr>
                </pic:pic>
              </a:graphicData>
            </a:graphic>
          </wp:inline>
        </w:drawing>
      </w:r>
      <w:r w:rsidRPr="000C6300">
        <w:rPr>
          <w:rFonts w:ascii="Times New Roman" w:hAnsi="Times New Roman" w:cs="Times New Roman"/>
          <w:sz w:val="36"/>
          <w:szCs w:val="36"/>
        </w:rPr>
        <w:t xml:space="preserve"> </w:t>
      </w:r>
      <w:r w:rsidR="00900329" w:rsidRPr="00071EC1">
        <w:rPr>
          <w:rFonts w:ascii="Times New Roman" w:hAnsi="Times New Roman" w:cs="Times New Roman"/>
          <w:b/>
          <w:bCs/>
          <w:sz w:val="36"/>
          <w:szCs w:val="36"/>
        </w:rPr>
        <w:t>A Critical Evaluation of Marks and Spencer’s Acquisition of Gist Limited</w:t>
      </w:r>
    </w:p>
    <w:p w14:paraId="4F516516" w14:textId="77777777" w:rsidR="000C6300" w:rsidRPr="00071EC1" w:rsidRDefault="000C6300" w:rsidP="000C6300">
      <w:pPr>
        <w:jc w:val="center"/>
        <w:rPr>
          <w:rFonts w:ascii="Times New Roman" w:hAnsi="Times New Roman" w:cs="Times New Roman"/>
          <w:b/>
          <w:bCs/>
          <w:sz w:val="36"/>
          <w:szCs w:val="36"/>
        </w:rPr>
      </w:pPr>
    </w:p>
    <w:p w14:paraId="3C8C576A" w14:textId="77777777" w:rsidR="0061288B" w:rsidRPr="00071EC1" w:rsidRDefault="0061288B" w:rsidP="000C6300">
      <w:pPr>
        <w:jc w:val="center"/>
        <w:rPr>
          <w:rFonts w:ascii="Times New Roman" w:hAnsi="Times New Roman" w:cs="Times New Roman"/>
          <w:b/>
          <w:bCs/>
          <w:sz w:val="32"/>
          <w:szCs w:val="32"/>
        </w:rPr>
      </w:pPr>
    </w:p>
    <w:p w14:paraId="0D860C20" w14:textId="190DAC01" w:rsidR="000C6300" w:rsidRPr="00071EC1" w:rsidRDefault="000C6300" w:rsidP="000C6300">
      <w:pPr>
        <w:jc w:val="center"/>
        <w:rPr>
          <w:rFonts w:ascii="Times New Roman" w:hAnsi="Times New Roman" w:cs="Times New Roman"/>
          <w:b/>
          <w:bCs/>
          <w:sz w:val="32"/>
          <w:szCs w:val="32"/>
        </w:rPr>
      </w:pPr>
      <w:r w:rsidRPr="00071EC1">
        <w:rPr>
          <w:rFonts w:ascii="Times New Roman" w:hAnsi="Times New Roman" w:cs="Times New Roman" w:hint="eastAsia"/>
          <w:b/>
          <w:bCs/>
          <w:sz w:val="32"/>
          <w:szCs w:val="32"/>
        </w:rPr>
        <w:t>Lecture:</w:t>
      </w:r>
      <w:r w:rsidR="0029643F" w:rsidRPr="00071EC1">
        <w:rPr>
          <w:rFonts w:ascii="Times New Roman" w:hAnsi="Times New Roman" w:cs="Times New Roman" w:hint="eastAsia"/>
          <w:b/>
          <w:bCs/>
          <w:sz w:val="32"/>
          <w:szCs w:val="32"/>
        </w:rPr>
        <w:t xml:space="preserve"> Badir Miftah</w:t>
      </w:r>
    </w:p>
    <w:p w14:paraId="30795ED6" w14:textId="6B502CD4" w:rsidR="000C6300" w:rsidRPr="00071EC1" w:rsidRDefault="000C6300" w:rsidP="000C6300">
      <w:pPr>
        <w:jc w:val="center"/>
        <w:rPr>
          <w:rFonts w:ascii="Times New Roman" w:hAnsi="Times New Roman" w:cs="Times New Roman"/>
          <w:b/>
          <w:bCs/>
          <w:sz w:val="32"/>
          <w:szCs w:val="32"/>
        </w:rPr>
      </w:pPr>
      <w:r w:rsidRPr="00071EC1">
        <w:rPr>
          <w:rFonts w:ascii="Times New Roman" w:hAnsi="Times New Roman" w:cs="Times New Roman" w:hint="eastAsia"/>
          <w:b/>
          <w:bCs/>
          <w:sz w:val="32"/>
          <w:szCs w:val="32"/>
        </w:rPr>
        <w:t>Student</w:t>
      </w:r>
      <w:r w:rsidRPr="00071EC1">
        <w:rPr>
          <w:rFonts w:ascii="Times New Roman" w:hAnsi="Times New Roman" w:cs="Times New Roman"/>
          <w:b/>
          <w:bCs/>
          <w:sz w:val="32"/>
          <w:szCs w:val="32"/>
        </w:rPr>
        <w:t>’</w:t>
      </w:r>
      <w:r w:rsidRPr="00071EC1">
        <w:rPr>
          <w:rFonts w:ascii="Times New Roman" w:hAnsi="Times New Roman" w:cs="Times New Roman" w:hint="eastAsia"/>
          <w:b/>
          <w:bCs/>
          <w:sz w:val="32"/>
          <w:szCs w:val="32"/>
        </w:rPr>
        <w:t>s Name:</w:t>
      </w:r>
      <w:r w:rsidR="0029643F" w:rsidRPr="00071EC1">
        <w:rPr>
          <w:rFonts w:ascii="Times New Roman" w:hAnsi="Times New Roman" w:cs="Times New Roman" w:hint="eastAsia"/>
          <w:b/>
          <w:bCs/>
          <w:sz w:val="32"/>
          <w:szCs w:val="32"/>
        </w:rPr>
        <w:t xml:space="preserve"> </w:t>
      </w:r>
      <w:proofErr w:type="spellStart"/>
      <w:r w:rsidR="0029643F" w:rsidRPr="00071EC1">
        <w:rPr>
          <w:rFonts w:ascii="Times New Roman" w:hAnsi="Times New Roman" w:cs="Times New Roman" w:hint="eastAsia"/>
          <w:b/>
          <w:bCs/>
          <w:sz w:val="32"/>
          <w:szCs w:val="32"/>
        </w:rPr>
        <w:t>Mengyang</w:t>
      </w:r>
      <w:proofErr w:type="spellEnd"/>
      <w:r w:rsidR="0029643F" w:rsidRPr="00071EC1">
        <w:rPr>
          <w:rFonts w:ascii="Times New Roman" w:hAnsi="Times New Roman" w:cs="Times New Roman" w:hint="eastAsia"/>
          <w:b/>
          <w:bCs/>
          <w:sz w:val="32"/>
          <w:szCs w:val="32"/>
        </w:rPr>
        <w:t xml:space="preserve"> Jiang</w:t>
      </w:r>
    </w:p>
    <w:p w14:paraId="28789B04" w14:textId="4B16E210" w:rsidR="000C6300" w:rsidRPr="00071EC1" w:rsidRDefault="000C6300" w:rsidP="000C6300">
      <w:pPr>
        <w:jc w:val="center"/>
        <w:rPr>
          <w:rFonts w:ascii="Times New Roman" w:hAnsi="Times New Roman" w:cs="Times New Roman"/>
          <w:b/>
          <w:bCs/>
          <w:sz w:val="32"/>
          <w:szCs w:val="32"/>
        </w:rPr>
      </w:pPr>
      <w:r w:rsidRPr="00071EC1">
        <w:rPr>
          <w:rFonts w:ascii="Times New Roman" w:hAnsi="Times New Roman" w:cs="Times New Roman" w:hint="eastAsia"/>
          <w:b/>
          <w:bCs/>
          <w:sz w:val="32"/>
          <w:szCs w:val="32"/>
        </w:rPr>
        <w:t>Student</w:t>
      </w:r>
      <w:r w:rsidRPr="00071EC1">
        <w:rPr>
          <w:rFonts w:ascii="Times New Roman" w:hAnsi="Times New Roman" w:cs="Times New Roman"/>
          <w:b/>
          <w:bCs/>
          <w:sz w:val="32"/>
          <w:szCs w:val="32"/>
        </w:rPr>
        <w:t>’</w:t>
      </w:r>
      <w:r w:rsidRPr="00071EC1">
        <w:rPr>
          <w:rFonts w:ascii="Times New Roman" w:hAnsi="Times New Roman" w:cs="Times New Roman" w:hint="eastAsia"/>
          <w:b/>
          <w:bCs/>
          <w:sz w:val="32"/>
          <w:szCs w:val="32"/>
        </w:rPr>
        <w:t>s ID:</w:t>
      </w:r>
      <w:r w:rsidR="0029643F" w:rsidRPr="00071EC1">
        <w:rPr>
          <w:rFonts w:ascii="Times New Roman" w:hAnsi="Times New Roman" w:cs="Times New Roman" w:hint="eastAsia"/>
          <w:b/>
          <w:bCs/>
          <w:sz w:val="32"/>
          <w:szCs w:val="32"/>
        </w:rPr>
        <w:t xml:space="preserve"> 2420050</w:t>
      </w:r>
    </w:p>
    <w:p w14:paraId="125F71F2" w14:textId="60E41208" w:rsidR="000C6300" w:rsidRPr="00071EC1" w:rsidRDefault="000C6300" w:rsidP="000C6300">
      <w:pPr>
        <w:jc w:val="center"/>
        <w:rPr>
          <w:rFonts w:ascii="Times New Roman" w:hAnsi="Times New Roman" w:cs="Times New Roman"/>
          <w:b/>
          <w:bCs/>
          <w:sz w:val="32"/>
          <w:szCs w:val="32"/>
        </w:rPr>
      </w:pPr>
      <w:r w:rsidRPr="00071EC1">
        <w:rPr>
          <w:rFonts w:ascii="Times New Roman" w:hAnsi="Times New Roman" w:cs="Times New Roman" w:hint="eastAsia"/>
          <w:b/>
          <w:bCs/>
          <w:sz w:val="32"/>
          <w:szCs w:val="32"/>
        </w:rPr>
        <w:t>Course Number:</w:t>
      </w:r>
      <w:r w:rsidR="0029643F" w:rsidRPr="00071EC1">
        <w:rPr>
          <w:rFonts w:ascii="Times New Roman" w:hAnsi="Times New Roman" w:cs="Times New Roman" w:hint="eastAsia"/>
          <w:b/>
          <w:bCs/>
          <w:sz w:val="32"/>
          <w:szCs w:val="32"/>
        </w:rPr>
        <w:t xml:space="preserve"> BMBM6007</w:t>
      </w:r>
    </w:p>
    <w:p w14:paraId="4F467F7F" w14:textId="170789AA" w:rsidR="000C6300" w:rsidRPr="00071EC1" w:rsidRDefault="000C6300" w:rsidP="000C6300">
      <w:pPr>
        <w:jc w:val="center"/>
        <w:rPr>
          <w:rFonts w:ascii="Times New Roman" w:hAnsi="Times New Roman" w:cs="Times New Roman"/>
          <w:b/>
          <w:bCs/>
          <w:sz w:val="32"/>
          <w:szCs w:val="32"/>
        </w:rPr>
      </w:pPr>
      <w:r w:rsidRPr="00071EC1">
        <w:rPr>
          <w:rFonts w:ascii="Times New Roman" w:hAnsi="Times New Roman" w:cs="Times New Roman" w:hint="eastAsia"/>
          <w:b/>
          <w:bCs/>
          <w:sz w:val="32"/>
          <w:szCs w:val="32"/>
        </w:rPr>
        <w:t>Course Name:</w:t>
      </w:r>
      <w:r w:rsidR="0029643F" w:rsidRPr="00071EC1">
        <w:rPr>
          <w:rFonts w:ascii="Times New Roman" w:hAnsi="Times New Roman" w:cs="Times New Roman" w:hint="eastAsia"/>
          <w:b/>
          <w:bCs/>
          <w:sz w:val="32"/>
          <w:szCs w:val="32"/>
        </w:rPr>
        <w:t xml:space="preserve"> Financial Management</w:t>
      </w:r>
    </w:p>
    <w:p w14:paraId="1DBBF23E" w14:textId="7FB67DDD" w:rsidR="000C6300" w:rsidRPr="00071EC1" w:rsidRDefault="000C6300" w:rsidP="000C6300">
      <w:pPr>
        <w:jc w:val="center"/>
        <w:rPr>
          <w:rFonts w:ascii="Times New Roman" w:hAnsi="Times New Roman" w:cs="Times New Roman"/>
          <w:b/>
          <w:bCs/>
          <w:sz w:val="32"/>
          <w:szCs w:val="32"/>
        </w:rPr>
      </w:pPr>
      <w:r w:rsidRPr="00071EC1">
        <w:rPr>
          <w:rFonts w:ascii="Times New Roman" w:hAnsi="Times New Roman" w:cs="Times New Roman" w:hint="eastAsia"/>
          <w:b/>
          <w:bCs/>
          <w:sz w:val="32"/>
          <w:szCs w:val="32"/>
        </w:rPr>
        <w:t>Date:</w:t>
      </w:r>
      <w:r w:rsidR="0029643F" w:rsidRPr="00071EC1">
        <w:rPr>
          <w:rFonts w:ascii="Times New Roman" w:hAnsi="Times New Roman" w:cs="Times New Roman" w:hint="eastAsia"/>
          <w:b/>
          <w:bCs/>
          <w:sz w:val="32"/>
          <w:szCs w:val="32"/>
        </w:rPr>
        <w:t xml:space="preserve"> 27 March 2026</w:t>
      </w:r>
    </w:p>
    <w:p w14:paraId="7DB1D5A5" w14:textId="5D70344C" w:rsidR="00472F0B" w:rsidRPr="007159CA" w:rsidRDefault="00900329">
      <w:pPr>
        <w:widowControl/>
        <w:jc w:val="left"/>
        <w:rPr>
          <w:rFonts w:ascii="Times New Roman" w:hAnsi="Times New Roman" w:cs="Times New Roman"/>
        </w:rPr>
      </w:pPr>
      <w:r w:rsidRPr="007159CA">
        <w:rPr>
          <w:rFonts w:ascii="Times New Roman" w:hAnsi="Times New Roman" w:cs="Times New Roman"/>
        </w:rPr>
        <w:br w:type="page"/>
      </w:r>
    </w:p>
    <w:p w14:paraId="0BFC09CA" w14:textId="77777777" w:rsidR="00A91F7C" w:rsidRPr="00226D91" w:rsidRDefault="00A91F7C" w:rsidP="00AE15AD">
      <w:pPr>
        <w:widowControl/>
        <w:spacing w:line="360" w:lineRule="auto"/>
        <w:jc w:val="left"/>
        <w:outlineLvl w:val="0"/>
        <w:rPr>
          <w:rFonts w:ascii="Times New Roman" w:hAnsi="Times New Roman" w:cs="Times New Roman"/>
          <w:b/>
          <w:bCs/>
          <w:sz w:val="30"/>
          <w:szCs w:val="30"/>
        </w:rPr>
      </w:pPr>
      <w:bookmarkStart w:id="0" w:name="_Toc225472475"/>
      <w:r w:rsidRPr="00226D91">
        <w:rPr>
          <w:rFonts w:ascii="Times New Roman" w:hAnsi="Times New Roman" w:cs="Times New Roman"/>
          <w:b/>
          <w:bCs/>
          <w:sz w:val="30"/>
          <w:szCs w:val="30"/>
        </w:rPr>
        <w:lastRenderedPageBreak/>
        <w:t>Executive Summary</w:t>
      </w:r>
      <w:bookmarkEnd w:id="0"/>
    </w:p>
    <w:p w14:paraId="10918B06" w14:textId="77777777" w:rsidR="00A91F7C" w:rsidRPr="007159CA" w:rsidRDefault="00A91F7C" w:rsidP="00AE15AD">
      <w:pPr>
        <w:widowControl/>
        <w:spacing w:line="360" w:lineRule="auto"/>
        <w:jc w:val="left"/>
        <w:rPr>
          <w:rFonts w:ascii="Times New Roman" w:hAnsi="Times New Roman" w:cs="Times New Roman"/>
        </w:rPr>
      </w:pPr>
    </w:p>
    <w:p w14:paraId="36854D31" w14:textId="77777777" w:rsidR="006C4131" w:rsidRPr="006C4131" w:rsidRDefault="006C4131" w:rsidP="006C4131">
      <w:pPr>
        <w:widowControl/>
        <w:spacing w:line="360" w:lineRule="auto"/>
        <w:rPr>
          <w:rFonts w:ascii="Times New Roman" w:hAnsi="Times New Roman" w:cs="Times New Roman"/>
          <w:sz w:val="24"/>
          <w:szCs w:val="24"/>
        </w:rPr>
      </w:pPr>
      <w:r w:rsidRPr="006C4131">
        <w:rPr>
          <w:rFonts w:ascii="Times New Roman" w:hAnsi="Times New Roman" w:cs="Times New Roman"/>
          <w:sz w:val="24"/>
          <w:szCs w:val="24"/>
        </w:rPr>
        <w:t>This report makes an in-depth evaluation of Marks &amp; Spencer's acquisition of Gist in 2022, focussing on its strategic intentions and financial results. Although the acquisition aims to strengthen the control and resilience of the supply chain. Its overall impact is not satisfactory.</w:t>
      </w:r>
    </w:p>
    <w:p w14:paraId="32EF1297" w14:textId="77777777" w:rsidR="006C4131" w:rsidRPr="006C4131" w:rsidRDefault="006C4131" w:rsidP="006C4131">
      <w:pPr>
        <w:widowControl/>
        <w:spacing w:line="360" w:lineRule="auto"/>
        <w:rPr>
          <w:rFonts w:ascii="Times New Roman" w:hAnsi="Times New Roman" w:cs="Times New Roman"/>
          <w:sz w:val="24"/>
          <w:szCs w:val="24"/>
        </w:rPr>
      </w:pPr>
    </w:p>
    <w:p w14:paraId="18A8F0C4" w14:textId="77777777" w:rsidR="006C4131" w:rsidRPr="006C4131" w:rsidRDefault="006C4131" w:rsidP="006C4131">
      <w:pPr>
        <w:widowControl/>
        <w:spacing w:line="360" w:lineRule="auto"/>
        <w:rPr>
          <w:rFonts w:ascii="Times New Roman" w:hAnsi="Times New Roman" w:cs="Times New Roman"/>
          <w:sz w:val="24"/>
          <w:szCs w:val="24"/>
        </w:rPr>
      </w:pPr>
      <w:r w:rsidRPr="006C4131">
        <w:rPr>
          <w:rFonts w:ascii="Times New Roman" w:hAnsi="Times New Roman" w:cs="Times New Roman"/>
          <w:sz w:val="24"/>
          <w:szCs w:val="24"/>
        </w:rPr>
        <w:t>Operational performance seems to have improved, especially in product supply and food sales. However, these advances cannot be entirely attributed to the acquisition.  Because they may also reflect the recovery of the overall market.</w:t>
      </w:r>
    </w:p>
    <w:p w14:paraId="242954BD" w14:textId="77777777" w:rsidR="006C4131" w:rsidRPr="006C4131" w:rsidRDefault="006C4131" w:rsidP="006C4131">
      <w:pPr>
        <w:widowControl/>
        <w:spacing w:line="360" w:lineRule="auto"/>
        <w:rPr>
          <w:rFonts w:ascii="Times New Roman" w:hAnsi="Times New Roman" w:cs="Times New Roman"/>
          <w:sz w:val="24"/>
          <w:szCs w:val="24"/>
        </w:rPr>
      </w:pPr>
    </w:p>
    <w:p w14:paraId="34932D5D" w14:textId="60A49FB7" w:rsidR="00472F0B" w:rsidRPr="007159CA" w:rsidRDefault="006C4131" w:rsidP="006C4131">
      <w:pPr>
        <w:widowControl/>
        <w:spacing w:line="360" w:lineRule="auto"/>
        <w:rPr>
          <w:rFonts w:ascii="Times New Roman" w:hAnsi="Times New Roman" w:cs="Times New Roman"/>
        </w:rPr>
      </w:pPr>
      <w:r w:rsidRPr="006C4131">
        <w:rPr>
          <w:rFonts w:ascii="Times New Roman" w:hAnsi="Times New Roman" w:cs="Times New Roman"/>
          <w:sz w:val="24"/>
          <w:szCs w:val="24"/>
        </w:rPr>
        <w:t>In the short term, due to the cost of integration and reorganisation, the financial benefits are still relatively limited. In general, the acquisition is strategically reasonable. But it will only bring moderate financial returns in the short term.</w:t>
      </w:r>
      <w:r w:rsidR="00472F0B" w:rsidRPr="007159CA">
        <w:rPr>
          <w:rFonts w:ascii="Times New Roman" w:hAnsi="Times New Roman" w:cs="Times New Roman"/>
        </w:rPr>
        <w:br w:type="page"/>
      </w:r>
    </w:p>
    <w:sdt>
      <w:sdtPr>
        <w:rPr>
          <w:rFonts w:asciiTheme="minorHAnsi" w:eastAsiaTheme="minorEastAsia" w:hAnsiTheme="minorHAnsi" w:cstheme="minorBidi"/>
          <w:color w:val="auto"/>
          <w:kern w:val="2"/>
          <w:sz w:val="21"/>
          <w:szCs w:val="22"/>
          <w:lang w:val="zh-CN"/>
        </w:rPr>
        <w:id w:val="-1198620941"/>
        <w:docPartObj>
          <w:docPartGallery w:val="Table of Contents"/>
          <w:docPartUnique/>
        </w:docPartObj>
      </w:sdtPr>
      <w:sdtEndPr>
        <w:rPr>
          <w:b/>
          <w:bCs/>
        </w:rPr>
      </w:sdtEndPr>
      <w:sdtContent>
        <w:p w14:paraId="6B9B966C" w14:textId="1A971088" w:rsidR="003B7428" w:rsidRPr="00AE15AD" w:rsidRDefault="003B7428" w:rsidP="00AE15AD">
          <w:pPr>
            <w:pStyle w:val="TOC"/>
            <w:spacing w:line="360" w:lineRule="auto"/>
            <w:rPr>
              <w:rFonts w:ascii="Times New Roman" w:hAnsi="Times New Roman" w:cs="Times New Roman"/>
              <w:sz w:val="28"/>
              <w:szCs w:val="28"/>
            </w:rPr>
          </w:pPr>
          <w:r w:rsidRPr="00AE15AD">
            <w:rPr>
              <w:rFonts w:ascii="Times New Roman" w:hAnsi="Times New Roman" w:cs="Times New Roman"/>
              <w:sz w:val="28"/>
              <w:szCs w:val="28"/>
              <w:lang w:val="zh-CN"/>
            </w:rPr>
            <w:t>Content</w:t>
          </w:r>
        </w:p>
        <w:p w14:paraId="512761C7" w14:textId="453DB88A" w:rsidR="00071EC1" w:rsidRDefault="003B7428" w:rsidP="007C2E4A">
          <w:pPr>
            <w:pStyle w:val="TOC1"/>
            <w:tabs>
              <w:tab w:val="right" w:leader="dot" w:pos="8296"/>
            </w:tabs>
            <w:spacing w:line="360" w:lineRule="auto"/>
            <w:rPr>
              <w:noProof/>
              <w:sz w:val="22"/>
              <w:szCs w:val="24"/>
              <w:lang w:val="en-US"/>
              <w14:ligatures w14:val="standardContextual"/>
            </w:rPr>
          </w:pPr>
          <w:r w:rsidRPr="00AE15AD">
            <w:rPr>
              <w:rFonts w:ascii="Times New Roman" w:hAnsi="Times New Roman" w:cs="Times New Roman"/>
              <w:sz w:val="24"/>
              <w:szCs w:val="24"/>
            </w:rPr>
            <w:fldChar w:fldCharType="begin"/>
          </w:r>
          <w:r w:rsidRPr="00AE15AD">
            <w:rPr>
              <w:rFonts w:ascii="Times New Roman" w:hAnsi="Times New Roman" w:cs="Times New Roman"/>
              <w:sz w:val="24"/>
              <w:szCs w:val="24"/>
            </w:rPr>
            <w:instrText xml:space="preserve"> TOC \o "1-3" \h \z \u </w:instrText>
          </w:r>
          <w:r w:rsidRPr="00AE15AD">
            <w:rPr>
              <w:rFonts w:ascii="Times New Roman" w:hAnsi="Times New Roman" w:cs="Times New Roman"/>
              <w:sz w:val="24"/>
              <w:szCs w:val="24"/>
            </w:rPr>
            <w:fldChar w:fldCharType="separate"/>
          </w:r>
          <w:hyperlink w:anchor="_Toc225472475" w:history="1">
            <w:r w:rsidR="00071EC1" w:rsidRPr="003541B8">
              <w:rPr>
                <w:rStyle w:val="af"/>
                <w:rFonts w:ascii="Times New Roman" w:hAnsi="Times New Roman" w:cs="Times New Roman"/>
                <w:b/>
                <w:bCs/>
                <w:noProof/>
              </w:rPr>
              <w:t>Executive Summary</w:t>
            </w:r>
            <w:r w:rsidR="00071EC1">
              <w:rPr>
                <w:noProof/>
                <w:webHidden/>
              </w:rPr>
              <w:tab/>
            </w:r>
            <w:r w:rsidR="00071EC1">
              <w:rPr>
                <w:noProof/>
                <w:webHidden/>
              </w:rPr>
              <w:fldChar w:fldCharType="begin"/>
            </w:r>
            <w:r w:rsidR="00071EC1">
              <w:rPr>
                <w:noProof/>
                <w:webHidden/>
              </w:rPr>
              <w:instrText xml:space="preserve"> PAGEREF _Toc225472475 \h </w:instrText>
            </w:r>
            <w:r w:rsidR="00071EC1">
              <w:rPr>
                <w:noProof/>
                <w:webHidden/>
              </w:rPr>
            </w:r>
            <w:r w:rsidR="00071EC1">
              <w:rPr>
                <w:noProof/>
                <w:webHidden/>
              </w:rPr>
              <w:fldChar w:fldCharType="separate"/>
            </w:r>
            <w:r w:rsidR="00071EC1">
              <w:rPr>
                <w:noProof/>
                <w:webHidden/>
              </w:rPr>
              <w:t>2</w:t>
            </w:r>
            <w:r w:rsidR="00071EC1">
              <w:rPr>
                <w:noProof/>
                <w:webHidden/>
              </w:rPr>
              <w:fldChar w:fldCharType="end"/>
            </w:r>
          </w:hyperlink>
        </w:p>
        <w:p w14:paraId="6EDEE575" w14:textId="28F3AB65" w:rsidR="00071EC1" w:rsidRDefault="00071EC1" w:rsidP="007C2E4A">
          <w:pPr>
            <w:pStyle w:val="TOC1"/>
            <w:tabs>
              <w:tab w:val="right" w:leader="dot" w:pos="8296"/>
            </w:tabs>
            <w:spacing w:line="360" w:lineRule="auto"/>
            <w:rPr>
              <w:noProof/>
              <w:sz w:val="22"/>
              <w:szCs w:val="24"/>
              <w:lang w:val="en-US"/>
              <w14:ligatures w14:val="standardContextual"/>
            </w:rPr>
          </w:pPr>
          <w:hyperlink w:anchor="_Toc225472476" w:history="1">
            <w:r w:rsidRPr="003541B8">
              <w:rPr>
                <w:rStyle w:val="af"/>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_Toc225472476 \h </w:instrText>
            </w:r>
            <w:r>
              <w:rPr>
                <w:noProof/>
                <w:webHidden/>
              </w:rPr>
            </w:r>
            <w:r>
              <w:rPr>
                <w:noProof/>
                <w:webHidden/>
              </w:rPr>
              <w:fldChar w:fldCharType="separate"/>
            </w:r>
            <w:r>
              <w:rPr>
                <w:noProof/>
                <w:webHidden/>
              </w:rPr>
              <w:t>4</w:t>
            </w:r>
            <w:r>
              <w:rPr>
                <w:noProof/>
                <w:webHidden/>
              </w:rPr>
              <w:fldChar w:fldCharType="end"/>
            </w:r>
          </w:hyperlink>
        </w:p>
        <w:p w14:paraId="7815B55B" w14:textId="3B0ADBAF" w:rsidR="00071EC1" w:rsidRDefault="00071EC1" w:rsidP="007C2E4A">
          <w:pPr>
            <w:pStyle w:val="TOC1"/>
            <w:tabs>
              <w:tab w:val="right" w:leader="dot" w:pos="8296"/>
            </w:tabs>
            <w:spacing w:line="360" w:lineRule="auto"/>
            <w:rPr>
              <w:noProof/>
              <w:sz w:val="22"/>
              <w:szCs w:val="24"/>
              <w:lang w:val="en-US"/>
              <w14:ligatures w14:val="standardContextual"/>
            </w:rPr>
          </w:pPr>
          <w:hyperlink w:anchor="_Toc225472477" w:history="1">
            <w:r w:rsidRPr="003541B8">
              <w:rPr>
                <w:rStyle w:val="af"/>
                <w:rFonts w:ascii="Times New Roman" w:hAnsi="Times New Roman" w:cs="Times New Roman"/>
                <w:b/>
                <w:bCs/>
                <w:noProof/>
              </w:rPr>
              <w:t>2. Literature Review</w:t>
            </w:r>
            <w:r>
              <w:rPr>
                <w:noProof/>
                <w:webHidden/>
              </w:rPr>
              <w:tab/>
            </w:r>
            <w:r>
              <w:rPr>
                <w:noProof/>
                <w:webHidden/>
              </w:rPr>
              <w:fldChar w:fldCharType="begin"/>
            </w:r>
            <w:r>
              <w:rPr>
                <w:noProof/>
                <w:webHidden/>
              </w:rPr>
              <w:instrText xml:space="preserve"> PAGEREF _Toc225472477 \h </w:instrText>
            </w:r>
            <w:r>
              <w:rPr>
                <w:noProof/>
                <w:webHidden/>
              </w:rPr>
            </w:r>
            <w:r>
              <w:rPr>
                <w:noProof/>
                <w:webHidden/>
              </w:rPr>
              <w:fldChar w:fldCharType="separate"/>
            </w:r>
            <w:r>
              <w:rPr>
                <w:noProof/>
                <w:webHidden/>
              </w:rPr>
              <w:t>5</w:t>
            </w:r>
            <w:r>
              <w:rPr>
                <w:noProof/>
                <w:webHidden/>
              </w:rPr>
              <w:fldChar w:fldCharType="end"/>
            </w:r>
          </w:hyperlink>
        </w:p>
        <w:p w14:paraId="73DB6E00" w14:textId="0AD0FD1D" w:rsidR="00071EC1" w:rsidRDefault="00071EC1" w:rsidP="007C2E4A">
          <w:pPr>
            <w:pStyle w:val="TOC2"/>
            <w:rPr>
              <w:noProof/>
              <w:sz w:val="22"/>
              <w:szCs w:val="24"/>
              <w:lang w:val="en-US"/>
              <w14:ligatures w14:val="standardContextual"/>
            </w:rPr>
          </w:pPr>
          <w:hyperlink w:anchor="_Toc225472478" w:history="1">
            <w:r w:rsidRPr="003541B8">
              <w:rPr>
                <w:rStyle w:val="af"/>
                <w:rFonts w:ascii="Times New Roman" w:hAnsi="Times New Roman" w:cs="Times New Roman"/>
                <w:b/>
                <w:bCs/>
                <w:noProof/>
              </w:rPr>
              <w:t>2.1. Synergy Theory</w:t>
            </w:r>
            <w:r>
              <w:rPr>
                <w:noProof/>
                <w:webHidden/>
              </w:rPr>
              <w:tab/>
            </w:r>
            <w:r>
              <w:rPr>
                <w:noProof/>
                <w:webHidden/>
              </w:rPr>
              <w:fldChar w:fldCharType="begin"/>
            </w:r>
            <w:r>
              <w:rPr>
                <w:noProof/>
                <w:webHidden/>
              </w:rPr>
              <w:instrText xml:space="preserve"> PAGEREF _Toc225472478 \h </w:instrText>
            </w:r>
            <w:r>
              <w:rPr>
                <w:noProof/>
                <w:webHidden/>
              </w:rPr>
            </w:r>
            <w:r>
              <w:rPr>
                <w:noProof/>
                <w:webHidden/>
              </w:rPr>
              <w:fldChar w:fldCharType="separate"/>
            </w:r>
            <w:r>
              <w:rPr>
                <w:noProof/>
                <w:webHidden/>
              </w:rPr>
              <w:t>5</w:t>
            </w:r>
            <w:r>
              <w:rPr>
                <w:noProof/>
                <w:webHidden/>
              </w:rPr>
              <w:fldChar w:fldCharType="end"/>
            </w:r>
          </w:hyperlink>
        </w:p>
        <w:p w14:paraId="4417DF46" w14:textId="02CC9271" w:rsidR="00071EC1" w:rsidRDefault="00071EC1" w:rsidP="007C2E4A">
          <w:pPr>
            <w:pStyle w:val="TOC2"/>
            <w:rPr>
              <w:noProof/>
              <w:sz w:val="22"/>
              <w:szCs w:val="24"/>
              <w:lang w:val="en-US"/>
              <w14:ligatures w14:val="standardContextual"/>
            </w:rPr>
          </w:pPr>
          <w:hyperlink w:anchor="_Toc225472479" w:history="1">
            <w:r w:rsidRPr="003541B8">
              <w:rPr>
                <w:rStyle w:val="af"/>
                <w:rFonts w:ascii="Times New Roman" w:hAnsi="Times New Roman" w:cs="Times New Roman"/>
                <w:b/>
                <w:bCs/>
                <w:noProof/>
              </w:rPr>
              <w:t>2.2. Economies of Scale</w:t>
            </w:r>
            <w:r>
              <w:rPr>
                <w:noProof/>
                <w:webHidden/>
              </w:rPr>
              <w:tab/>
            </w:r>
            <w:r>
              <w:rPr>
                <w:noProof/>
                <w:webHidden/>
              </w:rPr>
              <w:fldChar w:fldCharType="begin"/>
            </w:r>
            <w:r>
              <w:rPr>
                <w:noProof/>
                <w:webHidden/>
              </w:rPr>
              <w:instrText xml:space="preserve"> PAGEREF _Toc225472479 \h </w:instrText>
            </w:r>
            <w:r>
              <w:rPr>
                <w:noProof/>
                <w:webHidden/>
              </w:rPr>
            </w:r>
            <w:r>
              <w:rPr>
                <w:noProof/>
                <w:webHidden/>
              </w:rPr>
              <w:fldChar w:fldCharType="separate"/>
            </w:r>
            <w:r>
              <w:rPr>
                <w:noProof/>
                <w:webHidden/>
              </w:rPr>
              <w:t>5</w:t>
            </w:r>
            <w:r>
              <w:rPr>
                <w:noProof/>
                <w:webHidden/>
              </w:rPr>
              <w:fldChar w:fldCharType="end"/>
            </w:r>
          </w:hyperlink>
        </w:p>
        <w:p w14:paraId="62DD6236" w14:textId="0090A8CB" w:rsidR="00071EC1" w:rsidRDefault="00071EC1" w:rsidP="007C2E4A">
          <w:pPr>
            <w:pStyle w:val="TOC2"/>
            <w:rPr>
              <w:noProof/>
              <w:sz w:val="22"/>
              <w:szCs w:val="24"/>
              <w:lang w:val="en-US"/>
              <w14:ligatures w14:val="standardContextual"/>
            </w:rPr>
          </w:pPr>
          <w:hyperlink w:anchor="_Toc225472480" w:history="1">
            <w:r w:rsidRPr="003541B8">
              <w:rPr>
                <w:rStyle w:val="af"/>
                <w:rFonts w:ascii="Times New Roman" w:hAnsi="Times New Roman" w:cs="Times New Roman"/>
                <w:b/>
                <w:bCs/>
                <w:noProof/>
              </w:rPr>
              <w:t>2.3. Market Power Theory</w:t>
            </w:r>
            <w:r>
              <w:rPr>
                <w:noProof/>
                <w:webHidden/>
              </w:rPr>
              <w:tab/>
            </w:r>
            <w:r>
              <w:rPr>
                <w:noProof/>
                <w:webHidden/>
              </w:rPr>
              <w:fldChar w:fldCharType="begin"/>
            </w:r>
            <w:r>
              <w:rPr>
                <w:noProof/>
                <w:webHidden/>
              </w:rPr>
              <w:instrText xml:space="preserve"> PAGEREF _Toc225472480 \h </w:instrText>
            </w:r>
            <w:r>
              <w:rPr>
                <w:noProof/>
                <w:webHidden/>
              </w:rPr>
            </w:r>
            <w:r>
              <w:rPr>
                <w:noProof/>
                <w:webHidden/>
              </w:rPr>
              <w:fldChar w:fldCharType="separate"/>
            </w:r>
            <w:r>
              <w:rPr>
                <w:noProof/>
                <w:webHidden/>
              </w:rPr>
              <w:t>6</w:t>
            </w:r>
            <w:r>
              <w:rPr>
                <w:noProof/>
                <w:webHidden/>
              </w:rPr>
              <w:fldChar w:fldCharType="end"/>
            </w:r>
          </w:hyperlink>
        </w:p>
        <w:p w14:paraId="620D8D07" w14:textId="7748B81E" w:rsidR="00071EC1" w:rsidRDefault="00071EC1" w:rsidP="007C2E4A">
          <w:pPr>
            <w:pStyle w:val="TOC2"/>
            <w:rPr>
              <w:noProof/>
              <w:sz w:val="22"/>
              <w:szCs w:val="24"/>
              <w:lang w:val="en-US"/>
              <w14:ligatures w14:val="standardContextual"/>
            </w:rPr>
          </w:pPr>
          <w:hyperlink w:anchor="_Toc225472481" w:history="1">
            <w:r w:rsidRPr="003541B8">
              <w:rPr>
                <w:rStyle w:val="af"/>
                <w:rFonts w:ascii="Times New Roman" w:hAnsi="Times New Roman" w:cs="Times New Roman"/>
                <w:b/>
                <w:bCs/>
                <w:noProof/>
              </w:rPr>
              <w:t>2.4. Diversification and Agency Theory</w:t>
            </w:r>
            <w:r>
              <w:rPr>
                <w:noProof/>
                <w:webHidden/>
              </w:rPr>
              <w:tab/>
            </w:r>
            <w:r>
              <w:rPr>
                <w:noProof/>
                <w:webHidden/>
              </w:rPr>
              <w:fldChar w:fldCharType="begin"/>
            </w:r>
            <w:r>
              <w:rPr>
                <w:noProof/>
                <w:webHidden/>
              </w:rPr>
              <w:instrText xml:space="preserve"> PAGEREF _Toc225472481 \h </w:instrText>
            </w:r>
            <w:r>
              <w:rPr>
                <w:noProof/>
                <w:webHidden/>
              </w:rPr>
            </w:r>
            <w:r>
              <w:rPr>
                <w:noProof/>
                <w:webHidden/>
              </w:rPr>
              <w:fldChar w:fldCharType="separate"/>
            </w:r>
            <w:r>
              <w:rPr>
                <w:noProof/>
                <w:webHidden/>
              </w:rPr>
              <w:t>6</w:t>
            </w:r>
            <w:r>
              <w:rPr>
                <w:noProof/>
                <w:webHidden/>
              </w:rPr>
              <w:fldChar w:fldCharType="end"/>
            </w:r>
          </w:hyperlink>
        </w:p>
        <w:p w14:paraId="3CE83676" w14:textId="26FA4BDB" w:rsidR="00071EC1" w:rsidRDefault="00071EC1" w:rsidP="007C2E4A">
          <w:pPr>
            <w:pStyle w:val="TOC2"/>
            <w:rPr>
              <w:noProof/>
              <w:sz w:val="22"/>
              <w:szCs w:val="24"/>
              <w:lang w:val="en-US"/>
              <w14:ligatures w14:val="standardContextual"/>
            </w:rPr>
          </w:pPr>
          <w:hyperlink w:anchor="_Toc225472482" w:history="1">
            <w:r w:rsidRPr="003541B8">
              <w:rPr>
                <w:rStyle w:val="af"/>
                <w:rFonts w:ascii="Times New Roman" w:hAnsi="Times New Roman" w:cs="Times New Roman"/>
                <w:b/>
                <w:bCs/>
                <w:noProof/>
              </w:rPr>
              <w:t>2.5. Summary of Theoretical Framework</w:t>
            </w:r>
            <w:r>
              <w:rPr>
                <w:noProof/>
                <w:webHidden/>
              </w:rPr>
              <w:tab/>
            </w:r>
            <w:r>
              <w:rPr>
                <w:noProof/>
                <w:webHidden/>
              </w:rPr>
              <w:fldChar w:fldCharType="begin"/>
            </w:r>
            <w:r>
              <w:rPr>
                <w:noProof/>
                <w:webHidden/>
              </w:rPr>
              <w:instrText xml:space="preserve"> PAGEREF _Toc225472482 \h </w:instrText>
            </w:r>
            <w:r>
              <w:rPr>
                <w:noProof/>
                <w:webHidden/>
              </w:rPr>
            </w:r>
            <w:r>
              <w:rPr>
                <w:noProof/>
                <w:webHidden/>
              </w:rPr>
              <w:fldChar w:fldCharType="separate"/>
            </w:r>
            <w:r>
              <w:rPr>
                <w:noProof/>
                <w:webHidden/>
              </w:rPr>
              <w:t>7</w:t>
            </w:r>
            <w:r>
              <w:rPr>
                <w:noProof/>
                <w:webHidden/>
              </w:rPr>
              <w:fldChar w:fldCharType="end"/>
            </w:r>
          </w:hyperlink>
        </w:p>
        <w:p w14:paraId="337E1C71" w14:textId="1752E6C3" w:rsidR="00071EC1" w:rsidRDefault="00071EC1" w:rsidP="007C2E4A">
          <w:pPr>
            <w:pStyle w:val="TOC1"/>
            <w:tabs>
              <w:tab w:val="right" w:leader="dot" w:pos="8296"/>
            </w:tabs>
            <w:spacing w:line="360" w:lineRule="auto"/>
            <w:rPr>
              <w:noProof/>
              <w:sz w:val="22"/>
              <w:szCs w:val="24"/>
              <w:lang w:val="en-US"/>
              <w14:ligatures w14:val="standardContextual"/>
            </w:rPr>
          </w:pPr>
          <w:hyperlink w:anchor="_Toc225472483" w:history="1">
            <w:r w:rsidRPr="003541B8">
              <w:rPr>
                <w:rStyle w:val="af"/>
                <w:rFonts w:ascii="Times New Roman" w:hAnsi="Times New Roman" w:cs="Times New Roman"/>
                <w:b/>
                <w:bCs/>
                <w:noProof/>
              </w:rPr>
              <w:t>3. Analysis</w:t>
            </w:r>
            <w:r>
              <w:rPr>
                <w:noProof/>
                <w:webHidden/>
              </w:rPr>
              <w:tab/>
            </w:r>
            <w:r>
              <w:rPr>
                <w:noProof/>
                <w:webHidden/>
              </w:rPr>
              <w:fldChar w:fldCharType="begin"/>
            </w:r>
            <w:r>
              <w:rPr>
                <w:noProof/>
                <w:webHidden/>
              </w:rPr>
              <w:instrText xml:space="preserve"> PAGEREF _Toc225472483 \h </w:instrText>
            </w:r>
            <w:r>
              <w:rPr>
                <w:noProof/>
                <w:webHidden/>
              </w:rPr>
            </w:r>
            <w:r>
              <w:rPr>
                <w:noProof/>
                <w:webHidden/>
              </w:rPr>
              <w:fldChar w:fldCharType="separate"/>
            </w:r>
            <w:r>
              <w:rPr>
                <w:noProof/>
                <w:webHidden/>
              </w:rPr>
              <w:t>7</w:t>
            </w:r>
            <w:r>
              <w:rPr>
                <w:noProof/>
                <w:webHidden/>
              </w:rPr>
              <w:fldChar w:fldCharType="end"/>
            </w:r>
          </w:hyperlink>
        </w:p>
        <w:p w14:paraId="0815F126" w14:textId="4FB08D90" w:rsidR="00071EC1" w:rsidRDefault="00071EC1" w:rsidP="007C2E4A">
          <w:pPr>
            <w:pStyle w:val="TOC2"/>
            <w:rPr>
              <w:noProof/>
              <w:sz w:val="22"/>
              <w:szCs w:val="24"/>
              <w:lang w:val="en-US"/>
              <w14:ligatures w14:val="standardContextual"/>
            </w:rPr>
          </w:pPr>
          <w:hyperlink w:anchor="_Toc225472484" w:history="1">
            <w:r w:rsidRPr="003541B8">
              <w:rPr>
                <w:rStyle w:val="af"/>
                <w:rFonts w:ascii="Times New Roman" w:hAnsi="Times New Roman" w:cs="Times New Roman"/>
                <w:b/>
                <w:bCs/>
                <w:noProof/>
              </w:rPr>
              <w:t>3.1. Strategic Rational</w:t>
            </w:r>
            <w:r>
              <w:rPr>
                <w:noProof/>
                <w:webHidden/>
              </w:rPr>
              <w:tab/>
            </w:r>
            <w:r>
              <w:rPr>
                <w:noProof/>
                <w:webHidden/>
              </w:rPr>
              <w:fldChar w:fldCharType="begin"/>
            </w:r>
            <w:r>
              <w:rPr>
                <w:noProof/>
                <w:webHidden/>
              </w:rPr>
              <w:instrText xml:space="preserve"> PAGEREF _Toc225472484 \h </w:instrText>
            </w:r>
            <w:r>
              <w:rPr>
                <w:noProof/>
                <w:webHidden/>
              </w:rPr>
            </w:r>
            <w:r>
              <w:rPr>
                <w:noProof/>
                <w:webHidden/>
              </w:rPr>
              <w:fldChar w:fldCharType="separate"/>
            </w:r>
            <w:r>
              <w:rPr>
                <w:noProof/>
                <w:webHidden/>
              </w:rPr>
              <w:t>8</w:t>
            </w:r>
            <w:r>
              <w:rPr>
                <w:noProof/>
                <w:webHidden/>
              </w:rPr>
              <w:fldChar w:fldCharType="end"/>
            </w:r>
          </w:hyperlink>
        </w:p>
        <w:p w14:paraId="4CD0E6F7" w14:textId="31B13D0C" w:rsidR="00071EC1" w:rsidRDefault="00071EC1" w:rsidP="007C2E4A">
          <w:pPr>
            <w:pStyle w:val="TOC2"/>
            <w:rPr>
              <w:noProof/>
              <w:sz w:val="22"/>
              <w:szCs w:val="24"/>
              <w:lang w:val="en-US"/>
              <w14:ligatures w14:val="standardContextual"/>
            </w:rPr>
          </w:pPr>
          <w:hyperlink w:anchor="_Toc225472485" w:history="1">
            <w:r w:rsidRPr="003541B8">
              <w:rPr>
                <w:rStyle w:val="af"/>
                <w:rFonts w:ascii="Times New Roman" w:hAnsi="Times New Roman" w:cs="Times New Roman"/>
                <w:b/>
                <w:bCs/>
                <w:noProof/>
              </w:rPr>
              <w:t>3.2. Economies of Scale</w:t>
            </w:r>
            <w:r>
              <w:rPr>
                <w:noProof/>
                <w:webHidden/>
              </w:rPr>
              <w:tab/>
            </w:r>
            <w:r>
              <w:rPr>
                <w:noProof/>
                <w:webHidden/>
              </w:rPr>
              <w:fldChar w:fldCharType="begin"/>
            </w:r>
            <w:r>
              <w:rPr>
                <w:noProof/>
                <w:webHidden/>
              </w:rPr>
              <w:instrText xml:space="preserve"> PAGEREF _Toc225472485 \h </w:instrText>
            </w:r>
            <w:r>
              <w:rPr>
                <w:noProof/>
                <w:webHidden/>
              </w:rPr>
            </w:r>
            <w:r>
              <w:rPr>
                <w:noProof/>
                <w:webHidden/>
              </w:rPr>
              <w:fldChar w:fldCharType="separate"/>
            </w:r>
            <w:r>
              <w:rPr>
                <w:noProof/>
                <w:webHidden/>
              </w:rPr>
              <w:t>9</w:t>
            </w:r>
            <w:r>
              <w:rPr>
                <w:noProof/>
                <w:webHidden/>
              </w:rPr>
              <w:fldChar w:fldCharType="end"/>
            </w:r>
          </w:hyperlink>
        </w:p>
        <w:p w14:paraId="0539795C" w14:textId="78C49CAB" w:rsidR="00071EC1" w:rsidRDefault="00071EC1" w:rsidP="007C2E4A">
          <w:pPr>
            <w:pStyle w:val="TOC2"/>
            <w:rPr>
              <w:noProof/>
              <w:sz w:val="22"/>
              <w:szCs w:val="24"/>
              <w:lang w:val="en-US"/>
              <w14:ligatures w14:val="standardContextual"/>
            </w:rPr>
          </w:pPr>
          <w:hyperlink w:anchor="_Toc225472486" w:history="1">
            <w:r w:rsidRPr="003541B8">
              <w:rPr>
                <w:rStyle w:val="af"/>
                <w:rFonts w:ascii="Times New Roman" w:hAnsi="Times New Roman" w:cs="Times New Roman"/>
                <w:b/>
                <w:bCs/>
                <w:noProof/>
              </w:rPr>
              <w:t>3.3. Elimination of Inefficiencies</w:t>
            </w:r>
            <w:r>
              <w:rPr>
                <w:noProof/>
                <w:webHidden/>
              </w:rPr>
              <w:tab/>
            </w:r>
            <w:r>
              <w:rPr>
                <w:noProof/>
                <w:webHidden/>
              </w:rPr>
              <w:fldChar w:fldCharType="begin"/>
            </w:r>
            <w:r>
              <w:rPr>
                <w:noProof/>
                <w:webHidden/>
              </w:rPr>
              <w:instrText xml:space="preserve"> PAGEREF _Toc225472486 \h </w:instrText>
            </w:r>
            <w:r>
              <w:rPr>
                <w:noProof/>
                <w:webHidden/>
              </w:rPr>
            </w:r>
            <w:r>
              <w:rPr>
                <w:noProof/>
                <w:webHidden/>
              </w:rPr>
              <w:fldChar w:fldCharType="separate"/>
            </w:r>
            <w:r>
              <w:rPr>
                <w:noProof/>
                <w:webHidden/>
              </w:rPr>
              <w:t>9</w:t>
            </w:r>
            <w:r>
              <w:rPr>
                <w:noProof/>
                <w:webHidden/>
              </w:rPr>
              <w:fldChar w:fldCharType="end"/>
            </w:r>
          </w:hyperlink>
        </w:p>
        <w:p w14:paraId="08F179EB" w14:textId="0FF06EF9" w:rsidR="00071EC1" w:rsidRDefault="00071EC1" w:rsidP="007C2E4A">
          <w:pPr>
            <w:pStyle w:val="TOC2"/>
            <w:rPr>
              <w:noProof/>
              <w:sz w:val="22"/>
              <w:szCs w:val="24"/>
              <w:lang w:val="en-US"/>
              <w14:ligatures w14:val="standardContextual"/>
            </w:rPr>
          </w:pPr>
          <w:hyperlink w:anchor="_Toc225472487" w:history="1">
            <w:r w:rsidRPr="003541B8">
              <w:rPr>
                <w:rStyle w:val="af"/>
                <w:rFonts w:ascii="Times New Roman" w:hAnsi="Times New Roman" w:cs="Times New Roman"/>
                <w:b/>
                <w:bCs/>
                <w:noProof/>
              </w:rPr>
              <w:t>3.4. Combining Complementary Resources</w:t>
            </w:r>
            <w:r>
              <w:rPr>
                <w:noProof/>
                <w:webHidden/>
              </w:rPr>
              <w:tab/>
            </w:r>
            <w:r>
              <w:rPr>
                <w:noProof/>
                <w:webHidden/>
              </w:rPr>
              <w:fldChar w:fldCharType="begin"/>
            </w:r>
            <w:r>
              <w:rPr>
                <w:noProof/>
                <w:webHidden/>
              </w:rPr>
              <w:instrText xml:space="preserve"> PAGEREF _Toc225472487 \h </w:instrText>
            </w:r>
            <w:r>
              <w:rPr>
                <w:noProof/>
                <w:webHidden/>
              </w:rPr>
            </w:r>
            <w:r>
              <w:rPr>
                <w:noProof/>
                <w:webHidden/>
              </w:rPr>
              <w:fldChar w:fldCharType="separate"/>
            </w:r>
            <w:r>
              <w:rPr>
                <w:noProof/>
                <w:webHidden/>
              </w:rPr>
              <w:t>10</w:t>
            </w:r>
            <w:r>
              <w:rPr>
                <w:noProof/>
                <w:webHidden/>
              </w:rPr>
              <w:fldChar w:fldCharType="end"/>
            </w:r>
          </w:hyperlink>
        </w:p>
        <w:p w14:paraId="32DEE864" w14:textId="01CCA05A" w:rsidR="00071EC1" w:rsidRDefault="00071EC1" w:rsidP="007C2E4A">
          <w:pPr>
            <w:pStyle w:val="TOC2"/>
            <w:rPr>
              <w:noProof/>
              <w:sz w:val="22"/>
              <w:szCs w:val="24"/>
              <w:lang w:val="en-US"/>
              <w14:ligatures w14:val="standardContextual"/>
            </w:rPr>
          </w:pPr>
          <w:hyperlink w:anchor="_Toc225472488" w:history="1">
            <w:r w:rsidRPr="003541B8">
              <w:rPr>
                <w:rStyle w:val="af"/>
                <w:rFonts w:ascii="Times New Roman" w:hAnsi="Times New Roman" w:cs="Times New Roman"/>
                <w:b/>
                <w:bCs/>
                <w:noProof/>
              </w:rPr>
              <w:t>3.5. Speed of Growth</w:t>
            </w:r>
            <w:r>
              <w:rPr>
                <w:noProof/>
                <w:webHidden/>
              </w:rPr>
              <w:tab/>
            </w:r>
            <w:r>
              <w:rPr>
                <w:noProof/>
                <w:webHidden/>
              </w:rPr>
              <w:fldChar w:fldCharType="begin"/>
            </w:r>
            <w:r>
              <w:rPr>
                <w:noProof/>
                <w:webHidden/>
              </w:rPr>
              <w:instrText xml:space="preserve"> PAGEREF _Toc225472488 \h </w:instrText>
            </w:r>
            <w:r>
              <w:rPr>
                <w:noProof/>
                <w:webHidden/>
              </w:rPr>
            </w:r>
            <w:r>
              <w:rPr>
                <w:noProof/>
                <w:webHidden/>
              </w:rPr>
              <w:fldChar w:fldCharType="separate"/>
            </w:r>
            <w:r>
              <w:rPr>
                <w:noProof/>
                <w:webHidden/>
              </w:rPr>
              <w:t>10</w:t>
            </w:r>
            <w:r>
              <w:rPr>
                <w:noProof/>
                <w:webHidden/>
              </w:rPr>
              <w:fldChar w:fldCharType="end"/>
            </w:r>
          </w:hyperlink>
        </w:p>
        <w:p w14:paraId="2C860AC3" w14:textId="311EE991" w:rsidR="00071EC1" w:rsidRDefault="00071EC1" w:rsidP="007C2E4A">
          <w:pPr>
            <w:pStyle w:val="TOC2"/>
            <w:rPr>
              <w:noProof/>
              <w:sz w:val="22"/>
              <w:szCs w:val="24"/>
              <w:lang w:val="en-US"/>
              <w14:ligatures w14:val="standardContextual"/>
            </w:rPr>
          </w:pPr>
          <w:hyperlink w:anchor="_Toc225472489" w:history="1">
            <w:r w:rsidRPr="003541B8">
              <w:rPr>
                <w:rStyle w:val="af"/>
                <w:rFonts w:ascii="Times New Roman" w:hAnsi="Times New Roman" w:cs="Times New Roman"/>
                <w:b/>
                <w:bCs/>
                <w:noProof/>
              </w:rPr>
              <w:t>3.6. Financial Benefits</w:t>
            </w:r>
            <w:r>
              <w:rPr>
                <w:noProof/>
                <w:webHidden/>
              </w:rPr>
              <w:tab/>
            </w:r>
            <w:r>
              <w:rPr>
                <w:noProof/>
                <w:webHidden/>
              </w:rPr>
              <w:fldChar w:fldCharType="begin"/>
            </w:r>
            <w:r>
              <w:rPr>
                <w:noProof/>
                <w:webHidden/>
              </w:rPr>
              <w:instrText xml:space="preserve"> PAGEREF _Toc225472489 \h </w:instrText>
            </w:r>
            <w:r>
              <w:rPr>
                <w:noProof/>
                <w:webHidden/>
              </w:rPr>
            </w:r>
            <w:r>
              <w:rPr>
                <w:noProof/>
                <w:webHidden/>
              </w:rPr>
              <w:fldChar w:fldCharType="separate"/>
            </w:r>
            <w:r>
              <w:rPr>
                <w:noProof/>
                <w:webHidden/>
              </w:rPr>
              <w:t>11</w:t>
            </w:r>
            <w:r>
              <w:rPr>
                <w:noProof/>
                <w:webHidden/>
              </w:rPr>
              <w:fldChar w:fldCharType="end"/>
            </w:r>
          </w:hyperlink>
        </w:p>
        <w:p w14:paraId="2D57AACA" w14:textId="51CD1BD1" w:rsidR="00071EC1" w:rsidRDefault="00071EC1" w:rsidP="007C2E4A">
          <w:pPr>
            <w:pStyle w:val="TOC2"/>
            <w:rPr>
              <w:noProof/>
              <w:sz w:val="22"/>
              <w:szCs w:val="24"/>
              <w:lang w:val="en-US"/>
              <w14:ligatures w14:val="standardContextual"/>
            </w:rPr>
          </w:pPr>
          <w:hyperlink w:anchor="_Toc225472490" w:history="1">
            <w:r w:rsidRPr="003541B8">
              <w:rPr>
                <w:rStyle w:val="af"/>
                <w:rFonts w:ascii="Times New Roman" w:hAnsi="Times New Roman" w:cs="Times New Roman"/>
                <w:b/>
                <w:bCs/>
                <w:noProof/>
              </w:rPr>
              <w:t>3.7. Increased Power in the Market</w:t>
            </w:r>
            <w:r>
              <w:rPr>
                <w:noProof/>
                <w:webHidden/>
              </w:rPr>
              <w:tab/>
            </w:r>
            <w:r>
              <w:rPr>
                <w:noProof/>
                <w:webHidden/>
              </w:rPr>
              <w:fldChar w:fldCharType="begin"/>
            </w:r>
            <w:r>
              <w:rPr>
                <w:noProof/>
                <w:webHidden/>
              </w:rPr>
              <w:instrText xml:space="preserve"> PAGEREF _Toc225472490 \h </w:instrText>
            </w:r>
            <w:r>
              <w:rPr>
                <w:noProof/>
                <w:webHidden/>
              </w:rPr>
            </w:r>
            <w:r>
              <w:rPr>
                <w:noProof/>
                <w:webHidden/>
              </w:rPr>
              <w:fldChar w:fldCharType="separate"/>
            </w:r>
            <w:r>
              <w:rPr>
                <w:noProof/>
                <w:webHidden/>
              </w:rPr>
              <w:t>12</w:t>
            </w:r>
            <w:r>
              <w:rPr>
                <w:noProof/>
                <w:webHidden/>
              </w:rPr>
              <w:fldChar w:fldCharType="end"/>
            </w:r>
          </w:hyperlink>
        </w:p>
        <w:p w14:paraId="173FD9F5" w14:textId="5440867F" w:rsidR="00071EC1" w:rsidRDefault="00071EC1" w:rsidP="007C2E4A">
          <w:pPr>
            <w:pStyle w:val="TOC2"/>
            <w:rPr>
              <w:noProof/>
              <w:sz w:val="22"/>
              <w:szCs w:val="24"/>
              <w:lang w:val="en-US"/>
              <w14:ligatures w14:val="standardContextual"/>
            </w:rPr>
          </w:pPr>
          <w:hyperlink w:anchor="_Toc225472491" w:history="1">
            <w:r w:rsidRPr="003541B8">
              <w:rPr>
                <w:rStyle w:val="af"/>
                <w:rFonts w:ascii="Times New Roman" w:hAnsi="Times New Roman" w:cs="Times New Roman"/>
                <w:b/>
                <w:bCs/>
                <w:noProof/>
              </w:rPr>
              <w:t>3.8. Diversification</w:t>
            </w:r>
            <w:r>
              <w:rPr>
                <w:noProof/>
                <w:webHidden/>
              </w:rPr>
              <w:tab/>
            </w:r>
            <w:r>
              <w:rPr>
                <w:noProof/>
                <w:webHidden/>
              </w:rPr>
              <w:fldChar w:fldCharType="begin"/>
            </w:r>
            <w:r>
              <w:rPr>
                <w:noProof/>
                <w:webHidden/>
              </w:rPr>
              <w:instrText xml:space="preserve"> PAGEREF _Toc225472491 \h </w:instrText>
            </w:r>
            <w:r>
              <w:rPr>
                <w:noProof/>
                <w:webHidden/>
              </w:rPr>
            </w:r>
            <w:r>
              <w:rPr>
                <w:noProof/>
                <w:webHidden/>
              </w:rPr>
              <w:fldChar w:fldCharType="separate"/>
            </w:r>
            <w:r>
              <w:rPr>
                <w:noProof/>
                <w:webHidden/>
              </w:rPr>
              <w:t>12</w:t>
            </w:r>
            <w:r>
              <w:rPr>
                <w:noProof/>
                <w:webHidden/>
              </w:rPr>
              <w:fldChar w:fldCharType="end"/>
            </w:r>
          </w:hyperlink>
        </w:p>
        <w:p w14:paraId="079945ED" w14:textId="74BE7BBF" w:rsidR="00071EC1" w:rsidRDefault="00071EC1" w:rsidP="007C2E4A">
          <w:pPr>
            <w:pStyle w:val="TOC2"/>
            <w:rPr>
              <w:noProof/>
              <w:sz w:val="22"/>
              <w:szCs w:val="24"/>
              <w:lang w:val="en-US"/>
              <w14:ligatures w14:val="standardContextual"/>
            </w:rPr>
          </w:pPr>
          <w:hyperlink w:anchor="_Toc225472492" w:history="1">
            <w:r w:rsidRPr="003541B8">
              <w:rPr>
                <w:rStyle w:val="af"/>
                <w:rFonts w:ascii="Times New Roman" w:hAnsi="Times New Roman" w:cs="Times New Roman"/>
                <w:b/>
                <w:bCs/>
                <w:noProof/>
              </w:rPr>
              <w:t>3.9. Regulatory Framework</w:t>
            </w:r>
            <w:r>
              <w:rPr>
                <w:noProof/>
                <w:webHidden/>
              </w:rPr>
              <w:tab/>
            </w:r>
            <w:r>
              <w:rPr>
                <w:noProof/>
                <w:webHidden/>
              </w:rPr>
              <w:fldChar w:fldCharType="begin"/>
            </w:r>
            <w:r>
              <w:rPr>
                <w:noProof/>
                <w:webHidden/>
              </w:rPr>
              <w:instrText xml:space="preserve"> PAGEREF _Toc225472492 \h </w:instrText>
            </w:r>
            <w:r>
              <w:rPr>
                <w:noProof/>
                <w:webHidden/>
              </w:rPr>
            </w:r>
            <w:r>
              <w:rPr>
                <w:noProof/>
                <w:webHidden/>
              </w:rPr>
              <w:fldChar w:fldCharType="separate"/>
            </w:r>
            <w:r>
              <w:rPr>
                <w:noProof/>
                <w:webHidden/>
              </w:rPr>
              <w:t>13</w:t>
            </w:r>
            <w:r>
              <w:rPr>
                <w:noProof/>
                <w:webHidden/>
              </w:rPr>
              <w:fldChar w:fldCharType="end"/>
            </w:r>
          </w:hyperlink>
        </w:p>
        <w:p w14:paraId="1E1C583C" w14:textId="3764BB27" w:rsidR="00071EC1" w:rsidRDefault="00071EC1" w:rsidP="007C2E4A">
          <w:pPr>
            <w:pStyle w:val="TOC2"/>
            <w:rPr>
              <w:noProof/>
              <w:sz w:val="22"/>
              <w:szCs w:val="24"/>
              <w:lang w:val="en-US"/>
              <w14:ligatures w14:val="standardContextual"/>
            </w:rPr>
          </w:pPr>
          <w:hyperlink w:anchor="_Toc225472493" w:history="1">
            <w:r w:rsidRPr="003541B8">
              <w:rPr>
                <w:rStyle w:val="af"/>
                <w:rFonts w:ascii="Times New Roman" w:hAnsi="Times New Roman" w:cs="Times New Roman"/>
                <w:b/>
                <w:bCs/>
                <w:noProof/>
              </w:rPr>
              <w:t>3.10. Shareholders Wealth</w:t>
            </w:r>
            <w:r>
              <w:rPr>
                <w:noProof/>
                <w:webHidden/>
              </w:rPr>
              <w:tab/>
            </w:r>
            <w:r>
              <w:rPr>
                <w:noProof/>
                <w:webHidden/>
              </w:rPr>
              <w:fldChar w:fldCharType="begin"/>
            </w:r>
            <w:r>
              <w:rPr>
                <w:noProof/>
                <w:webHidden/>
              </w:rPr>
              <w:instrText xml:space="preserve"> PAGEREF _Toc225472493 \h </w:instrText>
            </w:r>
            <w:r>
              <w:rPr>
                <w:noProof/>
                <w:webHidden/>
              </w:rPr>
            </w:r>
            <w:r>
              <w:rPr>
                <w:noProof/>
                <w:webHidden/>
              </w:rPr>
              <w:fldChar w:fldCharType="separate"/>
            </w:r>
            <w:r>
              <w:rPr>
                <w:noProof/>
                <w:webHidden/>
              </w:rPr>
              <w:t>14</w:t>
            </w:r>
            <w:r>
              <w:rPr>
                <w:noProof/>
                <w:webHidden/>
              </w:rPr>
              <w:fldChar w:fldCharType="end"/>
            </w:r>
          </w:hyperlink>
        </w:p>
        <w:p w14:paraId="4071C60C" w14:textId="1866BB88" w:rsidR="00071EC1" w:rsidRDefault="00071EC1" w:rsidP="007C2E4A">
          <w:pPr>
            <w:pStyle w:val="TOC1"/>
            <w:tabs>
              <w:tab w:val="right" w:leader="dot" w:pos="8296"/>
            </w:tabs>
            <w:spacing w:line="360" w:lineRule="auto"/>
            <w:rPr>
              <w:noProof/>
              <w:sz w:val="22"/>
              <w:szCs w:val="24"/>
              <w:lang w:val="en-US"/>
              <w14:ligatures w14:val="standardContextual"/>
            </w:rPr>
          </w:pPr>
          <w:hyperlink w:anchor="_Toc225472494" w:history="1">
            <w:r w:rsidRPr="003541B8">
              <w:rPr>
                <w:rStyle w:val="af"/>
                <w:rFonts w:ascii="Times New Roman" w:hAnsi="Times New Roman" w:cs="Times New Roman"/>
                <w:b/>
                <w:bCs/>
                <w:noProof/>
              </w:rPr>
              <w:t>4. Conclusion</w:t>
            </w:r>
            <w:r>
              <w:rPr>
                <w:noProof/>
                <w:webHidden/>
              </w:rPr>
              <w:tab/>
            </w:r>
            <w:r>
              <w:rPr>
                <w:noProof/>
                <w:webHidden/>
              </w:rPr>
              <w:fldChar w:fldCharType="begin"/>
            </w:r>
            <w:r>
              <w:rPr>
                <w:noProof/>
                <w:webHidden/>
              </w:rPr>
              <w:instrText xml:space="preserve"> PAGEREF _Toc225472494 \h </w:instrText>
            </w:r>
            <w:r>
              <w:rPr>
                <w:noProof/>
                <w:webHidden/>
              </w:rPr>
            </w:r>
            <w:r>
              <w:rPr>
                <w:noProof/>
                <w:webHidden/>
              </w:rPr>
              <w:fldChar w:fldCharType="separate"/>
            </w:r>
            <w:r>
              <w:rPr>
                <w:noProof/>
                <w:webHidden/>
              </w:rPr>
              <w:t>15</w:t>
            </w:r>
            <w:r>
              <w:rPr>
                <w:noProof/>
                <w:webHidden/>
              </w:rPr>
              <w:fldChar w:fldCharType="end"/>
            </w:r>
          </w:hyperlink>
        </w:p>
        <w:p w14:paraId="67C78270" w14:textId="656FA06F" w:rsidR="00071EC1" w:rsidRDefault="00071EC1" w:rsidP="007C2E4A">
          <w:pPr>
            <w:pStyle w:val="TOC1"/>
            <w:tabs>
              <w:tab w:val="right" w:leader="dot" w:pos="8296"/>
            </w:tabs>
            <w:spacing w:line="360" w:lineRule="auto"/>
            <w:rPr>
              <w:noProof/>
              <w:sz w:val="22"/>
              <w:szCs w:val="24"/>
              <w:lang w:val="en-US"/>
              <w14:ligatures w14:val="standardContextual"/>
            </w:rPr>
          </w:pPr>
          <w:hyperlink w:anchor="_Toc225472495" w:history="1">
            <w:r w:rsidRPr="003541B8">
              <w:rPr>
                <w:rStyle w:val="af"/>
                <w:rFonts w:ascii="Times New Roman" w:hAnsi="Times New Roman" w:cs="Times New Roman"/>
                <w:b/>
                <w:bCs/>
                <w:noProof/>
              </w:rPr>
              <w:t>Reference</w:t>
            </w:r>
            <w:r>
              <w:rPr>
                <w:noProof/>
                <w:webHidden/>
              </w:rPr>
              <w:tab/>
            </w:r>
            <w:r>
              <w:rPr>
                <w:noProof/>
                <w:webHidden/>
              </w:rPr>
              <w:fldChar w:fldCharType="begin"/>
            </w:r>
            <w:r>
              <w:rPr>
                <w:noProof/>
                <w:webHidden/>
              </w:rPr>
              <w:instrText xml:space="preserve"> PAGEREF _Toc225472495 \h </w:instrText>
            </w:r>
            <w:r>
              <w:rPr>
                <w:noProof/>
                <w:webHidden/>
              </w:rPr>
            </w:r>
            <w:r>
              <w:rPr>
                <w:noProof/>
                <w:webHidden/>
              </w:rPr>
              <w:fldChar w:fldCharType="separate"/>
            </w:r>
            <w:r>
              <w:rPr>
                <w:noProof/>
                <w:webHidden/>
              </w:rPr>
              <w:t>16</w:t>
            </w:r>
            <w:r>
              <w:rPr>
                <w:noProof/>
                <w:webHidden/>
              </w:rPr>
              <w:fldChar w:fldCharType="end"/>
            </w:r>
          </w:hyperlink>
        </w:p>
        <w:p w14:paraId="4AE68B58" w14:textId="6BE3F8D9" w:rsidR="003B7428" w:rsidRDefault="003B7428" w:rsidP="007C2E4A">
          <w:pPr>
            <w:spacing w:line="360" w:lineRule="auto"/>
          </w:pPr>
          <w:r w:rsidRPr="00AE15AD">
            <w:rPr>
              <w:rFonts w:ascii="Times New Roman" w:hAnsi="Times New Roman" w:cs="Times New Roman"/>
              <w:b/>
              <w:bCs/>
              <w:sz w:val="24"/>
              <w:szCs w:val="24"/>
              <w:lang w:val="zh-CN"/>
            </w:rPr>
            <w:fldChar w:fldCharType="end"/>
          </w:r>
        </w:p>
      </w:sdtContent>
    </w:sdt>
    <w:p w14:paraId="4392FE91" w14:textId="77777777" w:rsidR="00900329" w:rsidRPr="007159CA" w:rsidRDefault="00900329">
      <w:pPr>
        <w:widowControl/>
        <w:jc w:val="left"/>
        <w:rPr>
          <w:rFonts w:ascii="Times New Roman" w:hAnsi="Times New Roman" w:cs="Times New Roman"/>
        </w:rPr>
      </w:pPr>
      <w:r w:rsidRPr="007159CA">
        <w:rPr>
          <w:rFonts w:ascii="Times New Roman" w:hAnsi="Times New Roman" w:cs="Times New Roman"/>
        </w:rPr>
        <w:br w:type="page"/>
      </w:r>
    </w:p>
    <w:p w14:paraId="30E97D6A" w14:textId="69C404F1" w:rsidR="000D43D5" w:rsidRPr="00226D91" w:rsidRDefault="00024650" w:rsidP="0011034A">
      <w:pPr>
        <w:spacing w:line="360" w:lineRule="auto"/>
        <w:outlineLvl w:val="0"/>
        <w:rPr>
          <w:rFonts w:ascii="Times New Roman" w:hAnsi="Times New Roman" w:cs="Times New Roman"/>
          <w:b/>
          <w:bCs/>
          <w:sz w:val="30"/>
          <w:szCs w:val="30"/>
        </w:rPr>
      </w:pPr>
      <w:bookmarkStart w:id="1" w:name="_Toc225472476"/>
      <w:r w:rsidRPr="00226D91">
        <w:rPr>
          <w:rFonts w:ascii="Times New Roman" w:hAnsi="Times New Roman" w:cs="Times New Roman"/>
          <w:b/>
          <w:bCs/>
          <w:sz w:val="30"/>
          <w:szCs w:val="30"/>
        </w:rPr>
        <w:lastRenderedPageBreak/>
        <w:t>1</w:t>
      </w:r>
      <w:r w:rsidR="00900329" w:rsidRPr="00226D91">
        <w:rPr>
          <w:rFonts w:ascii="Times New Roman" w:hAnsi="Times New Roman" w:cs="Times New Roman"/>
          <w:b/>
          <w:bCs/>
          <w:sz w:val="30"/>
          <w:szCs w:val="30"/>
        </w:rPr>
        <w:t>. Introduction</w:t>
      </w:r>
      <w:bookmarkEnd w:id="1"/>
    </w:p>
    <w:p w14:paraId="5EF05600" w14:textId="77777777" w:rsidR="00900329" w:rsidRPr="007159CA" w:rsidRDefault="00900329" w:rsidP="0011034A">
      <w:pPr>
        <w:spacing w:line="360" w:lineRule="auto"/>
        <w:rPr>
          <w:rFonts w:ascii="Times New Roman" w:hAnsi="Times New Roman" w:cs="Times New Roman"/>
        </w:rPr>
      </w:pPr>
    </w:p>
    <w:p w14:paraId="6A8E4309" w14:textId="77777777" w:rsidR="006C4131" w:rsidRPr="006C4131" w:rsidRDefault="006C4131" w:rsidP="006C4131">
      <w:pPr>
        <w:spacing w:line="360" w:lineRule="auto"/>
        <w:rPr>
          <w:rFonts w:ascii="Times New Roman" w:hAnsi="Times New Roman" w:cs="Times New Roman"/>
          <w:sz w:val="24"/>
          <w:szCs w:val="24"/>
        </w:rPr>
      </w:pPr>
      <w:r w:rsidRPr="006C4131">
        <w:rPr>
          <w:rFonts w:ascii="Times New Roman" w:hAnsi="Times New Roman" w:cs="Times New Roman"/>
          <w:sz w:val="24"/>
          <w:szCs w:val="24"/>
        </w:rPr>
        <w:t>M&amp;A is widely used by enterprises as a strategic means to enhance competitiveness, improve efficiency and create value for shareholders (</w:t>
      </w:r>
      <w:proofErr w:type="spellStart"/>
      <w:r w:rsidRPr="006C4131">
        <w:rPr>
          <w:rFonts w:ascii="Times New Roman" w:hAnsi="Times New Roman" w:cs="Times New Roman"/>
          <w:sz w:val="24"/>
          <w:szCs w:val="24"/>
        </w:rPr>
        <w:t>Ermawati</w:t>
      </w:r>
      <w:proofErr w:type="spellEnd"/>
      <w:r w:rsidRPr="006C4131">
        <w:rPr>
          <w:rFonts w:ascii="Times New Roman" w:hAnsi="Times New Roman" w:cs="Times New Roman"/>
          <w:sz w:val="24"/>
          <w:szCs w:val="24"/>
        </w:rPr>
        <w:t xml:space="preserve"> et al., 2025a). Enterprises usually acquire new capabilities by acquiring other companies or responding to changes in the external business environment.</w:t>
      </w:r>
    </w:p>
    <w:p w14:paraId="6EAEAA7A" w14:textId="77777777" w:rsidR="006C4131" w:rsidRPr="006C4131" w:rsidRDefault="006C4131" w:rsidP="006C4131">
      <w:pPr>
        <w:spacing w:line="360" w:lineRule="auto"/>
        <w:rPr>
          <w:rFonts w:ascii="Times New Roman" w:hAnsi="Times New Roman" w:cs="Times New Roman"/>
          <w:sz w:val="24"/>
          <w:szCs w:val="24"/>
        </w:rPr>
      </w:pPr>
    </w:p>
    <w:p w14:paraId="3DCEEDFA" w14:textId="77777777" w:rsidR="006C4131" w:rsidRPr="006C4131" w:rsidRDefault="006C4131" w:rsidP="006C4131">
      <w:pPr>
        <w:spacing w:line="360" w:lineRule="auto"/>
        <w:rPr>
          <w:rFonts w:ascii="Times New Roman" w:hAnsi="Times New Roman" w:cs="Times New Roman"/>
          <w:sz w:val="24"/>
          <w:szCs w:val="24"/>
        </w:rPr>
      </w:pPr>
      <w:r w:rsidRPr="006C4131">
        <w:rPr>
          <w:rFonts w:ascii="Times New Roman" w:hAnsi="Times New Roman" w:cs="Times New Roman"/>
          <w:sz w:val="24"/>
          <w:szCs w:val="24"/>
        </w:rPr>
        <w:t>In 2022, Marks &amp; Spencer (M&amp;S), one of the leading retailers in the UK, acquired Gist, a logistics and supply chain company, for about 145 million pounds. Gist has long been a logistics partner of M&amp;S Food, responsible for managing its distribution centre and transportation business in the British.</w:t>
      </w:r>
    </w:p>
    <w:p w14:paraId="468C59C6" w14:textId="77777777" w:rsidR="006C4131" w:rsidRPr="006C4131" w:rsidRDefault="006C4131" w:rsidP="006C4131">
      <w:pPr>
        <w:spacing w:line="360" w:lineRule="auto"/>
        <w:rPr>
          <w:rFonts w:ascii="Times New Roman" w:hAnsi="Times New Roman" w:cs="Times New Roman"/>
          <w:sz w:val="24"/>
          <w:szCs w:val="24"/>
        </w:rPr>
      </w:pPr>
    </w:p>
    <w:p w14:paraId="115CE57D" w14:textId="77777777" w:rsidR="006C4131" w:rsidRPr="006C4131" w:rsidRDefault="006C4131" w:rsidP="006C4131">
      <w:pPr>
        <w:spacing w:line="360" w:lineRule="auto"/>
        <w:rPr>
          <w:rFonts w:ascii="Times New Roman" w:hAnsi="Times New Roman" w:cs="Times New Roman"/>
          <w:sz w:val="24"/>
          <w:szCs w:val="24"/>
        </w:rPr>
      </w:pPr>
      <w:r w:rsidRPr="006C4131">
        <w:rPr>
          <w:rFonts w:ascii="Times New Roman" w:hAnsi="Times New Roman" w:cs="Times New Roman"/>
          <w:sz w:val="24"/>
          <w:szCs w:val="24"/>
        </w:rPr>
        <w:t>The acquisition was carried out against the background of Brexit, COVID-19 and labour shortage. These factors have seriously disrupted the supply chain and posed great challenges to British retailers (</w:t>
      </w:r>
      <w:proofErr w:type="spellStart"/>
      <w:r w:rsidRPr="006C4131">
        <w:rPr>
          <w:rFonts w:ascii="Times New Roman" w:hAnsi="Times New Roman" w:cs="Times New Roman"/>
          <w:sz w:val="24"/>
          <w:szCs w:val="24"/>
        </w:rPr>
        <w:t>Oyegok</w:t>
      </w:r>
      <w:proofErr w:type="spellEnd"/>
      <w:r w:rsidRPr="006C4131">
        <w:rPr>
          <w:rFonts w:ascii="Times New Roman" w:hAnsi="Times New Roman" w:cs="Times New Roman"/>
          <w:sz w:val="24"/>
          <w:szCs w:val="24"/>
        </w:rPr>
        <w:t xml:space="preserve"> et al., 2024; Ringham et al., 2025; Government Research Institute, 2021). Therefore, strengthening supply chain control has become the strategic focus of many enterprises.</w:t>
      </w:r>
    </w:p>
    <w:p w14:paraId="33DC96BF" w14:textId="77777777" w:rsidR="006C4131" w:rsidRPr="006C4131" w:rsidRDefault="006C4131" w:rsidP="006C4131">
      <w:pPr>
        <w:spacing w:line="360" w:lineRule="auto"/>
        <w:rPr>
          <w:rFonts w:ascii="Times New Roman" w:hAnsi="Times New Roman" w:cs="Times New Roman"/>
          <w:sz w:val="24"/>
          <w:szCs w:val="24"/>
        </w:rPr>
      </w:pPr>
    </w:p>
    <w:p w14:paraId="7B8FE127" w14:textId="308FE8EA" w:rsidR="0032540E" w:rsidRPr="001A1F61" w:rsidRDefault="006C4131" w:rsidP="006C4131">
      <w:pPr>
        <w:spacing w:line="360" w:lineRule="auto"/>
        <w:rPr>
          <w:rFonts w:ascii="Times New Roman" w:hAnsi="Times New Roman" w:cs="Times New Roman"/>
          <w:sz w:val="24"/>
          <w:szCs w:val="24"/>
        </w:rPr>
      </w:pPr>
      <w:r w:rsidRPr="006C4131">
        <w:rPr>
          <w:rFonts w:ascii="Times New Roman" w:hAnsi="Times New Roman" w:cs="Times New Roman"/>
          <w:sz w:val="24"/>
          <w:szCs w:val="24"/>
        </w:rPr>
        <w:t>This report aims to make an in-depth evaluation of whether the acquisition action of Gist has successfully achieved its strategic and financial goals, focussing on operational efficiency, financial performance and long-term value creation.</w:t>
      </w:r>
    </w:p>
    <w:p w14:paraId="3F429384" w14:textId="77777777" w:rsidR="0032540E" w:rsidRPr="001A1F61" w:rsidRDefault="0032540E">
      <w:pPr>
        <w:widowControl/>
        <w:jc w:val="left"/>
        <w:rPr>
          <w:rFonts w:ascii="Times New Roman" w:hAnsi="Times New Roman" w:cs="Times New Roman"/>
          <w:sz w:val="24"/>
          <w:szCs w:val="24"/>
        </w:rPr>
      </w:pPr>
      <w:r w:rsidRPr="001A1F61">
        <w:rPr>
          <w:rFonts w:ascii="Times New Roman" w:hAnsi="Times New Roman" w:cs="Times New Roman"/>
          <w:sz w:val="24"/>
          <w:szCs w:val="24"/>
        </w:rPr>
        <w:br w:type="page"/>
      </w:r>
    </w:p>
    <w:p w14:paraId="379CA716" w14:textId="6C07B36B" w:rsidR="00900329" w:rsidRPr="00226D91" w:rsidRDefault="00024650" w:rsidP="0011034A">
      <w:pPr>
        <w:spacing w:line="360" w:lineRule="auto"/>
        <w:outlineLvl w:val="0"/>
        <w:rPr>
          <w:rFonts w:ascii="Times New Roman" w:hAnsi="Times New Roman" w:cs="Times New Roman"/>
          <w:b/>
          <w:bCs/>
          <w:sz w:val="30"/>
          <w:szCs w:val="30"/>
        </w:rPr>
      </w:pPr>
      <w:bookmarkStart w:id="2" w:name="_Toc225472477"/>
      <w:r w:rsidRPr="00226D91">
        <w:rPr>
          <w:rFonts w:ascii="Times New Roman" w:hAnsi="Times New Roman" w:cs="Times New Roman"/>
          <w:b/>
          <w:bCs/>
          <w:sz w:val="30"/>
          <w:szCs w:val="30"/>
        </w:rPr>
        <w:lastRenderedPageBreak/>
        <w:t xml:space="preserve">2. </w:t>
      </w:r>
      <w:r w:rsidR="00BA2B70" w:rsidRPr="00226D91">
        <w:rPr>
          <w:rFonts w:ascii="Times New Roman" w:hAnsi="Times New Roman" w:cs="Times New Roman"/>
          <w:b/>
          <w:bCs/>
          <w:sz w:val="30"/>
          <w:szCs w:val="30"/>
        </w:rPr>
        <w:t>Literature Review</w:t>
      </w:r>
      <w:bookmarkEnd w:id="2"/>
    </w:p>
    <w:p w14:paraId="5024D1AB" w14:textId="77777777" w:rsidR="00BA2B70" w:rsidRPr="001A1F61" w:rsidRDefault="00BA2B70" w:rsidP="0011034A">
      <w:pPr>
        <w:spacing w:line="360" w:lineRule="auto"/>
        <w:rPr>
          <w:rFonts w:ascii="Times New Roman" w:hAnsi="Times New Roman" w:cs="Times New Roman"/>
          <w:sz w:val="24"/>
          <w:szCs w:val="24"/>
        </w:rPr>
      </w:pPr>
    </w:p>
    <w:p w14:paraId="75B79596" w14:textId="7F084874" w:rsidR="00BA2B70" w:rsidRDefault="00CD2139" w:rsidP="0011034A">
      <w:pPr>
        <w:spacing w:line="360" w:lineRule="auto"/>
        <w:rPr>
          <w:rFonts w:ascii="Times New Roman" w:hAnsi="Times New Roman" w:cs="Times New Roman"/>
          <w:sz w:val="24"/>
          <w:szCs w:val="24"/>
        </w:rPr>
      </w:pPr>
      <w:r w:rsidRPr="00CD2139">
        <w:rPr>
          <w:rFonts w:ascii="Times New Roman" w:hAnsi="Times New Roman" w:cs="Times New Roman"/>
          <w:sz w:val="24"/>
          <w:szCs w:val="24"/>
        </w:rPr>
        <w:t>This section reviews the key theories related to corporate mergers and acquisitions (M&amp;A), including synergy theory, economy of scale theory, market dominance theory, and diversification and agency theory. These theoretical perspectives provide a theoretical framework for analysing the strategic basis and results of M&amp;A's acquisition of Gist. In the subsequent analysis, each theory will be used to assess whether the acquisition has created value and improved operational performance.</w:t>
      </w:r>
    </w:p>
    <w:p w14:paraId="08BD1623" w14:textId="77777777" w:rsidR="00CD2139" w:rsidRPr="001A1F61" w:rsidRDefault="00CD2139" w:rsidP="0011034A">
      <w:pPr>
        <w:spacing w:line="360" w:lineRule="auto"/>
        <w:rPr>
          <w:rFonts w:ascii="Times New Roman" w:hAnsi="Times New Roman" w:cs="Times New Roman"/>
          <w:sz w:val="24"/>
          <w:szCs w:val="24"/>
        </w:rPr>
      </w:pPr>
    </w:p>
    <w:p w14:paraId="5BDE9253" w14:textId="38737B79" w:rsidR="00BA2B70" w:rsidRPr="00226D91" w:rsidRDefault="00BA2B70" w:rsidP="0011034A">
      <w:pPr>
        <w:spacing w:line="360" w:lineRule="auto"/>
        <w:outlineLvl w:val="1"/>
        <w:rPr>
          <w:rFonts w:ascii="Times New Roman" w:hAnsi="Times New Roman" w:cs="Times New Roman"/>
          <w:b/>
          <w:bCs/>
          <w:sz w:val="28"/>
          <w:szCs w:val="28"/>
        </w:rPr>
      </w:pPr>
      <w:bookmarkStart w:id="3" w:name="_Toc225472478"/>
      <w:r w:rsidRPr="00226D91">
        <w:rPr>
          <w:rFonts w:ascii="Times New Roman" w:hAnsi="Times New Roman" w:cs="Times New Roman"/>
          <w:b/>
          <w:bCs/>
          <w:sz w:val="28"/>
          <w:szCs w:val="28"/>
        </w:rPr>
        <w:t>2.1. Synergy Theory</w:t>
      </w:r>
      <w:bookmarkEnd w:id="3"/>
    </w:p>
    <w:p w14:paraId="69D57282" w14:textId="77777777" w:rsidR="00BA2B70" w:rsidRPr="001A1F61" w:rsidRDefault="00BA2B70" w:rsidP="0011034A">
      <w:pPr>
        <w:spacing w:line="360" w:lineRule="auto"/>
        <w:rPr>
          <w:rFonts w:ascii="Times New Roman" w:hAnsi="Times New Roman" w:cs="Times New Roman"/>
          <w:sz w:val="24"/>
          <w:szCs w:val="24"/>
        </w:rPr>
      </w:pPr>
    </w:p>
    <w:p w14:paraId="7890EB52"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According to the synergistic theory, the main goal of corporate mergers and acquisitions is to create value through business integration, thus improving efficiency or increasing revenue (Bauer and </w:t>
      </w:r>
      <w:proofErr w:type="spellStart"/>
      <w:r w:rsidRPr="00CD2139">
        <w:rPr>
          <w:rFonts w:ascii="Times New Roman" w:hAnsi="Times New Roman" w:cs="Times New Roman"/>
          <w:sz w:val="24"/>
          <w:szCs w:val="24"/>
        </w:rPr>
        <w:t>Friesl</w:t>
      </w:r>
      <w:proofErr w:type="spellEnd"/>
      <w:r w:rsidRPr="00CD2139">
        <w:rPr>
          <w:rFonts w:ascii="Times New Roman" w:hAnsi="Times New Roman" w:cs="Times New Roman"/>
          <w:sz w:val="24"/>
          <w:szCs w:val="24"/>
        </w:rPr>
        <w:t>, 2024a). In the case of vertical integration, for example, Marks and Spencer's acquisition of Gist by improving coordination, strengthening supply chain control and decreasing transaction costs. It expects the synergistic effect to be generated.</w:t>
      </w:r>
    </w:p>
    <w:p w14:paraId="6AA0985B" w14:textId="77777777" w:rsidR="00CD2139" w:rsidRPr="00CD2139" w:rsidRDefault="00CD2139" w:rsidP="00CD2139">
      <w:pPr>
        <w:spacing w:line="360" w:lineRule="auto"/>
        <w:rPr>
          <w:rFonts w:ascii="Times New Roman" w:hAnsi="Times New Roman" w:cs="Times New Roman"/>
          <w:sz w:val="24"/>
          <w:szCs w:val="24"/>
        </w:rPr>
      </w:pPr>
    </w:p>
    <w:p w14:paraId="03D29FCD" w14:textId="1531CE73" w:rsidR="00BA2B70" w:rsidRPr="001A1F61"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However, empirical research shows that many acquisition projects fail to achieve the expected synergy due to integration difficulties, cultural differences and operating complexity (Feldman and Hernandez, 2022). This has raised concerns about whether the theoretical benefits can be realised in practice. Therefore, this study uses the synergy theory to evaluate whether Marks &amp; Spencer's acquisition of Gist has achieved results in supply chain operation efficiency and cost savings</w:t>
      </w:r>
      <w:r w:rsidR="00BA2B70" w:rsidRPr="001A1F61">
        <w:rPr>
          <w:rFonts w:ascii="Times New Roman" w:hAnsi="Times New Roman" w:cs="Times New Roman"/>
          <w:sz w:val="24"/>
          <w:szCs w:val="24"/>
        </w:rPr>
        <w:t>.</w:t>
      </w:r>
    </w:p>
    <w:p w14:paraId="362E760E" w14:textId="77777777" w:rsidR="00BA2B70" w:rsidRPr="001A1F61" w:rsidRDefault="00BA2B70" w:rsidP="0011034A">
      <w:pPr>
        <w:spacing w:line="360" w:lineRule="auto"/>
        <w:rPr>
          <w:rFonts w:ascii="Times New Roman" w:hAnsi="Times New Roman" w:cs="Times New Roman"/>
          <w:sz w:val="24"/>
          <w:szCs w:val="24"/>
        </w:rPr>
      </w:pPr>
    </w:p>
    <w:p w14:paraId="07401281" w14:textId="3917509B" w:rsidR="00BA2B70" w:rsidRPr="00226D91" w:rsidRDefault="00BA2B70" w:rsidP="0011034A">
      <w:pPr>
        <w:spacing w:line="360" w:lineRule="auto"/>
        <w:outlineLvl w:val="1"/>
        <w:rPr>
          <w:rFonts w:ascii="Times New Roman" w:hAnsi="Times New Roman" w:cs="Times New Roman"/>
          <w:b/>
          <w:bCs/>
          <w:sz w:val="28"/>
          <w:szCs w:val="28"/>
        </w:rPr>
      </w:pPr>
      <w:bookmarkStart w:id="4" w:name="_Toc225472479"/>
      <w:r w:rsidRPr="00226D91">
        <w:rPr>
          <w:rFonts w:ascii="Times New Roman" w:hAnsi="Times New Roman" w:cs="Times New Roman"/>
          <w:b/>
          <w:bCs/>
          <w:sz w:val="28"/>
          <w:szCs w:val="28"/>
        </w:rPr>
        <w:t>2.2. Economies of Scale</w:t>
      </w:r>
      <w:bookmarkEnd w:id="4"/>
    </w:p>
    <w:p w14:paraId="097B4EE3" w14:textId="77777777" w:rsidR="00BA2B70" w:rsidRPr="001A1F61" w:rsidRDefault="00BA2B70" w:rsidP="0011034A">
      <w:pPr>
        <w:spacing w:line="360" w:lineRule="auto"/>
        <w:rPr>
          <w:rFonts w:ascii="Times New Roman" w:hAnsi="Times New Roman" w:cs="Times New Roman"/>
          <w:sz w:val="24"/>
          <w:szCs w:val="24"/>
        </w:rPr>
      </w:pPr>
    </w:p>
    <w:p w14:paraId="6F25D66E"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Economy of scale depend on the cost advantage gained by enterprises after expanding their business scale, that is, the efficiency improvement achieved by reducing average </w:t>
      </w:r>
      <w:r w:rsidRPr="00CD2139">
        <w:rPr>
          <w:rFonts w:ascii="Times New Roman" w:hAnsi="Times New Roman" w:cs="Times New Roman"/>
          <w:sz w:val="24"/>
          <w:szCs w:val="24"/>
        </w:rPr>
        <w:lastRenderedPageBreak/>
        <w:t>costs (CICC research, 2024; Laudal, 2025). In the field of logistics and supply chain management, a larger network can optimise transportation routes, improve warehouse utilisation, and enhance inventory management efficiency.</w:t>
      </w:r>
    </w:p>
    <w:p w14:paraId="19A03F90" w14:textId="77777777" w:rsidR="00CD2139" w:rsidRPr="00CD2139" w:rsidRDefault="00CD2139" w:rsidP="00CD2139">
      <w:pPr>
        <w:spacing w:line="360" w:lineRule="auto"/>
        <w:rPr>
          <w:rFonts w:ascii="Times New Roman" w:hAnsi="Times New Roman" w:cs="Times New Roman"/>
          <w:sz w:val="24"/>
          <w:szCs w:val="24"/>
        </w:rPr>
      </w:pPr>
    </w:p>
    <w:p w14:paraId="1934EBA5" w14:textId="33B325B2" w:rsidR="00BA2B70" w:rsidRPr="001A1F61"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In the context of the acquisition of M&amp;S and Gist, the acquisition may help integrate logistics business and achieve more efficient resource allocation. This study uses the economy of scale theory to examine whether Marks &amp; Spencer's logistics business has achieved measurable cost reduction and efficiency improvement after the acquisition.</w:t>
      </w:r>
    </w:p>
    <w:p w14:paraId="5B73623D" w14:textId="77777777" w:rsidR="00BA2B70" w:rsidRPr="001A1F61" w:rsidRDefault="00BA2B70" w:rsidP="0011034A">
      <w:pPr>
        <w:spacing w:line="360" w:lineRule="auto"/>
        <w:rPr>
          <w:rFonts w:ascii="Times New Roman" w:hAnsi="Times New Roman" w:cs="Times New Roman"/>
          <w:sz w:val="24"/>
          <w:szCs w:val="24"/>
        </w:rPr>
      </w:pPr>
    </w:p>
    <w:p w14:paraId="289ACBD6" w14:textId="324F2EB8" w:rsidR="00BA2B70" w:rsidRPr="00226D91" w:rsidRDefault="00BA2B70" w:rsidP="0011034A">
      <w:pPr>
        <w:spacing w:line="360" w:lineRule="auto"/>
        <w:outlineLvl w:val="1"/>
        <w:rPr>
          <w:rFonts w:ascii="Times New Roman" w:hAnsi="Times New Roman" w:cs="Times New Roman"/>
          <w:b/>
          <w:bCs/>
          <w:sz w:val="28"/>
          <w:szCs w:val="28"/>
        </w:rPr>
      </w:pPr>
      <w:bookmarkStart w:id="5" w:name="_Toc225472480"/>
      <w:r w:rsidRPr="00226D91">
        <w:rPr>
          <w:rFonts w:ascii="Times New Roman" w:hAnsi="Times New Roman" w:cs="Times New Roman"/>
          <w:b/>
          <w:bCs/>
          <w:sz w:val="28"/>
          <w:szCs w:val="28"/>
        </w:rPr>
        <w:t>2.3. Market Power Theory</w:t>
      </w:r>
      <w:bookmarkEnd w:id="5"/>
    </w:p>
    <w:p w14:paraId="53031A5D" w14:textId="77777777" w:rsidR="00BA2B70" w:rsidRPr="001A1F61" w:rsidRDefault="00BA2B70" w:rsidP="0011034A">
      <w:pPr>
        <w:spacing w:line="360" w:lineRule="auto"/>
        <w:rPr>
          <w:rFonts w:ascii="Times New Roman" w:hAnsi="Times New Roman" w:cs="Times New Roman"/>
          <w:sz w:val="24"/>
          <w:szCs w:val="24"/>
        </w:rPr>
      </w:pPr>
    </w:p>
    <w:p w14:paraId="2EE12011"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The theory of market power shows that enterprises enhance their competitive position through mergers and acquisitions to improve their bargaining power and control over key resources (Moreau and Uslu, 2025).</w:t>
      </w:r>
    </w:p>
    <w:p w14:paraId="0D97F5D5" w14:textId="77777777" w:rsidR="00CD2139" w:rsidRPr="00CD2139" w:rsidRDefault="00CD2139" w:rsidP="00CD2139">
      <w:pPr>
        <w:spacing w:line="360" w:lineRule="auto"/>
        <w:rPr>
          <w:rFonts w:ascii="Times New Roman" w:hAnsi="Times New Roman" w:cs="Times New Roman"/>
          <w:sz w:val="24"/>
          <w:szCs w:val="24"/>
        </w:rPr>
      </w:pPr>
    </w:p>
    <w:p w14:paraId="19BEB510"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Unlike economies of scale that focus on cost reduction, market forces emphasise the ability to influence competitive conditions (Harvard Business School Online, 2025).</w:t>
      </w:r>
    </w:p>
    <w:p w14:paraId="4434E1A2" w14:textId="77777777" w:rsidR="00CD2139" w:rsidRPr="00CD2139" w:rsidRDefault="00CD2139" w:rsidP="00CD2139">
      <w:pPr>
        <w:spacing w:line="360" w:lineRule="auto"/>
        <w:rPr>
          <w:rFonts w:ascii="Times New Roman" w:hAnsi="Times New Roman" w:cs="Times New Roman"/>
          <w:sz w:val="24"/>
          <w:szCs w:val="24"/>
        </w:rPr>
      </w:pPr>
    </w:p>
    <w:p w14:paraId="73F17D39" w14:textId="3BC0CDE2" w:rsidR="00C03AF2" w:rsidRPr="001A1F61"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In the case of M&amp;S's acquisition of Gist, the impact on market dominance is limited, because Gist is already one of its existing partners. Therefore, the main advantage lies in internal control rather than enhancing external dominance.</w:t>
      </w:r>
    </w:p>
    <w:p w14:paraId="687AB9BB" w14:textId="77777777" w:rsidR="008E0E78" w:rsidRPr="001A1F61" w:rsidRDefault="008E0E78" w:rsidP="0011034A">
      <w:pPr>
        <w:spacing w:line="360" w:lineRule="auto"/>
        <w:rPr>
          <w:rFonts w:ascii="Times New Roman" w:hAnsi="Times New Roman" w:cs="Times New Roman"/>
          <w:sz w:val="24"/>
          <w:szCs w:val="24"/>
        </w:rPr>
      </w:pPr>
    </w:p>
    <w:p w14:paraId="542A03EA" w14:textId="5B5BE349" w:rsidR="00C03AF2" w:rsidRPr="00226D91" w:rsidRDefault="00C03AF2" w:rsidP="0011034A">
      <w:pPr>
        <w:spacing w:line="360" w:lineRule="auto"/>
        <w:outlineLvl w:val="1"/>
        <w:rPr>
          <w:rFonts w:ascii="Times New Roman" w:hAnsi="Times New Roman" w:cs="Times New Roman"/>
          <w:b/>
          <w:bCs/>
          <w:sz w:val="28"/>
          <w:szCs w:val="28"/>
        </w:rPr>
      </w:pPr>
      <w:bookmarkStart w:id="6" w:name="_Toc225472481"/>
      <w:r w:rsidRPr="00226D91">
        <w:rPr>
          <w:rFonts w:ascii="Times New Roman" w:hAnsi="Times New Roman" w:cs="Times New Roman"/>
          <w:b/>
          <w:bCs/>
          <w:sz w:val="28"/>
          <w:szCs w:val="28"/>
        </w:rPr>
        <w:t>2.4.</w:t>
      </w:r>
      <w:r w:rsidR="003423A3" w:rsidRPr="00226D91">
        <w:rPr>
          <w:rFonts w:ascii="Times New Roman" w:hAnsi="Times New Roman" w:cs="Times New Roman"/>
          <w:b/>
          <w:bCs/>
          <w:sz w:val="28"/>
          <w:szCs w:val="28"/>
        </w:rPr>
        <w:t xml:space="preserve"> Diversification and Agency Theory</w:t>
      </w:r>
      <w:bookmarkEnd w:id="6"/>
    </w:p>
    <w:p w14:paraId="729B046D" w14:textId="77777777" w:rsidR="00C03AF2" w:rsidRPr="001A1F61" w:rsidRDefault="00C03AF2" w:rsidP="0011034A">
      <w:pPr>
        <w:spacing w:line="360" w:lineRule="auto"/>
        <w:rPr>
          <w:rFonts w:ascii="Times New Roman" w:hAnsi="Times New Roman" w:cs="Times New Roman"/>
          <w:sz w:val="24"/>
          <w:szCs w:val="24"/>
        </w:rPr>
      </w:pPr>
    </w:p>
    <w:p w14:paraId="37C65617"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According to the theory of diversification, enterprises expand new business to reduce risks and stabilise returns. However, agency theory offers a critical perspective, suggesting that managers may undertake acquisitions for their own benefit. For example, to expand the firm’s scale or strengthen managerial control rather than for the benefit of shareholders (Feldman and Hernandez, 2022; </w:t>
      </w:r>
      <w:proofErr w:type="spellStart"/>
      <w:r w:rsidRPr="00CD2139">
        <w:rPr>
          <w:rFonts w:ascii="Times New Roman" w:hAnsi="Times New Roman" w:cs="Times New Roman"/>
          <w:sz w:val="24"/>
          <w:szCs w:val="24"/>
        </w:rPr>
        <w:t>Meghouar</w:t>
      </w:r>
      <w:proofErr w:type="spellEnd"/>
      <w:r w:rsidRPr="00CD2139">
        <w:rPr>
          <w:rFonts w:ascii="Times New Roman" w:hAnsi="Times New Roman" w:cs="Times New Roman"/>
          <w:sz w:val="24"/>
          <w:szCs w:val="24"/>
        </w:rPr>
        <w:t xml:space="preserve"> and El Idrissi, 2026). </w:t>
      </w:r>
    </w:p>
    <w:p w14:paraId="4EE17E35" w14:textId="77777777" w:rsidR="00CD2139" w:rsidRPr="00CD2139" w:rsidRDefault="00CD2139" w:rsidP="00CD2139">
      <w:pPr>
        <w:spacing w:line="360" w:lineRule="auto"/>
        <w:rPr>
          <w:rFonts w:ascii="Times New Roman" w:hAnsi="Times New Roman" w:cs="Times New Roman"/>
          <w:sz w:val="24"/>
          <w:szCs w:val="24"/>
        </w:rPr>
      </w:pPr>
    </w:p>
    <w:p w14:paraId="35DF4BF2" w14:textId="3BB38687" w:rsidR="00C03AF2" w:rsidRPr="001A1F61"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For Marks &amp; Spencer (M&amp;S), the acquisition of a logistics company signifies a shift in its strategic focus towards deeper vertical integration. Whilst this may yield operational benefits, it is accompanied by risks and managerial complexities. This study applies these theories to assess whether the acquisition is strategically sound or influenced by management motives. As this may not be fully in the interests of shareholders, critical evaluation is necessary.</w:t>
      </w:r>
      <w:r w:rsidR="00C03AF2" w:rsidRPr="001A1F61">
        <w:rPr>
          <w:rFonts w:ascii="Times New Roman" w:hAnsi="Times New Roman" w:cs="Times New Roman"/>
          <w:sz w:val="24"/>
          <w:szCs w:val="24"/>
        </w:rPr>
        <w:t xml:space="preserve"> </w:t>
      </w:r>
    </w:p>
    <w:p w14:paraId="6DD69BB2" w14:textId="77777777" w:rsidR="00E421E6" w:rsidRPr="001A1F61" w:rsidRDefault="00E421E6" w:rsidP="0011034A">
      <w:pPr>
        <w:spacing w:line="360" w:lineRule="auto"/>
        <w:rPr>
          <w:rFonts w:ascii="Times New Roman" w:hAnsi="Times New Roman" w:cs="Times New Roman"/>
          <w:sz w:val="24"/>
          <w:szCs w:val="24"/>
        </w:rPr>
      </w:pPr>
    </w:p>
    <w:p w14:paraId="6599E500" w14:textId="06E558DA" w:rsidR="00E421E6" w:rsidRPr="00226D91" w:rsidRDefault="00E421E6" w:rsidP="0011034A">
      <w:pPr>
        <w:spacing w:line="360" w:lineRule="auto"/>
        <w:outlineLvl w:val="1"/>
        <w:rPr>
          <w:rFonts w:ascii="Times New Roman" w:hAnsi="Times New Roman" w:cs="Times New Roman"/>
          <w:b/>
          <w:bCs/>
          <w:sz w:val="28"/>
          <w:szCs w:val="28"/>
        </w:rPr>
      </w:pPr>
      <w:bookmarkStart w:id="7" w:name="_Toc225472482"/>
      <w:r w:rsidRPr="00226D91">
        <w:rPr>
          <w:rFonts w:ascii="Times New Roman" w:hAnsi="Times New Roman" w:cs="Times New Roman"/>
          <w:b/>
          <w:bCs/>
          <w:sz w:val="28"/>
          <w:szCs w:val="28"/>
        </w:rPr>
        <w:t>2.5. Summary of Theoretical Framework</w:t>
      </w:r>
      <w:bookmarkEnd w:id="7"/>
    </w:p>
    <w:p w14:paraId="1AFBD205" w14:textId="77777777" w:rsidR="00E421E6" w:rsidRPr="001A1F61" w:rsidRDefault="00E421E6" w:rsidP="0011034A">
      <w:pPr>
        <w:spacing w:line="360" w:lineRule="auto"/>
        <w:rPr>
          <w:rFonts w:ascii="Times New Roman" w:hAnsi="Times New Roman" w:cs="Times New Roman"/>
          <w:sz w:val="24"/>
          <w:szCs w:val="24"/>
        </w:rPr>
      </w:pPr>
    </w:p>
    <w:p w14:paraId="5EDD7ACB"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The theory discussed above provides a comprehensive framework for analysing M&amp;S's acquisition of Gist. Synergy theory and economies of scale theory focus on potential efficiency improvement and cost reduction, especially in the supply chain. In contrast, the market force theory emphasises the strategic advantages associated with enhancing control and competitive position, while the theory of diversification and the theory of agency start from the key perspective of questioning the management motivation behind the acquisition.</w:t>
      </w:r>
    </w:p>
    <w:p w14:paraId="71BCAC0A" w14:textId="77777777" w:rsidR="00CD2139" w:rsidRPr="00CD2139" w:rsidRDefault="00CD2139" w:rsidP="00CD2139">
      <w:pPr>
        <w:spacing w:line="360" w:lineRule="auto"/>
        <w:rPr>
          <w:rFonts w:ascii="Times New Roman" w:hAnsi="Times New Roman" w:cs="Times New Roman"/>
          <w:sz w:val="24"/>
          <w:szCs w:val="24"/>
        </w:rPr>
      </w:pPr>
    </w:p>
    <w:p w14:paraId="710ECE28" w14:textId="6E20E3DB" w:rsidR="007F224A"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These theories work together to enable the assessment of acquisitions to take into account its potential benefits and limitations. In view of the nature of vertical integration of this transaction, this study pays special attention to operational synergy and supply chain efficiency. The framework constructed in this section will be applied in subsequent analyses to assess whether the expected strategic and operational benefits are realised in practice.</w:t>
      </w:r>
    </w:p>
    <w:p w14:paraId="624FC8D4" w14:textId="77777777" w:rsidR="00CD2139" w:rsidRPr="001A1F61" w:rsidRDefault="00CD2139" w:rsidP="00CD2139">
      <w:pPr>
        <w:spacing w:line="360" w:lineRule="auto"/>
        <w:rPr>
          <w:rFonts w:ascii="Times New Roman" w:hAnsi="Times New Roman" w:cs="Times New Roman"/>
          <w:sz w:val="24"/>
          <w:szCs w:val="24"/>
        </w:rPr>
      </w:pPr>
    </w:p>
    <w:p w14:paraId="23E85B12" w14:textId="085366EC" w:rsidR="007F224A" w:rsidRPr="00226D91" w:rsidRDefault="007F224A" w:rsidP="0011034A">
      <w:pPr>
        <w:spacing w:line="360" w:lineRule="auto"/>
        <w:outlineLvl w:val="0"/>
        <w:rPr>
          <w:rFonts w:ascii="Times New Roman" w:hAnsi="Times New Roman" w:cs="Times New Roman"/>
          <w:b/>
          <w:bCs/>
          <w:sz w:val="30"/>
          <w:szCs w:val="30"/>
        </w:rPr>
      </w:pPr>
      <w:bookmarkStart w:id="8" w:name="_Toc225472483"/>
      <w:r w:rsidRPr="00226D91">
        <w:rPr>
          <w:rFonts w:ascii="Times New Roman" w:hAnsi="Times New Roman" w:cs="Times New Roman"/>
          <w:b/>
          <w:bCs/>
          <w:sz w:val="30"/>
          <w:szCs w:val="30"/>
        </w:rPr>
        <w:t>3. Analysis</w:t>
      </w:r>
      <w:bookmarkEnd w:id="8"/>
    </w:p>
    <w:p w14:paraId="521400B9" w14:textId="77777777" w:rsidR="007F224A" w:rsidRPr="001A1F61" w:rsidRDefault="007F224A" w:rsidP="0011034A">
      <w:pPr>
        <w:spacing w:line="360" w:lineRule="auto"/>
        <w:rPr>
          <w:rFonts w:ascii="Times New Roman" w:hAnsi="Times New Roman" w:cs="Times New Roman"/>
          <w:sz w:val="24"/>
          <w:szCs w:val="24"/>
        </w:rPr>
      </w:pPr>
    </w:p>
    <w:p w14:paraId="1B7FBCFF" w14:textId="38597C3E" w:rsidR="00A829DE" w:rsidRDefault="00CD2139" w:rsidP="0011034A">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This section applies the theoretical framework built in the literature review to the evaluation of M&amp;S's acquisition of Gist. Through qualitative discussion and </w:t>
      </w:r>
      <w:r w:rsidRPr="00CD2139">
        <w:rPr>
          <w:rFonts w:ascii="Times New Roman" w:hAnsi="Times New Roman" w:cs="Times New Roman"/>
          <w:sz w:val="24"/>
          <w:szCs w:val="24"/>
        </w:rPr>
        <w:lastRenderedPageBreak/>
        <w:t>quantitative evidence, the strategic basis, operational impact and financial results of the acquisition were examined. The analysis aims to assess whether the expected benefits, including synergy, economies of scale and the improvement of strategic positioning, can be realised in practice.</w:t>
      </w:r>
    </w:p>
    <w:p w14:paraId="0C3B4942" w14:textId="77777777" w:rsidR="00CD2139" w:rsidRPr="001A1F61" w:rsidRDefault="00CD2139" w:rsidP="0011034A">
      <w:pPr>
        <w:spacing w:line="360" w:lineRule="auto"/>
        <w:rPr>
          <w:rFonts w:ascii="Times New Roman" w:hAnsi="Times New Roman" w:cs="Times New Roman"/>
          <w:sz w:val="24"/>
          <w:szCs w:val="24"/>
        </w:rPr>
      </w:pPr>
    </w:p>
    <w:p w14:paraId="36FACA55" w14:textId="5BAC7729" w:rsidR="00A829DE" w:rsidRPr="00226D91" w:rsidRDefault="00A829DE" w:rsidP="0011034A">
      <w:pPr>
        <w:spacing w:line="360" w:lineRule="auto"/>
        <w:outlineLvl w:val="1"/>
        <w:rPr>
          <w:rFonts w:ascii="Times New Roman" w:hAnsi="Times New Roman" w:cs="Times New Roman"/>
          <w:b/>
          <w:bCs/>
          <w:sz w:val="28"/>
          <w:szCs w:val="28"/>
        </w:rPr>
      </w:pPr>
      <w:bookmarkStart w:id="9" w:name="_Toc225472484"/>
      <w:r w:rsidRPr="00226D91">
        <w:rPr>
          <w:rFonts w:ascii="Times New Roman" w:hAnsi="Times New Roman" w:cs="Times New Roman"/>
          <w:b/>
          <w:bCs/>
          <w:sz w:val="28"/>
          <w:szCs w:val="28"/>
        </w:rPr>
        <w:t>3.1. Strategic Rational</w:t>
      </w:r>
      <w:bookmarkEnd w:id="9"/>
    </w:p>
    <w:p w14:paraId="5938BC47" w14:textId="77777777" w:rsidR="00A829DE" w:rsidRPr="001A1F61" w:rsidRDefault="00A829DE" w:rsidP="0011034A">
      <w:pPr>
        <w:spacing w:line="360" w:lineRule="auto"/>
        <w:rPr>
          <w:rFonts w:ascii="Times New Roman" w:hAnsi="Times New Roman" w:cs="Times New Roman"/>
          <w:sz w:val="24"/>
          <w:szCs w:val="24"/>
        </w:rPr>
      </w:pPr>
    </w:p>
    <w:p w14:paraId="7D73AF12"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The main strategic reasons for this acquisition lie in improving logistics control, reducing operating costs and enhancing product supply rates. Before the acquisition, Marks &amp; Spencer (M&amp;S) was confronted with serious inefficiencies in its supply chain and unstable execution of its global business, which limited its ability to respond to disruptions (Chen, 2025; Marks &amp; Spencer, 2025). </w:t>
      </w:r>
    </w:p>
    <w:p w14:paraId="5A103F25" w14:textId="77777777" w:rsidR="00CD2139" w:rsidRPr="00CD2139" w:rsidRDefault="00CD2139" w:rsidP="00CD2139">
      <w:pPr>
        <w:spacing w:line="360" w:lineRule="auto"/>
        <w:rPr>
          <w:rFonts w:ascii="Times New Roman" w:hAnsi="Times New Roman" w:cs="Times New Roman"/>
          <w:sz w:val="24"/>
          <w:szCs w:val="24"/>
        </w:rPr>
      </w:pPr>
    </w:p>
    <w:p w14:paraId="3C536727"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After the acquisition was completed, Marks &amp; Spencer reported an improvement in its supply chain performance. The sales of its food supply chain have increased by more than 11% in recent years, reflecting an increase in logistics efficiency and product supply (Marks and Spencer, 2025). This indicates that internalizing the logistics business has enhanced the coordination and responsiveness within the supply chain. This is in line with the theory of synergy, which emphasizes creating value through the integration of resources and capabilities, indicating that this acquisition is conducive to enhancing operational efficiency (Bauer and </w:t>
      </w:r>
      <w:proofErr w:type="spellStart"/>
      <w:r w:rsidRPr="00CD2139">
        <w:rPr>
          <w:rFonts w:ascii="Times New Roman" w:hAnsi="Times New Roman" w:cs="Times New Roman"/>
          <w:sz w:val="24"/>
          <w:szCs w:val="24"/>
        </w:rPr>
        <w:t>Friesl</w:t>
      </w:r>
      <w:proofErr w:type="spellEnd"/>
      <w:r w:rsidRPr="00CD2139">
        <w:rPr>
          <w:rFonts w:ascii="Times New Roman" w:hAnsi="Times New Roman" w:cs="Times New Roman"/>
          <w:sz w:val="24"/>
          <w:szCs w:val="24"/>
        </w:rPr>
        <w:t xml:space="preserve">, 2024b; Rufolo, </w:t>
      </w:r>
      <w:proofErr w:type="spellStart"/>
      <w:r w:rsidRPr="00CD2139">
        <w:rPr>
          <w:rFonts w:ascii="Times New Roman" w:hAnsi="Times New Roman" w:cs="Times New Roman"/>
          <w:sz w:val="24"/>
          <w:szCs w:val="24"/>
        </w:rPr>
        <w:t>Paientko</w:t>
      </w:r>
      <w:proofErr w:type="spellEnd"/>
      <w:r w:rsidRPr="00CD2139">
        <w:rPr>
          <w:rFonts w:ascii="Times New Roman" w:hAnsi="Times New Roman" w:cs="Times New Roman"/>
          <w:sz w:val="24"/>
          <w:szCs w:val="24"/>
        </w:rPr>
        <w:t xml:space="preserve"> and </w:t>
      </w:r>
      <w:proofErr w:type="spellStart"/>
      <w:r w:rsidRPr="00CD2139">
        <w:rPr>
          <w:rFonts w:ascii="Times New Roman" w:hAnsi="Times New Roman" w:cs="Times New Roman"/>
          <w:sz w:val="24"/>
          <w:szCs w:val="24"/>
        </w:rPr>
        <w:t>Dziergwa</w:t>
      </w:r>
      <w:proofErr w:type="spellEnd"/>
      <w:r w:rsidRPr="00CD2139">
        <w:rPr>
          <w:rFonts w:ascii="Times New Roman" w:hAnsi="Times New Roman" w:cs="Times New Roman"/>
          <w:sz w:val="24"/>
          <w:szCs w:val="24"/>
        </w:rPr>
        <w:t xml:space="preserve">, 2025). </w:t>
      </w:r>
    </w:p>
    <w:p w14:paraId="66A90E8B" w14:textId="77777777" w:rsidR="00CD2139" w:rsidRPr="00CD2139" w:rsidRDefault="00CD2139" w:rsidP="00CD2139">
      <w:pPr>
        <w:spacing w:line="360" w:lineRule="auto"/>
        <w:rPr>
          <w:rFonts w:ascii="Times New Roman" w:hAnsi="Times New Roman" w:cs="Times New Roman"/>
          <w:sz w:val="24"/>
          <w:szCs w:val="24"/>
        </w:rPr>
      </w:pPr>
    </w:p>
    <w:p w14:paraId="27BAC4AD" w14:textId="7E9FE05B" w:rsidR="00A829DE" w:rsidRPr="001A1F61"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However, some people believe that the increase in the supply rate might also be partially attributed to the broader post-pandemic recovery of the supply chain rather than solely to this acquisition. Therefore, although the evidence supports the existence of synergy effects, it remains uncertain to what extent they can be directly attributed to this acquisition.</w:t>
      </w:r>
    </w:p>
    <w:p w14:paraId="08A1132A" w14:textId="77777777" w:rsidR="007907E5" w:rsidRPr="001A1F61" w:rsidRDefault="007907E5" w:rsidP="0011034A">
      <w:pPr>
        <w:spacing w:line="360" w:lineRule="auto"/>
        <w:rPr>
          <w:rFonts w:ascii="Times New Roman" w:hAnsi="Times New Roman" w:cs="Times New Roman"/>
          <w:sz w:val="24"/>
          <w:szCs w:val="24"/>
        </w:rPr>
      </w:pPr>
    </w:p>
    <w:p w14:paraId="21F8B6C2" w14:textId="70FFDE33" w:rsidR="007907E5" w:rsidRPr="00226D91" w:rsidRDefault="007907E5" w:rsidP="0011034A">
      <w:pPr>
        <w:spacing w:line="360" w:lineRule="auto"/>
        <w:outlineLvl w:val="1"/>
        <w:rPr>
          <w:rFonts w:ascii="Times New Roman" w:hAnsi="Times New Roman" w:cs="Times New Roman"/>
          <w:b/>
          <w:bCs/>
          <w:sz w:val="28"/>
          <w:szCs w:val="28"/>
        </w:rPr>
      </w:pPr>
      <w:bookmarkStart w:id="10" w:name="_Toc225472485"/>
      <w:r w:rsidRPr="00226D91">
        <w:rPr>
          <w:rFonts w:ascii="Times New Roman" w:hAnsi="Times New Roman" w:cs="Times New Roman"/>
          <w:b/>
          <w:bCs/>
          <w:sz w:val="28"/>
          <w:szCs w:val="28"/>
        </w:rPr>
        <w:lastRenderedPageBreak/>
        <w:t>3.2. Economies of Scale</w:t>
      </w:r>
      <w:bookmarkEnd w:id="10"/>
    </w:p>
    <w:p w14:paraId="41BAD17A" w14:textId="77777777" w:rsidR="007907E5" w:rsidRPr="001A1F61" w:rsidRDefault="007907E5" w:rsidP="0011034A">
      <w:pPr>
        <w:spacing w:line="360" w:lineRule="auto"/>
        <w:rPr>
          <w:rFonts w:ascii="Times New Roman" w:hAnsi="Times New Roman" w:cs="Times New Roman"/>
          <w:sz w:val="24"/>
          <w:szCs w:val="24"/>
        </w:rPr>
      </w:pPr>
    </w:p>
    <w:p w14:paraId="131CA8EE"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The acquisition of Gist enables Marks &amp; Spencer to take advantage of a mature logistics infrastructure, including warehouses and distribution networks, thus potentially achieving economies of scale. By integrating these operations, Marks &amp; Spencer can enhance the utilization rate of its logistics assets and reduce average costs (Faik and Shire, no date). </w:t>
      </w:r>
    </w:p>
    <w:p w14:paraId="4D897E83" w14:textId="77777777" w:rsidR="00CD2139" w:rsidRPr="00CD2139" w:rsidRDefault="00CD2139" w:rsidP="00CD2139">
      <w:pPr>
        <w:spacing w:line="360" w:lineRule="auto"/>
        <w:rPr>
          <w:rFonts w:ascii="Times New Roman" w:hAnsi="Times New Roman" w:cs="Times New Roman"/>
          <w:sz w:val="24"/>
          <w:szCs w:val="24"/>
        </w:rPr>
      </w:pPr>
    </w:p>
    <w:p w14:paraId="2EC74F71"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Marks &amp; Spencer has invested over 340 million pounds in transforming its supply chain to enhance efficiency and support future growth (Marks &amp; Spencer, 2025), which helps to enhance efficiency and reduce waste. This is in line with the theory of economies of scale, which suggests that an expansion in the scale of operations brings about cost advantages. </w:t>
      </w:r>
    </w:p>
    <w:p w14:paraId="2F3F7273" w14:textId="77777777" w:rsidR="00CD2139" w:rsidRPr="00CD2139" w:rsidRDefault="00CD2139" w:rsidP="00CD2139">
      <w:pPr>
        <w:spacing w:line="360" w:lineRule="auto"/>
        <w:rPr>
          <w:rFonts w:ascii="Times New Roman" w:hAnsi="Times New Roman" w:cs="Times New Roman"/>
          <w:sz w:val="24"/>
          <w:szCs w:val="24"/>
        </w:rPr>
      </w:pPr>
    </w:p>
    <w:p w14:paraId="56550778" w14:textId="30167BCC" w:rsidR="003B0E74"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However, economies of scale do not take effect immediately. Integration costs, restructuring expenses and system upgrades may offset short-term gains (Oh and Johnston, 2021; Rufolo, </w:t>
      </w:r>
      <w:proofErr w:type="spellStart"/>
      <w:r w:rsidRPr="00CD2139">
        <w:rPr>
          <w:rFonts w:ascii="Times New Roman" w:hAnsi="Times New Roman" w:cs="Times New Roman"/>
          <w:sz w:val="24"/>
          <w:szCs w:val="24"/>
        </w:rPr>
        <w:t>Paientko</w:t>
      </w:r>
      <w:proofErr w:type="spellEnd"/>
      <w:r w:rsidRPr="00CD2139">
        <w:rPr>
          <w:rFonts w:ascii="Times New Roman" w:hAnsi="Times New Roman" w:cs="Times New Roman"/>
          <w:sz w:val="24"/>
          <w:szCs w:val="24"/>
        </w:rPr>
        <w:t xml:space="preserve"> and </w:t>
      </w:r>
      <w:proofErr w:type="spellStart"/>
      <w:r w:rsidRPr="00CD2139">
        <w:rPr>
          <w:rFonts w:ascii="Times New Roman" w:hAnsi="Times New Roman" w:cs="Times New Roman"/>
          <w:sz w:val="24"/>
          <w:szCs w:val="24"/>
        </w:rPr>
        <w:t>Dziergwa</w:t>
      </w:r>
      <w:proofErr w:type="spellEnd"/>
      <w:r w:rsidRPr="00CD2139">
        <w:rPr>
          <w:rFonts w:ascii="Times New Roman" w:hAnsi="Times New Roman" w:cs="Times New Roman"/>
          <w:sz w:val="24"/>
          <w:szCs w:val="24"/>
        </w:rPr>
        <w:t>, 2025). Therefore, although there is evidence of increased efficiency, the full cost benefits of scale may only be realized in the long term.</w:t>
      </w:r>
    </w:p>
    <w:p w14:paraId="08914D82" w14:textId="77777777" w:rsidR="00CD2139" w:rsidRPr="001A1F61" w:rsidRDefault="00CD2139" w:rsidP="00CD2139">
      <w:pPr>
        <w:spacing w:line="360" w:lineRule="auto"/>
        <w:rPr>
          <w:rFonts w:ascii="Times New Roman" w:hAnsi="Times New Roman" w:cs="Times New Roman"/>
          <w:sz w:val="24"/>
          <w:szCs w:val="24"/>
        </w:rPr>
      </w:pPr>
    </w:p>
    <w:p w14:paraId="524683B3" w14:textId="04F56A86" w:rsidR="003B0E74" w:rsidRPr="00226D91" w:rsidRDefault="003B0E74" w:rsidP="0011034A">
      <w:pPr>
        <w:spacing w:line="360" w:lineRule="auto"/>
        <w:outlineLvl w:val="1"/>
        <w:rPr>
          <w:rFonts w:ascii="Times New Roman" w:hAnsi="Times New Roman" w:cs="Times New Roman"/>
          <w:b/>
          <w:bCs/>
          <w:sz w:val="28"/>
          <w:szCs w:val="28"/>
        </w:rPr>
      </w:pPr>
      <w:bookmarkStart w:id="11" w:name="_Toc225472486"/>
      <w:r w:rsidRPr="00226D91">
        <w:rPr>
          <w:rFonts w:ascii="Times New Roman" w:hAnsi="Times New Roman" w:cs="Times New Roman"/>
          <w:b/>
          <w:bCs/>
          <w:sz w:val="28"/>
          <w:szCs w:val="28"/>
        </w:rPr>
        <w:t>3.3. Elimination of Inefficiencies</w:t>
      </w:r>
      <w:bookmarkEnd w:id="11"/>
    </w:p>
    <w:p w14:paraId="7C4D6155" w14:textId="77777777" w:rsidR="003B0E74" w:rsidRPr="001A1F61" w:rsidRDefault="003B0E74" w:rsidP="0011034A">
      <w:pPr>
        <w:spacing w:line="360" w:lineRule="auto"/>
        <w:rPr>
          <w:rFonts w:ascii="Times New Roman" w:hAnsi="Times New Roman" w:cs="Times New Roman"/>
          <w:sz w:val="24"/>
          <w:szCs w:val="24"/>
        </w:rPr>
      </w:pPr>
    </w:p>
    <w:p w14:paraId="78642FD7"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Outsourcing logistics business may lead to inefficient problems such as delays, poor communication and insufficient coordination, especially in complex supply chains (Andjelkovic, 2026). Marks &amp; Spencer has brought its logistics operations in-house. This has enabled the company to streamline processes and speed up decision-making.</w:t>
      </w:r>
    </w:p>
    <w:p w14:paraId="368C4F34" w14:textId="77777777" w:rsidR="00CD2139" w:rsidRPr="00CD2139" w:rsidRDefault="00CD2139" w:rsidP="00CD2139">
      <w:pPr>
        <w:spacing w:line="360" w:lineRule="auto"/>
        <w:rPr>
          <w:rFonts w:ascii="Times New Roman" w:hAnsi="Times New Roman" w:cs="Times New Roman"/>
          <w:sz w:val="24"/>
          <w:szCs w:val="24"/>
        </w:rPr>
      </w:pPr>
    </w:p>
    <w:p w14:paraId="3FC760B9"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Following the acquisition, Marks &amp; Spencer reported improvements in stock management and a reduction in delivery delays, which have helped to enhance the </w:t>
      </w:r>
      <w:r w:rsidRPr="00CD2139">
        <w:rPr>
          <w:rFonts w:ascii="Times New Roman" w:hAnsi="Times New Roman" w:cs="Times New Roman"/>
          <w:sz w:val="24"/>
          <w:szCs w:val="24"/>
        </w:rPr>
        <w:lastRenderedPageBreak/>
        <w:t xml:space="preserve">stability of product supply and reduce waste (Marks &amp; Spencer, 2025). These improvements support the theory of synergies, as they reflect enhanced operational coordination and decreased transaction costs (Celestin, 2022; </w:t>
      </w:r>
      <w:proofErr w:type="spellStart"/>
      <w:r w:rsidRPr="00CD2139">
        <w:rPr>
          <w:rFonts w:ascii="Times New Roman" w:hAnsi="Times New Roman" w:cs="Times New Roman"/>
          <w:sz w:val="24"/>
          <w:szCs w:val="24"/>
        </w:rPr>
        <w:t>Ermawati</w:t>
      </w:r>
      <w:proofErr w:type="spellEnd"/>
      <w:r w:rsidRPr="00CD2139">
        <w:rPr>
          <w:rFonts w:ascii="Times New Roman" w:hAnsi="Times New Roman" w:cs="Times New Roman"/>
          <w:sz w:val="24"/>
          <w:szCs w:val="24"/>
        </w:rPr>
        <w:t xml:space="preserve"> et al., 2025b).</w:t>
      </w:r>
    </w:p>
    <w:p w14:paraId="5ED66316" w14:textId="77777777" w:rsidR="00CD2139" w:rsidRPr="00CD2139" w:rsidRDefault="00CD2139" w:rsidP="00CD2139">
      <w:pPr>
        <w:spacing w:line="360" w:lineRule="auto"/>
        <w:rPr>
          <w:rFonts w:ascii="Times New Roman" w:hAnsi="Times New Roman" w:cs="Times New Roman"/>
          <w:sz w:val="24"/>
          <w:szCs w:val="24"/>
        </w:rPr>
      </w:pPr>
    </w:p>
    <w:p w14:paraId="5517751F" w14:textId="61A42093" w:rsidR="00A84E35" w:rsidRPr="001A1F61"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However, managing logistics operations in-house may also increase organisational complexity and administrative burdens. Poor management could lead to new inefficiencies (Kim, 2025). This highlights the potential trade-off between control and complexity.</w:t>
      </w:r>
      <w:r w:rsidR="00A84E35" w:rsidRPr="001A1F61">
        <w:rPr>
          <w:rFonts w:ascii="Times New Roman" w:hAnsi="Times New Roman" w:cs="Times New Roman"/>
          <w:sz w:val="24"/>
          <w:szCs w:val="24"/>
        </w:rPr>
        <w:t xml:space="preserve"> </w:t>
      </w:r>
    </w:p>
    <w:p w14:paraId="61C28F14" w14:textId="77777777" w:rsidR="0031384A" w:rsidRPr="001A1F61" w:rsidRDefault="0031384A" w:rsidP="0011034A">
      <w:pPr>
        <w:spacing w:line="360" w:lineRule="auto"/>
        <w:rPr>
          <w:rFonts w:ascii="Times New Roman" w:hAnsi="Times New Roman" w:cs="Times New Roman"/>
          <w:sz w:val="24"/>
          <w:szCs w:val="24"/>
        </w:rPr>
      </w:pPr>
    </w:p>
    <w:p w14:paraId="6454ABD4" w14:textId="49B762D9" w:rsidR="0031384A" w:rsidRPr="00226D91" w:rsidRDefault="003B6EC6" w:rsidP="0011034A">
      <w:pPr>
        <w:spacing w:line="360" w:lineRule="auto"/>
        <w:outlineLvl w:val="1"/>
        <w:rPr>
          <w:rFonts w:ascii="Times New Roman" w:hAnsi="Times New Roman" w:cs="Times New Roman"/>
          <w:b/>
          <w:bCs/>
          <w:sz w:val="28"/>
          <w:szCs w:val="28"/>
        </w:rPr>
      </w:pPr>
      <w:bookmarkStart w:id="12" w:name="_Toc225472487"/>
      <w:r w:rsidRPr="00226D91">
        <w:rPr>
          <w:rFonts w:ascii="Times New Roman" w:hAnsi="Times New Roman" w:cs="Times New Roman"/>
          <w:b/>
          <w:bCs/>
          <w:sz w:val="28"/>
          <w:szCs w:val="28"/>
        </w:rPr>
        <w:t xml:space="preserve">3.4. </w:t>
      </w:r>
      <w:r w:rsidR="002A79CF" w:rsidRPr="00226D91">
        <w:rPr>
          <w:rFonts w:ascii="Times New Roman" w:hAnsi="Times New Roman" w:cs="Times New Roman"/>
          <w:b/>
          <w:bCs/>
          <w:sz w:val="28"/>
          <w:szCs w:val="28"/>
        </w:rPr>
        <w:t>Combining Complementary Resources</w:t>
      </w:r>
      <w:bookmarkEnd w:id="12"/>
    </w:p>
    <w:p w14:paraId="50FB4BE1" w14:textId="77777777" w:rsidR="003B6EC6" w:rsidRPr="001A1F61" w:rsidRDefault="003B6EC6" w:rsidP="0011034A">
      <w:pPr>
        <w:spacing w:line="360" w:lineRule="auto"/>
        <w:rPr>
          <w:rFonts w:ascii="Times New Roman" w:hAnsi="Times New Roman" w:cs="Times New Roman"/>
          <w:sz w:val="24"/>
          <w:szCs w:val="24"/>
        </w:rPr>
      </w:pPr>
    </w:p>
    <w:p w14:paraId="7F12918F"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This acquisition combines Marks &amp; Spencer’s retail strengths with Gist’s outstanding logistics capabilities, creating a set of complementary resources. This integration has improved coordination between supply and demand and enhanced overall operational performance.</w:t>
      </w:r>
    </w:p>
    <w:p w14:paraId="0667122A" w14:textId="77777777" w:rsidR="00CD2139" w:rsidRPr="00CD2139" w:rsidRDefault="00CD2139" w:rsidP="00CD2139">
      <w:pPr>
        <w:spacing w:line="360" w:lineRule="auto"/>
        <w:rPr>
          <w:rFonts w:ascii="Times New Roman" w:hAnsi="Times New Roman" w:cs="Times New Roman"/>
          <w:sz w:val="24"/>
          <w:szCs w:val="24"/>
        </w:rPr>
      </w:pPr>
    </w:p>
    <w:p w14:paraId="3B30886F"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This is consistent with the resource-based view, which emphasises that the integration of a firm’s unique capabilities is crucial for gaining a competitive advantage (Mailani et al., 2024). For Marks &amp; Spencer, this has strengthened its internal capabilities and reduced its reliance on external suppliers.</w:t>
      </w:r>
    </w:p>
    <w:p w14:paraId="4FEEE67C" w14:textId="77777777" w:rsidR="00CD2139" w:rsidRPr="00CD2139" w:rsidRDefault="00CD2139" w:rsidP="00CD2139">
      <w:pPr>
        <w:spacing w:line="360" w:lineRule="auto"/>
        <w:rPr>
          <w:rFonts w:ascii="Times New Roman" w:hAnsi="Times New Roman" w:cs="Times New Roman"/>
          <w:sz w:val="24"/>
          <w:szCs w:val="24"/>
        </w:rPr>
      </w:pPr>
    </w:p>
    <w:p w14:paraId="75858C55" w14:textId="1B0D0CEC" w:rsidR="003B6EC6" w:rsidRPr="001A1F61"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For Gist, this acquisition provides it with greater financial strength and a stable market demand. Although the cost may be a reduction in its strategic independence. However, whether these benefits can be realised will depend on the effective integration of organisational processes and systems.</w:t>
      </w:r>
    </w:p>
    <w:p w14:paraId="00936B4D" w14:textId="77777777" w:rsidR="004D348F" w:rsidRPr="001A1F61" w:rsidRDefault="004D348F" w:rsidP="0011034A">
      <w:pPr>
        <w:spacing w:line="360" w:lineRule="auto"/>
        <w:rPr>
          <w:rFonts w:ascii="Times New Roman" w:hAnsi="Times New Roman" w:cs="Times New Roman"/>
          <w:sz w:val="24"/>
          <w:szCs w:val="24"/>
        </w:rPr>
      </w:pPr>
    </w:p>
    <w:p w14:paraId="29736811" w14:textId="4C056E4F" w:rsidR="004D348F" w:rsidRPr="00226D91" w:rsidRDefault="004D348F" w:rsidP="0011034A">
      <w:pPr>
        <w:spacing w:line="360" w:lineRule="auto"/>
        <w:outlineLvl w:val="1"/>
        <w:rPr>
          <w:rFonts w:ascii="Times New Roman" w:hAnsi="Times New Roman" w:cs="Times New Roman"/>
          <w:b/>
          <w:bCs/>
          <w:sz w:val="28"/>
          <w:szCs w:val="28"/>
        </w:rPr>
      </w:pPr>
      <w:bookmarkStart w:id="13" w:name="_Toc225472488"/>
      <w:r w:rsidRPr="00226D91">
        <w:rPr>
          <w:rFonts w:ascii="Times New Roman" w:hAnsi="Times New Roman" w:cs="Times New Roman"/>
          <w:b/>
          <w:bCs/>
          <w:sz w:val="28"/>
          <w:szCs w:val="28"/>
        </w:rPr>
        <w:t>3.5. Speed of Growth</w:t>
      </w:r>
      <w:bookmarkEnd w:id="13"/>
    </w:p>
    <w:p w14:paraId="61EC4B37" w14:textId="77777777" w:rsidR="004D348F" w:rsidRPr="001A1F61" w:rsidRDefault="004D348F" w:rsidP="0011034A">
      <w:pPr>
        <w:spacing w:line="360" w:lineRule="auto"/>
        <w:rPr>
          <w:rFonts w:ascii="Times New Roman" w:hAnsi="Times New Roman" w:cs="Times New Roman"/>
          <w:sz w:val="24"/>
          <w:szCs w:val="24"/>
        </w:rPr>
      </w:pPr>
    </w:p>
    <w:p w14:paraId="430C0C5F"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Acquisitions enable firms to expand their capabilities more rapidly than they could </w:t>
      </w:r>
      <w:r w:rsidRPr="00CD2139">
        <w:rPr>
          <w:rFonts w:ascii="Times New Roman" w:hAnsi="Times New Roman" w:cs="Times New Roman"/>
          <w:sz w:val="24"/>
          <w:szCs w:val="24"/>
        </w:rPr>
        <w:lastRenderedPageBreak/>
        <w:t>through organic growth alone. This is particularly evident in infrastructure-intensive industries (Candra et al., 2021; Carter, 2025). By acquiring Gist, Marks &amp; Spencer immediately acquired a mature and advanced logistics network (Marks &amp; Spencer, 2022).</w:t>
      </w:r>
    </w:p>
    <w:p w14:paraId="40437978" w14:textId="77777777" w:rsidR="00CD2139" w:rsidRPr="00CD2139" w:rsidRDefault="00CD2139" w:rsidP="00CD2139">
      <w:pPr>
        <w:spacing w:line="360" w:lineRule="auto"/>
        <w:rPr>
          <w:rFonts w:ascii="Times New Roman" w:hAnsi="Times New Roman" w:cs="Times New Roman"/>
          <w:sz w:val="24"/>
          <w:szCs w:val="24"/>
        </w:rPr>
      </w:pPr>
    </w:p>
    <w:p w14:paraId="7797CC14"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Given the complexity and scale of the supply chain system, the independent development of similar logistics infrastructure requires a lot of time and capital investment (</w:t>
      </w:r>
      <w:proofErr w:type="spellStart"/>
      <w:r w:rsidRPr="00CD2139">
        <w:rPr>
          <w:rFonts w:ascii="Times New Roman" w:hAnsi="Times New Roman" w:cs="Times New Roman"/>
          <w:sz w:val="24"/>
          <w:szCs w:val="24"/>
        </w:rPr>
        <w:t>Katsaliaki</w:t>
      </w:r>
      <w:proofErr w:type="spellEnd"/>
      <w:r w:rsidRPr="00CD2139">
        <w:rPr>
          <w:rFonts w:ascii="Times New Roman" w:hAnsi="Times New Roman" w:cs="Times New Roman"/>
          <w:sz w:val="24"/>
          <w:szCs w:val="24"/>
        </w:rPr>
        <w:t xml:space="preserve">, </w:t>
      </w:r>
      <w:proofErr w:type="spellStart"/>
      <w:r w:rsidRPr="00CD2139">
        <w:rPr>
          <w:rFonts w:ascii="Times New Roman" w:hAnsi="Times New Roman" w:cs="Times New Roman"/>
          <w:sz w:val="24"/>
          <w:szCs w:val="24"/>
        </w:rPr>
        <w:t>Galetsi</w:t>
      </w:r>
      <w:proofErr w:type="spellEnd"/>
      <w:r w:rsidRPr="00CD2139">
        <w:rPr>
          <w:rFonts w:ascii="Times New Roman" w:hAnsi="Times New Roman" w:cs="Times New Roman"/>
          <w:sz w:val="24"/>
          <w:szCs w:val="24"/>
        </w:rPr>
        <w:t xml:space="preserve"> and Kumar, 2022; Peprah Adu, </w:t>
      </w:r>
      <w:proofErr w:type="spellStart"/>
      <w:r w:rsidRPr="00CD2139">
        <w:rPr>
          <w:rFonts w:ascii="Times New Roman" w:hAnsi="Times New Roman" w:cs="Times New Roman"/>
          <w:sz w:val="24"/>
          <w:szCs w:val="24"/>
        </w:rPr>
        <w:t>Dorasamy</w:t>
      </w:r>
      <w:proofErr w:type="spellEnd"/>
      <w:r w:rsidRPr="00CD2139">
        <w:rPr>
          <w:rFonts w:ascii="Times New Roman" w:hAnsi="Times New Roman" w:cs="Times New Roman"/>
          <w:sz w:val="24"/>
          <w:szCs w:val="24"/>
        </w:rPr>
        <w:t xml:space="preserve"> and Keelson, 2024). Therefore, this acquisition has greatly accelerated the pace of the transformation and strategic development of Marks &amp; Spencer.</w:t>
      </w:r>
    </w:p>
    <w:p w14:paraId="157D1327" w14:textId="77777777" w:rsidR="00CD2139" w:rsidRPr="00CD2139" w:rsidRDefault="00CD2139" w:rsidP="00CD2139">
      <w:pPr>
        <w:spacing w:line="360" w:lineRule="auto"/>
        <w:rPr>
          <w:rFonts w:ascii="Times New Roman" w:hAnsi="Times New Roman" w:cs="Times New Roman"/>
          <w:sz w:val="24"/>
          <w:szCs w:val="24"/>
        </w:rPr>
      </w:pPr>
    </w:p>
    <w:p w14:paraId="69F0B9B4" w14:textId="7A548A9E" w:rsidR="00CA138F"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However, the rapid expansion achieved through acquisition may increase the difficulty of integration and put great pressure on management resources (Huang, Yang and Yang, 2024). Therefore, although the growth trajectory has been improved, the related execution risks have also intensified.</w:t>
      </w:r>
    </w:p>
    <w:p w14:paraId="54E5BE96" w14:textId="77777777" w:rsidR="00CD2139" w:rsidRPr="001A1F61" w:rsidRDefault="00CD2139" w:rsidP="00CD2139">
      <w:pPr>
        <w:spacing w:line="360" w:lineRule="auto"/>
        <w:rPr>
          <w:rFonts w:ascii="Times New Roman" w:hAnsi="Times New Roman" w:cs="Times New Roman"/>
          <w:sz w:val="24"/>
          <w:szCs w:val="24"/>
        </w:rPr>
      </w:pPr>
    </w:p>
    <w:p w14:paraId="512A7D72" w14:textId="28951815" w:rsidR="00CA138F" w:rsidRPr="00226D91" w:rsidRDefault="00CA138F" w:rsidP="0011034A">
      <w:pPr>
        <w:spacing w:line="360" w:lineRule="auto"/>
        <w:outlineLvl w:val="1"/>
        <w:rPr>
          <w:rFonts w:ascii="Times New Roman" w:hAnsi="Times New Roman" w:cs="Times New Roman"/>
          <w:b/>
          <w:bCs/>
          <w:sz w:val="28"/>
          <w:szCs w:val="28"/>
        </w:rPr>
      </w:pPr>
      <w:bookmarkStart w:id="14" w:name="_Toc225472489"/>
      <w:r w:rsidRPr="00226D91">
        <w:rPr>
          <w:rFonts w:ascii="Times New Roman" w:hAnsi="Times New Roman" w:cs="Times New Roman"/>
          <w:b/>
          <w:bCs/>
          <w:sz w:val="28"/>
          <w:szCs w:val="28"/>
        </w:rPr>
        <w:t>3.6. Financial Benefits</w:t>
      </w:r>
      <w:bookmarkEnd w:id="14"/>
    </w:p>
    <w:p w14:paraId="24A4E9E4" w14:textId="77777777" w:rsidR="00CA138F" w:rsidRPr="001A1F61" w:rsidRDefault="00CA138F" w:rsidP="0011034A">
      <w:pPr>
        <w:spacing w:line="360" w:lineRule="auto"/>
        <w:rPr>
          <w:rFonts w:ascii="Times New Roman" w:hAnsi="Times New Roman" w:cs="Times New Roman"/>
          <w:sz w:val="24"/>
          <w:szCs w:val="24"/>
        </w:rPr>
      </w:pPr>
    </w:p>
    <w:p w14:paraId="31FBBD9C"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Marks &amp; Spencer’s food sales increased by 8.7% to 9 billion pounds, and its operating profit increased significantly, reflecting the improvement in its food sector performance (Marks &amp; Spencer, 2025). These improvements show that the optimisation of the supply chain is conducive to the improvement of financial performance.</w:t>
      </w:r>
    </w:p>
    <w:p w14:paraId="21A5DE6B" w14:textId="77777777" w:rsidR="00CD2139" w:rsidRPr="00CD2139" w:rsidRDefault="00CD2139" w:rsidP="00CD2139">
      <w:pPr>
        <w:spacing w:line="360" w:lineRule="auto"/>
        <w:rPr>
          <w:rFonts w:ascii="Times New Roman" w:hAnsi="Times New Roman" w:cs="Times New Roman"/>
          <w:sz w:val="24"/>
          <w:szCs w:val="24"/>
        </w:rPr>
      </w:pPr>
    </w:p>
    <w:p w14:paraId="7352730E"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The improvement of inventory management has also reduced waste, thus supporting the improvement of profit margins. This is consistent with the theory of synergy and economies of scale, because the improvement of operational efficiency translates into financial benefits (</w:t>
      </w:r>
      <w:proofErr w:type="spellStart"/>
      <w:r w:rsidRPr="00CD2139">
        <w:rPr>
          <w:rFonts w:ascii="Times New Roman" w:hAnsi="Times New Roman" w:cs="Times New Roman"/>
          <w:sz w:val="24"/>
          <w:szCs w:val="24"/>
        </w:rPr>
        <w:t>Ermawati</w:t>
      </w:r>
      <w:proofErr w:type="spellEnd"/>
      <w:r w:rsidRPr="00CD2139">
        <w:rPr>
          <w:rFonts w:ascii="Times New Roman" w:hAnsi="Times New Roman" w:cs="Times New Roman"/>
          <w:sz w:val="24"/>
          <w:szCs w:val="24"/>
        </w:rPr>
        <w:t xml:space="preserve"> et al., 2025a).</w:t>
      </w:r>
    </w:p>
    <w:p w14:paraId="3D14C52A" w14:textId="77777777" w:rsidR="00CD2139" w:rsidRPr="00CD2139" w:rsidRDefault="00CD2139" w:rsidP="00CD2139">
      <w:pPr>
        <w:spacing w:line="360" w:lineRule="auto"/>
        <w:rPr>
          <w:rFonts w:ascii="Times New Roman" w:hAnsi="Times New Roman" w:cs="Times New Roman"/>
          <w:sz w:val="24"/>
          <w:szCs w:val="24"/>
        </w:rPr>
      </w:pPr>
    </w:p>
    <w:p w14:paraId="6810F80D" w14:textId="60DCB772" w:rsidR="007E3742"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However, the growth in financial performance at the group level is relatively moderate, </w:t>
      </w:r>
      <w:r w:rsidRPr="00CD2139">
        <w:rPr>
          <w:rFonts w:ascii="Times New Roman" w:hAnsi="Times New Roman" w:cs="Times New Roman"/>
          <w:sz w:val="24"/>
          <w:szCs w:val="24"/>
        </w:rPr>
        <w:lastRenderedPageBreak/>
        <w:t>indicating that consolidation costs and external economic environment limit short-term profit growth. Therefore, although the financial benefits are obvious, it may not fully reflect the long-term value of the acquisition. The acquisition may also reflect the use of surplus cash, which raises concerns about whether the income obtained exceeds the company's capital cost and whether it will really maximise shareholder value.</w:t>
      </w:r>
    </w:p>
    <w:p w14:paraId="702A6D88" w14:textId="77777777" w:rsidR="00CD2139" w:rsidRPr="001A1F61" w:rsidRDefault="00CD2139" w:rsidP="00CD2139">
      <w:pPr>
        <w:spacing w:line="360" w:lineRule="auto"/>
        <w:rPr>
          <w:rFonts w:ascii="Times New Roman" w:hAnsi="Times New Roman" w:cs="Times New Roman"/>
          <w:sz w:val="24"/>
          <w:szCs w:val="24"/>
        </w:rPr>
      </w:pPr>
    </w:p>
    <w:p w14:paraId="693D5710" w14:textId="79AE0601" w:rsidR="007E3742" w:rsidRPr="00226D91" w:rsidRDefault="007E3742" w:rsidP="0011034A">
      <w:pPr>
        <w:spacing w:line="360" w:lineRule="auto"/>
        <w:outlineLvl w:val="1"/>
        <w:rPr>
          <w:rFonts w:ascii="Times New Roman" w:hAnsi="Times New Roman" w:cs="Times New Roman"/>
          <w:b/>
          <w:bCs/>
          <w:sz w:val="28"/>
          <w:szCs w:val="28"/>
        </w:rPr>
      </w:pPr>
      <w:bookmarkStart w:id="15" w:name="_Toc225472490"/>
      <w:r w:rsidRPr="00226D91">
        <w:rPr>
          <w:rFonts w:ascii="Times New Roman" w:hAnsi="Times New Roman" w:cs="Times New Roman"/>
          <w:b/>
          <w:bCs/>
          <w:sz w:val="28"/>
          <w:szCs w:val="28"/>
        </w:rPr>
        <w:t xml:space="preserve">3.7. </w:t>
      </w:r>
      <w:r w:rsidR="002A79CF" w:rsidRPr="00226D91">
        <w:rPr>
          <w:rFonts w:ascii="Times New Roman" w:hAnsi="Times New Roman" w:cs="Times New Roman"/>
          <w:b/>
          <w:bCs/>
          <w:sz w:val="28"/>
          <w:szCs w:val="28"/>
        </w:rPr>
        <w:t>Increased Power in the Market</w:t>
      </w:r>
      <w:bookmarkEnd w:id="15"/>
    </w:p>
    <w:p w14:paraId="4C4F0E6F" w14:textId="77777777" w:rsidR="007E3742" w:rsidRPr="001A1F61" w:rsidRDefault="007E3742" w:rsidP="0011034A">
      <w:pPr>
        <w:spacing w:line="360" w:lineRule="auto"/>
        <w:rPr>
          <w:rFonts w:ascii="Times New Roman" w:hAnsi="Times New Roman" w:cs="Times New Roman"/>
          <w:sz w:val="24"/>
          <w:szCs w:val="24"/>
        </w:rPr>
      </w:pPr>
    </w:p>
    <w:p w14:paraId="2A7200B7"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By acquiring Gist, Marks &amp; Spencer has strengthened its control over its logistics business and reduced its dependence on third-party suppliers. Vertical integration can enhance control over the supply chain and reduce dependences on external partners (</w:t>
      </w:r>
      <w:proofErr w:type="spellStart"/>
      <w:r w:rsidRPr="00CD2139">
        <w:rPr>
          <w:rFonts w:ascii="Times New Roman" w:hAnsi="Times New Roman" w:cs="Times New Roman"/>
          <w:sz w:val="24"/>
          <w:szCs w:val="24"/>
        </w:rPr>
        <w:t>Karimirad</w:t>
      </w:r>
      <w:proofErr w:type="spellEnd"/>
      <w:r w:rsidRPr="00CD2139">
        <w:rPr>
          <w:rFonts w:ascii="Times New Roman" w:hAnsi="Times New Roman" w:cs="Times New Roman"/>
          <w:sz w:val="24"/>
          <w:szCs w:val="24"/>
        </w:rPr>
        <w:t>, 2024; Li et al., 2025).</w:t>
      </w:r>
    </w:p>
    <w:p w14:paraId="72923B74" w14:textId="77777777" w:rsidR="00CD2139" w:rsidRPr="00CD2139" w:rsidRDefault="00CD2139" w:rsidP="00CD2139">
      <w:pPr>
        <w:spacing w:line="360" w:lineRule="auto"/>
        <w:rPr>
          <w:rFonts w:ascii="Times New Roman" w:hAnsi="Times New Roman" w:cs="Times New Roman"/>
          <w:sz w:val="24"/>
          <w:szCs w:val="24"/>
        </w:rPr>
      </w:pPr>
    </w:p>
    <w:p w14:paraId="6EFFBC36"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However, this acquisition has limited support for the theory of market force, which emphasises the enhancement of dominance and bargaining power in external markets (Moreau and Uslu, 2025; Chang and </w:t>
      </w:r>
      <w:proofErr w:type="spellStart"/>
      <w:r w:rsidRPr="00CD2139">
        <w:rPr>
          <w:rFonts w:ascii="Times New Roman" w:hAnsi="Times New Roman" w:cs="Times New Roman"/>
          <w:sz w:val="24"/>
          <w:szCs w:val="24"/>
        </w:rPr>
        <w:t>cheng</w:t>
      </w:r>
      <w:proofErr w:type="spellEnd"/>
      <w:r w:rsidRPr="00CD2139">
        <w:rPr>
          <w:rFonts w:ascii="Times New Roman" w:hAnsi="Times New Roman" w:cs="Times New Roman"/>
          <w:sz w:val="24"/>
          <w:szCs w:val="24"/>
        </w:rPr>
        <w:t>, 2026). Since Gist is already the main logistics supplier of Marks &amp; Spencer, the transaction has not significantly improved its position relative to its competitors.</w:t>
      </w:r>
    </w:p>
    <w:p w14:paraId="63E4532F" w14:textId="77777777" w:rsidR="00CD2139" w:rsidRPr="00CD2139" w:rsidRDefault="00CD2139" w:rsidP="00CD2139">
      <w:pPr>
        <w:spacing w:line="360" w:lineRule="auto"/>
        <w:rPr>
          <w:rFonts w:ascii="Times New Roman" w:hAnsi="Times New Roman" w:cs="Times New Roman"/>
          <w:sz w:val="24"/>
          <w:szCs w:val="24"/>
        </w:rPr>
      </w:pPr>
    </w:p>
    <w:p w14:paraId="5243BB6A" w14:textId="49581DBF" w:rsidR="0002595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On the contrary, its main benefit lies in the improvement of internal efficiency rather than the enhancement of market control. Therefore, this acquisition strengthens the business ability rather than the traditional market influence.</w:t>
      </w:r>
    </w:p>
    <w:p w14:paraId="67CE1B93" w14:textId="77777777" w:rsidR="00CD2139" w:rsidRPr="00CD2139" w:rsidRDefault="00CD2139" w:rsidP="00CD2139">
      <w:pPr>
        <w:spacing w:line="360" w:lineRule="auto"/>
        <w:rPr>
          <w:rFonts w:ascii="Times New Roman" w:hAnsi="Times New Roman" w:cs="Times New Roman"/>
          <w:sz w:val="24"/>
          <w:szCs w:val="24"/>
        </w:rPr>
      </w:pPr>
    </w:p>
    <w:p w14:paraId="59529D1A" w14:textId="3F89D587" w:rsidR="00025959" w:rsidRPr="00226D91" w:rsidRDefault="00025959" w:rsidP="0011034A">
      <w:pPr>
        <w:spacing w:line="360" w:lineRule="auto"/>
        <w:outlineLvl w:val="1"/>
        <w:rPr>
          <w:rFonts w:ascii="Times New Roman" w:hAnsi="Times New Roman" w:cs="Times New Roman"/>
          <w:b/>
          <w:bCs/>
          <w:sz w:val="28"/>
          <w:szCs w:val="28"/>
        </w:rPr>
      </w:pPr>
      <w:bookmarkStart w:id="16" w:name="_Toc225472491"/>
      <w:r w:rsidRPr="00226D91">
        <w:rPr>
          <w:rFonts w:ascii="Times New Roman" w:hAnsi="Times New Roman" w:cs="Times New Roman"/>
          <w:b/>
          <w:bCs/>
          <w:sz w:val="28"/>
          <w:szCs w:val="28"/>
        </w:rPr>
        <w:t>3.8. Diversification</w:t>
      </w:r>
      <w:bookmarkEnd w:id="16"/>
    </w:p>
    <w:p w14:paraId="6EACFBE5" w14:textId="77777777" w:rsidR="00025959" w:rsidRPr="001A1F61" w:rsidRDefault="00025959" w:rsidP="0011034A">
      <w:pPr>
        <w:spacing w:line="360" w:lineRule="auto"/>
        <w:rPr>
          <w:rFonts w:ascii="Times New Roman" w:hAnsi="Times New Roman" w:cs="Times New Roman"/>
          <w:sz w:val="24"/>
          <w:szCs w:val="24"/>
        </w:rPr>
      </w:pPr>
    </w:p>
    <w:p w14:paraId="1F01A32A"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 xml:space="preserve">This acquisition is a relevant diversification, because it expands Marks &amp; Spencer's capabilities in its existing value chain, rather than entering a new market. Related diversification is usually associated with the improvement of operational efficiency and the enhancement of strategic synergy (Wang, Abdullayeva and Hoang, 2024; Yang, Kim </w:t>
      </w:r>
      <w:r w:rsidRPr="00CD2139">
        <w:rPr>
          <w:rFonts w:ascii="Times New Roman" w:hAnsi="Times New Roman" w:cs="Times New Roman"/>
          <w:sz w:val="24"/>
          <w:szCs w:val="24"/>
        </w:rPr>
        <w:lastRenderedPageBreak/>
        <w:t>and Hwang, 2025).</w:t>
      </w:r>
    </w:p>
    <w:p w14:paraId="1CDD56A1" w14:textId="77777777" w:rsidR="00CD2139" w:rsidRPr="00CD2139" w:rsidRDefault="00CD2139" w:rsidP="00CD2139">
      <w:pPr>
        <w:spacing w:line="360" w:lineRule="auto"/>
        <w:rPr>
          <w:rFonts w:ascii="Times New Roman" w:hAnsi="Times New Roman" w:cs="Times New Roman"/>
          <w:sz w:val="24"/>
          <w:szCs w:val="24"/>
        </w:rPr>
      </w:pPr>
    </w:p>
    <w:p w14:paraId="72512631" w14:textId="77777777" w:rsidR="00CD2139" w:rsidRPr="00CD2139"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This shows that the acquisition has enhanced the core competitiveness of Marks &amp; Spencer, not just dispersing risks. However, the agency theory shows that the incentive mechanism of management may also affect acquisition decisions (Tan, Zhang Hesu, 2026).</w:t>
      </w:r>
    </w:p>
    <w:p w14:paraId="2E331F7C" w14:textId="77777777" w:rsidR="00CD2139" w:rsidRPr="00CD2139" w:rsidRDefault="00CD2139" w:rsidP="00CD2139">
      <w:pPr>
        <w:spacing w:line="360" w:lineRule="auto"/>
        <w:rPr>
          <w:rFonts w:ascii="Times New Roman" w:hAnsi="Times New Roman" w:cs="Times New Roman"/>
          <w:sz w:val="24"/>
          <w:szCs w:val="24"/>
        </w:rPr>
      </w:pPr>
    </w:p>
    <w:p w14:paraId="5FC3E34E" w14:textId="7A4BB149" w:rsidR="00CA138F" w:rsidRDefault="00CD2139" w:rsidP="00CD2139">
      <w:pPr>
        <w:spacing w:line="360" w:lineRule="auto"/>
        <w:rPr>
          <w:rFonts w:ascii="Times New Roman" w:hAnsi="Times New Roman" w:cs="Times New Roman"/>
          <w:sz w:val="24"/>
          <w:szCs w:val="24"/>
        </w:rPr>
      </w:pPr>
      <w:r w:rsidRPr="00CD2139">
        <w:rPr>
          <w:rFonts w:ascii="Times New Roman" w:hAnsi="Times New Roman" w:cs="Times New Roman"/>
          <w:sz w:val="24"/>
          <w:szCs w:val="24"/>
        </w:rPr>
        <w:t>In this case, the high degree of strategic consistency between retail and logistics suggests that the acquisition is likely to be value-driven. However, the increased complexity of the organisation brings additional risks, which must be managed effectively.</w:t>
      </w:r>
    </w:p>
    <w:p w14:paraId="72C18020" w14:textId="77777777" w:rsidR="00CD2139" w:rsidRPr="001A1F61" w:rsidRDefault="00CD2139" w:rsidP="00CD2139">
      <w:pPr>
        <w:spacing w:line="360" w:lineRule="auto"/>
        <w:rPr>
          <w:rFonts w:ascii="Times New Roman" w:hAnsi="Times New Roman" w:cs="Times New Roman"/>
          <w:sz w:val="24"/>
          <w:szCs w:val="24"/>
        </w:rPr>
      </w:pPr>
    </w:p>
    <w:p w14:paraId="29C16E8E" w14:textId="7D5F8BE2" w:rsidR="00A821F2" w:rsidRPr="00226D91" w:rsidRDefault="00A821F2" w:rsidP="0011034A">
      <w:pPr>
        <w:spacing w:line="360" w:lineRule="auto"/>
        <w:outlineLvl w:val="1"/>
        <w:rPr>
          <w:rFonts w:ascii="Times New Roman" w:hAnsi="Times New Roman" w:cs="Times New Roman"/>
          <w:b/>
          <w:bCs/>
          <w:sz w:val="28"/>
          <w:szCs w:val="28"/>
        </w:rPr>
      </w:pPr>
      <w:bookmarkStart w:id="17" w:name="_Toc225472492"/>
      <w:r w:rsidRPr="00226D91">
        <w:rPr>
          <w:rFonts w:ascii="Times New Roman" w:hAnsi="Times New Roman" w:cs="Times New Roman"/>
          <w:b/>
          <w:bCs/>
          <w:sz w:val="28"/>
          <w:szCs w:val="28"/>
        </w:rPr>
        <w:t>3.9. Regulatory Framework</w:t>
      </w:r>
      <w:bookmarkEnd w:id="17"/>
    </w:p>
    <w:p w14:paraId="1CD08104" w14:textId="77777777" w:rsidR="00A821F2" w:rsidRPr="001A1F61" w:rsidRDefault="00A821F2" w:rsidP="0011034A">
      <w:pPr>
        <w:spacing w:line="360" w:lineRule="auto"/>
        <w:rPr>
          <w:rFonts w:ascii="Times New Roman" w:hAnsi="Times New Roman" w:cs="Times New Roman"/>
          <w:sz w:val="24"/>
          <w:szCs w:val="24"/>
        </w:rPr>
      </w:pPr>
    </w:p>
    <w:p w14:paraId="1312819B" w14:textId="77777777" w:rsidR="0055504E" w:rsidRPr="0055504E" w:rsidRDefault="0055504E" w:rsidP="0055504E">
      <w:pPr>
        <w:spacing w:line="360" w:lineRule="auto"/>
        <w:rPr>
          <w:rFonts w:ascii="Times New Roman" w:hAnsi="Times New Roman" w:cs="Times New Roman"/>
          <w:sz w:val="24"/>
          <w:szCs w:val="24"/>
        </w:rPr>
      </w:pPr>
      <w:r w:rsidRPr="0055504E">
        <w:rPr>
          <w:rFonts w:ascii="Times New Roman" w:hAnsi="Times New Roman" w:cs="Times New Roman"/>
          <w:sz w:val="24"/>
          <w:szCs w:val="24"/>
        </w:rPr>
        <w:t xml:space="preserve">The acquisition has not been strictly reviewed by the British Competition and Market Authority (CMA), which shows that there are limited concerns about the possible decline in market competitiveness (Marks &amp; Spencer, 2022; CMA, 2024). This may be because the transaction is a vertical integration rather than a horizontal expansion, which means that it will not directly reduce the number of competitors in the market (Moresi and Salop, 2021; </w:t>
      </w:r>
      <w:proofErr w:type="spellStart"/>
      <w:r w:rsidRPr="0055504E">
        <w:rPr>
          <w:rFonts w:ascii="Times New Roman" w:hAnsi="Times New Roman" w:cs="Times New Roman"/>
          <w:sz w:val="24"/>
          <w:szCs w:val="24"/>
        </w:rPr>
        <w:t>Oxera</w:t>
      </w:r>
      <w:proofErr w:type="spellEnd"/>
      <w:r w:rsidRPr="0055504E">
        <w:rPr>
          <w:rFonts w:ascii="Times New Roman" w:hAnsi="Times New Roman" w:cs="Times New Roman"/>
          <w:sz w:val="24"/>
          <w:szCs w:val="24"/>
        </w:rPr>
        <w:t>, 2023).</w:t>
      </w:r>
    </w:p>
    <w:p w14:paraId="4802D127" w14:textId="77777777" w:rsidR="0055504E" w:rsidRPr="0055504E" w:rsidRDefault="0055504E" w:rsidP="0055504E">
      <w:pPr>
        <w:spacing w:line="360" w:lineRule="auto"/>
        <w:rPr>
          <w:rFonts w:ascii="Times New Roman" w:hAnsi="Times New Roman" w:cs="Times New Roman"/>
          <w:sz w:val="24"/>
          <w:szCs w:val="24"/>
        </w:rPr>
      </w:pPr>
    </w:p>
    <w:p w14:paraId="2F1EA7B3" w14:textId="77777777" w:rsidR="0055504E" w:rsidRPr="0055504E" w:rsidRDefault="0055504E" w:rsidP="0055504E">
      <w:pPr>
        <w:spacing w:line="360" w:lineRule="auto"/>
        <w:rPr>
          <w:rFonts w:ascii="Times New Roman" w:hAnsi="Times New Roman" w:cs="Times New Roman"/>
          <w:sz w:val="24"/>
          <w:szCs w:val="24"/>
        </w:rPr>
      </w:pPr>
      <w:r w:rsidRPr="0055504E">
        <w:rPr>
          <w:rFonts w:ascii="Times New Roman" w:hAnsi="Times New Roman" w:cs="Times New Roman"/>
          <w:sz w:val="24"/>
          <w:szCs w:val="24"/>
        </w:rPr>
        <w:t>Therefore, the transaction is unlikely to significantly change the overall market structure and will not create major obstacles for other companies to enter the market (Carlton, 2024; Sanford and Wong Ervin, 2024). On the contrary, its main impact is to improve the coordination and efficiency within the supply chain of Marks &amp; Spencer (Masa’ deh et al., 2022; Kim, 2025).</w:t>
      </w:r>
    </w:p>
    <w:p w14:paraId="46145266" w14:textId="77777777" w:rsidR="0055504E" w:rsidRPr="0055504E" w:rsidRDefault="0055504E" w:rsidP="0055504E">
      <w:pPr>
        <w:spacing w:line="360" w:lineRule="auto"/>
        <w:rPr>
          <w:rFonts w:ascii="Times New Roman" w:hAnsi="Times New Roman" w:cs="Times New Roman"/>
          <w:sz w:val="24"/>
          <w:szCs w:val="24"/>
        </w:rPr>
      </w:pPr>
    </w:p>
    <w:p w14:paraId="14A9DAC4" w14:textId="77777777" w:rsidR="0055504E" w:rsidRPr="0055504E" w:rsidRDefault="0055504E" w:rsidP="0055504E">
      <w:pPr>
        <w:spacing w:line="360" w:lineRule="auto"/>
        <w:rPr>
          <w:rFonts w:ascii="Times New Roman" w:hAnsi="Times New Roman" w:cs="Times New Roman"/>
          <w:sz w:val="24"/>
          <w:szCs w:val="24"/>
        </w:rPr>
      </w:pPr>
      <w:r w:rsidRPr="0055504E">
        <w:rPr>
          <w:rFonts w:ascii="Times New Roman" w:hAnsi="Times New Roman" w:cs="Times New Roman"/>
          <w:sz w:val="24"/>
          <w:szCs w:val="24"/>
        </w:rPr>
        <w:t xml:space="preserve">In addition, the fact that regulators did not intervene shows that the acquisition did not significantly enhance market power in terms of pricing or competitive dominance </w:t>
      </w:r>
      <w:r w:rsidRPr="0055504E">
        <w:rPr>
          <w:rFonts w:ascii="Times New Roman" w:hAnsi="Times New Roman" w:cs="Times New Roman"/>
          <w:sz w:val="24"/>
          <w:szCs w:val="24"/>
        </w:rPr>
        <w:lastRenderedPageBreak/>
        <w:t xml:space="preserve">(Bellucci and </w:t>
      </w:r>
      <w:proofErr w:type="spellStart"/>
      <w:r w:rsidRPr="0055504E">
        <w:rPr>
          <w:rFonts w:ascii="Times New Roman" w:hAnsi="Times New Roman" w:cs="Times New Roman"/>
          <w:sz w:val="24"/>
          <w:szCs w:val="24"/>
        </w:rPr>
        <w:t>Rungi</w:t>
      </w:r>
      <w:proofErr w:type="spellEnd"/>
      <w:r w:rsidRPr="0055504E">
        <w:rPr>
          <w:rFonts w:ascii="Times New Roman" w:hAnsi="Times New Roman" w:cs="Times New Roman"/>
          <w:sz w:val="24"/>
          <w:szCs w:val="24"/>
        </w:rPr>
        <w:t>, 2024). However, it may still bring indirect advantages. For example, improved cost control and operational flexibility. It may enhance the company's competitive position over time.</w:t>
      </w:r>
    </w:p>
    <w:p w14:paraId="533A3E29" w14:textId="77777777" w:rsidR="0055504E" w:rsidRPr="0055504E" w:rsidRDefault="0055504E" w:rsidP="0055504E">
      <w:pPr>
        <w:spacing w:line="360" w:lineRule="auto"/>
        <w:rPr>
          <w:rFonts w:ascii="Times New Roman" w:hAnsi="Times New Roman" w:cs="Times New Roman"/>
          <w:sz w:val="24"/>
          <w:szCs w:val="24"/>
        </w:rPr>
      </w:pPr>
    </w:p>
    <w:p w14:paraId="30A30735" w14:textId="4A5F881C" w:rsidR="00A70DAA" w:rsidRDefault="0055504E" w:rsidP="0055504E">
      <w:pPr>
        <w:spacing w:line="360" w:lineRule="auto"/>
        <w:rPr>
          <w:rFonts w:ascii="Times New Roman" w:hAnsi="Times New Roman" w:cs="Times New Roman"/>
          <w:sz w:val="24"/>
          <w:szCs w:val="24"/>
        </w:rPr>
      </w:pPr>
      <w:r w:rsidRPr="0055504E">
        <w:rPr>
          <w:rFonts w:ascii="Times New Roman" w:hAnsi="Times New Roman" w:cs="Times New Roman"/>
          <w:sz w:val="24"/>
          <w:szCs w:val="24"/>
        </w:rPr>
        <w:t>Therefore, regulatory restrictions do not hinder the implementation of the acquisition strategy. On the contrary, this decision further shows that its main benefits lie at the operational level rather than market control</w:t>
      </w:r>
      <w:r>
        <w:rPr>
          <w:rFonts w:ascii="Times New Roman" w:hAnsi="Times New Roman" w:cs="Times New Roman" w:hint="eastAsia"/>
          <w:sz w:val="24"/>
          <w:szCs w:val="24"/>
        </w:rPr>
        <w:t>.</w:t>
      </w:r>
    </w:p>
    <w:p w14:paraId="20734183" w14:textId="77777777" w:rsidR="0055504E" w:rsidRPr="001A1F61" w:rsidRDefault="0055504E" w:rsidP="0055504E">
      <w:pPr>
        <w:spacing w:line="360" w:lineRule="auto"/>
        <w:rPr>
          <w:rFonts w:ascii="Times New Roman" w:hAnsi="Times New Roman" w:cs="Times New Roman"/>
          <w:sz w:val="24"/>
          <w:szCs w:val="24"/>
        </w:rPr>
      </w:pPr>
    </w:p>
    <w:p w14:paraId="4BEBD3E6" w14:textId="637F341B" w:rsidR="00A70DAA" w:rsidRPr="00226D91" w:rsidRDefault="00A70DAA" w:rsidP="0011034A">
      <w:pPr>
        <w:spacing w:line="360" w:lineRule="auto"/>
        <w:outlineLvl w:val="1"/>
        <w:rPr>
          <w:rFonts w:ascii="Times New Roman" w:hAnsi="Times New Roman" w:cs="Times New Roman"/>
          <w:b/>
          <w:bCs/>
          <w:sz w:val="28"/>
          <w:szCs w:val="28"/>
        </w:rPr>
      </w:pPr>
      <w:bookmarkStart w:id="18" w:name="_Toc225472493"/>
      <w:r w:rsidRPr="00226D91">
        <w:rPr>
          <w:rFonts w:ascii="Times New Roman" w:hAnsi="Times New Roman" w:cs="Times New Roman"/>
          <w:b/>
          <w:bCs/>
          <w:sz w:val="28"/>
          <w:szCs w:val="28"/>
        </w:rPr>
        <w:t xml:space="preserve">3.10. </w:t>
      </w:r>
      <w:r w:rsidR="006D2231" w:rsidRPr="00226D91">
        <w:rPr>
          <w:rFonts w:ascii="Times New Roman" w:hAnsi="Times New Roman" w:cs="Times New Roman"/>
          <w:b/>
          <w:bCs/>
          <w:sz w:val="28"/>
          <w:szCs w:val="28"/>
        </w:rPr>
        <w:t>Shareholder</w:t>
      </w:r>
      <w:r w:rsidR="000A3402" w:rsidRPr="00226D91">
        <w:rPr>
          <w:rFonts w:ascii="Times New Roman" w:hAnsi="Times New Roman" w:cs="Times New Roman"/>
          <w:b/>
          <w:bCs/>
          <w:sz w:val="28"/>
          <w:szCs w:val="28"/>
        </w:rPr>
        <w:t>s</w:t>
      </w:r>
      <w:r w:rsidR="006D2231" w:rsidRPr="00226D91">
        <w:rPr>
          <w:rFonts w:ascii="Times New Roman" w:hAnsi="Times New Roman" w:cs="Times New Roman"/>
          <w:b/>
          <w:bCs/>
          <w:sz w:val="28"/>
          <w:szCs w:val="28"/>
        </w:rPr>
        <w:t xml:space="preserve"> Wealth</w:t>
      </w:r>
      <w:bookmarkEnd w:id="18"/>
    </w:p>
    <w:p w14:paraId="0B8E974F" w14:textId="77777777" w:rsidR="00A70DAA" w:rsidRPr="001A1F61" w:rsidRDefault="00A70DAA" w:rsidP="0011034A">
      <w:pPr>
        <w:spacing w:line="360" w:lineRule="auto"/>
        <w:rPr>
          <w:rFonts w:ascii="Times New Roman" w:hAnsi="Times New Roman" w:cs="Times New Roman"/>
          <w:sz w:val="24"/>
          <w:szCs w:val="24"/>
        </w:rPr>
      </w:pPr>
    </w:p>
    <w:p w14:paraId="495995A0" w14:textId="77777777" w:rsidR="0055504E" w:rsidRPr="0055504E" w:rsidRDefault="0055504E" w:rsidP="0055504E">
      <w:pPr>
        <w:spacing w:line="360" w:lineRule="auto"/>
        <w:rPr>
          <w:rFonts w:ascii="Times New Roman" w:hAnsi="Times New Roman" w:cs="Times New Roman"/>
          <w:sz w:val="24"/>
          <w:szCs w:val="24"/>
        </w:rPr>
      </w:pPr>
      <w:r w:rsidRPr="0055504E">
        <w:rPr>
          <w:rFonts w:ascii="Times New Roman" w:hAnsi="Times New Roman" w:cs="Times New Roman"/>
          <w:sz w:val="24"/>
          <w:szCs w:val="24"/>
        </w:rPr>
        <w:t xml:space="preserve">The primary objective of mergers and acquisitions is generally considered to be the maximisation of shareholder wealth (Asamoah and </w:t>
      </w:r>
      <w:proofErr w:type="spellStart"/>
      <w:r w:rsidRPr="0055504E">
        <w:rPr>
          <w:rFonts w:ascii="Times New Roman" w:hAnsi="Times New Roman" w:cs="Times New Roman"/>
          <w:sz w:val="24"/>
          <w:szCs w:val="24"/>
        </w:rPr>
        <w:t>Buabin</w:t>
      </w:r>
      <w:proofErr w:type="spellEnd"/>
      <w:r w:rsidRPr="0055504E">
        <w:rPr>
          <w:rFonts w:ascii="Times New Roman" w:hAnsi="Times New Roman" w:cs="Times New Roman"/>
          <w:sz w:val="24"/>
          <w:szCs w:val="24"/>
        </w:rPr>
        <w:t>, 2025). In financial theory, a rise in share prices is often used as an indicator of increased shareholder value. Because it reflects investors’ positive expectations regarding future profitability and strategic positioning.</w:t>
      </w:r>
    </w:p>
    <w:p w14:paraId="0CCDFF62" w14:textId="77777777" w:rsidR="0055504E" w:rsidRPr="0055504E" w:rsidRDefault="0055504E" w:rsidP="0055504E">
      <w:pPr>
        <w:spacing w:line="360" w:lineRule="auto"/>
        <w:rPr>
          <w:rFonts w:ascii="Times New Roman" w:hAnsi="Times New Roman" w:cs="Times New Roman"/>
          <w:sz w:val="24"/>
          <w:szCs w:val="24"/>
        </w:rPr>
      </w:pPr>
    </w:p>
    <w:p w14:paraId="55CB076D" w14:textId="77777777" w:rsidR="0055504E" w:rsidRPr="0055504E" w:rsidRDefault="0055504E" w:rsidP="0055504E">
      <w:pPr>
        <w:spacing w:line="360" w:lineRule="auto"/>
        <w:rPr>
          <w:rFonts w:ascii="Times New Roman" w:hAnsi="Times New Roman" w:cs="Times New Roman"/>
          <w:sz w:val="24"/>
          <w:szCs w:val="24"/>
        </w:rPr>
      </w:pPr>
      <w:r w:rsidRPr="0055504E">
        <w:rPr>
          <w:rFonts w:ascii="Times New Roman" w:hAnsi="Times New Roman" w:cs="Times New Roman"/>
          <w:sz w:val="24"/>
          <w:szCs w:val="24"/>
        </w:rPr>
        <w:t>Take Marks &amp; Spencer as an example. The company’s share price rose rapidly from its low point in 2022 to around 300 pence in 2024, indicating a significant strengthening of investor confidence (Reuters, 2024). This upward trend may suggest that the acquisition is helping to improve market sentiment.</w:t>
      </w:r>
    </w:p>
    <w:p w14:paraId="68E8BC9C" w14:textId="77777777" w:rsidR="0055504E" w:rsidRPr="0055504E" w:rsidRDefault="0055504E" w:rsidP="0055504E">
      <w:pPr>
        <w:spacing w:line="360" w:lineRule="auto"/>
        <w:rPr>
          <w:rFonts w:ascii="Times New Roman" w:hAnsi="Times New Roman" w:cs="Times New Roman"/>
          <w:sz w:val="24"/>
          <w:szCs w:val="24"/>
        </w:rPr>
      </w:pPr>
    </w:p>
    <w:p w14:paraId="4398889C" w14:textId="77777777" w:rsidR="0055504E" w:rsidRPr="0055504E" w:rsidRDefault="0055504E" w:rsidP="0055504E">
      <w:pPr>
        <w:spacing w:line="360" w:lineRule="auto"/>
        <w:rPr>
          <w:rFonts w:ascii="Times New Roman" w:hAnsi="Times New Roman" w:cs="Times New Roman"/>
          <w:sz w:val="24"/>
          <w:szCs w:val="24"/>
        </w:rPr>
      </w:pPr>
      <w:r w:rsidRPr="0055504E">
        <w:rPr>
          <w:rFonts w:ascii="Times New Roman" w:hAnsi="Times New Roman" w:cs="Times New Roman"/>
          <w:sz w:val="24"/>
          <w:szCs w:val="24"/>
        </w:rPr>
        <w:t>However, this growth cannot simply be attributed entirely to this acquisition. Stock prices are affected by many external and internal factors, including broader business restructuring, macroeconomic recovery after the pandemic, and improved operating performance (</w:t>
      </w:r>
      <w:proofErr w:type="spellStart"/>
      <w:r w:rsidRPr="0055504E">
        <w:rPr>
          <w:rFonts w:ascii="Times New Roman" w:hAnsi="Times New Roman" w:cs="Times New Roman"/>
          <w:sz w:val="24"/>
          <w:szCs w:val="24"/>
        </w:rPr>
        <w:t>Robbetze</w:t>
      </w:r>
      <w:proofErr w:type="spellEnd"/>
      <w:r w:rsidRPr="0055504E">
        <w:rPr>
          <w:rFonts w:ascii="Times New Roman" w:hAnsi="Times New Roman" w:cs="Times New Roman"/>
          <w:sz w:val="24"/>
          <w:szCs w:val="24"/>
        </w:rPr>
        <w:t xml:space="preserve"> and Van Der Niet, 2025). Therefore, it is inherently challenging to separate the specific impact of an acquisition on the value of shareholders.</w:t>
      </w:r>
    </w:p>
    <w:p w14:paraId="4DBD9DA4" w14:textId="77777777" w:rsidR="0055504E" w:rsidRPr="0055504E" w:rsidRDefault="0055504E" w:rsidP="0055504E">
      <w:pPr>
        <w:spacing w:line="360" w:lineRule="auto"/>
        <w:rPr>
          <w:rFonts w:ascii="Times New Roman" w:hAnsi="Times New Roman" w:cs="Times New Roman"/>
          <w:sz w:val="24"/>
          <w:szCs w:val="24"/>
        </w:rPr>
      </w:pPr>
    </w:p>
    <w:p w14:paraId="20E4BE6F" w14:textId="7E5575AA" w:rsidR="00BD43C0" w:rsidRDefault="0055504E" w:rsidP="0055504E">
      <w:pPr>
        <w:spacing w:line="360" w:lineRule="auto"/>
        <w:rPr>
          <w:rFonts w:ascii="Times New Roman" w:hAnsi="Times New Roman" w:cs="Times New Roman"/>
          <w:sz w:val="24"/>
          <w:szCs w:val="24"/>
        </w:rPr>
      </w:pPr>
      <w:r w:rsidRPr="0055504E">
        <w:rPr>
          <w:rFonts w:ascii="Times New Roman" w:hAnsi="Times New Roman" w:cs="Times New Roman"/>
          <w:sz w:val="24"/>
          <w:szCs w:val="24"/>
        </w:rPr>
        <w:t xml:space="preserve">Therefore, although there is some evidence to support the view that the acquisition will help maximise the wealth of shareholders, its direct impact is still uncertain. This </w:t>
      </w:r>
      <w:r w:rsidRPr="0055504E">
        <w:rPr>
          <w:rFonts w:ascii="Times New Roman" w:hAnsi="Times New Roman" w:cs="Times New Roman"/>
          <w:sz w:val="24"/>
          <w:szCs w:val="24"/>
        </w:rPr>
        <w:lastRenderedPageBreak/>
        <w:t>highlights the limitations of stock price changes as the only criterion for measuring the success of acquisitions. Because stock price fluctuations may reflect multiple overlapping influencing factors rather than a single strategic decision-making.</w:t>
      </w:r>
    </w:p>
    <w:p w14:paraId="417062FB" w14:textId="77777777" w:rsidR="0055504E" w:rsidRPr="001A1F61" w:rsidRDefault="0055504E" w:rsidP="0055504E">
      <w:pPr>
        <w:spacing w:line="360" w:lineRule="auto"/>
        <w:rPr>
          <w:rFonts w:ascii="Times New Roman" w:hAnsi="Times New Roman" w:cs="Times New Roman"/>
          <w:sz w:val="24"/>
          <w:szCs w:val="24"/>
        </w:rPr>
      </w:pPr>
    </w:p>
    <w:p w14:paraId="656C2F8D" w14:textId="77777777" w:rsidR="00DA167B" w:rsidRPr="00226D91" w:rsidRDefault="00DA167B" w:rsidP="0011034A">
      <w:pPr>
        <w:widowControl/>
        <w:spacing w:line="360" w:lineRule="auto"/>
        <w:jc w:val="left"/>
        <w:outlineLvl w:val="0"/>
        <w:rPr>
          <w:rFonts w:ascii="Times New Roman" w:hAnsi="Times New Roman" w:cs="Times New Roman"/>
          <w:b/>
          <w:bCs/>
          <w:sz w:val="28"/>
          <w:szCs w:val="28"/>
        </w:rPr>
      </w:pPr>
      <w:bookmarkStart w:id="19" w:name="_Toc225472494"/>
      <w:r w:rsidRPr="00226D91">
        <w:rPr>
          <w:rFonts w:ascii="Times New Roman" w:hAnsi="Times New Roman" w:cs="Times New Roman" w:hint="eastAsia"/>
          <w:b/>
          <w:bCs/>
          <w:sz w:val="28"/>
          <w:szCs w:val="28"/>
        </w:rPr>
        <w:t>4. Conclusion</w:t>
      </w:r>
      <w:bookmarkEnd w:id="19"/>
    </w:p>
    <w:p w14:paraId="52A31236" w14:textId="77777777" w:rsidR="00DA167B" w:rsidRPr="00DA167B" w:rsidRDefault="00DA167B" w:rsidP="0011034A">
      <w:pPr>
        <w:widowControl/>
        <w:spacing w:line="360" w:lineRule="auto"/>
        <w:jc w:val="left"/>
        <w:rPr>
          <w:rFonts w:ascii="Times New Roman" w:hAnsi="Times New Roman" w:cs="Times New Roman"/>
          <w:sz w:val="24"/>
          <w:szCs w:val="24"/>
        </w:rPr>
      </w:pPr>
    </w:p>
    <w:p w14:paraId="153FA782" w14:textId="77777777" w:rsidR="0055504E" w:rsidRPr="0055504E" w:rsidRDefault="0055504E" w:rsidP="0055504E">
      <w:pPr>
        <w:widowControl/>
        <w:spacing w:line="360" w:lineRule="auto"/>
        <w:rPr>
          <w:rFonts w:ascii="Times New Roman" w:hAnsi="Times New Roman" w:cs="Times New Roman"/>
          <w:sz w:val="24"/>
          <w:szCs w:val="24"/>
        </w:rPr>
      </w:pPr>
      <w:r w:rsidRPr="0055504E">
        <w:rPr>
          <w:rFonts w:ascii="Times New Roman" w:hAnsi="Times New Roman" w:cs="Times New Roman"/>
          <w:sz w:val="24"/>
          <w:szCs w:val="24"/>
        </w:rPr>
        <w:t>This report critically evaluates Marks &amp; Spencer's acquisition of Gist in terms of strategy and financial results.</w:t>
      </w:r>
    </w:p>
    <w:p w14:paraId="4609E9E3" w14:textId="77777777" w:rsidR="0055504E" w:rsidRPr="0055504E" w:rsidRDefault="0055504E" w:rsidP="0055504E">
      <w:pPr>
        <w:widowControl/>
        <w:spacing w:line="360" w:lineRule="auto"/>
        <w:rPr>
          <w:rFonts w:ascii="Times New Roman" w:hAnsi="Times New Roman" w:cs="Times New Roman"/>
          <w:sz w:val="24"/>
          <w:szCs w:val="24"/>
        </w:rPr>
      </w:pPr>
    </w:p>
    <w:p w14:paraId="055E8422" w14:textId="77777777" w:rsidR="0055504E" w:rsidRPr="0055504E" w:rsidRDefault="0055504E" w:rsidP="0055504E">
      <w:pPr>
        <w:widowControl/>
        <w:spacing w:line="360" w:lineRule="auto"/>
        <w:rPr>
          <w:rFonts w:ascii="Times New Roman" w:hAnsi="Times New Roman" w:cs="Times New Roman"/>
          <w:sz w:val="24"/>
          <w:szCs w:val="24"/>
        </w:rPr>
      </w:pPr>
      <w:r w:rsidRPr="0055504E">
        <w:rPr>
          <w:rFonts w:ascii="Times New Roman" w:hAnsi="Times New Roman" w:cs="Times New Roman"/>
          <w:sz w:val="24"/>
          <w:szCs w:val="24"/>
        </w:rPr>
        <w:t>In general, the acquisition can be regarded as a partial success. It improves the efficiency of the supply chain, strengthens operational control. It helps to give full play to the advantages of synergy and economies of scale.</w:t>
      </w:r>
    </w:p>
    <w:p w14:paraId="15FFB797" w14:textId="77777777" w:rsidR="0055504E" w:rsidRPr="0055504E" w:rsidRDefault="0055504E" w:rsidP="0055504E">
      <w:pPr>
        <w:widowControl/>
        <w:spacing w:line="360" w:lineRule="auto"/>
        <w:rPr>
          <w:rFonts w:ascii="Times New Roman" w:hAnsi="Times New Roman" w:cs="Times New Roman"/>
          <w:sz w:val="24"/>
          <w:szCs w:val="24"/>
        </w:rPr>
      </w:pPr>
    </w:p>
    <w:p w14:paraId="0E32C7EB" w14:textId="77777777" w:rsidR="0055504E" w:rsidRPr="0055504E" w:rsidRDefault="0055504E" w:rsidP="0055504E">
      <w:pPr>
        <w:widowControl/>
        <w:spacing w:line="360" w:lineRule="auto"/>
        <w:rPr>
          <w:rFonts w:ascii="Times New Roman" w:hAnsi="Times New Roman" w:cs="Times New Roman"/>
          <w:sz w:val="24"/>
          <w:szCs w:val="24"/>
        </w:rPr>
      </w:pPr>
      <w:r w:rsidRPr="0055504E">
        <w:rPr>
          <w:rFonts w:ascii="Times New Roman" w:hAnsi="Times New Roman" w:cs="Times New Roman"/>
          <w:sz w:val="24"/>
          <w:szCs w:val="24"/>
        </w:rPr>
        <w:t>However, the financial performance is still not so clear because the short-term returns are limited and it is not clear whether the return exceeds the company's capital cost. In addition, the impact on market forces is relatively small, and the income is mainly concentrated internally.</w:t>
      </w:r>
    </w:p>
    <w:p w14:paraId="4D2C2E5B" w14:textId="77777777" w:rsidR="0055504E" w:rsidRPr="0055504E" w:rsidRDefault="0055504E" w:rsidP="0055504E">
      <w:pPr>
        <w:widowControl/>
        <w:spacing w:line="360" w:lineRule="auto"/>
        <w:rPr>
          <w:rFonts w:ascii="Times New Roman" w:hAnsi="Times New Roman" w:cs="Times New Roman"/>
          <w:sz w:val="24"/>
          <w:szCs w:val="24"/>
        </w:rPr>
      </w:pPr>
    </w:p>
    <w:p w14:paraId="4EF8DA22" w14:textId="32FB2470" w:rsidR="00060ADF" w:rsidRPr="00DA167B" w:rsidRDefault="0055504E" w:rsidP="0055504E">
      <w:pPr>
        <w:widowControl/>
        <w:spacing w:line="360" w:lineRule="auto"/>
        <w:rPr>
          <w:rFonts w:ascii="Times New Roman" w:hAnsi="Times New Roman" w:cs="Times New Roman"/>
          <w:sz w:val="28"/>
          <w:szCs w:val="28"/>
        </w:rPr>
      </w:pPr>
      <w:r w:rsidRPr="0055504E">
        <w:rPr>
          <w:rFonts w:ascii="Times New Roman" w:hAnsi="Times New Roman" w:cs="Times New Roman"/>
          <w:sz w:val="24"/>
          <w:szCs w:val="24"/>
        </w:rPr>
        <w:t>Consequently, whilst this acquisition has strengthened Marks &amp; Spencer’s long-term strategic positioning, its ultimate success will refer to the sustainability of the efficiency gains and the company’s ability to continue generating financial returns and shareholder value.</w:t>
      </w:r>
      <w:r w:rsidR="00060ADF" w:rsidRPr="001A1F61">
        <w:rPr>
          <w:rFonts w:ascii="Times New Roman" w:hAnsi="Times New Roman" w:cs="Times New Roman"/>
          <w:sz w:val="24"/>
          <w:szCs w:val="24"/>
        </w:rPr>
        <w:br w:type="page"/>
      </w:r>
    </w:p>
    <w:p w14:paraId="516956CD" w14:textId="03E28E1F" w:rsidR="00867739" w:rsidRPr="00AA6C5E" w:rsidRDefault="00060ADF" w:rsidP="003B7428">
      <w:pPr>
        <w:outlineLvl w:val="0"/>
        <w:rPr>
          <w:rFonts w:ascii="Times New Roman" w:hAnsi="Times New Roman" w:cs="Times New Roman"/>
          <w:b/>
          <w:bCs/>
          <w:sz w:val="30"/>
          <w:szCs w:val="30"/>
        </w:rPr>
      </w:pPr>
      <w:bookmarkStart w:id="20" w:name="_Toc225472495"/>
      <w:r w:rsidRPr="00AA6C5E">
        <w:rPr>
          <w:rFonts w:ascii="Times New Roman" w:hAnsi="Times New Roman" w:cs="Times New Roman"/>
          <w:b/>
          <w:bCs/>
          <w:sz w:val="30"/>
          <w:szCs w:val="30"/>
        </w:rPr>
        <w:lastRenderedPageBreak/>
        <w:t>Reference</w:t>
      </w:r>
      <w:bookmarkEnd w:id="20"/>
    </w:p>
    <w:p w14:paraId="46CA487C" w14:textId="77777777" w:rsidR="00060ADF" w:rsidRPr="001A1F61" w:rsidRDefault="00060ADF" w:rsidP="00867739">
      <w:pPr>
        <w:rPr>
          <w:rFonts w:ascii="Times New Roman" w:hAnsi="Times New Roman" w:cs="Times New Roman"/>
          <w:sz w:val="24"/>
          <w:szCs w:val="24"/>
        </w:rPr>
      </w:pPr>
    </w:p>
    <w:p w14:paraId="40C64505" w14:textId="77777777" w:rsidR="008E0E78" w:rsidRPr="001A1F61" w:rsidRDefault="00060ADF" w:rsidP="008E0E78">
      <w:pPr>
        <w:pStyle w:val="ae"/>
        <w:rPr>
          <w:rFonts w:ascii="Times New Roman" w:hAnsi="Times New Roman" w:cs="Times New Roman"/>
          <w:sz w:val="24"/>
          <w:szCs w:val="24"/>
        </w:rPr>
      </w:pPr>
      <w:r w:rsidRPr="001A1F61">
        <w:rPr>
          <w:rFonts w:ascii="Times New Roman" w:hAnsi="Times New Roman" w:cs="Times New Roman"/>
          <w:sz w:val="24"/>
          <w:szCs w:val="24"/>
        </w:rPr>
        <w:fldChar w:fldCharType="begin"/>
      </w:r>
      <w:r w:rsidRPr="001A1F61">
        <w:rPr>
          <w:rFonts w:ascii="Times New Roman" w:hAnsi="Times New Roman" w:cs="Times New Roman"/>
          <w:sz w:val="24"/>
          <w:szCs w:val="24"/>
        </w:rPr>
        <w:instrText xml:space="preserve"> ADDIN ZOTERO_BIBL {"uncited":[],"omitted":[],"custom":[]} CSL_BIBLIOGRAPHY </w:instrText>
      </w:r>
      <w:r w:rsidRPr="001A1F61">
        <w:rPr>
          <w:rFonts w:ascii="Times New Roman" w:hAnsi="Times New Roman" w:cs="Times New Roman"/>
          <w:sz w:val="24"/>
          <w:szCs w:val="24"/>
        </w:rPr>
        <w:fldChar w:fldCharType="separate"/>
      </w:r>
      <w:r w:rsidR="008E0E78" w:rsidRPr="001A1F61">
        <w:rPr>
          <w:rFonts w:ascii="Times New Roman" w:hAnsi="Times New Roman" w:cs="Times New Roman"/>
          <w:sz w:val="24"/>
          <w:szCs w:val="24"/>
        </w:rPr>
        <w:t xml:space="preserve">Andjelkovic, A. (2026) ‘Outsourcing in the supply chain as a driver of vulnerability–The case of the Republic of Serbia’, </w:t>
      </w:r>
      <w:r w:rsidR="008E0E78" w:rsidRPr="001A1F61">
        <w:rPr>
          <w:rFonts w:ascii="Times New Roman" w:hAnsi="Times New Roman" w:cs="Times New Roman"/>
          <w:i/>
          <w:iCs/>
          <w:sz w:val="24"/>
          <w:szCs w:val="24"/>
        </w:rPr>
        <w:t>South African Journal of Business Management</w:t>
      </w:r>
      <w:r w:rsidR="008E0E78" w:rsidRPr="001A1F61">
        <w:rPr>
          <w:rFonts w:ascii="Times New Roman" w:hAnsi="Times New Roman" w:cs="Times New Roman"/>
          <w:sz w:val="24"/>
          <w:szCs w:val="24"/>
        </w:rPr>
        <w:t>, 57(1), p. 5299.</w:t>
      </w:r>
    </w:p>
    <w:p w14:paraId="1152AA5C"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Asamoah, E. and Buabin, W.K.A. (2025) ‘Evaluating the Impact of Mergers and Acquisitions on Shareholder Value in the US Capital Market’, </w:t>
      </w:r>
      <w:r w:rsidRPr="001A1F61">
        <w:rPr>
          <w:rFonts w:ascii="Times New Roman" w:hAnsi="Times New Roman" w:cs="Times New Roman"/>
          <w:i/>
          <w:iCs/>
          <w:sz w:val="24"/>
          <w:szCs w:val="24"/>
        </w:rPr>
        <w:t>Journal Of Multidisciplinary</w:t>
      </w:r>
      <w:r w:rsidRPr="001A1F61">
        <w:rPr>
          <w:rFonts w:ascii="Times New Roman" w:hAnsi="Times New Roman" w:cs="Times New Roman"/>
          <w:sz w:val="24"/>
          <w:szCs w:val="24"/>
        </w:rPr>
        <w:t>, 5(11), pp. 126–133.</w:t>
      </w:r>
    </w:p>
    <w:p w14:paraId="2B5E4139"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Bauer, F. and Friesl, M. (2024a) ‘Synergy evaluation in mergers and acquisitions: an attention‐based view’, </w:t>
      </w:r>
      <w:r w:rsidRPr="001A1F61">
        <w:rPr>
          <w:rFonts w:ascii="Times New Roman" w:hAnsi="Times New Roman" w:cs="Times New Roman"/>
          <w:i/>
          <w:iCs/>
          <w:sz w:val="24"/>
          <w:szCs w:val="24"/>
        </w:rPr>
        <w:t>Journal of Management Studies</w:t>
      </w:r>
      <w:r w:rsidRPr="001A1F61">
        <w:rPr>
          <w:rFonts w:ascii="Times New Roman" w:hAnsi="Times New Roman" w:cs="Times New Roman"/>
          <w:sz w:val="24"/>
          <w:szCs w:val="24"/>
        </w:rPr>
        <w:t>, 61(1), pp. 37–68.</w:t>
      </w:r>
    </w:p>
    <w:p w14:paraId="59F8EB37"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Bauer, F. and Friesl, M. (2024b) ‘Synergy evaluation in mergers and acquisitions: an attention‐based view’, </w:t>
      </w:r>
      <w:r w:rsidRPr="001A1F61">
        <w:rPr>
          <w:rFonts w:ascii="Times New Roman" w:hAnsi="Times New Roman" w:cs="Times New Roman"/>
          <w:i/>
          <w:iCs/>
          <w:sz w:val="24"/>
          <w:szCs w:val="24"/>
        </w:rPr>
        <w:t>Journal of Management Studies</w:t>
      </w:r>
      <w:r w:rsidRPr="001A1F61">
        <w:rPr>
          <w:rFonts w:ascii="Times New Roman" w:hAnsi="Times New Roman" w:cs="Times New Roman"/>
          <w:sz w:val="24"/>
          <w:szCs w:val="24"/>
        </w:rPr>
        <w:t>, 61(1), pp. 37–68.</w:t>
      </w:r>
    </w:p>
    <w:p w14:paraId="3D649012"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Bellucci, C. and Rungi, A. (2024) ‘Procompetitive effects of vertical takeovers. Evidence from the European Union’, </w:t>
      </w:r>
      <w:r w:rsidRPr="001A1F61">
        <w:rPr>
          <w:rFonts w:ascii="Times New Roman" w:hAnsi="Times New Roman" w:cs="Times New Roman"/>
          <w:i/>
          <w:iCs/>
          <w:sz w:val="24"/>
          <w:szCs w:val="24"/>
        </w:rPr>
        <w:t>arXiv preprint arXiv:2411.12412</w:t>
      </w:r>
      <w:r w:rsidRPr="001A1F61">
        <w:rPr>
          <w:rFonts w:ascii="Times New Roman" w:hAnsi="Times New Roman" w:cs="Times New Roman"/>
          <w:sz w:val="24"/>
          <w:szCs w:val="24"/>
        </w:rPr>
        <w:t xml:space="preserve"> [Preprint].</w:t>
      </w:r>
    </w:p>
    <w:p w14:paraId="55F7DC61"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Candra, A. </w:t>
      </w:r>
      <w:r w:rsidRPr="001A1F61">
        <w:rPr>
          <w:rFonts w:ascii="Times New Roman" w:hAnsi="Times New Roman" w:cs="Times New Roman"/>
          <w:i/>
          <w:iCs/>
          <w:sz w:val="24"/>
          <w:szCs w:val="24"/>
        </w:rPr>
        <w:t>et al.</w:t>
      </w:r>
      <w:r w:rsidRPr="001A1F61">
        <w:rPr>
          <w:rFonts w:ascii="Times New Roman" w:hAnsi="Times New Roman" w:cs="Times New Roman"/>
          <w:sz w:val="24"/>
          <w:szCs w:val="24"/>
        </w:rPr>
        <w:t xml:space="preserve"> (2021) ‘Literature review on merger and acquisition (Theories and previous studies)’, </w:t>
      </w:r>
      <w:r w:rsidRPr="001A1F61">
        <w:rPr>
          <w:rFonts w:ascii="Times New Roman" w:hAnsi="Times New Roman" w:cs="Times New Roman"/>
          <w:i/>
          <w:iCs/>
          <w:sz w:val="24"/>
          <w:szCs w:val="24"/>
        </w:rPr>
        <w:t>Studies of Applied Economics</w:t>
      </w:r>
      <w:r w:rsidRPr="001A1F61">
        <w:rPr>
          <w:rFonts w:ascii="Times New Roman" w:hAnsi="Times New Roman" w:cs="Times New Roman"/>
          <w:sz w:val="24"/>
          <w:szCs w:val="24"/>
        </w:rPr>
        <w:t>, 39(4).</w:t>
      </w:r>
    </w:p>
    <w:p w14:paraId="20CE46EA"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Carlton, D. (2024) ‘The 2023 Merger Guidelines: A Critical Assessment’, </w:t>
      </w:r>
      <w:r w:rsidRPr="001A1F61">
        <w:rPr>
          <w:rFonts w:ascii="Times New Roman" w:hAnsi="Times New Roman" w:cs="Times New Roman"/>
          <w:i/>
          <w:iCs/>
          <w:sz w:val="24"/>
          <w:szCs w:val="24"/>
        </w:rPr>
        <w:t>Review of Industrial Organization</w:t>
      </w:r>
      <w:r w:rsidRPr="001A1F61">
        <w:rPr>
          <w:rFonts w:ascii="Times New Roman" w:hAnsi="Times New Roman" w:cs="Times New Roman"/>
          <w:sz w:val="24"/>
          <w:szCs w:val="24"/>
        </w:rPr>
        <w:t>, 65, pp. 1–17. Available at: https://doi.org/10.1007/s11151-024-09962-0.</w:t>
      </w:r>
    </w:p>
    <w:p w14:paraId="24833209"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Carter, I. (2025) ‘Evaluating the Dual-Faceted Growth Strategies in the Healthcare Sector: A Comparative Analysis of Organic Innovation and Inorganic Expansion’.</w:t>
      </w:r>
    </w:p>
    <w:p w14:paraId="5823517E"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Celestin, M. (2022) ‘The Role of Corporate Mergers and Acquisitions in Financial Performance: Analyzing the Success and Failures of Major M&amp;A Deals’, </w:t>
      </w:r>
      <w:r w:rsidRPr="001A1F61">
        <w:rPr>
          <w:rFonts w:ascii="Times New Roman" w:hAnsi="Times New Roman" w:cs="Times New Roman"/>
          <w:i/>
          <w:iCs/>
          <w:sz w:val="24"/>
          <w:szCs w:val="24"/>
        </w:rPr>
        <w:t>Brainae Journal of Business, Sciences and Technology</w:t>
      </w:r>
      <w:r w:rsidRPr="001A1F61">
        <w:rPr>
          <w:rFonts w:ascii="Times New Roman" w:hAnsi="Times New Roman" w:cs="Times New Roman"/>
          <w:sz w:val="24"/>
          <w:szCs w:val="24"/>
        </w:rPr>
        <w:t>, 6(4), pp. 930–940.</w:t>
      </w:r>
    </w:p>
    <w:p w14:paraId="5DFA40E3"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Chang, S.-C. and Cheng, T.-H. (2026) ‘Political Risk, Bargaining Power, and the Target Selection of Cross-Border Acquisitions’, </w:t>
      </w:r>
      <w:r w:rsidRPr="001A1F61">
        <w:rPr>
          <w:rFonts w:ascii="Times New Roman" w:hAnsi="Times New Roman" w:cs="Times New Roman"/>
          <w:i/>
          <w:iCs/>
          <w:sz w:val="24"/>
          <w:szCs w:val="24"/>
        </w:rPr>
        <w:t>Management International Review</w:t>
      </w:r>
      <w:r w:rsidRPr="001A1F61">
        <w:rPr>
          <w:rFonts w:ascii="Times New Roman" w:hAnsi="Times New Roman" w:cs="Times New Roman"/>
          <w:sz w:val="24"/>
          <w:szCs w:val="24"/>
        </w:rPr>
        <w:t>, pp. 1–46.</w:t>
      </w:r>
    </w:p>
    <w:p w14:paraId="649836CE"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Chen, K. (2025) ‘Marks and Spencer’s Global Sustainability Strategy: A Case Study’, </w:t>
      </w:r>
      <w:r w:rsidRPr="001A1F61">
        <w:rPr>
          <w:rFonts w:ascii="Times New Roman" w:hAnsi="Times New Roman" w:cs="Times New Roman"/>
          <w:i/>
          <w:iCs/>
          <w:sz w:val="24"/>
          <w:szCs w:val="24"/>
        </w:rPr>
        <w:t>Journal of Education, Humanities and Social Sciences</w:t>
      </w:r>
      <w:r w:rsidRPr="001A1F61">
        <w:rPr>
          <w:rFonts w:ascii="Times New Roman" w:hAnsi="Times New Roman" w:cs="Times New Roman"/>
          <w:sz w:val="24"/>
          <w:szCs w:val="24"/>
        </w:rPr>
        <w:t>, 61, pp. 124–128.</w:t>
      </w:r>
    </w:p>
    <w:p w14:paraId="3E7B5DB8"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CICC Research, C.G.I. xinran. liu@ cicc. com. cn (2024) ‘New Advantages in Economies of Scale Amid Deglobalization’, </w:t>
      </w:r>
      <w:r w:rsidRPr="001A1F61">
        <w:rPr>
          <w:rFonts w:ascii="Times New Roman" w:hAnsi="Times New Roman" w:cs="Times New Roman"/>
          <w:i/>
          <w:iCs/>
          <w:sz w:val="24"/>
          <w:szCs w:val="24"/>
        </w:rPr>
        <w:t>The Reshaping of China’s Industry Chains</w:t>
      </w:r>
      <w:r w:rsidRPr="001A1F61">
        <w:rPr>
          <w:rFonts w:ascii="Times New Roman" w:hAnsi="Times New Roman" w:cs="Times New Roman"/>
          <w:sz w:val="24"/>
          <w:szCs w:val="24"/>
        </w:rPr>
        <w:t>. Springer, pp. 33–53.</w:t>
      </w:r>
    </w:p>
    <w:p w14:paraId="1DC7305E"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Ermawati, Y. </w:t>
      </w:r>
      <w:r w:rsidRPr="001A1F61">
        <w:rPr>
          <w:rFonts w:ascii="Times New Roman" w:hAnsi="Times New Roman" w:cs="Times New Roman"/>
          <w:i/>
          <w:iCs/>
          <w:sz w:val="24"/>
          <w:szCs w:val="24"/>
        </w:rPr>
        <w:t>et al.</w:t>
      </w:r>
      <w:r w:rsidRPr="001A1F61">
        <w:rPr>
          <w:rFonts w:ascii="Times New Roman" w:hAnsi="Times New Roman" w:cs="Times New Roman"/>
          <w:sz w:val="24"/>
          <w:szCs w:val="24"/>
        </w:rPr>
        <w:t xml:space="preserve"> (2025a) ‘Costs and Benefits of Mergers and Acquisitions in Improving Company Efficiency and Performance’, </w:t>
      </w:r>
      <w:r w:rsidRPr="001A1F61">
        <w:rPr>
          <w:rFonts w:ascii="Times New Roman" w:hAnsi="Times New Roman" w:cs="Times New Roman"/>
          <w:i/>
          <w:iCs/>
          <w:sz w:val="24"/>
          <w:szCs w:val="24"/>
        </w:rPr>
        <w:t>Atestasi : Jurnal Ilmiah Akuntansi</w:t>
      </w:r>
      <w:r w:rsidRPr="001A1F61">
        <w:rPr>
          <w:rFonts w:ascii="Times New Roman" w:hAnsi="Times New Roman" w:cs="Times New Roman"/>
          <w:sz w:val="24"/>
          <w:szCs w:val="24"/>
        </w:rPr>
        <w:t>, 8(2), pp. 354–368. Available at: https://doi.org/10.57178/atestasi.v8i2.1625.</w:t>
      </w:r>
    </w:p>
    <w:p w14:paraId="7D97356D"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lastRenderedPageBreak/>
        <w:t xml:space="preserve">Ermawati, Y. </w:t>
      </w:r>
      <w:r w:rsidRPr="001A1F61">
        <w:rPr>
          <w:rFonts w:ascii="Times New Roman" w:hAnsi="Times New Roman" w:cs="Times New Roman"/>
          <w:i/>
          <w:iCs/>
          <w:sz w:val="24"/>
          <w:szCs w:val="24"/>
        </w:rPr>
        <w:t>et al.</w:t>
      </w:r>
      <w:r w:rsidRPr="001A1F61">
        <w:rPr>
          <w:rFonts w:ascii="Times New Roman" w:hAnsi="Times New Roman" w:cs="Times New Roman"/>
          <w:sz w:val="24"/>
          <w:szCs w:val="24"/>
        </w:rPr>
        <w:t xml:space="preserve"> (2025b) ‘Costs and Benefits of Mergers and Acquisitions in Improving Company Efficiency and Performance’, </w:t>
      </w:r>
      <w:r w:rsidRPr="001A1F61">
        <w:rPr>
          <w:rFonts w:ascii="Times New Roman" w:hAnsi="Times New Roman" w:cs="Times New Roman"/>
          <w:i/>
          <w:iCs/>
          <w:sz w:val="24"/>
          <w:szCs w:val="24"/>
        </w:rPr>
        <w:t>Atestasi : Jurnal Ilmiah Akuntansi</w:t>
      </w:r>
      <w:r w:rsidRPr="001A1F61">
        <w:rPr>
          <w:rFonts w:ascii="Times New Roman" w:hAnsi="Times New Roman" w:cs="Times New Roman"/>
          <w:sz w:val="24"/>
          <w:szCs w:val="24"/>
        </w:rPr>
        <w:t>, 8(2), pp. 354–368. Available at: https://doi.org/10.57178/atestasi.v8i2.1625.</w:t>
      </w:r>
    </w:p>
    <w:p w14:paraId="2CE9880A"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Faik, S. and Shire, J. (no date) ‘Evaluating Synergies in a Private Equity Buy-and-Build Strategy’.</w:t>
      </w:r>
    </w:p>
    <w:p w14:paraId="1614C1C6"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Feldman, E.R. and Hernandez, E. (2022) ‘Synergy in mergers and acquisitions: Typology, life cycles, and value’, </w:t>
      </w:r>
      <w:r w:rsidRPr="001A1F61">
        <w:rPr>
          <w:rFonts w:ascii="Times New Roman" w:hAnsi="Times New Roman" w:cs="Times New Roman"/>
          <w:i/>
          <w:iCs/>
          <w:sz w:val="24"/>
          <w:szCs w:val="24"/>
        </w:rPr>
        <w:t>Academy of Management Review</w:t>
      </w:r>
      <w:r w:rsidRPr="001A1F61">
        <w:rPr>
          <w:rFonts w:ascii="Times New Roman" w:hAnsi="Times New Roman" w:cs="Times New Roman"/>
          <w:sz w:val="24"/>
          <w:szCs w:val="24"/>
        </w:rPr>
        <w:t>, 47(4), pp. 549–578.</w:t>
      </w:r>
    </w:p>
    <w:p w14:paraId="355A901D"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Huang, X., Yang, H. and Yang, P. (2024) ‘The impact of cross-border mergers and acquisitions on corporate organisational resilience: Insights from dynamic capability theory’, </w:t>
      </w:r>
      <w:r w:rsidRPr="001A1F61">
        <w:rPr>
          <w:rFonts w:ascii="Times New Roman" w:hAnsi="Times New Roman" w:cs="Times New Roman"/>
          <w:i/>
          <w:iCs/>
          <w:sz w:val="24"/>
          <w:szCs w:val="24"/>
        </w:rPr>
        <w:t>Sustainability</w:t>
      </w:r>
      <w:r w:rsidRPr="001A1F61">
        <w:rPr>
          <w:rFonts w:ascii="Times New Roman" w:hAnsi="Times New Roman" w:cs="Times New Roman"/>
          <w:sz w:val="24"/>
          <w:szCs w:val="24"/>
        </w:rPr>
        <w:t>, 16(6), p. 2242.</w:t>
      </w:r>
    </w:p>
    <w:p w14:paraId="76FE2952" w14:textId="104DA733" w:rsidR="001B3520" w:rsidRPr="001A1F61" w:rsidRDefault="001B3520" w:rsidP="001B3520">
      <w:pPr>
        <w:rPr>
          <w:rFonts w:ascii="Times New Roman" w:hAnsi="Times New Roman" w:cs="Times New Roman"/>
          <w:sz w:val="24"/>
          <w:szCs w:val="24"/>
        </w:rPr>
      </w:pPr>
      <w:r w:rsidRPr="001A1F61">
        <w:rPr>
          <w:rFonts w:ascii="Times New Roman" w:hAnsi="Times New Roman" w:cs="Times New Roman"/>
          <w:sz w:val="24"/>
          <w:szCs w:val="24"/>
        </w:rPr>
        <w:t>Harvard Business School Online. (2025) Economies of scale. Available at: https://online.hbs.edu/blog/post/economies-of-scale</w:t>
      </w:r>
    </w:p>
    <w:p w14:paraId="6CC74BD2" w14:textId="77777777" w:rsidR="001B3520" w:rsidRPr="001A1F61" w:rsidRDefault="001B3520" w:rsidP="001B3520">
      <w:pPr>
        <w:rPr>
          <w:rFonts w:ascii="Times New Roman" w:hAnsi="Times New Roman" w:cs="Times New Roman"/>
          <w:sz w:val="24"/>
          <w:szCs w:val="24"/>
        </w:rPr>
      </w:pPr>
    </w:p>
    <w:p w14:paraId="6E577170"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Karimirad, A. (2024) ‘Trade Credit, Yield Spreads, and Supply Chain Vulnerabilities: Insights into Economic Distortions and Firm Stability’.</w:t>
      </w:r>
    </w:p>
    <w:p w14:paraId="2BA7CBC7"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Katsaliaki, K., Galetsi, P. and Kumar, S. (2022) ‘Supply chain disruptions and resilience: a major review and future research agenda’, </w:t>
      </w:r>
      <w:r w:rsidRPr="001A1F61">
        <w:rPr>
          <w:rFonts w:ascii="Times New Roman" w:hAnsi="Times New Roman" w:cs="Times New Roman"/>
          <w:i/>
          <w:iCs/>
          <w:sz w:val="24"/>
          <w:szCs w:val="24"/>
        </w:rPr>
        <w:t>Annals of operations research</w:t>
      </w:r>
      <w:r w:rsidRPr="001A1F61">
        <w:rPr>
          <w:rFonts w:ascii="Times New Roman" w:hAnsi="Times New Roman" w:cs="Times New Roman"/>
          <w:sz w:val="24"/>
          <w:szCs w:val="24"/>
        </w:rPr>
        <w:t>, 319(1), pp. 965–1002.</w:t>
      </w:r>
    </w:p>
    <w:p w14:paraId="5F414EF5"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Kim, M. (2025) ‘Vertical integration and performance in modern manufacturing firms: the role of knowledge and product complexity’.</w:t>
      </w:r>
    </w:p>
    <w:p w14:paraId="677EF9A6"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Laudal, T. (2025) ‘Is Economies of Scale Driving Everything as a Service?’, </w:t>
      </w:r>
      <w:r w:rsidRPr="001A1F61">
        <w:rPr>
          <w:rFonts w:ascii="Times New Roman" w:hAnsi="Times New Roman" w:cs="Times New Roman"/>
          <w:i/>
          <w:iCs/>
          <w:sz w:val="24"/>
          <w:szCs w:val="24"/>
        </w:rPr>
        <w:t>Systems</w:t>
      </w:r>
      <w:r w:rsidRPr="001A1F61">
        <w:rPr>
          <w:rFonts w:ascii="Times New Roman" w:hAnsi="Times New Roman" w:cs="Times New Roman"/>
          <w:sz w:val="24"/>
          <w:szCs w:val="24"/>
        </w:rPr>
        <w:t>, 13(5), p. 356.</w:t>
      </w:r>
    </w:p>
    <w:p w14:paraId="0D3C3DAF"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Li, Y. </w:t>
      </w:r>
      <w:r w:rsidRPr="001A1F61">
        <w:rPr>
          <w:rFonts w:ascii="Times New Roman" w:hAnsi="Times New Roman" w:cs="Times New Roman"/>
          <w:i/>
          <w:iCs/>
          <w:sz w:val="24"/>
          <w:szCs w:val="24"/>
        </w:rPr>
        <w:t>et al.</w:t>
      </w:r>
      <w:r w:rsidRPr="001A1F61">
        <w:rPr>
          <w:rFonts w:ascii="Times New Roman" w:hAnsi="Times New Roman" w:cs="Times New Roman"/>
          <w:sz w:val="24"/>
          <w:szCs w:val="24"/>
        </w:rPr>
        <w:t xml:space="preserve"> (2025) ‘Vertical integration, supply chain disruptions, and corporate yield spreads’, </w:t>
      </w:r>
      <w:r w:rsidRPr="001A1F61">
        <w:rPr>
          <w:rFonts w:ascii="Times New Roman" w:hAnsi="Times New Roman" w:cs="Times New Roman"/>
          <w:i/>
          <w:iCs/>
          <w:sz w:val="24"/>
          <w:szCs w:val="24"/>
        </w:rPr>
        <w:t>The British Accounting Review</w:t>
      </w:r>
      <w:r w:rsidRPr="001A1F61">
        <w:rPr>
          <w:rFonts w:ascii="Times New Roman" w:hAnsi="Times New Roman" w:cs="Times New Roman"/>
          <w:sz w:val="24"/>
          <w:szCs w:val="24"/>
        </w:rPr>
        <w:t>, p. 101639. Available at: https://doi.org/https://doi.org/10.1016/j.bar.2025.101639.</w:t>
      </w:r>
    </w:p>
    <w:p w14:paraId="5B171706"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Lingham, S. </w:t>
      </w:r>
      <w:r w:rsidRPr="001A1F61">
        <w:rPr>
          <w:rFonts w:ascii="Times New Roman" w:hAnsi="Times New Roman" w:cs="Times New Roman"/>
          <w:i/>
          <w:iCs/>
          <w:sz w:val="24"/>
          <w:szCs w:val="24"/>
        </w:rPr>
        <w:t>et al.</w:t>
      </w:r>
      <w:r w:rsidRPr="001A1F61">
        <w:rPr>
          <w:rFonts w:ascii="Times New Roman" w:hAnsi="Times New Roman" w:cs="Times New Roman"/>
          <w:sz w:val="24"/>
          <w:szCs w:val="24"/>
        </w:rPr>
        <w:t xml:space="preserve"> (2025) ‘The impact of Brexit on UK food standards and food security: Perspectives on the repositioning of neoliberal food policy’, </w:t>
      </w:r>
      <w:r w:rsidRPr="001A1F61">
        <w:rPr>
          <w:rFonts w:ascii="Times New Roman" w:hAnsi="Times New Roman" w:cs="Times New Roman"/>
          <w:i/>
          <w:iCs/>
          <w:sz w:val="24"/>
          <w:szCs w:val="24"/>
        </w:rPr>
        <w:t>Foods</w:t>
      </w:r>
      <w:r w:rsidRPr="001A1F61">
        <w:rPr>
          <w:rFonts w:ascii="Times New Roman" w:hAnsi="Times New Roman" w:cs="Times New Roman"/>
          <w:sz w:val="24"/>
          <w:szCs w:val="24"/>
        </w:rPr>
        <w:t>, 14(9), p. 1474.</w:t>
      </w:r>
    </w:p>
    <w:p w14:paraId="1FDB20B7"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Mailani, D. </w:t>
      </w:r>
      <w:r w:rsidRPr="001A1F61">
        <w:rPr>
          <w:rFonts w:ascii="Times New Roman" w:hAnsi="Times New Roman" w:cs="Times New Roman"/>
          <w:i/>
          <w:iCs/>
          <w:sz w:val="24"/>
          <w:szCs w:val="24"/>
        </w:rPr>
        <w:t>et al.</w:t>
      </w:r>
      <w:r w:rsidRPr="001A1F61">
        <w:rPr>
          <w:rFonts w:ascii="Times New Roman" w:hAnsi="Times New Roman" w:cs="Times New Roman"/>
          <w:sz w:val="24"/>
          <w:szCs w:val="24"/>
        </w:rPr>
        <w:t xml:space="preserve"> (2024) ‘Resource-based view theory to achieve a sustainable competitive advantage of the firm: Systematic literature review’, </w:t>
      </w:r>
      <w:r w:rsidRPr="001A1F61">
        <w:rPr>
          <w:rFonts w:ascii="Times New Roman" w:hAnsi="Times New Roman" w:cs="Times New Roman"/>
          <w:i/>
          <w:iCs/>
          <w:sz w:val="24"/>
          <w:szCs w:val="24"/>
        </w:rPr>
        <w:t>International Journal of Entrepreneurship and Sustainability Studies</w:t>
      </w:r>
      <w:r w:rsidRPr="001A1F61">
        <w:rPr>
          <w:rFonts w:ascii="Times New Roman" w:hAnsi="Times New Roman" w:cs="Times New Roman"/>
          <w:sz w:val="24"/>
          <w:szCs w:val="24"/>
        </w:rPr>
        <w:t>, 4(1), p. 1.</w:t>
      </w:r>
    </w:p>
    <w:p w14:paraId="3482D6A9"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Masa’deh, R. </w:t>
      </w:r>
      <w:r w:rsidRPr="001A1F61">
        <w:rPr>
          <w:rFonts w:ascii="Times New Roman" w:hAnsi="Times New Roman" w:cs="Times New Roman"/>
          <w:i/>
          <w:iCs/>
          <w:sz w:val="24"/>
          <w:szCs w:val="24"/>
        </w:rPr>
        <w:t>et al.</w:t>
      </w:r>
      <w:r w:rsidRPr="001A1F61">
        <w:rPr>
          <w:rFonts w:ascii="Times New Roman" w:hAnsi="Times New Roman" w:cs="Times New Roman"/>
          <w:sz w:val="24"/>
          <w:szCs w:val="24"/>
        </w:rPr>
        <w:t xml:space="preserve"> (2022) ‘The impact of supply chain integration on operational performance: An empirical study’, </w:t>
      </w:r>
      <w:r w:rsidRPr="001A1F61">
        <w:rPr>
          <w:rFonts w:ascii="Times New Roman" w:hAnsi="Times New Roman" w:cs="Times New Roman"/>
          <w:i/>
          <w:iCs/>
          <w:sz w:val="24"/>
          <w:szCs w:val="24"/>
        </w:rPr>
        <w:t>Sustainability</w:t>
      </w:r>
      <w:r w:rsidRPr="001A1F61">
        <w:rPr>
          <w:rFonts w:ascii="Times New Roman" w:hAnsi="Times New Roman" w:cs="Times New Roman"/>
          <w:sz w:val="24"/>
          <w:szCs w:val="24"/>
        </w:rPr>
        <w:t>, 14(24), p. 16634.</w:t>
      </w:r>
    </w:p>
    <w:p w14:paraId="1A71E47E"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Meghouar, H. and El Idrissi, S. (2026) ‘Revisiting M&amp;A performance in emerging market: the influence of new determinants (2008–2018)’, </w:t>
      </w:r>
      <w:r w:rsidRPr="001A1F61">
        <w:rPr>
          <w:rFonts w:ascii="Times New Roman" w:hAnsi="Times New Roman" w:cs="Times New Roman"/>
          <w:i/>
          <w:iCs/>
          <w:sz w:val="24"/>
          <w:szCs w:val="24"/>
        </w:rPr>
        <w:t>Journal of Accounting in Emerging Economies</w:t>
      </w:r>
      <w:r w:rsidRPr="001A1F61">
        <w:rPr>
          <w:rFonts w:ascii="Times New Roman" w:hAnsi="Times New Roman" w:cs="Times New Roman"/>
          <w:sz w:val="24"/>
          <w:szCs w:val="24"/>
        </w:rPr>
        <w:t>, pp. 1–26.</w:t>
      </w:r>
    </w:p>
    <w:p w14:paraId="1E577A1C"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lastRenderedPageBreak/>
        <w:t>Moreau, F. and Uslu, S. (2025) ‘A Search-Based Theory of Mergers and Acquisitions’.</w:t>
      </w:r>
    </w:p>
    <w:p w14:paraId="1CF450D3"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Moresi, S. and Salop, S.C. (2021) ‘When vertical is horizontal: How vertical mergers lead to increases in “effective concentration”’, </w:t>
      </w:r>
      <w:r w:rsidRPr="001A1F61">
        <w:rPr>
          <w:rFonts w:ascii="Times New Roman" w:hAnsi="Times New Roman" w:cs="Times New Roman"/>
          <w:i/>
          <w:iCs/>
          <w:sz w:val="24"/>
          <w:szCs w:val="24"/>
        </w:rPr>
        <w:t>Review of Industrial Organization</w:t>
      </w:r>
      <w:r w:rsidRPr="001A1F61">
        <w:rPr>
          <w:rFonts w:ascii="Times New Roman" w:hAnsi="Times New Roman" w:cs="Times New Roman"/>
          <w:sz w:val="24"/>
          <w:szCs w:val="24"/>
        </w:rPr>
        <w:t>, 59(2), pp. 177–204.</w:t>
      </w:r>
    </w:p>
    <w:p w14:paraId="63CD8185"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Oh, J.-H. and Johnston, W.J. (2021) ‘How post-merger integration duration affects merger outcomes’, </w:t>
      </w:r>
      <w:r w:rsidRPr="001A1F61">
        <w:rPr>
          <w:rFonts w:ascii="Times New Roman" w:hAnsi="Times New Roman" w:cs="Times New Roman"/>
          <w:i/>
          <w:iCs/>
          <w:sz w:val="24"/>
          <w:szCs w:val="24"/>
        </w:rPr>
        <w:t>Journal of Business &amp; Industrial Marketing</w:t>
      </w:r>
      <w:r w:rsidRPr="001A1F61">
        <w:rPr>
          <w:rFonts w:ascii="Times New Roman" w:hAnsi="Times New Roman" w:cs="Times New Roman"/>
          <w:sz w:val="24"/>
          <w:szCs w:val="24"/>
        </w:rPr>
        <w:t>, 36(5), pp. 807–820.</w:t>
      </w:r>
    </w:p>
    <w:p w14:paraId="5DEEC779"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Oyegoke, A.S. </w:t>
      </w:r>
      <w:r w:rsidRPr="001A1F61">
        <w:rPr>
          <w:rFonts w:ascii="Times New Roman" w:hAnsi="Times New Roman" w:cs="Times New Roman"/>
          <w:i/>
          <w:iCs/>
          <w:sz w:val="24"/>
          <w:szCs w:val="24"/>
        </w:rPr>
        <w:t>et al.</w:t>
      </w:r>
      <w:r w:rsidRPr="001A1F61">
        <w:rPr>
          <w:rFonts w:ascii="Times New Roman" w:hAnsi="Times New Roman" w:cs="Times New Roman"/>
          <w:sz w:val="24"/>
          <w:szCs w:val="24"/>
        </w:rPr>
        <w:t xml:space="preserve"> (2024) ‘The disruptive factors and longevity effects of Covid-19 and Brexit on the SMEs construction supply chain in the UK’, </w:t>
      </w:r>
      <w:r w:rsidRPr="001A1F61">
        <w:rPr>
          <w:rFonts w:ascii="Times New Roman" w:hAnsi="Times New Roman" w:cs="Times New Roman"/>
          <w:i/>
          <w:iCs/>
          <w:sz w:val="24"/>
          <w:szCs w:val="24"/>
        </w:rPr>
        <w:t>Journal of Financial Management of Property and Construction</w:t>
      </w:r>
      <w:r w:rsidRPr="001A1F61">
        <w:rPr>
          <w:rFonts w:ascii="Times New Roman" w:hAnsi="Times New Roman" w:cs="Times New Roman"/>
          <w:sz w:val="24"/>
          <w:szCs w:val="24"/>
        </w:rPr>
        <w:t>, 29(1), pp. 115–134.</w:t>
      </w:r>
    </w:p>
    <w:p w14:paraId="2C6745F9"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Peprah Adu, J., Dorasamy, N. and Keelson, S.A. (2024) ‘Road transport infrastructure and supply chain asset management: evidence from manufacturing firms in the Sub-Saharan African market’, </w:t>
      </w:r>
      <w:r w:rsidRPr="001A1F61">
        <w:rPr>
          <w:rFonts w:ascii="Times New Roman" w:hAnsi="Times New Roman" w:cs="Times New Roman"/>
          <w:i/>
          <w:iCs/>
          <w:sz w:val="24"/>
          <w:szCs w:val="24"/>
        </w:rPr>
        <w:t>Cogent Social Sciences</w:t>
      </w:r>
      <w:r w:rsidRPr="001A1F61">
        <w:rPr>
          <w:rFonts w:ascii="Times New Roman" w:hAnsi="Times New Roman" w:cs="Times New Roman"/>
          <w:sz w:val="24"/>
          <w:szCs w:val="24"/>
        </w:rPr>
        <w:t>, 10(1), p. 2327586.</w:t>
      </w:r>
    </w:p>
    <w:p w14:paraId="10F43335"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Robbetze, N. and Van der Niet, B. (2025) ‘Identifying Macroeconomic Factors that Affect the Share Prices of JSE-Listed Firms’, </w:t>
      </w:r>
      <w:r w:rsidRPr="001A1F61">
        <w:rPr>
          <w:rFonts w:ascii="Times New Roman" w:hAnsi="Times New Roman" w:cs="Times New Roman"/>
          <w:i/>
          <w:iCs/>
          <w:sz w:val="24"/>
          <w:szCs w:val="24"/>
        </w:rPr>
        <w:t>International Journal of Economics and Financial Issues</w:t>
      </w:r>
      <w:r w:rsidRPr="001A1F61">
        <w:rPr>
          <w:rFonts w:ascii="Times New Roman" w:hAnsi="Times New Roman" w:cs="Times New Roman"/>
          <w:sz w:val="24"/>
          <w:szCs w:val="24"/>
        </w:rPr>
        <w:t>, 15(6), p. 596.</w:t>
      </w:r>
    </w:p>
    <w:p w14:paraId="035D3241"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Rufolo, A., Paientko, T. and Dziergwa, K. (2025) ‘M&amp;As and Corporate Financial Performance: An Empirical Study of DAX 40 Firms’, </w:t>
      </w:r>
      <w:r w:rsidRPr="001A1F61">
        <w:rPr>
          <w:rFonts w:ascii="Times New Roman" w:hAnsi="Times New Roman" w:cs="Times New Roman"/>
          <w:i/>
          <w:iCs/>
          <w:sz w:val="24"/>
          <w:szCs w:val="24"/>
        </w:rPr>
        <w:t>FinTech</w:t>
      </w:r>
      <w:r w:rsidRPr="001A1F61">
        <w:rPr>
          <w:rFonts w:ascii="Times New Roman" w:hAnsi="Times New Roman" w:cs="Times New Roman"/>
          <w:sz w:val="24"/>
          <w:szCs w:val="24"/>
        </w:rPr>
        <w:t>, 4(3), p. 43.</w:t>
      </w:r>
    </w:p>
    <w:p w14:paraId="295D8B5B"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Sandford, J. and Wong-Ervin, K.W. (2024) ‘New DOJ-FTC Merger Guidelines: Opportunities and Strategies for Merging Parties’, </w:t>
      </w:r>
      <w:r w:rsidRPr="001A1F61">
        <w:rPr>
          <w:rFonts w:ascii="Times New Roman" w:hAnsi="Times New Roman" w:cs="Times New Roman"/>
          <w:i/>
          <w:iCs/>
          <w:sz w:val="24"/>
          <w:szCs w:val="24"/>
        </w:rPr>
        <w:t>The George Washington Competition &amp; Innovation Lab, January</w:t>
      </w:r>
      <w:r w:rsidRPr="001A1F61">
        <w:rPr>
          <w:rFonts w:ascii="Times New Roman" w:hAnsi="Times New Roman" w:cs="Times New Roman"/>
          <w:sz w:val="24"/>
          <w:szCs w:val="24"/>
        </w:rPr>
        <w:t>, 6, p. 2024.</w:t>
      </w:r>
    </w:p>
    <w:p w14:paraId="04B7EE31"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Tan, Q., Zhang, Y. and Su, W. (2026) ‘Cost Stickiness and Merger Performance: A Managerial Characteristics Perspective’, </w:t>
      </w:r>
      <w:r w:rsidRPr="001A1F61">
        <w:rPr>
          <w:rFonts w:ascii="Times New Roman" w:hAnsi="Times New Roman" w:cs="Times New Roman"/>
          <w:i/>
          <w:iCs/>
          <w:sz w:val="24"/>
          <w:szCs w:val="24"/>
        </w:rPr>
        <w:t>Journal of East European Management Studies</w:t>
      </w:r>
      <w:r w:rsidRPr="001A1F61">
        <w:rPr>
          <w:rFonts w:ascii="Times New Roman" w:hAnsi="Times New Roman" w:cs="Times New Roman"/>
          <w:sz w:val="24"/>
          <w:szCs w:val="24"/>
        </w:rPr>
        <w:t>, 31(1).</w:t>
      </w:r>
    </w:p>
    <w:p w14:paraId="1F396FE5"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Wang, J., Abdullayeva, S. and Hoang, D.S. (2024) ‘Diversification and company sales efficiency: Synergy influence on business valuation’, </w:t>
      </w:r>
      <w:r w:rsidRPr="001A1F61">
        <w:rPr>
          <w:rFonts w:ascii="Times New Roman" w:hAnsi="Times New Roman" w:cs="Times New Roman"/>
          <w:i/>
          <w:iCs/>
          <w:sz w:val="24"/>
          <w:szCs w:val="24"/>
        </w:rPr>
        <w:t>Managerial and Decision Economics</w:t>
      </w:r>
      <w:r w:rsidRPr="001A1F61">
        <w:rPr>
          <w:rFonts w:ascii="Times New Roman" w:hAnsi="Times New Roman" w:cs="Times New Roman"/>
          <w:sz w:val="24"/>
          <w:szCs w:val="24"/>
        </w:rPr>
        <w:t>, 45(2), pp. 940–951.</w:t>
      </w:r>
    </w:p>
    <w:p w14:paraId="79867077" w14:textId="77777777" w:rsidR="008E0E78" w:rsidRPr="001A1F61" w:rsidRDefault="008E0E78" w:rsidP="008E0E78">
      <w:pPr>
        <w:pStyle w:val="ae"/>
        <w:rPr>
          <w:rFonts w:ascii="Times New Roman" w:hAnsi="Times New Roman" w:cs="Times New Roman"/>
          <w:sz w:val="24"/>
          <w:szCs w:val="24"/>
        </w:rPr>
      </w:pPr>
      <w:r w:rsidRPr="001A1F61">
        <w:rPr>
          <w:rFonts w:ascii="Times New Roman" w:hAnsi="Times New Roman" w:cs="Times New Roman"/>
          <w:sz w:val="24"/>
          <w:szCs w:val="24"/>
        </w:rPr>
        <w:t xml:space="preserve">Yang, J., Kim, E. and Hwang, J. (2025) ‘Unveiling the Effect of Business Area Diversification: Does it Prevent or Promote the Corporate Efficiency of Biopharmaceutical Companies in Korea?’, </w:t>
      </w:r>
      <w:r w:rsidRPr="001A1F61">
        <w:rPr>
          <w:rFonts w:ascii="Times New Roman" w:hAnsi="Times New Roman" w:cs="Times New Roman"/>
          <w:i/>
          <w:iCs/>
          <w:sz w:val="24"/>
          <w:szCs w:val="24"/>
        </w:rPr>
        <w:t>Science, Technology and Society</w:t>
      </w:r>
      <w:r w:rsidRPr="001A1F61">
        <w:rPr>
          <w:rFonts w:ascii="Times New Roman" w:hAnsi="Times New Roman" w:cs="Times New Roman"/>
          <w:sz w:val="24"/>
          <w:szCs w:val="24"/>
        </w:rPr>
        <w:t>, 30(1), pp. 76–98.</w:t>
      </w:r>
    </w:p>
    <w:p w14:paraId="44D9C946" w14:textId="33EA1CED" w:rsidR="00060ADF" w:rsidRPr="001A1F61" w:rsidRDefault="00060ADF" w:rsidP="00867739">
      <w:pPr>
        <w:rPr>
          <w:rFonts w:ascii="Times New Roman" w:hAnsi="Times New Roman" w:cs="Times New Roman"/>
          <w:sz w:val="24"/>
          <w:szCs w:val="24"/>
        </w:rPr>
      </w:pPr>
      <w:r w:rsidRPr="001A1F61">
        <w:rPr>
          <w:rFonts w:ascii="Times New Roman" w:hAnsi="Times New Roman" w:cs="Times New Roman"/>
          <w:sz w:val="24"/>
          <w:szCs w:val="24"/>
        </w:rPr>
        <w:fldChar w:fldCharType="end"/>
      </w:r>
    </w:p>
    <w:p w14:paraId="36054987" w14:textId="77777777" w:rsidR="00060ADF" w:rsidRPr="001A1F61" w:rsidRDefault="00060ADF" w:rsidP="00867739">
      <w:pPr>
        <w:rPr>
          <w:rFonts w:ascii="Times New Roman" w:hAnsi="Times New Roman" w:cs="Times New Roman"/>
          <w:sz w:val="24"/>
          <w:szCs w:val="24"/>
        </w:rPr>
      </w:pPr>
    </w:p>
    <w:sectPr w:rsidR="00060ADF" w:rsidRPr="001A1F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65061" w14:textId="77777777" w:rsidR="0043329E" w:rsidRDefault="0043329E" w:rsidP="00791501">
      <w:r>
        <w:separator/>
      </w:r>
    </w:p>
  </w:endnote>
  <w:endnote w:type="continuationSeparator" w:id="0">
    <w:p w14:paraId="49BACBD9" w14:textId="77777777" w:rsidR="0043329E" w:rsidRDefault="0043329E" w:rsidP="00791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C8049" w14:textId="77777777" w:rsidR="0043329E" w:rsidRDefault="0043329E" w:rsidP="00791501">
      <w:r>
        <w:separator/>
      </w:r>
    </w:p>
  </w:footnote>
  <w:footnote w:type="continuationSeparator" w:id="0">
    <w:p w14:paraId="0652885D" w14:textId="77777777" w:rsidR="0043329E" w:rsidRDefault="0043329E" w:rsidP="007915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881"/>
    <w:rsid w:val="00024650"/>
    <w:rsid w:val="00025959"/>
    <w:rsid w:val="0003117F"/>
    <w:rsid w:val="00060ADF"/>
    <w:rsid w:val="00071EC1"/>
    <w:rsid w:val="000862C9"/>
    <w:rsid w:val="00096E9D"/>
    <w:rsid w:val="000A3402"/>
    <w:rsid w:val="000A56D8"/>
    <w:rsid w:val="000C6300"/>
    <w:rsid w:val="000D43D5"/>
    <w:rsid w:val="000E6AE8"/>
    <w:rsid w:val="0011034A"/>
    <w:rsid w:val="00197A8F"/>
    <w:rsid w:val="001A1F61"/>
    <w:rsid w:val="001B3520"/>
    <w:rsid w:val="001C6A21"/>
    <w:rsid w:val="001F5D21"/>
    <w:rsid w:val="0020227B"/>
    <w:rsid w:val="00226D91"/>
    <w:rsid w:val="00251662"/>
    <w:rsid w:val="002544AB"/>
    <w:rsid w:val="002550FC"/>
    <w:rsid w:val="002756CF"/>
    <w:rsid w:val="0029643F"/>
    <w:rsid w:val="002A79CF"/>
    <w:rsid w:val="002D698E"/>
    <w:rsid w:val="002E7087"/>
    <w:rsid w:val="0031384A"/>
    <w:rsid w:val="0032540E"/>
    <w:rsid w:val="003423A3"/>
    <w:rsid w:val="00393EF5"/>
    <w:rsid w:val="003B0E74"/>
    <w:rsid w:val="003B6EC6"/>
    <w:rsid w:val="003B7428"/>
    <w:rsid w:val="004222F5"/>
    <w:rsid w:val="0043329E"/>
    <w:rsid w:val="00472F0B"/>
    <w:rsid w:val="004902B6"/>
    <w:rsid w:val="00495FB5"/>
    <w:rsid w:val="004D348F"/>
    <w:rsid w:val="0055504E"/>
    <w:rsid w:val="00561203"/>
    <w:rsid w:val="00567308"/>
    <w:rsid w:val="0056732A"/>
    <w:rsid w:val="00575587"/>
    <w:rsid w:val="005A0F35"/>
    <w:rsid w:val="005B4B62"/>
    <w:rsid w:val="005D2037"/>
    <w:rsid w:val="005D7840"/>
    <w:rsid w:val="005E494C"/>
    <w:rsid w:val="0061288B"/>
    <w:rsid w:val="00635E3C"/>
    <w:rsid w:val="006C4131"/>
    <w:rsid w:val="006D2231"/>
    <w:rsid w:val="007159CA"/>
    <w:rsid w:val="00727868"/>
    <w:rsid w:val="00734000"/>
    <w:rsid w:val="00754DAC"/>
    <w:rsid w:val="007907E5"/>
    <w:rsid w:val="00791501"/>
    <w:rsid w:val="007A12A6"/>
    <w:rsid w:val="007C2E4A"/>
    <w:rsid w:val="007D70B8"/>
    <w:rsid w:val="007E0881"/>
    <w:rsid w:val="007E3742"/>
    <w:rsid w:val="007E7420"/>
    <w:rsid w:val="007F224A"/>
    <w:rsid w:val="008431ED"/>
    <w:rsid w:val="00867739"/>
    <w:rsid w:val="008847CC"/>
    <w:rsid w:val="008E0E78"/>
    <w:rsid w:val="00900329"/>
    <w:rsid w:val="00925CEB"/>
    <w:rsid w:val="00930DC9"/>
    <w:rsid w:val="009429B3"/>
    <w:rsid w:val="00951242"/>
    <w:rsid w:val="009D06F2"/>
    <w:rsid w:val="00A70DAA"/>
    <w:rsid w:val="00A821F2"/>
    <w:rsid w:val="00A829DE"/>
    <w:rsid w:val="00A84E35"/>
    <w:rsid w:val="00A91F7C"/>
    <w:rsid w:val="00AA6C5E"/>
    <w:rsid w:val="00AE15AD"/>
    <w:rsid w:val="00AE7D61"/>
    <w:rsid w:val="00B21DA4"/>
    <w:rsid w:val="00B37A6D"/>
    <w:rsid w:val="00B44AD8"/>
    <w:rsid w:val="00BA2B70"/>
    <w:rsid w:val="00BD43C0"/>
    <w:rsid w:val="00BE190A"/>
    <w:rsid w:val="00BE7BE5"/>
    <w:rsid w:val="00BF23E1"/>
    <w:rsid w:val="00BF71A4"/>
    <w:rsid w:val="00C03AF2"/>
    <w:rsid w:val="00C06419"/>
    <w:rsid w:val="00C5636B"/>
    <w:rsid w:val="00CA138F"/>
    <w:rsid w:val="00CC75E7"/>
    <w:rsid w:val="00CD2139"/>
    <w:rsid w:val="00CE4632"/>
    <w:rsid w:val="00CF53DF"/>
    <w:rsid w:val="00D715D9"/>
    <w:rsid w:val="00D902EF"/>
    <w:rsid w:val="00D97A06"/>
    <w:rsid w:val="00DA167B"/>
    <w:rsid w:val="00DA2679"/>
    <w:rsid w:val="00DA51B1"/>
    <w:rsid w:val="00DC591C"/>
    <w:rsid w:val="00E121E0"/>
    <w:rsid w:val="00E421E6"/>
    <w:rsid w:val="00EF1437"/>
    <w:rsid w:val="00F13CC7"/>
    <w:rsid w:val="00F20671"/>
    <w:rsid w:val="00F475C2"/>
    <w:rsid w:val="00F97258"/>
    <w:rsid w:val="00FB5B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4AF62"/>
  <w15:chartTrackingRefBased/>
  <w15:docId w15:val="{B8B5C8BC-8B68-4DD6-AF77-2FA2688B5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7E088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7E088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7E088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7E088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7E0881"/>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7E088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7E088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E088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E088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E088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7E088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7E088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7E0881"/>
    <w:rPr>
      <w:rFonts w:cstheme="majorBidi"/>
      <w:color w:val="2F5496" w:themeColor="accent1" w:themeShade="BF"/>
      <w:sz w:val="28"/>
      <w:szCs w:val="28"/>
    </w:rPr>
  </w:style>
  <w:style w:type="character" w:customStyle="1" w:styleId="50">
    <w:name w:val="标题 5 字符"/>
    <w:basedOn w:val="a0"/>
    <w:link w:val="5"/>
    <w:uiPriority w:val="9"/>
    <w:semiHidden/>
    <w:rsid w:val="007E0881"/>
    <w:rPr>
      <w:rFonts w:cstheme="majorBidi"/>
      <w:color w:val="2F5496" w:themeColor="accent1" w:themeShade="BF"/>
      <w:sz w:val="24"/>
      <w:szCs w:val="24"/>
    </w:rPr>
  </w:style>
  <w:style w:type="character" w:customStyle="1" w:styleId="60">
    <w:name w:val="标题 6 字符"/>
    <w:basedOn w:val="a0"/>
    <w:link w:val="6"/>
    <w:uiPriority w:val="9"/>
    <w:semiHidden/>
    <w:rsid w:val="007E0881"/>
    <w:rPr>
      <w:rFonts w:cstheme="majorBidi"/>
      <w:b/>
      <w:bCs/>
      <w:color w:val="2F5496" w:themeColor="accent1" w:themeShade="BF"/>
    </w:rPr>
  </w:style>
  <w:style w:type="character" w:customStyle="1" w:styleId="70">
    <w:name w:val="标题 7 字符"/>
    <w:basedOn w:val="a0"/>
    <w:link w:val="7"/>
    <w:uiPriority w:val="9"/>
    <w:semiHidden/>
    <w:rsid w:val="007E0881"/>
    <w:rPr>
      <w:rFonts w:cstheme="majorBidi"/>
      <w:b/>
      <w:bCs/>
      <w:color w:val="595959" w:themeColor="text1" w:themeTint="A6"/>
    </w:rPr>
  </w:style>
  <w:style w:type="character" w:customStyle="1" w:styleId="80">
    <w:name w:val="标题 8 字符"/>
    <w:basedOn w:val="a0"/>
    <w:link w:val="8"/>
    <w:uiPriority w:val="9"/>
    <w:semiHidden/>
    <w:rsid w:val="007E0881"/>
    <w:rPr>
      <w:rFonts w:cstheme="majorBidi"/>
      <w:color w:val="595959" w:themeColor="text1" w:themeTint="A6"/>
    </w:rPr>
  </w:style>
  <w:style w:type="character" w:customStyle="1" w:styleId="90">
    <w:name w:val="标题 9 字符"/>
    <w:basedOn w:val="a0"/>
    <w:link w:val="9"/>
    <w:uiPriority w:val="9"/>
    <w:semiHidden/>
    <w:rsid w:val="007E0881"/>
    <w:rPr>
      <w:rFonts w:eastAsiaTheme="majorEastAsia" w:cstheme="majorBidi"/>
      <w:color w:val="595959" w:themeColor="text1" w:themeTint="A6"/>
    </w:rPr>
  </w:style>
  <w:style w:type="paragraph" w:styleId="a3">
    <w:name w:val="Title"/>
    <w:basedOn w:val="a"/>
    <w:next w:val="a"/>
    <w:link w:val="a4"/>
    <w:uiPriority w:val="10"/>
    <w:qFormat/>
    <w:rsid w:val="007E088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E088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E088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E088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E0881"/>
    <w:pPr>
      <w:spacing w:before="160" w:after="160"/>
      <w:jc w:val="center"/>
    </w:pPr>
    <w:rPr>
      <w:i/>
      <w:iCs/>
      <w:color w:val="404040" w:themeColor="text1" w:themeTint="BF"/>
    </w:rPr>
  </w:style>
  <w:style w:type="character" w:customStyle="1" w:styleId="a8">
    <w:name w:val="引用 字符"/>
    <w:basedOn w:val="a0"/>
    <w:link w:val="a7"/>
    <w:uiPriority w:val="29"/>
    <w:rsid w:val="007E0881"/>
    <w:rPr>
      <w:i/>
      <w:iCs/>
      <w:color w:val="404040" w:themeColor="text1" w:themeTint="BF"/>
    </w:rPr>
  </w:style>
  <w:style w:type="paragraph" w:styleId="a9">
    <w:name w:val="List Paragraph"/>
    <w:basedOn w:val="a"/>
    <w:uiPriority w:val="34"/>
    <w:qFormat/>
    <w:rsid w:val="007E0881"/>
    <w:pPr>
      <w:ind w:left="720"/>
      <w:contextualSpacing/>
    </w:pPr>
  </w:style>
  <w:style w:type="character" w:styleId="aa">
    <w:name w:val="Intense Emphasis"/>
    <w:basedOn w:val="a0"/>
    <w:uiPriority w:val="21"/>
    <w:qFormat/>
    <w:rsid w:val="007E0881"/>
    <w:rPr>
      <w:i/>
      <w:iCs/>
      <w:color w:val="2F5496" w:themeColor="accent1" w:themeShade="BF"/>
    </w:rPr>
  </w:style>
  <w:style w:type="paragraph" w:styleId="ab">
    <w:name w:val="Intense Quote"/>
    <w:basedOn w:val="a"/>
    <w:next w:val="a"/>
    <w:link w:val="ac"/>
    <w:uiPriority w:val="30"/>
    <w:qFormat/>
    <w:rsid w:val="007E08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7E0881"/>
    <w:rPr>
      <w:i/>
      <w:iCs/>
      <w:color w:val="2F5496" w:themeColor="accent1" w:themeShade="BF"/>
    </w:rPr>
  </w:style>
  <w:style w:type="character" w:styleId="ad">
    <w:name w:val="Intense Reference"/>
    <w:basedOn w:val="a0"/>
    <w:uiPriority w:val="32"/>
    <w:qFormat/>
    <w:rsid w:val="007E0881"/>
    <w:rPr>
      <w:b/>
      <w:bCs/>
      <w:smallCaps/>
      <w:color w:val="2F5496" w:themeColor="accent1" w:themeShade="BF"/>
      <w:spacing w:val="5"/>
    </w:rPr>
  </w:style>
  <w:style w:type="paragraph" w:styleId="ae">
    <w:name w:val="Bibliography"/>
    <w:basedOn w:val="a"/>
    <w:next w:val="a"/>
    <w:uiPriority w:val="37"/>
    <w:unhideWhenUsed/>
    <w:rsid w:val="00060ADF"/>
    <w:pPr>
      <w:spacing w:after="240"/>
    </w:pPr>
  </w:style>
  <w:style w:type="character" w:styleId="af">
    <w:name w:val="Hyperlink"/>
    <w:basedOn w:val="a0"/>
    <w:uiPriority w:val="99"/>
    <w:unhideWhenUsed/>
    <w:rsid w:val="004902B6"/>
    <w:rPr>
      <w:color w:val="0563C1" w:themeColor="hyperlink"/>
      <w:u w:val="single"/>
    </w:rPr>
  </w:style>
  <w:style w:type="character" w:styleId="af0">
    <w:name w:val="Unresolved Mention"/>
    <w:basedOn w:val="a0"/>
    <w:uiPriority w:val="99"/>
    <w:semiHidden/>
    <w:unhideWhenUsed/>
    <w:rsid w:val="004902B6"/>
    <w:rPr>
      <w:color w:val="605E5C"/>
      <w:shd w:val="clear" w:color="auto" w:fill="E1DFDD"/>
    </w:rPr>
  </w:style>
  <w:style w:type="paragraph" w:styleId="af1">
    <w:name w:val="header"/>
    <w:basedOn w:val="a"/>
    <w:link w:val="af2"/>
    <w:uiPriority w:val="99"/>
    <w:unhideWhenUsed/>
    <w:rsid w:val="00791501"/>
    <w:pPr>
      <w:tabs>
        <w:tab w:val="center" w:pos="4153"/>
        <w:tab w:val="right" w:pos="8306"/>
      </w:tabs>
      <w:snapToGrid w:val="0"/>
      <w:jc w:val="center"/>
    </w:pPr>
    <w:rPr>
      <w:sz w:val="18"/>
      <w:szCs w:val="18"/>
    </w:rPr>
  </w:style>
  <w:style w:type="character" w:customStyle="1" w:styleId="af2">
    <w:name w:val="页眉 字符"/>
    <w:basedOn w:val="a0"/>
    <w:link w:val="af1"/>
    <w:uiPriority w:val="99"/>
    <w:rsid w:val="00791501"/>
    <w:rPr>
      <w:sz w:val="18"/>
      <w:szCs w:val="18"/>
      <w:lang w:val="en-GB"/>
    </w:rPr>
  </w:style>
  <w:style w:type="paragraph" w:styleId="af3">
    <w:name w:val="footer"/>
    <w:basedOn w:val="a"/>
    <w:link w:val="af4"/>
    <w:uiPriority w:val="99"/>
    <w:unhideWhenUsed/>
    <w:rsid w:val="00791501"/>
    <w:pPr>
      <w:tabs>
        <w:tab w:val="center" w:pos="4153"/>
        <w:tab w:val="right" w:pos="8306"/>
      </w:tabs>
      <w:snapToGrid w:val="0"/>
      <w:jc w:val="left"/>
    </w:pPr>
    <w:rPr>
      <w:sz w:val="18"/>
      <w:szCs w:val="18"/>
    </w:rPr>
  </w:style>
  <w:style w:type="character" w:customStyle="1" w:styleId="af4">
    <w:name w:val="页脚 字符"/>
    <w:basedOn w:val="a0"/>
    <w:link w:val="af3"/>
    <w:uiPriority w:val="99"/>
    <w:rsid w:val="00791501"/>
    <w:rPr>
      <w:sz w:val="18"/>
      <w:szCs w:val="18"/>
      <w:lang w:val="en-GB"/>
    </w:rPr>
  </w:style>
  <w:style w:type="paragraph" w:styleId="TOC">
    <w:name w:val="TOC Heading"/>
    <w:basedOn w:val="1"/>
    <w:next w:val="a"/>
    <w:uiPriority w:val="39"/>
    <w:unhideWhenUsed/>
    <w:qFormat/>
    <w:rsid w:val="003B7428"/>
    <w:pPr>
      <w:widowControl/>
      <w:spacing w:before="240" w:after="0" w:line="259" w:lineRule="auto"/>
      <w:jc w:val="left"/>
      <w:outlineLvl w:val="9"/>
    </w:pPr>
    <w:rPr>
      <w:kern w:val="0"/>
      <w:sz w:val="32"/>
      <w:szCs w:val="32"/>
      <w:lang w:val="en-US"/>
    </w:rPr>
  </w:style>
  <w:style w:type="paragraph" w:styleId="TOC1">
    <w:name w:val="toc 1"/>
    <w:basedOn w:val="a"/>
    <w:next w:val="a"/>
    <w:autoRedefine/>
    <w:uiPriority w:val="39"/>
    <w:unhideWhenUsed/>
    <w:rsid w:val="003B7428"/>
  </w:style>
  <w:style w:type="paragraph" w:styleId="TOC2">
    <w:name w:val="toc 2"/>
    <w:basedOn w:val="a"/>
    <w:next w:val="a"/>
    <w:autoRedefine/>
    <w:uiPriority w:val="39"/>
    <w:unhideWhenUsed/>
    <w:rsid w:val="00071EC1"/>
    <w:pPr>
      <w:tabs>
        <w:tab w:val="right" w:leader="dot" w:pos="8296"/>
      </w:tabs>
      <w:spacing w:line="360" w:lineRule="auto"/>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5810B-05DF-416E-9198-6AC12BF25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577</TotalTime>
  <Pages>18</Pages>
  <Words>4292</Words>
  <Characters>24467</Characters>
  <Application>Microsoft Office Word</Application>
  <DocSecurity>0</DocSecurity>
  <Lines>203</Lines>
  <Paragraphs>57</Paragraphs>
  <ScaleCrop>false</ScaleCrop>
  <Company/>
  <LinksUpToDate>false</LinksUpToDate>
  <CharactersWithSpaces>28702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孟洋 蒋</dc:creator>
  <cp:keywords/>
  <dc:description/>
  <cp:lastModifiedBy>孟洋 蒋</cp:lastModifiedBy>
  <cp:revision>95</cp:revision>
  <dcterms:created xsi:type="dcterms:W3CDTF">2026-03-17T12:00:00Z</dcterms:created>
  <dcterms:modified xsi:type="dcterms:W3CDTF">2026-03-27T02:54:00Z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id="10nQ8aHE"/&gt;&lt;style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ies>
</file>