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F20FB3" w14:textId="77777777" w:rsidR="007D7D64" w:rsidRDefault="007D7D64" w:rsidP="007D7D64">
      <w:pPr>
        <w:spacing w:line="259" w:lineRule="auto"/>
        <w:jc w:val="center"/>
        <w:rPr>
          <w:b/>
          <w:bCs/>
          <w:i/>
          <w:iCs/>
          <w:sz w:val="36"/>
          <w:szCs w:val="36"/>
        </w:rPr>
      </w:pPr>
    </w:p>
    <w:p w14:paraId="5450ED83" w14:textId="77777777" w:rsidR="007D7D64" w:rsidRPr="009D7CD2" w:rsidRDefault="007D7D64" w:rsidP="005721EA">
      <w:pPr>
        <w:spacing w:line="259" w:lineRule="auto"/>
        <w:jc w:val="right"/>
        <w:rPr>
          <w:b/>
          <w:bCs/>
          <w:i/>
          <w:iCs/>
          <w:sz w:val="36"/>
          <w:szCs w:val="36"/>
          <w:lang w:val="en-GB"/>
        </w:rPr>
      </w:pPr>
      <w:r w:rsidRPr="007D7D64">
        <w:rPr>
          <w:b/>
          <w:bCs/>
          <w:i/>
          <w:iCs/>
          <w:noProof/>
          <w:sz w:val="36"/>
          <w:szCs w:val="36"/>
        </w:rPr>
        <w:drawing>
          <wp:inline distT="0" distB="0" distL="0" distR="0" wp14:anchorId="6C19A54D" wp14:editId="2EE75F4E">
            <wp:extent cx="4198289" cy="1382819"/>
            <wp:effectExtent l="0" t="0" r="0" b="8255"/>
            <wp:docPr id="121950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50240" name=""/>
                    <pic:cNvPicPr/>
                  </pic:nvPicPr>
                  <pic:blipFill>
                    <a:blip r:embed="rId8"/>
                    <a:stretch>
                      <a:fillRect/>
                    </a:stretch>
                  </pic:blipFill>
                  <pic:spPr>
                    <a:xfrm>
                      <a:off x="0" y="0"/>
                      <a:ext cx="4227253" cy="1392359"/>
                    </a:xfrm>
                    <a:prstGeom prst="rect">
                      <a:avLst/>
                    </a:prstGeom>
                  </pic:spPr>
                </pic:pic>
              </a:graphicData>
            </a:graphic>
          </wp:inline>
        </w:drawing>
      </w:r>
    </w:p>
    <w:p w14:paraId="3FB4B03A" w14:textId="77777777" w:rsidR="007D7D64" w:rsidRDefault="007D7D64" w:rsidP="005721EA">
      <w:pPr>
        <w:spacing w:line="259" w:lineRule="auto"/>
        <w:rPr>
          <w:b/>
          <w:bCs/>
          <w:i/>
          <w:iCs/>
          <w:sz w:val="36"/>
          <w:szCs w:val="36"/>
        </w:rPr>
      </w:pPr>
    </w:p>
    <w:p w14:paraId="11D981A8" w14:textId="77777777" w:rsidR="007D7D64" w:rsidRDefault="007D7D64" w:rsidP="007D7D64">
      <w:pPr>
        <w:spacing w:line="259" w:lineRule="auto"/>
        <w:jc w:val="center"/>
        <w:rPr>
          <w:b/>
          <w:bCs/>
          <w:i/>
          <w:iCs/>
          <w:sz w:val="36"/>
          <w:szCs w:val="36"/>
        </w:rPr>
      </w:pPr>
    </w:p>
    <w:p w14:paraId="604FC2AD" w14:textId="77777777" w:rsidR="007D7D64" w:rsidRDefault="005721EA" w:rsidP="007D7D64">
      <w:pPr>
        <w:spacing w:line="259" w:lineRule="auto"/>
        <w:jc w:val="center"/>
        <w:rPr>
          <w:b/>
          <w:bCs/>
          <w:i/>
          <w:iCs/>
          <w:sz w:val="36"/>
          <w:szCs w:val="36"/>
        </w:rPr>
      </w:pPr>
      <w:r w:rsidRPr="005721EA">
        <w:rPr>
          <w:b/>
          <w:bCs/>
          <w:i/>
          <w:iCs/>
          <w:sz w:val="36"/>
          <w:szCs w:val="36"/>
        </w:rPr>
        <w:t>LCBB6002</w:t>
      </w:r>
      <w:r>
        <w:rPr>
          <w:b/>
          <w:bCs/>
          <w:i/>
          <w:iCs/>
          <w:sz w:val="36"/>
          <w:szCs w:val="36"/>
        </w:rPr>
        <w:t>:</w:t>
      </w:r>
      <w:r w:rsidRPr="007D7D64">
        <w:rPr>
          <w:b/>
          <w:bCs/>
          <w:i/>
          <w:iCs/>
          <w:sz w:val="36"/>
          <w:szCs w:val="36"/>
        </w:rPr>
        <w:t xml:space="preserve"> International</w:t>
      </w:r>
      <w:r w:rsidR="007D7D64" w:rsidRPr="007D7D64">
        <w:rPr>
          <w:b/>
          <w:bCs/>
          <w:i/>
          <w:iCs/>
          <w:sz w:val="36"/>
          <w:szCs w:val="36"/>
        </w:rPr>
        <w:t xml:space="preserve"> Financial Management </w:t>
      </w:r>
    </w:p>
    <w:p w14:paraId="6EEC4CF9" w14:textId="26822611" w:rsidR="005721EA" w:rsidRDefault="00250D43" w:rsidP="005721EA">
      <w:pPr>
        <w:spacing w:line="259" w:lineRule="auto"/>
        <w:jc w:val="center"/>
        <w:rPr>
          <w:b/>
          <w:bCs/>
          <w:i/>
          <w:iCs/>
          <w:sz w:val="36"/>
          <w:szCs w:val="36"/>
        </w:rPr>
      </w:pPr>
      <w:r>
        <w:rPr>
          <w:b/>
          <w:bCs/>
          <w:i/>
          <w:iCs/>
          <w:sz w:val="36"/>
          <w:szCs w:val="36"/>
        </w:rPr>
        <w:t>Lecturer</w:t>
      </w:r>
      <w:r w:rsidR="00F82381">
        <w:rPr>
          <w:b/>
          <w:bCs/>
          <w:i/>
          <w:iCs/>
          <w:sz w:val="36"/>
          <w:szCs w:val="36"/>
        </w:rPr>
        <w:t xml:space="preserve">: </w:t>
      </w:r>
      <w:r w:rsidR="002C790C">
        <w:rPr>
          <w:b/>
          <w:bCs/>
          <w:i/>
          <w:iCs/>
          <w:sz w:val="36"/>
          <w:szCs w:val="36"/>
        </w:rPr>
        <w:t xml:space="preserve">Thomas </w:t>
      </w:r>
      <w:proofErr w:type="spellStart"/>
      <w:r w:rsidR="002C790C">
        <w:rPr>
          <w:b/>
          <w:bCs/>
          <w:i/>
          <w:iCs/>
          <w:sz w:val="36"/>
          <w:szCs w:val="36"/>
        </w:rPr>
        <w:t>Adeyemi</w:t>
      </w:r>
      <w:proofErr w:type="spellEnd"/>
    </w:p>
    <w:p w14:paraId="646EF5FA" w14:textId="2D848042" w:rsidR="002C790C" w:rsidRDefault="002C790C" w:rsidP="005721EA">
      <w:pPr>
        <w:spacing w:line="259" w:lineRule="auto"/>
        <w:jc w:val="center"/>
        <w:rPr>
          <w:b/>
          <w:bCs/>
          <w:i/>
          <w:iCs/>
          <w:sz w:val="36"/>
          <w:szCs w:val="36"/>
        </w:rPr>
      </w:pPr>
      <w:r>
        <w:rPr>
          <w:b/>
          <w:bCs/>
          <w:i/>
          <w:iCs/>
          <w:sz w:val="36"/>
          <w:szCs w:val="36"/>
        </w:rPr>
        <w:t>Student:</w:t>
      </w:r>
      <w:r w:rsidR="00710BEC">
        <w:rPr>
          <w:b/>
          <w:bCs/>
          <w:i/>
          <w:iCs/>
          <w:sz w:val="36"/>
          <w:szCs w:val="36"/>
        </w:rPr>
        <w:t xml:space="preserve"> </w:t>
      </w:r>
      <w:proofErr w:type="spellStart"/>
      <w:r w:rsidR="00E7006D">
        <w:rPr>
          <w:b/>
          <w:bCs/>
          <w:i/>
          <w:iCs/>
          <w:sz w:val="36"/>
          <w:szCs w:val="36"/>
        </w:rPr>
        <w:t>Lucica</w:t>
      </w:r>
      <w:proofErr w:type="spellEnd"/>
      <w:r w:rsidR="00E905F3">
        <w:rPr>
          <w:b/>
          <w:bCs/>
          <w:i/>
          <w:iCs/>
          <w:sz w:val="36"/>
          <w:szCs w:val="36"/>
        </w:rPr>
        <w:t xml:space="preserve"> Barbu-2006789</w:t>
      </w:r>
    </w:p>
    <w:p w14:paraId="6EBDE1F1" w14:textId="77777777" w:rsidR="00137CBB" w:rsidRDefault="00137CBB" w:rsidP="00137CBB">
      <w:pPr>
        <w:spacing w:line="259" w:lineRule="auto"/>
        <w:rPr>
          <w:b/>
          <w:bCs/>
          <w:i/>
          <w:iCs/>
          <w:sz w:val="36"/>
          <w:szCs w:val="36"/>
        </w:rPr>
      </w:pPr>
    </w:p>
    <w:p w14:paraId="6A48C6C5" w14:textId="2CCA7A2D" w:rsidR="007D7D64" w:rsidRDefault="005721EA" w:rsidP="00137CBB">
      <w:pPr>
        <w:spacing w:line="259" w:lineRule="auto"/>
        <w:rPr>
          <w:b/>
          <w:bCs/>
          <w:i/>
          <w:iCs/>
          <w:sz w:val="36"/>
          <w:szCs w:val="36"/>
        </w:rPr>
      </w:pPr>
      <w:r w:rsidRPr="005721EA">
        <w:rPr>
          <w:b/>
          <w:bCs/>
          <w:i/>
          <w:iCs/>
          <w:sz w:val="36"/>
          <w:szCs w:val="36"/>
        </w:rPr>
        <w:t xml:space="preserve"> Report International Financial Management (IFM) theories, evaluate the</w:t>
      </w:r>
      <w:r>
        <w:rPr>
          <w:b/>
          <w:bCs/>
          <w:i/>
          <w:iCs/>
          <w:sz w:val="36"/>
          <w:szCs w:val="36"/>
        </w:rPr>
        <w:t xml:space="preserve"> </w:t>
      </w:r>
      <w:r w:rsidRPr="005721EA">
        <w:rPr>
          <w:b/>
          <w:bCs/>
          <w:i/>
          <w:iCs/>
          <w:sz w:val="36"/>
          <w:szCs w:val="36"/>
        </w:rPr>
        <w:t>different strategies that multinational corporations often adopt in managing their exposure to foreign</w:t>
      </w:r>
      <w:r>
        <w:rPr>
          <w:b/>
          <w:bCs/>
          <w:i/>
          <w:iCs/>
          <w:sz w:val="36"/>
          <w:szCs w:val="36"/>
        </w:rPr>
        <w:t xml:space="preserve"> </w:t>
      </w:r>
      <w:r w:rsidRPr="005721EA">
        <w:rPr>
          <w:b/>
          <w:bCs/>
          <w:i/>
          <w:iCs/>
          <w:sz w:val="36"/>
          <w:szCs w:val="36"/>
        </w:rPr>
        <w:t>exchange risks.</w:t>
      </w:r>
    </w:p>
    <w:p w14:paraId="04FE5E7E" w14:textId="77777777" w:rsidR="007D7D64" w:rsidRDefault="007D7D64" w:rsidP="007D7D64">
      <w:pPr>
        <w:spacing w:line="259" w:lineRule="auto"/>
        <w:jc w:val="center"/>
        <w:rPr>
          <w:b/>
          <w:bCs/>
          <w:i/>
          <w:iCs/>
          <w:sz w:val="36"/>
          <w:szCs w:val="36"/>
        </w:rPr>
      </w:pPr>
    </w:p>
    <w:p w14:paraId="2D7BC2F8" w14:textId="77777777" w:rsidR="005721EA" w:rsidRDefault="005721EA" w:rsidP="007D7D64">
      <w:pPr>
        <w:spacing w:line="259" w:lineRule="auto"/>
        <w:jc w:val="center"/>
        <w:rPr>
          <w:b/>
          <w:bCs/>
          <w:i/>
          <w:iCs/>
          <w:sz w:val="36"/>
          <w:szCs w:val="36"/>
        </w:rPr>
      </w:pPr>
    </w:p>
    <w:p w14:paraId="7FF36A99" w14:textId="0C73E8BF" w:rsidR="007D7D64" w:rsidRDefault="007D7D64" w:rsidP="00137CBB">
      <w:pPr>
        <w:spacing w:line="259" w:lineRule="auto"/>
        <w:rPr>
          <w:b/>
          <w:bCs/>
          <w:i/>
          <w:iCs/>
          <w:sz w:val="28"/>
          <w:szCs w:val="28"/>
        </w:rPr>
      </w:pPr>
    </w:p>
    <w:p w14:paraId="384D6CDD" w14:textId="5850BF5F" w:rsidR="007D7D64" w:rsidRDefault="007D7D64" w:rsidP="007D7D64">
      <w:pPr>
        <w:spacing w:line="259" w:lineRule="auto"/>
        <w:jc w:val="center"/>
        <w:rPr>
          <w:b/>
          <w:bCs/>
          <w:i/>
          <w:iCs/>
          <w:sz w:val="28"/>
          <w:szCs w:val="28"/>
        </w:rPr>
      </w:pPr>
    </w:p>
    <w:p w14:paraId="0D5628BD" w14:textId="77777777" w:rsidR="007D7D64" w:rsidRPr="007D7D64" w:rsidRDefault="007D7D64" w:rsidP="007D7D64">
      <w:pPr>
        <w:spacing w:line="259" w:lineRule="auto"/>
        <w:jc w:val="center"/>
        <w:rPr>
          <w:b/>
          <w:bCs/>
          <w:i/>
          <w:iCs/>
          <w:sz w:val="36"/>
          <w:szCs w:val="36"/>
        </w:rPr>
      </w:pPr>
      <w:r w:rsidRPr="007D7D64">
        <w:rPr>
          <w:b/>
          <w:bCs/>
          <w:i/>
          <w:iCs/>
          <w:sz w:val="36"/>
          <w:szCs w:val="36"/>
        </w:rPr>
        <w:br w:type="page"/>
      </w:r>
    </w:p>
    <w:sdt>
      <w:sdtPr>
        <w:rPr>
          <w:b/>
          <w:bCs/>
        </w:rPr>
        <w:id w:val="1283841801"/>
        <w:docPartObj>
          <w:docPartGallery w:val="Table of Contents"/>
          <w:docPartUnique/>
        </w:docPartObj>
      </w:sdtPr>
      <w:sdtEndPr>
        <w:rPr>
          <w:noProof/>
        </w:rPr>
      </w:sdtEndPr>
      <w:sdtContent>
        <w:p w14:paraId="3D6594F4" w14:textId="77777777" w:rsidR="007D7D64" w:rsidRPr="007D7D64" w:rsidRDefault="007D7D64" w:rsidP="007D7D64">
          <w:pPr>
            <w:jc w:val="center"/>
            <w:rPr>
              <w:b/>
              <w:bCs/>
            </w:rPr>
          </w:pPr>
          <w:r w:rsidRPr="007D7D64">
            <w:rPr>
              <w:b/>
              <w:bCs/>
            </w:rPr>
            <w:t>Table of Contents</w:t>
          </w:r>
        </w:p>
        <w:p w14:paraId="7D103A9D" w14:textId="77777777" w:rsidR="00B30DFD" w:rsidRDefault="00934A2E">
          <w:pPr>
            <w:pStyle w:val="TOC1"/>
            <w:tabs>
              <w:tab w:val="right" w:leader="dot" w:pos="9350"/>
            </w:tabs>
            <w:rPr>
              <w:rFonts w:asciiTheme="minorHAnsi" w:eastAsiaTheme="minorEastAsia" w:hAnsiTheme="minorHAnsi"/>
              <w:noProof/>
              <w:kern w:val="0"/>
            </w:rPr>
          </w:pPr>
          <w:r>
            <w:fldChar w:fldCharType="begin"/>
          </w:r>
          <w:r w:rsidR="007D7D64">
            <w:instrText xml:space="preserve"> TOC \o "1-3" \h \z \u </w:instrText>
          </w:r>
          <w:r>
            <w:fldChar w:fldCharType="separate"/>
          </w:r>
          <w:hyperlink w:anchor="_Toc150114436" w:history="1">
            <w:r w:rsidR="00B30DFD" w:rsidRPr="00A12713">
              <w:rPr>
                <w:rStyle w:val="Hyperlink"/>
                <w:noProof/>
              </w:rPr>
              <w:t>Introduction</w:t>
            </w:r>
            <w:r w:rsidR="00B30DFD">
              <w:rPr>
                <w:noProof/>
                <w:webHidden/>
              </w:rPr>
              <w:tab/>
            </w:r>
            <w:r w:rsidR="00B30DFD">
              <w:rPr>
                <w:noProof/>
                <w:webHidden/>
              </w:rPr>
              <w:fldChar w:fldCharType="begin"/>
            </w:r>
            <w:r w:rsidR="00B30DFD">
              <w:rPr>
                <w:noProof/>
                <w:webHidden/>
              </w:rPr>
              <w:instrText xml:space="preserve"> PAGEREF _Toc150114436 \h </w:instrText>
            </w:r>
            <w:r w:rsidR="00B30DFD">
              <w:rPr>
                <w:noProof/>
                <w:webHidden/>
              </w:rPr>
            </w:r>
            <w:r w:rsidR="00B30DFD">
              <w:rPr>
                <w:noProof/>
                <w:webHidden/>
              </w:rPr>
              <w:fldChar w:fldCharType="separate"/>
            </w:r>
            <w:r w:rsidR="00B30DFD">
              <w:rPr>
                <w:noProof/>
                <w:webHidden/>
              </w:rPr>
              <w:t>3</w:t>
            </w:r>
            <w:r w:rsidR="00B30DFD">
              <w:rPr>
                <w:noProof/>
                <w:webHidden/>
              </w:rPr>
              <w:fldChar w:fldCharType="end"/>
            </w:r>
          </w:hyperlink>
        </w:p>
        <w:p w14:paraId="72A5A167" w14:textId="77777777" w:rsidR="00B30DFD" w:rsidRDefault="001B4D2C">
          <w:pPr>
            <w:pStyle w:val="TOC1"/>
            <w:tabs>
              <w:tab w:val="right" w:leader="dot" w:pos="9350"/>
            </w:tabs>
            <w:rPr>
              <w:rFonts w:asciiTheme="minorHAnsi" w:eastAsiaTheme="minorEastAsia" w:hAnsiTheme="minorHAnsi"/>
              <w:noProof/>
              <w:kern w:val="0"/>
            </w:rPr>
          </w:pPr>
          <w:hyperlink w:anchor="_Toc150114437" w:history="1">
            <w:r w:rsidR="00B30DFD" w:rsidRPr="00A12713">
              <w:rPr>
                <w:rStyle w:val="Hyperlink"/>
                <w:noProof/>
              </w:rPr>
              <w:t>Concept of International Financial Management, and relation to theories</w:t>
            </w:r>
            <w:r w:rsidR="00B30DFD">
              <w:rPr>
                <w:noProof/>
                <w:webHidden/>
              </w:rPr>
              <w:tab/>
            </w:r>
            <w:r w:rsidR="00B30DFD">
              <w:rPr>
                <w:noProof/>
                <w:webHidden/>
              </w:rPr>
              <w:fldChar w:fldCharType="begin"/>
            </w:r>
            <w:r w:rsidR="00B30DFD">
              <w:rPr>
                <w:noProof/>
                <w:webHidden/>
              </w:rPr>
              <w:instrText xml:space="preserve"> PAGEREF _Toc150114437 \h </w:instrText>
            </w:r>
            <w:r w:rsidR="00B30DFD">
              <w:rPr>
                <w:noProof/>
                <w:webHidden/>
              </w:rPr>
            </w:r>
            <w:r w:rsidR="00B30DFD">
              <w:rPr>
                <w:noProof/>
                <w:webHidden/>
              </w:rPr>
              <w:fldChar w:fldCharType="separate"/>
            </w:r>
            <w:r w:rsidR="00B30DFD">
              <w:rPr>
                <w:noProof/>
                <w:webHidden/>
              </w:rPr>
              <w:t>3</w:t>
            </w:r>
            <w:r w:rsidR="00B30DFD">
              <w:rPr>
                <w:noProof/>
                <w:webHidden/>
              </w:rPr>
              <w:fldChar w:fldCharType="end"/>
            </w:r>
          </w:hyperlink>
        </w:p>
        <w:p w14:paraId="572DDCBC" w14:textId="77777777" w:rsidR="00B30DFD" w:rsidRDefault="001B4D2C" w:rsidP="00B30DFD">
          <w:pPr>
            <w:pStyle w:val="TOC2"/>
            <w:tabs>
              <w:tab w:val="right" w:leader="dot" w:pos="9350"/>
            </w:tabs>
            <w:ind w:left="0"/>
            <w:rPr>
              <w:rFonts w:asciiTheme="minorHAnsi" w:eastAsiaTheme="minorEastAsia" w:hAnsiTheme="minorHAnsi"/>
              <w:noProof/>
              <w:kern w:val="0"/>
            </w:rPr>
          </w:pPr>
          <w:hyperlink w:anchor="_Toc150114440" w:history="1">
            <w:r w:rsidR="00B30DFD" w:rsidRPr="00A12713">
              <w:rPr>
                <w:rStyle w:val="Hyperlink"/>
                <w:noProof/>
              </w:rPr>
              <w:t>Types of exchange rate risks</w:t>
            </w:r>
            <w:r w:rsidR="00B30DFD">
              <w:rPr>
                <w:noProof/>
                <w:webHidden/>
              </w:rPr>
              <w:tab/>
            </w:r>
            <w:r w:rsidR="00B30DFD">
              <w:rPr>
                <w:noProof/>
                <w:webHidden/>
              </w:rPr>
              <w:fldChar w:fldCharType="begin"/>
            </w:r>
            <w:r w:rsidR="00B30DFD">
              <w:rPr>
                <w:noProof/>
                <w:webHidden/>
              </w:rPr>
              <w:instrText xml:space="preserve"> PAGEREF _Toc150114440 \h </w:instrText>
            </w:r>
            <w:r w:rsidR="00B30DFD">
              <w:rPr>
                <w:noProof/>
                <w:webHidden/>
              </w:rPr>
            </w:r>
            <w:r w:rsidR="00B30DFD">
              <w:rPr>
                <w:noProof/>
                <w:webHidden/>
              </w:rPr>
              <w:fldChar w:fldCharType="separate"/>
            </w:r>
            <w:r w:rsidR="00B30DFD">
              <w:rPr>
                <w:noProof/>
                <w:webHidden/>
              </w:rPr>
              <w:t>4</w:t>
            </w:r>
            <w:r w:rsidR="00B30DFD">
              <w:rPr>
                <w:noProof/>
                <w:webHidden/>
              </w:rPr>
              <w:fldChar w:fldCharType="end"/>
            </w:r>
          </w:hyperlink>
        </w:p>
        <w:p w14:paraId="1579FCEE" w14:textId="77777777" w:rsidR="00B30DFD" w:rsidRDefault="001B4D2C">
          <w:pPr>
            <w:pStyle w:val="TOC1"/>
            <w:tabs>
              <w:tab w:val="right" w:leader="dot" w:pos="9350"/>
            </w:tabs>
            <w:rPr>
              <w:rFonts w:asciiTheme="minorHAnsi" w:eastAsiaTheme="minorEastAsia" w:hAnsiTheme="minorHAnsi"/>
              <w:noProof/>
              <w:kern w:val="0"/>
            </w:rPr>
          </w:pPr>
          <w:hyperlink w:anchor="_Toc150114441" w:history="1">
            <w:r w:rsidR="00B30DFD" w:rsidRPr="00A12713">
              <w:rPr>
                <w:rStyle w:val="Hyperlink"/>
                <w:noProof/>
              </w:rPr>
              <w:t>Strategies for managing foreign exchange rate risks</w:t>
            </w:r>
            <w:r w:rsidR="00B30DFD">
              <w:rPr>
                <w:noProof/>
                <w:webHidden/>
              </w:rPr>
              <w:tab/>
            </w:r>
            <w:r w:rsidR="00B30DFD">
              <w:rPr>
                <w:noProof/>
                <w:webHidden/>
              </w:rPr>
              <w:fldChar w:fldCharType="begin"/>
            </w:r>
            <w:r w:rsidR="00B30DFD">
              <w:rPr>
                <w:noProof/>
                <w:webHidden/>
              </w:rPr>
              <w:instrText xml:space="preserve"> PAGEREF _Toc150114441 \h </w:instrText>
            </w:r>
            <w:r w:rsidR="00B30DFD">
              <w:rPr>
                <w:noProof/>
                <w:webHidden/>
              </w:rPr>
            </w:r>
            <w:r w:rsidR="00B30DFD">
              <w:rPr>
                <w:noProof/>
                <w:webHidden/>
              </w:rPr>
              <w:fldChar w:fldCharType="separate"/>
            </w:r>
            <w:r w:rsidR="00B30DFD">
              <w:rPr>
                <w:noProof/>
                <w:webHidden/>
              </w:rPr>
              <w:t>4</w:t>
            </w:r>
            <w:r w:rsidR="00B30DFD">
              <w:rPr>
                <w:noProof/>
                <w:webHidden/>
              </w:rPr>
              <w:fldChar w:fldCharType="end"/>
            </w:r>
          </w:hyperlink>
        </w:p>
        <w:p w14:paraId="03E8E7C5" w14:textId="77777777" w:rsidR="00B30DFD" w:rsidRDefault="001B4D2C">
          <w:pPr>
            <w:pStyle w:val="TOC1"/>
            <w:tabs>
              <w:tab w:val="right" w:leader="dot" w:pos="9350"/>
            </w:tabs>
            <w:rPr>
              <w:rFonts w:asciiTheme="minorHAnsi" w:eastAsiaTheme="minorEastAsia" w:hAnsiTheme="minorHAnsi"/>
              <w:noProof/>
              <w:kern w:val="0"/>
            </w:rPr>
          </w:pPr>
          <w:hyperlink w:anchor="_Toc150114444" w:history="1">
            <w:r w:rsidR="00B30DFD" w:rsidRPr="00A12713">
              <w:rPr>
                <w:rStyle w:val="Hyperlink"/>
                <w:noProof/>
              </w:rPr>
              <w:t>Conclusion</w:t>
            </w:r>
            <w:r w:rsidR="00B30DFD">
              <w:rPr>
                <w:noProof/>
                <w:webHidden/>
              </w:rPr>
              <w:tab/>
            </w:r>
            <w:r w:rsidR="00B30DFD">
              <w:rPr>
                <w:noProof/>
                <w:webHidden/>
              </w:rPr>
              <w:fldChar w:fldCharType="begin"/>
            </w:r>
            <w:r w:rsidR="00B30DFD">
              <w:rPr>
                <w:noProof/>
                <w:webHidden/>
              </w:rPr>
              <w:instrText xml:space="preserve"> PAGEREF _Toc150114444 \h </w:instrText>
            </w:r>
            <w:r w:rsidR="00B30DFD">
              <w:rPr>
                <w:noProof/>
                <w:webHidden/>
              </w:rPr>
            </w:r>
            <w:r w:rsidR="00B30DFD">
              <w:rPr>
                <w:noProof/>
                <w:webHidden/>
              </w:rPr>
              <w:fldChar w:fldCharType="separate"/>
            </w:r>
            <w:r w:rsidR="00B30DFD">
              <w:rPr>
                <w:noProof/>
                <w:webHidden/>
              </w:rPr>
              <w:t>6</w:t>
            </w:r>
            <w:r w:rsidR="00B30DFD">
              <w:rPr>
                <w:noProof/>
                <w:webHidden/>
              </w:rPr>
              <w:fldChar w:fldCharType="end"/>
            </w:r>
          </w:hyperlink>
        </w:p>
        <w:p w14:paraId="1910119D" w14:textId="77777777" w:rsidR="00B30DFD" w:rsidRDefault="001B4D2C">
          <w:pPr>
            <w:pStyle w:val="TOC1"/>
            <w:tabs>
              <w:tab w:val="right" w:leader="dot" w:pos="9350"/>
            </w:tabs>
            <w:rPr>
              <w:rFonts w:asciiTheme="minorHAnsi" w:eastAsiaTheme="minorEastAsia" w:hAnsiTheme="minorHAnsi"/>
              <w:noProof/>
              <w:kern w:val="0"/>
            </w:rPr>
          </w:pPr>
          <w:hyperlink w:anchor="_Toc150114445" w:history="1">
            <w:r w:rsidR="00B30DFD" w:rsidRPr="00A12713">
              <w:rPr>
                <w:rStyle w:val="Hyperlink"/>
                <w:noProof/>
              </w:rPr>
              <w:t>References</w:t>
            </w:r>
            <w:r w:rsidR="00B30DFD">
              <w:rPr>
                <w:noProof/>
                <w:webHidden/>
              </w:rPr>
              <w:tab/>
            </w:r>
            <w:r w:rsidR="00B30DFD">
              <w:rPr>
                <w:noProof/>
                <w:webHidden/>
              </w:rPr>
              <w:fldChar w:fldCharType="begin"/>
            </w:r>
            <w:r w:rsidR="00B30DFD">
              <w:rPr>
                <w:noProof/>
                <w:webHidden/>
              </w:rPr>
              <w:instrText xml:space="preserve"> PAGEREF _Toc150114445 \h </w:instrText>
            </w:r>
            <w:r w:rsidR="00B30DFD">
              <w:rPr>
                <w:noProof/>
                <w:webHidden/>
              </w:rPr>
            </w:r>
            <w:r w:rsidR="00B30DFD">
              <w:rPr>
                <w:noProof/>
                <w:webHidden/>
              </w:rPr>
              <w:fldChar w:fldCharType="separate"/>
            </w:r>
            <w:r w:rsidR="00B30DFD">
              <w:rPr>
                <w:noProof/>
                <w:webHidden/>
              </w:rPr>
              <w:t>7</w:t>
            </w:r>
            <w:r w:rsidR="00B30DFD">
              <w:rPr>
                <w:noProof/>
                <w:webHidden/>
              </w:rPr>
              <w:fldChar w:fldCharType="end"/>
            </w:r>
          </w:hyperlink>
        </w:p>
        <w:p w14:paraId="18806B7C" w14:textId="77777777" w:rsidR="007D7D64" w:rsidRDefault="00934A2E">
          <w:r>
            <w:rPr>
              <w:b/>
              <w:bCs/>
              <w:noProof/>
            </w:rPr>
            <w:fldChar w:fldCharType="end"/>
          </w:r>
        </w:p>
      </w:sdtContent>
    </w:sdt>
    <w:p w14:paraId="11A83769" w14:textId="77777777" w:rsidR="007D7D64" w:rsidRDefault="007D7D64">
      <w:pPr>
        <w:spacing w:line="259" w:lineRule="auto"/>
        <w:jc w:val="left"/>
        <w:rPr>
          <w:b/>
          <w:bCs/>
        </w:rPr>
      </w:pPr>
      <w:r>
        <w:rPr>
          <w:b/>
          <w:bCs/>
        </w:rPr>
        <w:br w:type="page"/>
      </w:r>
    </w:p>
    <w:p w14:paraId="7D6275EE" w14:textId="77777777" w:rsidR="00B11690" w:rsidRPr="007D7D64" w:rsidRDefault="00FC6FC2" w:rsidP="007D7D64">
      <w:pPr>
        <w:pStyle w:val="Heading1"/>
      </w:pPr>
      <w:bookmarkStart w:id="0" w:name="_Toc150114436"/>
      <w:r w:rsidRPr="007D7D64">
        <w:lastRenderedPageBreak/>
        <w:t>Introduction</w:t>
      </w:r>
      <w:bookmarkEnd w:id="0"/>
    </w:p>
    <w:p w14:paraId="455333E8" w14:textId="77777777" w:rsidR="00FC6FC2" w:rsidRDefault="00FC6FC2">
      <w:r>
        <w:t>Every multinational company faces foreign exchange rate risk, as exchange rates are bound to fluctuate daily. There is always risk for businesses of losing money because the fluctuation of the value of major currencies keeps rising and falling throughout the day, making cross-border transactions uncertain. Therefore</w:t>
      </w:r>
      <w:r w:rsidR="003D2228">
        <w:t xml:space="preserve">, there is a need for adopting strategies to mitigate these risks. Multinational companies that are prone to these risks have several measures in place that help them avoid losses </w:t>
      </w:r>
      <w:r w:rsidR="009D7CD2">
        <w:t>because of</w:t>
      </w:r>
      <w:r w:rsidR="003D2228">
        <w:t xml:space="preserve"> foreign exchange rate fluctuation. Several companies operate in foreign markets by selling their products/services in their local currency</w:t>
      </w:r>
      <w:r w:rsidR="00A23A7B">
        <w:t xml:space="preserve"> (</w:t>
      </w:r>
      <w:proofErr w:type="spellStart"/>
      <w:r w:rsidR="00A23A7B" w:rsidRPr="001413B5">
        <w:t>Chernov</w:t>
      </w:r>
      <w:proofErr w:type="spellEnd"/>
      <w:r w:rsidR="00A23A7B" w:rsidRPr="001413B5">
        <w:t xml:space="preserve">, </w:t>
      </w:r>
      <w:proofErr w:type="spellStart"/>
      <w:r w:rsidR="00A23A7B" w:rsidRPr="001413B5">
        <w:t>Crealand</w:t>
      </w:r>
      <w:proofErr w:type="spellEnd"/>
      <w:r w:rsidR="00A23A7B" w:rsidRPr="001413B5">
        <w:t xml:space="preserve"> </w:t>
      </w:r>
      <w:proofErr w:type="spellStart"/>
      <w:r w:rsidR="00A23A7B" w:rsidRPr="001413B5">
        <w:t>Hördahl</w:t>
      </w:r>
      <w:proofErr w:type="spellEnd"/>
      <w:r w:rsidR="00A23A7B" w:rsidRPr="001413B5">
        <w:t>, 2023</w:t>
      </w:r>
      <w:r w:rsidR="00A23A7B">
        <w:t>)</w:t>
      </w:r>
      <w:r w:rsidR="003D2228">
        <w:t xml:space="preserve">. However, this leads to losses in the </w:t>
      </w:r>
      <w:r w:rsidR="009D7CD2">
        <w:t>long</w:t>
      </w:r>
      <w:r w:rsidR="003D2228">
        <w:t xml:space="preserve"> run, as they run the risk of losing their clients to businesses that are flexible in terms of payment methods and available currency options. This report is being generated </w:t>
      </w:r>
      <w:r w:rsidR="009D7CD2">
        <w:t>to</w:t>
      </w:r>
      <w:r w:rsidR="003D2228">
        <w:t xml:space="preserve"> analyze some of the International Financial management theories that help avoid the same.</w:t>
      </w:r>
    </w:p>
    <w:p w14:paraId="23FB1C48" w14:textId="77777777" w:rsidR="003D2228" w:rsidRDefault="005721EA" w:rsidP="007D7D64">
      <w:pPr>
        <w:pStyle w:val="Heading1"/>
      </w:pPr>
      <w:bookmarkStart w:id="1" w:name="_Toc150114437"/>
      <w:r>
        <w:t xml:space="preserve">Concept of </w:t>
      </w:r>
      <w:r w:rsidR="00B55DAF" w:rsidRPr="00B55DAF">
        <w:t>International</w:t>
      </w:r>
      <w:r w:rsidR="00B55DAF">
        <w:t xml:space="preserve"> Financial Management</w:t>
      </w:r>
      <w:r>
        <w:t>, and relation to theories</w:t>
      </w:r>
      <w:bookmarkEnd w:id="1"/>
    </w:p>
    <w:p w14:paraId="7378B731" w14:textId="77777777" w:rsidR="009A0863" w:rsidRDefault="00673C4F" w:rsidP="009A0863">
      <w:r>
        <w:rPr>
          <w:b/>
          <w:bCs/>
          <w:i/>
          <w:iCs/>
        </w:rPr>
        <w:t>International Financial Management</w:t>
      </w:r>
      <w:r w:rsidR="00B55DAF">
        <w:t xml:space="preserve"> refers to the decision-making processes regarding investment</w:t>
      </w:r>
      <w:r w:rsidR="003E248E">
        <w:t>s</w:t>
      </w:r>
      <w:r w:rsidR="00B55DAF">
        <w:t xml:space="preserve"> and finance</w:t>
      </w:r>
      <w:r w:rsidR="003E248E">
        <w:t>s of multinational companies</w:t>
      </w:r>
      <w:r>
        <w:t xml:space="preserve"> in foreign markets</w:t>
      </w:r>
      <w:r w:rsidR="003E248E">
        <w:t xml:space="preserve">. </w:t>
      </w:r>
      <w:r w:rsidR="00A23A7B">
        <w:t xml:space="preserve">It has been stated by </w:t>
      </w:r>
      <w:proofErr w:type="spellStart"/>
      <w:r w:rsidR="00A23A7B" w:rsidRPr="00A23A7B">
        <w:t>Seabrooke</w:t>
      </w:r>
      <w:proofErr w:type="spellEnd"/>
      <w:r w:rsidR="00A23A7B" w:rsidRPr="00A23A7B">
        <w:t xml:space="preserve"> and </w:t>
      </w:r>
      <w:proofErr w:type="spellStart"/>
      <w:r w:rsidR="00A23A7B" w:rsidRPr="00A23A7B">
        <w:t>Tsingou</w:t>
      </w:r>
      <w:proofErr w:type="spellEnd"/>
      <w:r w:rsidR="00F81D05">
        <w:t xml:space="preserve"> </w:t>
      </w:r>
      <w:r w:rsidR="00A23A7B">
        <w:t>(</w:t>
      </w:r>
      <w:r w:rsidR="00A23A7B" w:rsidRPr="00A23A7B">
        <w:t>2021</w:t>
      </w:r>
      <w:r w:rsidR="00B30DFD">
        <w:t>) that</w:t>
      </w:r>
      <w:r w:rsidR="00A23A7B">
        <w:t xml:space="preserve"> while</w:t>
      </w:r>
      <w:r w:rsidR="003E248E">
        <w:t xml:space="preserve"> making these decisions, it is crucial for companies to consider the additional complexity brought around by exchange rate risk, and exchange rate forecasting. </w:t>
      </w:r>
      <w:r w:rsidR="005721EA">
        <w:t>Several key theories and models</w:t>
      </w:r>
      <w:r w:rsidR="009A0863">
        <w:t xml:space="preserve"> are relevant to managing foreign exchange risk, such as </w:t>
      </w:r>
      <w:r w:rsidR="009A0863" w:rsidRPr="001D3A30">
        <w:rPr>
          <w:b/>
          <w:bCs/>
          <w:i/>
          <w:iCs/>
        </w:rPr>
        <w:t>PPP (Purchasing Power Parit</w:t>
      </w:r>
      <w:r w:rsidR="009A0863">
        <w:rPr>
          <w:b/>
          <w:bCs/>
          <w:i/>
          <w:iCs/>
        </w:rPr>
        <w:t>y)</w:t>
      </w:r>
      <w:r w:rsidR="009A0863">
        <w:t xml:space="preserve">, </w:t>
      </w:r>
      <w:proofErr w:type="spellStart"/>
      <w:r w:rsidR="009A0863" w:rsidRPr="001D3A30">
        <w:rPr>
          <w:b/>
          <w:bCs/>
          <w:i/>
          <w:iCs/>
        </w:rPr>
        <w:t>Dornbusch</w:t>
      </w:r>
      <w:proofErr w:type="spellEnd"/>
      <w:r w:rsidR="009A0863" w:rsidRPr="001D3A30">
        <w:rPr>
          <w:b/>
          <w:bCs/>
          <w:i/>
          <w:iCs/>
        </w:rPr>
        <w:t xml:space="preserve"> Overshooting Model</w:t>
      </w:r>
      <w:r w:rsidR="009A0863">
        <w:t xml:space="preserve">, and </w:t>
      </w:r>
      <w:r w:rsidR="009A0863" w:rsidRPr="001D3A30">
        <w:rPr>
          <w:b/>
          <w:bCs/>
          <w:i/>
          <w:iCs/>
        </w:rPr>
        <w:t>Balance of Payments Theory</w:t>
      </w:r>
      <w:r w:rsidR="009A0863">
        <w:t>.</w:t>
      </w:r>
    </w:p>
    <w:p w14:paraId="7918C61D" w14:textId="77777777" w:rsidR="009A0863" w:rsidRDefault="009A0863" w:rsidP="009A0863">
      <w:bookmarkStart w:id="2" w:name="_Toc150114438"/>
      <w:r w:rsidRPr="009A0863">
        <w:rPr>
          <w:rStyle w:val="Heading2Char"/>
          <w:i/>
          <w:iCs/>
        </w:rPr>
        <w:t>The Purchasing Power Parity (PPP</w:t>
      </w:r>
      <w:r w:rsidR="005721EA" w:rsidRPr="009A0863">
        <w:rPr>
          <w:rStyle w:val="Heading2Char"/>
          <w:i/>
          <w:iCs/>
        </w:rPr>
        <w:t>)</w:t>
      </w:r>
      <w:bookmarkEnd w:id="2"/>
      <w:r w:rsidR="005721EA">
        <w:t xml:space="preserve"> is</w:t>
      </w:r>
      <w:r>
        <w:t xml:space="preserve"> a term used to </w:t>
      </w:r>
      <w:proofErr w:type="spellStart"/>
      <w:r>
        <w:t>analyse</w:t>
      </w:r>
      <w:proofErr w:type="spellEnd"/>
      <w:r>
        <w:t xml:space="preserve">, and compare economic productivity, and standards of living between different countries. In terms of PPP, two currencies are at equilibrium when both the currencies can buy identical baskets of goods. As stated by </w:t>
      </w:r>
      <w:proofErr w:type="spellStart"/>
      <w:r w:rsidRPr="009A0863">
        <w:t>Chileshe</w:t>
      </w:r>
      <w:proofErr w:type="spellEnd"/>
      <w:r w:rsidR="005721EA">
        <w:t xml:space="preserve"> </w:t>
      </w:r>
      <w:r>
        <w:rPr>
          <w:i/>
          <w:iCs/>
        </w:rPr>
        <w:t xml:space="preserve">et al. </w:t>
      </w:r>
      <w:r>
        <w:t>(2022), this metric is used by governmental agencies to compare the consequences of investing in currencies of countries using different exchange rates. However, the PPP is not a good metric to compare exchange rates, as there are factors such as Transport Costs, Tax Differences, Government Intervention, Non-Traded Services, and Market Competition that affect the prices of goods differently in different countries (</w:t>
      </w:r>
      <w:proofErr w:type="spellStart"/>
      <w:r w:rsidRPr="009A0863">
        <w:t>Chileshe</w:t>
      </w:r>
      <w:r>
        <w:rPr>
          <w:i/>
          <w:iCs/>
        </w:rPr>
        <w:t>et</w:t>
      </w:r>
      <w:proofErr w:type="spellEnd"/>
      <w:r>
        <w:rPr>
          <w:i/>
          <w:iCs/>
        </w:rPr>
        <w:t xml:space="preserve"> al.</w:t>
      </w:r>
      <w:r w:rsidR="005721EA">
        <w:t>, 2022</w:t>
      </w:r>
      <w:r>
        <w:t>). This makes the PPP a subjective metric for comparison.</w:t>
      </w:r>
    </w:p>
    <w:p w14:paraId="4675355B" w14:textId="77777777" w:rsidR="009A0863" w:rsidRDefault="009A0863">
      <w:bookmarkStart w:id="3" w:name="_Toc150114439"/>
      <w:proofErr w:type="spellStart"/>
      <w:r w:rsidRPr="009A0863">
        <w:rPr>
          <w:rStyle w:val="Heading2Char"/>
          <w:i/>
          <w:iCs/>
        </w:rPr>
        <w:t>Dornbusch</w:t>
      </w:r>
      <w:proofErr w:type="spellEnd"/>
      <w:r w:rsidRPr="009A0863">
        <w:rPr>
          <w:rStyle w:val="Heading2Char"/>
          <w:i/>
          <w:iCs/>
        </w:rPr>
        <w:t xml:space="preserve"> Overshooting </w:t>
      </w:r>
      <w:r w:rsidR="005721EA" w:rsidRPr="009A0863">
        <w:rPr>
          <w:rStyle w:val="Heading2Char"/>
          <w:i/>
          <w:iCs/>
        </w:rPr>
        <w:t>Model</w:t>
      </w:r>
      <w:bookmarkEnd w:id="3"/>
      <w:r w:rsidR="005721EA">
        <w:t xml:space="preserve"> states</w:t>
      </w:r>
      <w:r>
        <w:t xml:space="preserve"> that every time a new monetary policy is introduced, a new equilibrium is achieved between prices and quantities, and owing to the “stickiness” of goods prices, a new equilibrium will be reached, which will be short-term (</w:t>
      </w:r>
      <w:proofErr w:type="spellStart"/>
      <w:r w:rsidRPr="009A0863">
        <w:t>Rüth</w:t>
      </w:r>
      <w:proofErr w:type="spellEnd"/>
      <w:r w:rsidRPr="009A0863">
        <w:t>, 2020</w:t>
      </w:r>
      <w:r>
        <w:t xml:space="preserve">). This is </w:t>
      </w:r>
      <w:r>
        <w:lastRenderedPageBreak/>
        <w:t xml:space="preserve">followed by a long-term equilibrium in the exchange market, the domestic money market, and the goods market, therefore generating an overreaction to monetary changes, which slowly dies out. This leads to </w:t>
      </w:r>
      <w:r w:rsidR="005721EA">
        <w:t>long</w:t>
      </w:r>
      <w:r>
        <w:t xml:space="preserve"> run equilibrium. This model is often used to compare exchange rate risks between different currencies, and is </w:t>
      </w:r>
      <w:r w:rsidR="005721EA">
        <w:t>accurate</w:t>
      </w:r>
      <w:r>
        <w:t>, owing to the several assumptions and logical derivatives obtained from the model.</w:t>
      </w:r>
    </w:p>
    <w:p w14:paraId="198CB06A" w14:textId="77777777" w:rsidR="008C30B6" w:rsidRDefault="008C30B6" w:rsidP="00B30DFD">
      <w:pPr>
        <w:pStyle w:val="Heading1"/>
      </w:pPr>
      <w:bookmarkStart w:id="4" w:name="_Toc150114440"/>
      <w:r>
        <w:t>Types of exchange rate risks</w:t>
      </w:r>
      <w:bookmarkEnd w:id="4"/>
    </w:p>
    <w:p w14:paraId="45588981" w14:textId="77777777" w:rsidR="00B55DAF" w:rsidRDefault="008C30B6">
      <w:r>
        <w:t>The three different types of exchange rate risks that are to be considered while making decisions regarding finances and investments of a multinational company</w:t>
      </w:r>
      <w:r w:rsidR="00143459">
        <w:t>, which are as follows:</w:t>
      </w:r>
    </w:p>
    <w:p w14:paraId="70A00023" w14:textId="77777777" w:rsidR="00143459" w:rsidRPr="005721EA" w:rsidRDefault="00143459" w:rsidP="005721EA">
      <w:pPr>
        <w:rPr>
          <w:b/>
          <w:bCs/>
        </w:rPr>
      </w:pPr>
      <w:r w:rsidRPr="005721EA">
        <w:rPr>
          <w:b/>
          <w:bCs/>
        </w:rPr>
        <w:t xml:space="preserve">Transaction risk: </w:t>
      </w:r>
      <w:r>
        <w:t xml:space="preserve">These risks refer to the foreign exchange rate risks that come around </w:t>
      </w:r>
      <w:r w:rsidR="00104AE7">
        <w:t>because of cash transactions</w:t>
      </w:r>
      <w:r w:rsidR="008D70EC">
        <w:t xml:space="preserve">. </w:t>
      </w:r>
      <w:r w:rsidR="00A23A7B" w:rsidRPr="00A23A7B">
        <w:t xml:space="preserve">Ji, Liu and Fan </w:t>
      </w:r>
      <w:r w:rsidR="00A23A7B">
        <w:t>(</w:t>
      </w:r>
      <w:r w:rsidR="00A23A7B" w:rsidRPr="00A23A7B">
        <w:t>2019</w:t>
      </w:r>
      <w:r w:rsidR="00A23A7B">
        <w:t>) state that w</w:t>
      </w:r>
      <w:r w:rsidR="008D70EC">
        <w:t>henever a transaction is carried out in the form of denomination of any kind, it will bring about the possibility of direct transaction exchange rate risk to the business carrying out the transaction.</w:t>
      </w:r>
      <w:r w:rsidR="009D7CD2">
        <w:t xml:space="preserve"> Transactional risks span over a very small period.</w:t>
      </w:r>
    </w:p>
    <w:p w14:paraId="45323C98" w14:textId="77777777" w:rsidR="007503E4" w:rsidRPr="005721EA" w:rsidRDefault="008D70EC" w:rsidP="005721EA">
      <w:pPr>
        <w:rPr>
          <w:b/>
          <w:bCs/>
        </w:rPr>
      </w:pPr>
      <w:r w:rsidRPr="005721EA">
        <w:rPr>
          <w:b/>
          <w:bCs/>
        </w:rPr>
        <w:t xml:space="preserve">Translation risk: </w:t>
      </w:r>
      <w:r>
        <w:t>Translation risk to an MNC is measured by calculating the value of net assets being exposed to foreign exchange rates. Whenever income statements of a business are translated, the average exchange rate over a period is utilized very often</w:t>
      </w:r>
      <w:r w:rsidR="00A23A7B">
        <w:t xml:space="preserve"> (</w:t>
      </w:r>
      <w:r w:rsidR="00A23A7B" w:rsidRPr="00A23A7B">
        <w:t>Ji</w:t>
      </w:r>
      <w:r w:rsidR="00A23A7B">
        <w:t xml:space="preserve">, </w:t>
      </w:r>
      <w:r w:rsidR="00A23A7B" w:rsidRPr="00A23A7B">
        <w:t>Liu and Fan</w:t>
      </w:r>
      <w:r w:rsidR="00A23A7B">
        <w:t xml:space="preserve">, </w:t>
      </w:r>
      <w:r w:rsidR="00A23A7B" w:rsidRPr="00A23A7B">
        <w:t>2019</w:t>
      </w:r>
      <w:r w:rsidR="00A23A7B">
        <w:t>). However,</w:t>
      </w:r>
      <w:r>
        <w:t xml:space="preserve"> the balance sheet exposures of the business in foreign markets are translated at the current exchange rate that prevails during consolidation.</w:t>
      </w:r>
    </w:p>
    <w:p w14:paraId="334B730E" w14:textId="77777777" w:rsidR="008D70EC" w:rsidRPr="005721EA" w:rsidRDefault="008D70EC" w:rsidP="005721EA">
      <w:pPr>
        <w:rPr>
          <w:b/>
          <w:bCs/>
        </w:rPr>
      </w:pPr>
      <w:r w:rsidRPr="005721EA">
        <w:rPr>
          <w:b/>
          <w:bCs/>
        </w:rPr>
        <w:t>Economic risk:</w:t>
      </w:r>
      <w:r>
        <w:t xml:space="preserve"> It refers to the risk posed to the present value of cash flows that will be operable in future </w:t>
      </w:r>
      <w:r w:rsidR="009D7CD2">
        <w:t>because of</w:t>
      </w:r>
      <w:r>
        <w:t xml:space="preserve"> exchange rate fluctuations. </w:t>
      </w:r>
      <w:r w:rsidR="00A23A7B" w:rsidRPr="00A23A7B">
        <w:t xml:space="preserve">Ji, Liu and Fan </w:t>
      </w:r>
      <w:r w:rsidR="00A23A7B">
        <w:t>(</w:t>
      </w:r>
      <w:r w:rsidR="00A23A7B" w:rsidRPr="00A23A7B">
        <w:t>2019</w:t>
      </w:r>
      <w:r w:rsidR="00A23A7B">
        <w:t>) also state</w:t>
      </w:r>
      <w:r w:rsidR="005721EA">
        <w:t>d</w:t>
      </w:r>
      <w:r w:rsidR="00A23A7B">
        <w:t xml:space="preserve"> that t</w:t>
      </w:r>
      <w:r w:rsidR="00887211">
        <w:t xml:space="preserve">hese risks concern the effects posed by the effect of exchange rates on the revenues being generated by an MNC. It is important for businesses operating in foreign lands to be able to identify different currency risks, </w:t>
      </w:r>
      <w:r w:rsidR="009D7CD2">
        <w:t>to</w:t>
      </w:r>
      <w:r w:rsidR="00887211">
        <w:t xml:space="preserve"> develop a strategy for managing currency risk.</w:t>
      </w:r>
    </w:p>
    <w:p w14:paraId="70899FC6" w14:textId="77777777" w:rsidR="00DA27DE" w:rsidRDefault="007503E4" w:rsidP="007D7D64">
      <w:pPr>
        <w:pStyle w:val="Heading1"/>
      </w:pPr>
      <w:bookmarkStart w:id="5" w:name="_Toc150114441"/>
      <w:r>
        <w:t>Strategies for</w:t>
      </w:r>
      <w:r w:rsidR="00DA27DE">
        <w:t xml:space="preserve"> managing </w:t>
      </w:r>
      <w:r>
        <w:t xml:space="preserve">foreign </w:t>
      </w:r>
      <w:r w:rsidR="00DA27DE">
        <w:t>exchange rate risks</w:t>
      </w:r>
      <w:bookmarkEnd w:id="5"/>
    </w:p>
    <w:p w14:paraId="6AC357E7" w14:textId="77777777" w:rsidR="00DA27DE" w:rsidRDefault="00DA27DE" w:rsidP="00DA27DE">
      <w:r>
        <w:t xml:space="preserve">Once the types of exchange risks are identified for an MNC, the financial department of the company must </w:t>
      </w:r>
      <w:r w:rsidR="009D7CD2">
        <w:t>decide</w:t>
      </w:r>
      <w:r>
        <w:t xml:space="preserve"> regarding the need for hedging these risks, some of which can be explained as follows:</w:t>
      </w:r>
    </w:p>
    <w:p w14:paraId="63102530" w14:textId="77777777" w:rsidR="007503E4" w:rsidRPr="005721EA" w:rsidRDefault="007503E4" w:rsidP="00B30DFD">
      <w:pPr>
        <w:rPr>
          <w:b/>
          <w:bCs/>
        </w:rPr>
      </w:pPr>
      <w:bookmarkStart w:id="6" w:name="_Toc150114442"/>
      <w:r w:rsidRPr="00B30DFD">
        <w:rPr>
          <w:b/>
        </w:rPr>
        <w:t>Risk Avoidance</w:t>
      </w:r>
      <w:bookmarkEnd w:id="6"/>
      <w:r w:rsidRPr="00B30DFD">
        <w:rPr>
          <w:b/>
        </w:rPr>
        <w:t>:</w:t>
      </w:r>
      <w:r>
        <w:t xml:space="preserve"> This is the easiest, and the most common way of hedging against exchange rate risks. However, it does not completely mitigate the risk, but rather pass it on to the company’s supplier, or the customers. In the views of </w:t>
      </w:r>
      <w:proofErr w:type="spellStart"/>
      <w:r w:rsidR="00F81D05">
        <w:t>Seabrooke</w:t>
      </w:r>
      <w:proofErr w:type="spellEnd"/>
      <w:r w:rsidR="00F81D05">
        <w:t xml:space="preserve"> </w:t>
      </w:r>
      <w:r w:rsidRPr="00A23A7B">
        <w:t xml:space="preserve">and </w:t>
      </w:r>
      <w:proofErr w:type="spellStart"/>
      <w:r w:rsidRPr="00A23A7B">
        <w:t>Tsingou</w:t>
      </w:r>
      <w:proofErr w:type="spellEnd"/>
      <w:r w:rsidR="00F81D05">
        <w:t xml:space="preserve"> </w:t>
      </w:r>
      <w:r>
        <w:t>(</w:t>
      </w:r>
      <w:r w:rsidRPr="00A23A7B">
        <w:t>2021</w:t>
      </w:r>
      <w:r>
        <w:t xml:space="preserve">), this brings a lot of risk </w:t>
      </w:r>
      <w:r>
        <w:lastRenderedPageBreak/>
        <w:t xml:space="preserve">for the parties involved, except the company itself, </w:t>
      </w:r>
      <w:r w:rsidR="006516EC">
        <w:t>it is</w:t>
      </w:r>
      <w:r>
        <w:t xml:space="preserve"> not trusted as much as other strategies, and cannot be adopted within competitive environments.</w:t>
      </w:r>
    </w:p>
    <w:p w14:paraId="7D6F8E55" w14:textId="77777777" w:rsidR="00CD5125" w:rsidRPr="005721EA" w:rsidRDefault="007503E4" w:rsidP="00B30DFD">
      <w:pPr>
        <w:rPr>
          <w:b/>
          <w:bCs/>
        </w:rPr>
      </w:pPr>
      <w:bookmarkStart w:id="7" w:name="_Toc150114443"/>
      <w:r w:rsidRPr="00B30DFD">
        <w:rPr>
          <w:b/>
        </w:rPr>
        <w:t xml:space="preserve">Risk </w:t>
      </w:r>
      <w:r w:rsidR="005721EA" w:rsidRPr="00B30DFD">
        <w:rPr>
          <w:b/>
        </w:rPr>
        <w:t>reduction:</w:t>
      </w:r>
      <w:bookmarkEnd w:id="7"/>
      <w:r w:rsidR="005721EA">
        <w:t xml:space="preserve"> As</w:t>
      </w:r>
      <w:r w:rsidR="00A23A7B">
        <w:t xml:space="preserve"> stated by </w:t>
      </w:r>
      <w:proofErr w:type="spellStart"/>
      <w:r w:rsidR="00A23A7B" w:rsidRPr="001413B5">
        <w:t>Avdjiev</w:t>
      </w:r>
      <w:proofErr w:type="spellEnd"/>
      <w:r w:rsidR="00F81D05">
        <w:t xml:space="preserve"> </w:t>
      </w:r>
      <w:r w:rsidR="00A23A7B" w:rsidRPr="005721EA">
        <w:rPr>
          <w:i/>
          <w:iCs/>
        </w:rPr>
        <w:t xml:space="preserve">et al. </w:t>
      </w:r>
      <w:r w:rsidR="00A23A7B">
        <w:t xml:space="preserve">(2019), </w:t>
      </w:r>
      <w:r w:rsidR="00A23A7B" w:rsidRPr="005721EA">
        <w:rPr>
          <w:b/>
          <w:bCs/>
          <w:i/>
          <w:iCs/>
        </w:rPr>
        <w:t>t</w:t>
      </w:r>
      <w:r w:rsidR="00DA27DE" w:rsidRPr="005721EA">
        <w:rPr>
          <w:b/>
          <w:bCs/>
          <w:i/>
          <w:iCs/>
        </w:rPr>
        <w:t>ransaction risks</w:t>
      </w:r>
      <w:r w:rsidR="00DA27DE">
        <w:t xml:space="preserve"> are hedged </w:t>
      </w:r>
      <w:r w:rsidR="009D7CD2">
        <w:t>to</w:t>
      </w:r>
      <w:r w:rsidR="00DA27DE">
        <w:t xml:space="preserve"> protect the earnings of a company. </w:t>
      </w:r>
      <w:r w:rsidR="00CD5125">
        <w:t xml:space="preserve">There is a tactical way of doing the same, and is opted by most MNCs, as it allows them to hedge the transactional currency risk related to transactions that are payable, or short-term receivables. On the other hand, </w:t>
      </w:r>
      <w:r w:rsidR="00CD5125" w:rsidRPr="005721EA">
        <w:rPr>
          <w:b/>
          <w:bCs/>
          <w:i/>
          <w:iCs/>
        </w:rPr>
        <w:t>strategic hedging</w:t>
      </w:r>
      <w:r w:rsidR="00CD5125">
        <w:t xml:space="preserve"> is used to prevent risks related to transactions that span over a longer </w:t>
      </w:r>
      <w:r w:rsidR="009D7CD2">
        <w:t>period</w:t>
      </w:r>
      <w:r w:rsidR="00CD5125">
        <w:t xml:space="preserve">. In addition to these two, passive hedging is another option, in which currency expectations are not accounted for. </w:t>
      </w:r>
      <w:r w:rsidR="00A23A7B" w:rsidRPr="001413B5">
        <w:t xml:space="preserve">Yıldırım, </w:t>
      </w:r>
      <w:proofErr w:type="spellStart"/>
      <w:r w:rsidR="00A23A7B" w:rsidRPr="001413B5">
        <w:t>Erdoğan</w:t>
      </w:r>
      <w:proofErr w:type="spellEnd"/>
      <w:r w:rsidR="00A23A7B" w:rsidRPr="001413B5">
        <w:t xml:space="preserve"> and Tarı</w:t>
      </w:r>
      <w:r w:rsidR="00F81D05">
        <w:t xml:space="preserve"> </w:t>
      </w:r>
      <w:r w:rsidR="00A23A7B">
        <w:t>(</w:t>
      </w:r>
      <w:r w:rsidR="00A23A7B" w:rsidRPr="001413B5">
        <w:t>2022</w:t>
      </w:r>
      <w:r w:rsidR="00A23A7B">
        <w:t>) further state that</w:t>
      </w:r>
      <w:r w:rsidR="00CD5125">
        <w:t xml:space="preserve"> the same hedging structure is utilized over several hedging periods regularly.</w:t>
      </w:r>
    </w:p>
    <w:p w14:paraId="3BB4424C" w14:textId="77777777" w:rsidR="007503E4" w:rsidRDefault="00CD5125" w:rsidP="005721EA">
      <w:r w:rsidRPr="00CD5125">
        <w:t xml:space="preserve">In case of </w:t>
      </w:r>
      <w:r w:rsidRPr="005721EA">
        <w:rPr>
          <w:b/>
          <w:bCs/>
          <w:i/>
          <w:iCs/>
        </w:rPr>
        <w:t>translation risks</w:t>
      </w:r>
      <w:r w:rsidRPr="00CD5125">
        <w:t>, the risks are not hedged frequen</w:t>
      </w:r>
      <w:r>
        <w:t xml:space="preserve">tly, and are </w:t>
      </w:r>
      <w:r w:rsidR="00DD3D99">
        <w:t xml:space="preserve">hedged in a non-systematic manner. </w:t>
      </w:r>
      <w:proofErr w:type="spellStart"/>
      <w:r w:rsidR="00A23A7B" w:rsidRPr="001413B5">
        <w:t>Singhal</w:t>
      </w:r>
      <w:proofErr w:type="spellEnd"/>
      <w:r w:rsidR="00A23A7B" w:rsidRPr="001413B5">
        <w:t xml:space="preserve">, </w:t>
      </w:r>
      <w:proofErr w:type="spellStart"/>
      <w:r w:rsidR="00A23A7B" w:rsidRPr="001413B5">
        <w:t>Choudhary</w:t>
      </w:r>
      <w:proofErr w:type="spellEnd"/>
      <w:r w:rsidR="00A23A7B" w:rsidRPr="001413B5">
        <w:t xml:space="preserve"> and </w:t>
      </w:r>
      <w:proofErr w:type="spellStart"/>
      <w:r w:rsidR="00A23A7B" w:rsidRPr="001413B5">
        <w:t>Biswal</w:t>
      </w:r>
      <w:proofErr w:type="spellEnd"/>
      <w:r w:rsidR="00A23A7B" w:rsidRPr="001413B5">
        <w:t xml:space="preserve"> </w:t>
      </w:r>
      <w:r w:rsidR="00A23A7B">
        <w:t>(</w:t>
      </w:r>
      <w:r w:rsidR="00A23A7B" w:rsidRPr="001413B5">
        <w:t>2019</w:t>
      </w:r>
      <w:r w:rsidR="00A23A7B">
        <w:t>) further state that t</w:t>
      </w:r>
      <w:r w:rsidR="00DD3D99">
        <w:t>his kind of hedging is not prioritized over the former one.</w:t>
      </w:r>
    </w:p>
    <w:p w14:paraId="0D603B59" w14:textId="77777777" w:rsidR="00DD3D99" w:rsidRPr="007503E4" w:rsidRDefault="007503E4" w:rsidP="005721EA">
      <w:r w:rsidRPr="005721EA">
        <w:rPr>
          <w:b/>
          <w:bCs/>
          <w:i/>
          <w:iCs/>
        </w:rPr>
        <w:t>Forward contracts</w:t>
      </w:r>
      <w:r>
        <w:t xml:space="preserve"> are </w:t>
      </w:r>
      <w:r w:rsidR="00DD3D99">
        <w:t>agreement that allow companies to protect them</w:t>
      </w:r>
      <w:r w:rsidR="006516EC">
        <w:t>selves from sudden fluctuations</w:t>
      </w:r>
      <w:r w:rsidR="00DD3D99">
        <w:t xml:space="preserve"> by signing a contract with third-party companies that are reputable, and can provide insurance from the risks that foreign investments </w:t>
      </w:r>
      <w:r w:rsidR="005721EA">
        <w:t>should be</w:t>
      </w:r>
      <w:r w:rsidR="00DD3D99">
        <w:t xml:space="preserve"> subjected to</w:t>
      </w:r>
      <w:r w:rsidR="00A23A7B">
        <w:t xml:space="preserve"> (</w:t>
      </w:r>
      <w:r w:rsidR="00A23A7B" w:rsidRPr="001413B5">
        <w:t xml:space="preserve">Shin, and </w:t>
      </w:r>
      <w:proofErr w:type="spellStart"/>
      <w:r w:rsidR="00A23A7B" w:rsidRPr="001413B5">
        <w:t>Pyo</w:t>
      </w:r>
      <w:proofErr w:type="spellEnd"/>
      <w:r w:rsidR="00A23A7B">
        <w:t xml:space="preserve">, </w:t>
      </w:r>
      <w:r w:rsidR="00A23A7B" w:rsidRPr="001413B5">
        <w:t>2019</w:t>
      </w:r>
      <w:r w:rsidR="00A23A7B">
        <w:t>)</w:t>
      </w:r>
      <w:r w:rsidR="00DD3D99">
        <w:t xml:space="preserve">. </w:t>
      </w:r>
      <w:r w:rsidR="009D7CD2">
        <w:t>To</w:t>
      </w:r>
      <w:r w:rsidR="00DD3D99">
        <w:t xml:space="preserve"> sign a forward contract, it is required for the company to calculate the profits obtained by signing the contract, as well as the cost of signing the contract. The former should always outweigh the latter significantly.</w:t>
      </w:r>
    </w:p>
    <w:p w14:paraId="3FD181B9" w14:textId="77777777" w:rsidR="007503E4" w:rsidRPr="005721EA" w:rsidRDefault="007503E4" w:rsidP="005721EA">
      <w:pPr>
        <w:rPr>
          <w:b/>
          <w:bCs/>
        </w:rPr>
      </w:pPr>
      <w:r w:rsidRPr="005721EA">
        <w:rPr>
          <w:b/>
          <w:bCs/>
        </w:rPr>
        <w:t>Strategic Risk Management</w:t>
      </w:r>
      <w:r w:rsidR="001E59F6" w:rsidRPr="005721EA">
        <w:rPr>
          <w:b/>
          <w:bCs/>
        </w:rPr>
        <w:t xml:space="preserve">: </w:t>
      </w:r>
      <w:r w:rsidR="00A23A7B">
        <w:t xml:space="preserve">As stated by </w:t>
      </w:r>
      <w:proofErr w:type="spellStart"/>
      <w:r w:rsidR="00A23A7B" w:rsidRPr="001413B5">
        <w:t>Dharmiyanti</w:t>
      </w:r>
      <w:proofErr w:type="spellEnd"/>
      <w:r w:rsidR="00A23A7B" w:rsidRPr="001413B5">
        <w:t xml:space="preserve"> and </w:t>
      </w:r>
      <w:proofErr w:type="spellStart"/>
      <w:r w:rsidR="005721EA" w:rsidRPr="001413B5">
        <w:t>Darmayanti</w:t>
      </w:r>
      <w:proofErr w:type="spellEnd"/>
      <w:r w:rsidR="005721EA">
        <w:t xml:space="preserve"> (</w:t>
      </w:r>
      <w:r w:rsidR="00A23A7B" w:rsidRPr="001413B5">
        <w:t>2020</w:t>
      </w:r>
      <w:r w:rsidR="00A23A7B">
        <w:t>), c</w:t>
      </w:r>
      <w:r w:rsidR="001E59F6">
        <w:t xml:space="preserve">ompanies acquire </w:t>
      </w:r>
      <w:r w:rsidR="00F81D05">
        <w:t>an idea</w:t>
      </w:r>
      <w:r w:rsidR="001E59F6">
        <w:t xml:space="preserve"> regarding reference rate with the help of budget exchange rates, which are decided in different ways. They are often set at the same level as PPP rates, </w:t>
      </w:r>
      <w:r w:rsidR="009D7CD2">
        <w:t>because</w:t>
      </w:r>
      <w:r w:rsidR="001E59F6">
        <w:t xml:space="preserve"> tactical hedging might be required in case the forecasts provided by the PPP model prove to be ineffective. Some companies also like to set their budget rate on the base of their sales cal</w:t>
      </w:r>
      <w:r w:rsidR="00EB51CC">
        <w:t>endar</w:t>
      </w:r>
      <w:r w:rsidR="00A23A7B">
        <w:t xml:space="preserve"> (</w:t>
      </w:r>
      <w:r w:rsidR="00A23A7B" w:rsidRPr="001413B5">
        <w:t>He, Liu and Zhang, 2021</w:t>
      </w:r>
      <w:r w:rsidR="00A23A7B">
        <w:t>)</w:t>
      </w:r>
      <w:r w:rsidR="00EB51CC">
        <w:t xml:space="preserve">. </w:t>
      </w:r>
    </w:p>
    <w:p w14:paraId="636A7F7B" w14:textId="77777777" w:rsidR="00DA4582" w:rsidRPr="005721EA" w:rsidRDefault="007503E4" w:rsidP="005721EA">
      <w:pPr>
        <w:rPr>
          <w:b/>
          <w:bCs/>
        </w:rPr>
      </w:pPr>
      <w:r w:rsidRPr="005721EA">
        <w:rPr>
          <w:b/>
          <w:bCs/>
        </w:rPr>
        <w:t>Risk Transfer:</w:t>
      </w:r>
      <w:r>
        <w:t xml:space="preserve"> According to </w:t>
      </w:r>
      <w:proofErr w:type="spellStart"/>
      <w:r w:rsidR="00A23A7B" w:rsidRPr="001413B5">
        <w:t>Sikarwar</w:t>
      </w:r>
      <w:proofErr w:type="spellEnd"/>
      <w:r w:rsidR="00A23A7B" w:rsidRPr="001413B5">
        <w:t xml:space="preserve"> </w:t>
      </w:r>
      <w:r w:rsidR="00A23A7B">
        <w:t>(</w:t>
      </w:r>
      <w:r w:rsidR="00A23A7B" w:rsidRPr="001413B5">
        <w:t>2021</w:t>
      </w:r>
      <w:r w:rsidR="00A23A7B">
        <w:t>)</w:t>
      </w:r>
      <w:r w:rsidR="00911579">
        <w:t>,</w:t>
      </w:r>
      <w:r>
        <w:t xml:space="preserve"> some companies like to transfer their risks to third-party </w:t>
      </w:r>
      <w:r w:rsidR="00F81D05">
        <w:t>insurers that</w:t>
      </w:r>
      <w:r>
        <w:t xml:space="preserve"> </w:t>
      </w:r>
      <w:r w:rsidR="00911579">
        <w:t xml:space="preserve">share the risk with these companies. </w:t>
      </w:r>
      <w:r w:rsidR="00EC20BC">
        <w:t xml:space="preserve">In case the MNC incurs a loss because of foreign exchange rate risk, the insurer will bear the loss with the company, and the extent to which it will do so, is decided by the premiums paid by the company. </w:t>
      </w:r>
      <w:r w:rsidR="00911579">
        <w:t xml:space="preserve">For </w:t>
      </w:r>
      <w:r w:rsidR="00F81D05">
        <w:t>third parties</w:t>
      </w:r>
      <w:r w:rsidR="00911579">
        <w:t xml:space="preserve"> to share their risks, the MNC that needs to be insured is required to pay certain premium </w:t>
      </w:r>
      <w:r w:rsidR="00F81D05">
        <w:t>amount that</w:t>
      </w:r>
      <w:r w:rsidR="00911579">
        <w:t xml:space="preserve"> will enable the insurer to take the risk. The insurer then handles the foreign exchange rate risks with the help of professionals </w:t>
      </w:r>
      <w:r w:rsidR="00A23A7B" w:rsidRPr="005721EA">
        <w:rPr>
          <w:lang w:val="en-GB"/>
        </w:rPr>
        <w:t>(</w:t>
      </w:r>
      <w:proofErr w:type="spellStart"/>
      <w:r w:rsidR="00A23A7B" w:rsidRPr="001413B5">
        <w:t>Ciorciari</w:t>
      </w:r>
      <w:proofErr w:type="spellEnd"/>
      <w:r w:rsidR="00A23A7B" w:rsidRPr="001413B5">
        <w:t>, 2019</w:t>
      </w:r>
      <w:r w:rsidR="00A23A7B">
        <w:t>)</w:t>
      </w:r>
      <w:r w:rsidR="007D5006" w:rsidRPr="005721EA">
        <w:rPr>
          <w:lang w:val="en-GB"/>
        </w:rPr>
        <w:t>.</w:t>
      </w:r>
    </w:p>
    <w:p w14:paraId="07A97365" w14:textId="77777777" w:rsidR="007D5006" w:rsidRPr="005721EA" w:rsidRDefault="00EC20BC" w:rsidP="005721EA">
      <w:pPr>
        <w:rPr>
          <w:b/>
          <w:bCs/>
        </w:rPr>
      </w:pPr>
      <w:r w:rsidRPr="005721EA">
        <w:rPr>
          <w:b/>
          <w:bCs/>
        </w:rPr>
        <w:lastRenderedPageBreak/>
        <w:t xml:space="preserve">Risk acceptance: </w:t>
      </w:r>
      <w:r w:rsidRPr="005721EA">
        <w:rPr>
          <w:bCs/>
        </w:rPr>
        <w:t>According to</w:t>
      </w:r>
      <w:r w:rsidRPr="005721EA">
        <w:rPr>
          <w:b/>
          <w:bCs/>
        </w:rPr>
        <w:t xml:space="preserve"> </w:t>
      </w:r>
      <w:proofErr w:type="spellStart"/>
      <w:r w:rsidR="00A23A7B" w:rsidRPr="001413B5">
        <w:t>Fani</w:t>
      </w:r>
      <w:proofErr w:type="spellEnd"/>
      <w:r w:rsidR="005721EA">
        <w:t xml:space="preserve"> </w:t>
      </w:r>
      <w:r w:rsidR="00A23A7B" w:rsidRPr="005721EA">
        <w:rPr>
          <w:i/>
          <w:iCs/>
        </w:rPr>
        <w:t xml:space="preserve">et al. </w:t>
      </w:r>
      <w:r w:rsidR="00A23A7B">
        <w:t>(2022)</w:t>
      </w:r>
      <w:r w:rsidR="005721EA">
        <w:t>, companies</w:t>
      </w:r>
      <w:r>
        <w:t xml:space="preserve"> often accept risks related to long-term assets, as the fluctuations in their rates are not that sudd</w:t>
      </w:r>
      <w:r w:rsidR="00673C4F">
        <w:t>en in nature. Therefore, these risks are easier to manage, and can be handled by the company with relative ease.</w:t>
      </w:r>
    </w:p>
    <w:p w14:paraId="0ABC97C7" w14:textId="77777777" w:rsidR="007D5006" w:rsidRDefault="007D5006" w:rsidP="007D7D64">
      <w:pPr>
        <w:pStyle w:val="Heading1"/>
      </w:pPr>
      <w:bookmarkStart w:id="8" w:name="_Toc150114444"/>
      <w:r>
        <w:t>Conclusion</w:t>
      </w:r>
      <w:bookmarkEnd w:id="8"/>
    </w:p>
    <w:p w14:paraId="0017559C" w14:textId="77777777" w:rsidR="001413B5" w:rsidRDefault="007D5006" w:rsidP="007D5006">
      <w:r>
        <w:t xml:space="preserve">It can be concluded that the risks posed to MNCs because of exchange rate fluctuations are very prominent, and are of various types. The three prominent ones are Transactional risks, Transformational risks, and Economic risks. It is important for a company operating on foreign lands to be able to handle these different types of risks, </w:t>
      </w:r>
      <w:r w:rsidR="001413B5">
        <w:t xml:space="preserve">as each risk is very capable of causing losses to the company. </w:t>
      </w:r>
      <w:r w:rsidR="005721EA">
        <w:t>Several strategies can be adopted</w:t>
      </w:r>
      <w:r w:rsidR="001413B5">
        <w:t xml:space="preserve"> </w:t>
      </w:r>
      <w:r w:rsidR="009D7CD2">
        <w:t>for</w:t>
      </w:r>
      <w:r w:rsidR="001413B5">
        <w:t xml:space="preserve"> businesses to avoid these risks, such as hedging, forward contracts, generation of invoices in local currencies, budget rate determination for hedging, </w:t>
      </w:r>
      <w:r w:rsidR="005721EA">
        <w:t xml:space="preserve">and </w:t>
      </w:r>
      <w:r w:rsidR="001413B5">
        <w:t>poli</w:t>
      </w:r>
      <w:r w:rsidR="006516EC">
        <w:t>tical risk insurance through 10</w:t>
      </w:r>
      <w:r w:rsidR="001413B5">
        <w:t>K annual filings and establishment of entities to strategize how to avoid these losses. However, it is important for companies to assimilate information regarding the kinds of risks they are vulnerable to, before strategizing a method to manage foreign exchange rate risks. Companies must analyze the exposure of its assets, or cash flows to exchange rates fluctuations, and assess its impact, before they choose to go with a certain hedging strategy or an instrument.</w:t>
      </w:r>
    </w:p>
    <w:p w14:paraId="1A3BEA83" w14:textId="77777777" w:rsidR="001413B5" w:rsidRDefault="001413B5">
      <w:pPr>
        <w:spacing w:line="259" w:lineRule="auto"/>
        <w:jc w:val="left"/>
      </w:pPr>
      <w:r>
        <w:br w:type="page"/>
      </w:r>
    </w:p>
    <w:p w14:paraId="07A056D9" w14:textId="77777777" w:rsidR="001413B5" w:rsidRDefault="001413B5" w:rsidP="007D7D64">
      <w:pPr>
        <w:pStyle w:val="Heading1"/>
      </w:pPr>
      <w:bookmarkStart w:id="9" w:name="_Toc150114445"/>
      <w:r>
        <w:lastRenderedPageBreak/>
        <w:t>References</w:t>
      </w:r>
      <w:bookmarkEnd w:id="9"/>
    </w:p>
    <w:p w14:paraId="2D3066E5" w14:textId="77777777" w:rsidR="007D7D64" w:rsidRDefault="007D7D64" w:rsidP="007D5006">
      <w:proofErr w:type="spellStart"/>
      <w:r w:rsidRPr="001413B5">
        <w:t>Avdjiev</w:t>
      </w:r>
      <w:proofErr w:type="spellEnd"/>
      <w:r w:rsidRPr="001413B5">
        <w:t xml:space="preserve">, S., Bruno, V., Koch, C. and Shin, H.S., </w:t>
      </w:r>
      <w:r>
        <w:t>(</w:t>
      </w:r>
      <w:r w:rsidRPr="001413B5">
        <w:t>2019</w:t>
      </w:r>
      <w:r>
        <w:t>)</w:t>
      </w:r>
      <w:r w:rsidRPr="001413B5">
        <w:t>. The dollar exchange rate as a global risk factor: evidence from investment. </w:t>
      </w:r>
      <w:r w:rsidRPr="001413B5">
        <w:rPr>
          <w:i/>
          <w:iCs/>
        </w:rPr>
        <w:t>IMF Economic Review</w:t>
      </w:r>
      <w:r w:rsidRPr="001413B5">
        <w:t>, </w:t>
      </w:r>
      <w:r w:rsidRPr="001413B5">
        <w:rPr>
          <w:i/>
          <w:iCs/>
        </w:rPr>
        <w:t>67</w:t>
      </w:r>
      <w:r w:rsidRPr="001413B5">
        <w:t>, pp.151-173.</w:t>
      </w:r>
    </w:p>
    <w:p w14:paraId="34E818FB" w14:textId="77777777" w:rsidR="007D7D64" w:rsidRDefault="007D7D64" w:rsidP="007D5006">
      <w:proofErr w:type="spellStart"/>
      <w:r w:rsidRPr="001413B5">
        <w:t>Chernov</w:t>
      </w:r>
      <w:proofErr w:type="spellEnd"/>
      <w:r w:rsidRPr="001413B5">
        <w:t xml:space="preserve">, M., </w:t>
      </w:r>
      <w:proofErr w:type="spellStart"/>
      <w:r w:rsidRPr="001413B5">
        <w:t>Creal</w:t>
      </w:r>
      <w:proofErr w:type="spellEnd"/>
      <w:r w:rsidRPr="001413B5">
        <w:t xml:space="preserve">, D. and </w:t>
      </w:r>
      <w:proofErr w:type="spellStart"/>
      <w:r w:rsidRPr="001413B5">
        <w:t>Hördahl</w:t>
      </w:r>
      <w:proofErr w:type="spellEnd"/>
      <w:r w:rsidRPr="001413B5">
        <w:t xml:space="preserve">, P., </w:t>
      </w:r>
      <w:r>
        <w:t>(</w:t>
      </w:r>
      <w:r w:rsidRPr="001413B5">
        <w:t>2023</w:t>
      </w:r>
      <w:r>
        <w:t>)</w:t>
      </w:r>
      <w:r w:rsidRPr="001413B5">
        <w:t>. Sovereign credit and exchange rate risks: evidence from Asia-Pacific local currency bonds. </w:t>
      </w:r>
      <w:r w:rsidRPr="001413B5">
        <w:rPr>
          <w:i/>
          <w:iCs/>
        </w:rPr>
        <w:t>Journal of International Economics</w:t>
      </w:r>
      <w:r w:rsidRPr="001413B5">
        <w:t>, </w:t>
      </w:r>
      <w:r w:rsidRPr="001413B5">
        <w:rPr>
          <w:i/>
          <w:iCs/>
        </w:rPr>
        <w:t>140</w:t>
      </w:r>
      <w:r w:rsidRPr="001413B5">
        <w:t>, p.103692.</w:t>
      </w:r>
    </w:p>
    <w:p w14:paraId="471328EA" w14:textId="77777777" w:rsidR="007D7D64" w:rsidRDefault="007D7D64" w:rsidP="007D5006">
      <w:proofErr w:type="spellStart"/>
      <w:r w:rsidRPr="001413B5">
        <w:t>Ciorciari</w:t>
      </w:r>
      <w:proofErr w:type="spellEnd"/>
      <w:r w:rsidRPr="001413B5">
        <w:t xml:space="preserve">, J.D., </w:t>
      </w:r>
      <w:r>
        <w:t>(</w:t>
      </w:r>
      <w:r w:rsidRPr="001413B5">
        <w:t>2019</w:t>
      </w:r>
      <w:r>
        <w:t>)</w:t>
      </w:r>
      <w:r w:rsidRPr="001413B5">
        <w:t>. The variable effectiveness of hedging strategies. </w:t>
      </w:r>
      <w:r w:rsidRPr="001413B5">
        <w:rPr>
          <w:i/>
          <w:iCs/>
        </w:rPr>
        <w:t>International Relations of the Asia-Pacific</w:t>
      </w:r>
      <w:r w:rsidRPr="001413B5">
        <w:t>, </w:t>
      </w:r>
      <w:r w:rsidRPr="001413B5">
        <w:rPr>
          <w:i/>
          <w:iCs/>
        </w:rPr>
        <w:t>19</w:t>
      </w:r>
      <w:r w:rsidRPr="001413B5">
        <w:t>(3), pp.523-555.</w:t>
      </w:r>
    </w:p>
    <w:p w14:paraId="45158564" w14:textId="77777777" w:rsidR="007D7D64" w:rsidRDefault="007D7D64" w:rsidP="007D5006">
      <w:proofErr w:type="spellStart"/>
      <w:r w:rsidRPr="001413B5">
        <w:t>Dharmiyanti</w:t>
      </w:r>
      <w:proofErr w:type="spellEnd"/>
      <w:r w:rsidRPr="001413B5">
        <w:t xml:space="preserve">, N.M.D. and </w:t>
      </w:r>
      <w:proofErr w:type="spellStart"/>
      <w:r w:rsidRPr="001413B5">
        <w:t>Darmayanti</w:t>
      </w:r>
      <w:proofErr w:type="spellEnd"/>
      <w:r w:rsidRPr="001413B5">
        <w:t xml:space="preserve">, N.P.A., </w:t>
      </w:r>
      <w:r>
        <w:t>(</w:t>
      </w:r>
      <w:r w:rsidRPr="001413B5">
        <w:t>2020</w:t>
      </w:r>
      <w:r>
        <w:t>)</w:t>
      </w:r>
      <w:r w:rsidRPr="001413B5">
        <w:t>. The influence of liquidity, growth opportunities, and firm size on non-finance companies’ hedging policy in Indonesia Stock Exchange. </w:t>
      </w:r>
      <w:r w:rsidRPr="001413B5">
        <w:rPr>
          <w:i/>
          <w:iCs/>
        </w:rPr>
        <w:t>American Journal of Humanities and Social Sciences Research</w:t>
      </w:r>
      <w:r w:rsidRPr="001413B5">
        <w:t>, </w:t>
      </w:r>
      <w:r w:rsidRPr="001413B5">
        <w:rPr>
          <w:i/>
          <w:iCs/>
        </w:rPr>
        <w:t>4</w:t>
      </w:r>
      <w:r w:rsidRPr="001413B5">
        <w:t>(1), pp.129-135.</w:t>
      </w:r>
    </w:p>
    <w:p w14:paraId="65AB3088" w14:textId="77777777" w:rsidR="007D7D64" w:rsidRDefault="007D7D64" w:rsidP="007D5006">
      <w:proofErr w:type="spellStart"/>
      <w:r w:rsidRPr="001413B5">
        <w:t>Fani</w:t>
      </w:r>
      <w:proofErr w:type="spellEnd"/>
      <w:r w:rsidRPr="001413B5">
        <w:t xml:space="preserve">, A., </w:t>
      </w:r>
      <w:proofErr w:type="spellStart"/>
      <w:r w:rsidRPr="001413B5">
        <w:t>Naseri</w:t>
      </w:r>
      <w:proofErr w:type="spellEnd"/>
      <w:r w:rsidRPr="001413B5">
        <w:t xml:space="preserve">, H., </w:t>
      </w:r>
      <w:proofErr w:type="spellStart"/>
      <w:r w:rsidRPr="001413B5">
        <w:t>Golroo</w:t>
      </w:r>
      <w:proofErr w:type="spellEnd"/>
      <w:r w:rsidRPr="001413B5">
        <w:t xml:space="preserve">, A., </w:t>
      </w:r>
      <w:proofErr w:type="spellStart"/>
      <w:r w:rsidRPr="001413B5">
        <w:t>Mirhassani</w:t>
      </w:r>
      <w:proofErr w:type="spellEnd"/>
      <w:r w:rsidRPr="001413B5">
        <w:t xml:space="preserve">, S.A. and </w:t>
      </w:r>
      <w:proofErr w:type="spellStart"/>
      <w:r w:rsidRPr="001413B5">
        <w:t>Gandomi</w:t>
      </w:r>
      <w:proofErr w:type="spellEnd"/>
      <w:r w:rsidRPr="001413B5">
        <w:t xml:space="preserve">, A.H., </w:t>
      </w:r>
      <w:r>
        <w:t>(</w:t>
      </w:r>
      <w:r w:rsidRPr="001413B5">
        <w:t>2022</w:t>
      </w:r>
      <w:r>
        <w:t>)</w:t>
      </w:r>
      <w:r w:rsidRPr="001413B5">
        <w:t>. A progressive hedging approach for large-scale pavement maintenance scheduling under uncertainty. </w:t>
      </w:r>
      <w:r w:rsidRPr="001413B5">
        <w:rPr>
          <w:i/>
          <w:iCs/>
        </w:rPr>
        <w:t>International Journal of Pavement Engineering</w:t>
      </w:r>
      <w:r w:rsidRPr="001413B5">
        <w:t>, </w:t>
      </w:r>
      <w:r w:rsidRPr="001413B5">
        <w:rPr>
          <w:i/>
          <w:iCs/>
        </w:rPr>
        <w:t>23</w:t>
      </w:r>
      <w:r w:rsidRPr="001413B5">
        <w:t>(7), pp.2460-2472.</w:t>
      </w:r>
    </w:p>
    <w:p w14:paraId="7371BE20" w14:textId="77777777" w:rsidR="007D7D64" w:rsidRDefault="007D7D64" w:rsidP="007D5006">
      <w:r w:rsidRPr="001413B5">
        <w:t xml:space="preserve">He, Q., Liu, J. and Zhang, C., </w:t>
      </w:r>
      <w:r>
        <w:t>(</w:t>
      </w:r>
      <w:r w:rsidRPr="001413B5">
        <w:t>2021</w:t>
      </w:r>
      <w:r>
        <w:t>)</w:t>
      </w:r>
      <w:r w:rsidRPr="001413B5">
        <w:t>. Exchange rate exposure and its determinants in China. </w:t>
      </w:r>
      <w:r w:rsidRPr="001413B5">
        <w:rPr>
          <w:i/>
          <w:iCs/>
        </w:rPr>
        <w:t>China Economic Review</w:t>
      </w:r>
      <w:r w:rsidRPr="001413B5">
        <w:t>, </w:t>
      </w:r>
      <w:r w:rsidRPr="001413B5">
        <w:rPr>
          <w:i/>
          <w:iCs/>
        </w:rPr>
        <w:t>65</w:t>
      </w:r>
      <w:r w:rsidRPr="001413B5">
        <w:t>, p.101579.</w:t>
      </w:r>
    </w:p>
    <w:p w14:paraId="6D97C0F7" w14:textId="77777777" w:rsidR="007D7D64" w:rsidRPr="001413B5" w:rsidRDefault="007D7D64" w:rsidP="007D5006">
      <w:r w:rsidRPr="00A23A7B">
        <w:t xml:space="preserve">Ji, Q., Liu, B.Y. and Fan, Y., </w:t>
      </w:r>
      <w:r>
        <w:t>(</w:t>
      </w:r>
      <w:r w:rsidRPr="00A23A7B">
        <w:t>2019</w:t>
      </w:r>
      <w:r>
        <w:t>)</w:t>
      </w:r>
      <w:r w:rsidRPr="00A23A7B">
        <w:t>. Risk dependence of CoVaR and structural change between oil prices and exchange rates: A time-varying copula model. </w:t>
      </w:r>
      <w:r w:rsidRPr="00A23A7B">
        <w:rPr>
          <w:i/>
          <w:iCs/>
        </w:rPr>
        <w:t>Energy Economics</w:t>
      </w:r>
      <w:r w:rsidRPr="00A23A7B">
        <w:t>, </w:t>
      </w:r>
      <w:r w:rsidRPr="00A23A7B">
        <w:rPr>
          <w:i/>
          <w:iCs/>
        </w:rPr>
        <w:t>77</w:t>
      </w:r>
      <w:r w:rsidRPr="00A23A7B">
        <w:t>, pp.80-92.</w:t>
      </w:r>
    </w:p>
    <w:p w14:paraId="71D2C0C8" w14:textId="77777777" w:rsidR="009A0863" w:rsidRDefault="009A0863" w:rsidP="009A0863">
      <w:pPr>
        <w:spacing w:before="240"/>
      </w:pPr>
      <w:r w:rsidRPr="009A0863">
        <w:t xml:space="preserve">Le, P.T., </w:t>
      </w:r>
      <w:proofErr w:type="spellStart"/>
      <w:r w:rsidRPr="009A0863">
        <w:t>Kirytopoulos</w:t>
      </w:r>
      <w:proofErr w:type="spellEnd"/>
      <w:r w:rsidRPr="009A0863">
        <w:t xml:space="preserve">, K., </w:t>
      </w:r>
      <w:proofErr w:type="spellStart"/>
      <w:r w:rsidRPr="009A0863">
        <w:t>Chileshe</w:t>
      </w:r>
      <w:proofErr w:type="spellEnd"/>
      <w:r w:rsidRPr="009A0863">
        <w:t xml:space="preserve">, N. and </w:t>
      </w:r>
      <w:proofErr w:type="spellStart"/>
      <w:r w:rsidRPr="009A0863">
        <w:t>Rameezdeen</w:t>
      </w:r>
      <w:proofErr w:type="spellEnd"/>
      <w:r w:rsidRPr="009A0863">
        <w:t xml:space="preserve">, R., </w:t>
      </w:r>
      <w:r>
        <w:t>(</w:t>
      </w:r>
      <w:r w:rsidRPr="009A0863">
        <w:t>2022. Taxonomy of risks in PPP transportation projects: A systematic literature review. </w:t>
      </w:r>
      <w:r w:rsidRPr="009A0863">
        <w:rPr>
          <w:i/>
          <w:iCs/>
        </w:rPr>
        <w:t>International Journal of Construction Management</w:t>
      </w:r>
      <w:r w:rsidRPr="009A0863">
        <w:t>, </w:t>
      </w:r>
      <w:r w:rsidRPr="009A0863">
        <w:rPr>
          <w:i/>
          <w:iCs/>
        </w:rPr>
        <w:t>22</w:t>
      </w:r>
      <w:r w:rsidRPr="009A0863">
        <w:t>(2), pp.166-181.</w:t>
      </w:r>
    </w:p>
    <w:p w14:paraId="3D3ABF01" w14:textId="77777777" w:rsidR="009A0863" w:rsidRDefault="009A0863" w:rsidP="009A0863">
      <w:pPr>
        <w:spacing w:before="240"/>
      </w:pPr>
      <w:proofErr w:type="spellStart"/>
      <w:r w:rsidRPr="009A0863">
        <w:t>Rüth</w:t>
      </w:r>
      <w:proofErr w:type="spellEnd"/>
      <w:r w:rsidRPr="009A0863">
        <w:t xml:space="preserve">, S.K., </w:t>
      </w:r>
      <w:r>
        <w:t>(</w:t>
      </w:r>
      <w:r w:rsidRPr="009A0863">
        <w:t>2020</w:t>
      </w:r>
      <w:r>
        <w:t>)</w:t>
      </w:r>
      <w:r w:rsidRPr="009A0863">
        <w:t xml:space="preserve">. Shifts in monetary policy and exchange rate dynamics: Is </w:t>
      </w:r>
      <w:proofErr w:type="spellStart"/>
      <w:r w:rsidRPr="009A0863">
        <w:t>Dornbusch's</w:t>
      </w:r>
      <w:proofErr w:type="spellEnd"/>
      <w:r w:rsidRPr="009A0863">
        <w:t xml:space="preserve"> overshooting hypothesis intact, after all?. </w:t>
      </w:r>
      <w:r w:rsidRPr="009A0863">
        <w:rPr>
          <w:i/>
          <w:iCs/>
        </w:rPr>
        <w:t>Journal of International Economics</w:t>
      </w:r>
      <w:r w:rsidRPr="009A0863">
        <w:t>, </w:t>
      </w:r>
      <w:r w:rsidRPr="009A0863">
        <w:rPr>
          <w:i/>
          <w:iCs/>
        </w:rPr>
        <w:t>126</w:t>
      </w:r>
      <w:r w:rsidRPr="009A0863">
        <w:t>, p.103344.</w:t>
      </w:r>
    </w:p>
    <w:p w14:paraId="11BE5711" w14:textId="77777777" w:rsidR="007D7D64" w:rsidRDefault="007D7D64" w:rsidP="007D5006">
      <w:proofErr w:type="spellStart"/>
      <w:r w:rsidRPr="00A23A7B">
        <w:t>Seabrooke</w:t>
      </w:r>
      <w:proofErr w:type="spellEnd"/>
      <w:r w:rsidRPr="00A23A7B">
        <w:t xml:space="preserve">, L. and </w:t>
      </w:r>
      <w:proofErr w:type="spellStart"/>
      <w:r w:rsidRPr="00A23A7B">
        <w:t>Tsingou</w:t>
      </w:r>
      <w:proofErr w:type="spellEnd"/>
      <w:r w:rsidRPr="00A23A7B">
        <w:t xml:space="preserve">, E., </w:t>
      </w:r>
      <w:r>
        <w:t>(</w:t>
      </w:r>
      <w:r w:rsidRPr="00A23A7B">
        <w:t>2021</w:t>
      </w:r>
      <w:r>
        <w:t>)</w:t>
      </w:r>
      <w:r w:rsidRPr="00A23A7B">
        <w:t>. Revolving doors in international financial governance. </w:t>
      </w:r>
      <w:r w:rsidRPr="00A23A7B">
        <w:rPr>
          <w:i/>
          <w:iCs/>
        </w:rPr>
        <w:t>Global Networks</w:t>
      </w:r>
      <w:r w:rsidRPr="00A23A7B">
        <w:t>, </w:t>
      </w:r>
      <w:r w:rsidRPr="00A23A7B">
        <w:rPr>
          <w:i/>
          <w:iCs/>
        </w:rPr>
        <w:t>21</w:t>
      </w:r>
      <w:r w:rsidRPr="00A23A7B">
        <w:t>(2), pp.294-319.</w:t>
      </w:r>
    </w:p>
    <w:p w14:paraId="4E1EE883" w14:textId="77777777" w:rsidR="007D7D64" w:rsidRDefault="007D7D64" w:rsidP="007D5006">
      <w:r w:rsidRPr="001413B5">
        <w:t xml:space="preserve">Shin, Y.J. and </w:t>
      </w:r>
      <w:proofErr w:type="spellStart"/>
      <w:r w:rsidRPr="001413B5">
        <w:t>Pyo</w:t>
      </w:r>
      <w:proofErr w:type="spellEnd"/>
      <w:r w:rsidRPr="001413B5">
        <w:t xml:space="preserve">, U., </w:t>
      </w:r>
      <w:r>
        <w:t>(</w:t>
      </w:r>
      <w:r w:rsidRPr="001413B5">
        <w:t>2019</w:t>
      </w:r>
      <w:r>
        <w:t>)</w:t>
      </w:r>
      <w:r w:rsidRPr="001413B5">
        <w:t>. Liquidity hedging with futures and forward contracts. </w:t>
      </w:r>
      <w:r w:rsidRPr="001413B5">
        <w:rPr>
          <w:i/>
          <w:iCs/>
        </w:rPr>
        <w:t>Studies in Economics and Finance</w:t>
      </w:r>
      <w:r w:rsidRPr="001413B5">
        <w:t>, </w:t>
      </w:r>
      <w:r w:rsidRPr="001413B5">
        <w:rPr>
          <w:i/>
          <w:iCs/>
        </w:rPr>
        <w:t>36</w:t>
      </w:r>
      <w:r w:rsidRPr="001413B5">
        <w:t>(2), pp.265-290.</w:t>
      </w:r>
    </w:p>
    <w:p w14:paraId="12CAD26B" w14:textId="77777777" w:rsidR="007D7D64" w:rsidRDefault="007D7D64" w:rsidP="007D5006">
      <w:proofErr w:type="spellStart"/>
      <w:r w:rsidRPr="001413B5">
        <w:t>Sikarwar</w:t>
      </w:r>
      <w:proofErr w:type="spellEnd"/>
      <w:r w:rsidRPr="001413B5">
        <w:t xml:space="preserve">, E., </w:t>
      </w:r>
      <w:r>
        <w:t>(</w:t>
      </w:r>
      <w:r w:rsidRPr="001413B5">
        <w:t>2021</w:t>
      </w:r>
      <w:r>
        <w:t>)</w:t>
      </w:r>
      <w:r w:rsidRPr="001413B5">
        <w:t>. Time-varying foreign currency risk of world tourism industry: effects of COVID-19. </w:t>
      </w:r>
      <w:r w:rsidRPr="001413B5">
        <w:rPr>
          <w:i/>
          <w:iCs/>
        </w:rPr>
        <w:t>Current Issues in Tourism</w:t>
      </w:r>
      <w:r w:rsidRPr="001413B5">
        <w:t>, </w:t>
      </w:r>
      <w:r w:rsidRPr="001413B5">
        <w:rPr>
          <w:i/>
          <w:iCs/>
        </w:rPr>
        <w:t>24</w:t>
      </w:r>
      <w:r w:rsidRPr="001413B5">
        <w:t>(7), pp.887-891.</w:t>
      </w:r>
    </w:p>
    <w:p w14:paraId="09F70AC5" w14:textId="77777777" w:rsidR="007D7D64" w:rsidRDefault="007D7D64" w:rsidP="007D5006">
      <w:proofErr w:type="spellStart"/>
      <w:r w:rsidRPr="001413B5">
        <w:lastRenderedPageBreak/>
        <w:t>Singhal</w:t>
      </w:r>
      <w:proofErr w:type="spellEnd"/>
      <w:r w:rsidRPr="001413B5">
        <w:t xml:space="preserve">, S., </w:t>
      </w:r>
      <w:proofErr w:type="spellStart"/>
      <w:r w:rsidRPr="001413B5">
        <w:t>Choudhary</w:t>
      </w:r>
      <w:proofErr w:type="spellEnd"/>
      <w:r w:rsidRPr="001413B5">
        <w:t xml:space="preserve">, S. and </w:t>
      </w:r>
      <w:proofErr w:type="spellStart"/>
      <w:r w:rsidRPr="001413B5">
        <w:t>Biswal</w:t>
      </w:r>
      <w:proofErr w:type="spellEnd"/>
      <w:r w:rsidRPr="001413B5">
        <w:t xml:space="preserve">, P.C., </w:t>
      </w:r>
      <w:r>
        <w:t>(</w:t>
      </w:r>
      <w:r w:rsidRPr="001413B5">
        <w:t>2019</w:t>
      </w:r>
      <w:r>
        <w:t>)</w:t>
      </w:r>
      <w:r w:rsidRPr="001413B5">
        <w:t>. Return and volatility linkages among International crude oil price, gold price, exchange rate and stock markets: Evidence from Mexico. </w:t>
      </w:r>
      <w:r w:rsidRPr="001413B5">
        <w:rPr>
          <w:i/>
          <w:iCs/>
        </w:rPr>
        <w:t>Resources Policy</w:t>
      </w:r>
      <w:r w:rsidRPr="001413B5">
        <w:t>, </w:t>
      </w:r>
      <w:r w:rsidRPr="001413B5">
        <w:rPr>
          <w:i/>
          <w:iCs/>
        </w:rPr>
        <w:t>60</w:t>
      </w:r>
      <w:r w:rsidRPr="001413B5">
        <w:t>, pp.255-261.</w:t>
      </w:r>
    </w:p>
    <w:p w14:paraId="6564EE5F" w14:textId="77777777" w:rsidR="007D7D64" w:rsidRDefault="007D7D64" w:rsidP="007D5006">
      <w:r w:rsidRPr="001413B5">
        <w:t xml:space="preserve">Yıldırım, D.Ç., </w:t>
      </w:r>
      <w:proofErr w:type="spellStart"/>
      <w:r w:rsidRPr="001413B5">
        <w:t>Erdoğan</w:t>
      </w:r>
      <w:proofErr w:type="spellEnd"/>
      <w:r w:rsidRPr="001413B5">
        <w:t xml:space="preserve">, F. and Tarı, E.N., </w:t>
      </w:r>
      <w:r>
        <w:t>(</w:t>
      </w:r>
      <w:r w:rsidRPr="001413B5">
        <w:t>2022</w:t>
      </w:r>
      <w:r>
        <w:t>)</w:t>
      </w:r>
      <w:r w:rsidRPr="001413B5">
        <w:t>. Time-varying volatility spillovers between real exchange rate and real commodity prices for emerging market economies. </w:t>
      </w:r>
      <w:r w:rsidRPr="001413B5">
        <w:rPr>
          <w:i/>
          <w:iCs/>
        </w:rPr>
        <w:t>Resources Policy</w:t>
      </w:r>
      <w:r w:rsidRPr="001413B5">
        <w:t>, </w:t>
      </w:r>
      <w:r w:rsidRPr="001413B5">
        <w:rPr>
          <w:i/>
          <w:iCs/>
        </w:rPr>
        <w:t>76</w:t>
      </w:r>
      <w:r w:rsidRPr="001413B5">
        <w:t>, p.102586.</w:t>
      </w:r>
    </w:p>
    <w:sectPr w:rsidR="007D7D64" w:rsidSect="007D7D64">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BDA3DB" w14:textId="77777777" w:rsidR="00EF12A1" w:rsidRDefault="00EF12A1" w:rsidP="007D7D64">
      <w:pPr>
        <w:spacing w:after="0" w:line="240" w:lineRule="auto"/>
      </w:pPr>
      <w:r>
        <w:separator/>
      </w:r>
    </w:p>
  </w:endnote>
  <w:endnote w:type="continuationSeparator" w:id="0">
    <w:p w14:paraId="34EEF698" w14:textId="77777777" w:rsidR="00EF12A1" w:rsidRDefault="00EF12A1" w:rsidP="007D7D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6388633"/>
      <w:docPartObj>
        <w:docPartGallery w:val="Page Numbers (Bottom of Page)"/>
        <w:docPartUnique/>
      </w:docPartObj>
    </w:sdtPr>
    <w:sdtEndPr>
      <w:rPr>
        <w:noProof/>
      </w:rPr>
    </w:sdtEndPr>
    <w:sdtContent>
      <w:p w14:paraId="45E756D6" w14:textId="77777777" w:rsidR="007D7D64" w:rsidRDefault="00934A2E">
        <w:pPr>
          <w:pStyle w:val="Footer"/>
          <w:jc w:val="right"/>
        </w:pPr>
        <w:r>
          <w:fldChar w:fldCharType="begin"/>
        </w:r>
        <w:r w:rsidR="007D7D64">
          <w:instrText xml:space="preserve"> PAGE   \* MERGEFORMAT </w:instrText>
        </w:r>
        <w:r>
          <w:fldChar w:fldCharType="separate"/>
        </w:r>
        <w:r w:rsidR="006516EC">
          <w:rPr>
            <w:noProof/>
          </w:rPr>
          <w:t>6</w:t>
        </w:r>
        <w:r>
          <w:rPr>
            <w:noProof/>
          </w:rPr>
          <w:fldChar w:fldCharType="end"/>
        </w:r>
      </w:p>
    </w:sdtContent>
  </w:sdt>
  <w:p w14:paraId="56FB32F2" w14:textId="77777777" w:rsidR="007D7D64" w:rsidRDefault="007D7D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66A9F0" w14:textId="77777777" w:rsidR="00EF12A1" w:rsidRDefault="00EF12A1" w:rsidP="007D7D64">
      <w:pPr>
        <w:spacing w:after="0" w:line="240" w:lineRule="auto"/>
      </w:pPr>
      <w:r>
        <w:separator/>
      </w:r>
    </w:p>
  </w:footnote>
  <w:footnote w:type="continuationSeparator" w:id="0">
    <w:p w14:paraId="3FBBA7D7" w14:textId="77777777" w:rsidR="00EF12A1" w:rsidRDefault="00EF12A1" w:rsidP="007D7D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C417AD"/>
    <w:multiLevelType w:val="hybridMultilevel"/>
    <w:tmpl w:val="1B76CEF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8F22F3"/>
    <w:multiLevelType w:val="hybridMultilevel"/>
    <w:tmpl w:val="17961B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99335155">
    <w:abstractNumId w:val="1"/>
  </w:num>
  <w:num w:numId="2" w16cid:durableId="15431300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3"/>
  <w:activeWritingStyle w:appName="MSWord" w:lang="en-US" w:vendorID="64" w:dllVersion="4096" w:nlCheck="1" w:checkStyle="1"/>
  <w:activeWritingStyle w:appName="MSWord" w:lang="en-GB" w:vendorID="64" w:dllVersion="4096" w:nlCheck="1" w:checkStyle="1"/>
  <w:activeWritingStyle w:appName="MSWord" w:lang="en-US" w:vendorID="64" w:dllVersion="6"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5EF"/>
    <w:rsid w:val="00025EEB"/>
    <w:rsid w:val="000365EF"/>
    <w:rsid w:val="00104AE7"/>
    <w:rsid w:val="00137CBB"/>
    <w:rsid w:val="001413B5"/>
    <w:rsid w:val="00143459"/>
    <w:rsid w:val="001D3A30"/>
    <w:rsid w:val="001E59F6"/>
    <w:rsid w:val="002368AE"/>
    <w:rsid w:val="00250D43"/>
    <w:rsid w:val="002C790C"/>
    <w:rsid w:val="00316F86"/>
    <w:rsid w:val="003D2228"/>
    <w:rsid w:val="003E248E"/>
    <w:rsid w:val="00453017"/>
    <w:rsid w:val="004F7EFB"/>
    <w:rsid w:val="005721EA"/>
    <w:rsid w:val="0058018A"/>
    <w:rsid w:val="006070CF"/>
    <w:rsid w:val="006516EC"/>
    <w:rsid w:val="00673C4F"/>
    <w:rsid w:val="00710BEC"/>
    <w:rsid w:val="007503E4"/>
    <w:rsid w:val="00787825"/>
    <w:rsid w:val="007D5006"/>
    <w:rsid w:val="007D7D64"/>
    <w:rsid w:val="00887211"/>
    <w:rsid w:val="008C30B6"/>
    <w:rsid w:val="008D70EC"/>
    <w:rsid w:val="00911579"/>
    <w:rsid w:val="00934A2E"/>
    <w:rsid w:val="009A0863"/>
    <w:rsid w:val="009D7CD2"/>
    <w:rsid w:val="00A23A7B"/>
    <w:rsid w:val="00B11690"/>
    <w:rsid w:val="00B30DFD"/>
    <w:rsid w:val="00B55DAF"/>
    <w:rsid w:val="00BB6BCA"/>
    <w:rsid w:val="00CD5125"/>
    <w:rsid w:val="00CF1621"/>
    <w:rsid w:val="00D703D4"/>
    <w:rsid w:val="00DA27DE"/>
    <w:rsid w:val="00DA4582"/>
    <w:rsid w:val="00DD3D99"/>
    <w:rsid w:val="00E7006D"/>
    <w:rsid w:val="00E905F3"/>
    <w:rsid w:val="00EB49A9"/>
    <w:rsid w:val="00EB51CC"/>
    <w:rsid w:val="00EC20BC"/>
    <w:rsid w:val="00ED64BD"/>
    <w:rsid w:val="00EF12A1"/>
    <w:rsid w:val="00F35399"/>
    <w:rsid w:val="00F81D05"/>
    <w:rsid w:val="00F82381"/>
    <w:rsid w:val="00FC6FC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F8B40"/>
  <w15:docId w15:val="{B93136C5-7FAB-8747-AD77-3925F42C7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21EA"/>
    <w:pPr>
      <w:spacing w:line="360" w:lineRule="auto"/>
      <w:jc w:val="both"/>
    </w:pPr>
    <w:rPr>
      <w:rFonts w:ascii="Arial" w:hAnsi="Arial"/>
    </w:rPr>
  </w:style>
  <w:style w:type="paragraph" w:styleId="Heading1">
    <w:name w:val="heading 1"/>
    <w:basedOn w:val="Normal"/>
    <w:next w:val="Normal"/>
    <w:link w:val="Heading1Char"/>
    <w:uiPriority w:val="9"/>
    <w:qFormat/>
    <w:rsid w:val="007D7D64"/>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7D7D64"/>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7D64"/>
    <w:rPr>
      <w:rFonts w:eastAsiaTheme="majorEastAsia" w:cstheme="majorBidi"/>
      <w:b/>
      <w:sz w:val="24"/>
      <w:szCs w:val="32"/>
    </w:rPr>
  </w:style>
  <w:style w:type="paragraph" w:styleId="ListParagraph">
    <w:name w:val="List Paragraph"/>
    <w:basedOn w:val="Normal"/>
    <w:uiPriority w:val="34"/>
    <w:qFormat/>
    <w:rsid w:val="00143459"/>
    <w:pPr>
      <w:ind w:left="720"/>
      <w:contextualSpacing/>
    </w:pPr>
  </w:style>
  <w:style w:type="paragraph" w:styleId="Header">
    <w:name w:val="header"/>
    <w:basedOn w:val="Normal"/>
    <w:link w:val="HeaderChar"/>
    <w:uiPriority w:val="99"/>
    <w:unhideWhenUsed/>
    <w:rsid w:val="007D7D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7D64"/>
    <w:rPr>
      <w:sz w:val="24"/>
    </w:rPr>
  </w:style>
  <w:style w:type="paragraph" w:styleId="Footer">
    <w:name w:val="footer"/>
    <w:basedOn w:val="Normal"/>
    <w:link w:val="FooterChar"/>
    <w:uiPriority w:val="99"/>
    <w:unhideWhenUsed/>
    <w:rsid w:val="007D7D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7D64"/>
    <w:rPr>
      <w:sz w:val="24"/>
    </w:rPr>
  </w:style>
  <w:style w:type="character" w:customStyle="1" w:styleId="Heading2Char">
    <w:name w:val="Heading 2 Char"/>
    <w:basedOn w:val="DefaultParagraphFont"/>
    <w:link w:val="Heading2"/>
    <w:uiPriority w:val="9"/>
    <w:rsid w:val="007D7D64"/>
    <w:rPr>
      <w:rFonts w:eastAsiaTheme="majorEastAsia" w:cstheme="majorBidi"/>
      <w:b/>
      <w:sz w:val="24"/>
      <w:szCs w:val="26"/>
    </w:rPr>
  </w:style>
  <w:style w:type="paragraph" w:styleId="TOCHeading">
    <w:name w:val="TOC Heading"/>
    <w:basedOn w:val="Heading1"/>
    <w:next w:val="Normal"/>
    <w:uiPriority w:val="39"/>
    <w:unhideWhenUsed/>
    <w:qFormat/>
    <w:rsid w:val="007D7D64"/>
    <w:pPr>
      <w:spacing w:line="259" w:lineRule="auto"/>
      <w:jc w:val="left"/>
      <w:outlineLvl w:val="9"/>
    </w:pPr>
    <w:rPr>
      <w:rFonts w:asciiTheme="majorHAnsi" w:hAnsiTheme="majorHAnsi"/>
      <w:b w:val="0"/>
      <w:color w:val="2F5496" w:themeColor="accent1" w:themeShade="BF"/>
      <w:kern w:val="0"/>
      <w:sz w:val="32"/>
    </w:rPr>
  </w:style>
  <w:style w:type="paragraph" w:styleId="TOC1">
    <w:name w:val="toc 1"/>
    <w:basedOn w:val="Normal"/>
    <w:next w:val="Normal"/>
    <w:autoRedefine/>
    <w:uiPriority w:val="39"/>
    <w:unhideWhenUsed/>
    <w:rsid w:val="007D7D64"/>
    <w:pPr>
      <w:spacing w:after="100"/>
    </w:pPr>
  </w:style>
  <w:style w:type="paragraph" w:styleId="TOC2">
    <w:name w:val="toc 2"/>
    <w:basedOn w:val="Normal"/>
    <w:next w:val="Normal"/>
    <w:autoRedefine/>
    <w:uiPriority w:val="39"/>
    <w:unhideWhenUsed/>
    <w:rsid w:val="007D7D64"/>
    <w:pPr>
      <w:spacing w:after="100"/>
      <w:ind w:left="240"/>
    </w:pPr>
  </w:style>
  <w:style w:type="character" w:styleId="Hyperlink">
    <w:name w:val="Hyperlink"/>
    <w:basedOn w:val="DefaultParagraphFont"/>
    <w:uiPriority w:val="99"/>
    <w:unhideWhenUsed/>
    <w:rsid w:val="007D7D64"/>
    <w:rPr>
      <w:color w:val="0563C1" w:themeColor="hyperlink"/>
      <w:u w:val="single"/>
    </w:rPr>
  </w:style>
  <w:style w:type="paragraph" w:styleId="BalloonText">
    <w:name w:val="Balloon Text"/>
    <w:basedOn w:val="Normal"/>
    <w:link w:val="BalloonTextChar"/>
    <w:uiPriority w:val="99"/>
    <w:semiHidden/>
    <w:unhideWhenUsed/>
    <w:rsid w:val="005721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21E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F1B0F8-20EF-401F-A513-824CC0FDF36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1900</Words>
  <Characters>10835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Lucica Barbu (2006789)</cp:lastModifiedBy>
  <cp:revision>2</cp:revision>
  <dcterms:created xsi:type="dcterms:W3CDTF">2023-12-15T16:43:00Z</dcterms:created>
  <dcterms:modified xsi:type="dcterms:W3CDTF">2023-12-15T16:43:00Z</dcterms:modified>
</cp:coreProperties>
</file>