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4C0AFF" w14:textId="5298C5C9" w:rsidR="006313C2" w:rsidRPr="00F9785F" w:rsidRDefault="006313C2" w:rsidP="00F9785F">
      <w:pPr>
        <w:pStyle w:val="Title"/>
      </w:pPr>
      <w:r w:rsidRPr="00F9785F">
        <w:rPr>
          <w:noProof/>
          <w:sz w:val="24"/>
          <w:szCs w:val="24"/>
        </w:rPr>
        <w:drawing>
          <wp:anchor distT="0" distB="0" distL="114300" distR="114300" simplePos="0" relativeHeight="251659264" behindDoc="0" locked="0" layoutInCell="1" allowOverlap="1" wp14:anchorId="49E887C3" wp14:editId="28D1CF2A">
            <wp:simplePos x="0" y="0"/>
            <wp:positionH relativeFrom="margin">
              <wp:align>left</wp:align>
            </wp:positionH>
            <wp:positionV relativeFrom="paragraph">
              <wp:posOffset>609600</wp:posOffset>
            </wp:positionV>
            <wp:extent cx="1666875" cy="619125"/>
            <wp:effectExtent l="0" t="0" r="9525" b="9525"/>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666875" cy="6191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EF05608" w14:textId="77777777" w:rsidR="006313C2" w:rsidRPr="00F9785F" w:rsidRDefault="006313C2" w:rsidP="00F9785F">
      <w:pPr>
        <w:pStyle w:val="Title"/>
      </w:pPr>
    </w:p>
    <w:p w14:paraId="2BE94A91" w14:textId="77777777" w:rsidR="006313C2" w:rsidRPr="00F9785F" w:rsidRDefault="006313C2" w:rsidP="00F9785F">
      <w:pPr>
        <w:pStyle w:val="Title"/>
      </w:pPr>
    </w:p>
    <w:tbl>
      <w:tblPr>
        <w:tblW w:w="10332" w:type="dxa"/>
        <w:tblInd w:w="-3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0"/>
        <w:gridCol w:w="4050"/>
        <w:gridCol w:w="2292"/>
        <w:gridCol w:w="2190"/>
      </w:tblGrid>
      <w:tr w:rsidR="006313C2" w:rsidRPr="00F9785F" w14:paraId="20CC3E24" w14:textId="77777777" w:rsidTr="00F9785F">
        <w:trPr>
          <w:trHeight w:val="1077"/>
        </w:trPr>
        <w:tc>
          <w:tcPr>
            <w:tcW w:w="1800" w:type="dxa"/>
            <w:vAlign w:val="center"/>
          </w:tcPr>
          <w:p w14:paraId="7E485FF9" w14:textId="77777777" w:rsidR="006313C2" w:rsidRPr="00F9785F" w:rsidRDefault="006313C2" w:rsidP="00F9785F">
            <w:pPr>
              <w:spacing w:before="120" w:after="120"/>
              <w:rPr>
                <w:b/>
              </w:rPr>
            </w:pPr>
            <w:r w:rsidRPr="00F9785F">
              <w:rPr>
                <w:b/>
              </w:rPr>
              <w:t>Student name:</w:t>
            </w:r>
          </w:p>
        </w:tc>
        <w:tc>
          <w:tcPr>
            <w:tcW w:w="4050" w:type="dxa"/>
            <w:vAlign w:val="center"/>
          </w:tcPr>
          <w:p w14:paraId="3996BF0E" w14:textId="6250A469" w:rsidR="006313C2" w:rsidRPr="00F9785F" w:rsidRDefault="00F9785F" w:rsidP="00F9785F">
            <w:pPr>
              <w:spacing w:before="120" w:after="120"/>
              <w:rPr>
                <w:b/>
              </w:rPr>
            </w:pPr>
            <w:proofErr w:type="spellStart"/>
            <w:r w:rsidRPr="00F9785F">
              <w:rPr>
                <w:b/>
              </w:rPr>
              <w:t>shivans</w:t>
            </w:r>
            <w:proofErr w:type="spellEnd"/>
            <w:r w:rsidRPr="00F9785F">
              <w:rPr>
                <w:b/>
              </w:rPr>
              <w:t xml:space="preserve"> </w:t>
            </w:r>
            <w:proofErr w:type="spellStart"/>
            <w:r w:rsidRPr="00F9785F">
              <w:rPr>
                <w:b/>
              </w:rPr>
              <w:t>bhimbha</w:t>
            </w:r>
            <w:proofErr w:type="spellEnd"/>
          </w:p>
        </w:tc>
        <w:tc>
          <w:tcPr>
            <w:tcW w:w="2292" w:type="dxa"/>
            <w:shd w:val="clear" w:color="auto" w:fill="D9D9D9" w:themeFill="background1" w:themeFillShade="D9"/>
            <w:vAlign w:val="center"/>
          </w:tcPr>
          <w:p w14:paraId="672C4FA1" w14:textId="77777777" w:rsidR="006313C2" w:rsidRPr="00F9785F" w:rsidRDefault="006313C2" w:rsidP="00F9785F">
            <w:pPr>
              <w:spacing w:before="120" w:after="120"/>
              <w:rPr>
                <w:b/>
              </w:rPr>
            </w:pPr>
            <w:r w:rsidRPr="00F9785F">
              <w:rPr>
                <w:b/>
              </w:rPr>
              <w:t>Student ID number:</w:t>
            </w:r>
          </w:p>
        </w:tc>
        <w:tc>
          <w:tcPr>
            <w:tcW w:w="2190" w:type="dxa"/>
            <w:vAlign w:val="center"/>
          </w:tcPr>
          <w:p w14:paraId="29F7C1A2" w14:textId="3D6EF18A" w:rsidR="006313C2" w:rsidRPr="00F9785F" w:rsidRDefault="00F9785F" w:rsidP="00F9785F">
            <w:pPr>
              <w:spacing w:before="120" w:after="120"/>
              <w:rPr>
                <w:b/>
              </w:rPr>
            </w:pPr>
            <w:r w:rsidRPr="00F9785F">
              <w:rPr>
                <w:b/>
              </w:rPr>
              <w:t>2514071</w:t>
            </w:r>
          </w:p>
        </w:tc>
      </w:tr>
      <w:tr w:rsidR="006313C2" w:rsidRPr="00F9785F" w14:paraId="43099946" w14:textId="77777777" w:rsidTr="006313C2">
        <w:trPr>
          <w:trHeight w:val="651"/>
        </w:trPr>
        <w:tc>
          <w:tcPr>
            <w:tcW w:w="1800" w:type="dxa"/>
            <w:vAlign w:val="center"/>
          </w:tcPr>
          <w:p w14:paraId="5678C032" w14:textId="77777777" w:rsidR="006313C2" w:rsidRPr="00F9785F" w:rsidRDefault="006313C2" w:rsidP="00F9785F">
            <w:pPr>
              <w:spacing w:before="120" w:after="120"/>
              <w:rPr>
                <w:b/>
              </w:rPr>
            </w:pPr>
            <w:proofErr w:type="spellStart"/>
            <w:r w:rsidRPr="00F9785F">
              <w:rPr>
                <w:b/>
              </w:rPr>
              <w:t>Programme</w:t>
            </w:r>
            <w:proofErr w:type="spellEnd"/>
            <w:r w:rsidRPr="00F9785F">
              <w:rPr>
                <w:b/>
              </w:rPr>
              <w:t>:</w:t>
            </w:r>
          </w:p>
        </w:tc>
        <w:tc>
          <w:tcPr>
            <w:tcW w:w="8532" w:type="dxa"/>
            <w:gridSpan w:val="3"/>
            <w:vAlign w:val="center"/>
          </w:tcPr>
          <w:p w14:paraId="71722530" w14:textId="77777777" w:rsidR="006313C2" w:rsidRPr="00F9785F" w:rsidRDefault="006313C2" w:rsidP="00F9785F">
            <w:pPr>
              <w:spacing w:before="120" w:after="120"/>
              <w:rPr>
                <w:b/>
              </w:rPr>
            </w:pPr>
            <w:r w:rsidRPr="00F9785F">
              <w:rPr>
                <w:b/>
              </w:rPr>
              <w:t>Master of Business Administration</w:t>
            </w:r>
          </w:p>
        </w:tc>
      </w:tr>
      <w:tr w:rsidR="006313C2" w:rsidRPr="00F9785F" w14:paraId="29E3333E" w14:textId="77777777" w:rsidTr="006313C2">
        <w:trPr>
          <w:trHeight w:val="651"/>
        </w:trPr>
        <w:tc>
          <w:tcPr>
            <w:tcW w:w="1800" w:type="dxa"/>
            <w:vAlign w:val="center"/>
          </w:tcPr>
          <w:p w14:paraId="6249EF90" w14:textId="77777777" w:rsidR="006313C2" w:rsidRPr="00F9785F" w:rsidRDefault="006313C2" w:rsidP="00F9785F">
            <w:pPr>
              <w:spacing w:before="120" w:after="120"/>
              <w:rPr>
                <w:b/>
              </w:rPr>
            </w:pPr>
            <w:r w:rsidRPr="00F9785F">
              <w:rPr>
                <w:b/>
              </w:rPr>
              <w:t>Module:</w:t>
            </w:r>
          </w:p>
        </w:tc>
        <w:tc>
          <w:tcPr>
            <w:tcW w:w="8532" w:type="dxa"/>
            <w:gridSpan w:val="3"/>
            <w:vAlign w:val="center"/>
          </w:tcPr>
          <w:p w14:paraId="49785F0C" w14:textId="77777777" w:rsidR="006313C2" w:rsidRPr="00F9785F" w:rsidRDefault="006313C2" w:rsidP="00F9785F">
            <w:pPr>
              <w:spacing w:before="120" w:after="120"/>
              <w:rPr>
                <w:b/>
              </w:rPr>
            </w:pPr>
            <w:r w:rsidRPr="00F9785F">
              <w:rPr>
                <w:b/>
              </w:rPr>
              <w:t>Human Capital Management</w:t>
            </w:r>
          </w:p>
        </w:tc>
      </w:tr>
      <w:tr w:rsidR="006313C2" w:rsidRPr="00F9785F" w14:paraId="501B92AF" w14:textId="77777777" w:rsidTr="00F9785F">
        <w:trPr>
          <w:trHeight w:val="2094"/>
        </w:trPr>
        <w:tc>
          <w:tcPr>
            <w:tcW w:w="1800" w:type="dxa"/>
            <w:vAlign w:val="center"/>
          </w:tcPr>
          <w:p w14:paraId="0C3189DF" w14:textId="77777777" w:rsidR="006313C2" w:rsidRPr="00F9785F" w:rsidRDefault="006313C2" w:rsidP="00F9785F">
            <w:pPr>
              <w:spacing w:before="120" w:after="120"/>
              <w:rPr>
                <w:b/>
              </w:rPr>
            </w:pPr>
            <w:r w:rsidRPr="00F9785F">
              <w:rPr>
                <w:b/>
              </w:rPr>
              <w:t>Module code:</w:t>
            </w:r>
          </w:p>
        </w:tc>
        <w:tc>
          <w:tcPr>
            <w:tcW w:w="4050" w:type="dxa"/>
            <w:vAlign w:val="center"/>
          </w:tcPr>
          <w:p w14:paraId="6382FA44" w14:textId="77777777" w:rsidR="006313C2" w:rsidRPr="00F9785F" w:rsidRDefault="006313C2" w:rsidP="00F9785F">
            <w:pPr>
              <w:spacing w:before="120" w:after="120"/>
              <w:rPr>
                <w:b/>
              </w:rPr>
            </w:pPr>
            <w:r w:rsidRPr="00F9785F">
              <w:rPr>
                <w:b/>
              </w:rPr>
              <w:t>LCMB7023</w:t>
            </w:r>
          </w:p>
        </w:tc>
        <w:tc>
          <w:tcPr>
            <w:tcW w:w="2292" w:type="dxa"/>
            <w:shd w:val="clear" w:color="auto" w:fill="D9D9D9" w:themeFill="background1" w:themeFillShade="D9"/>
            <w:vAlign w:val="center"/>
          </w:tcPr>
          <w:p w14:paraId="32C7DCC5" w14:textId="77777777" w:rsidR="006313C2" w:rsidRPr="00F9785F" w:rsidRDefault="006313C2" w:rsidP="00F9785F">
            <w:pPr>
              <w:pStyle w:val="ListParagraph"/>
              <w:rPr>
                <w:b/>
                <w:bCs/>
              </w:rPr>
            </w:pPr>
            <w:r w:rsidRPr="00F9785F">
              <w:rPr>
                <w:b/>
                <w:bCs/>
              </w:rPr>
              <w:t>Contribution to Overall Module Assessment (%):</w:t>
            </w:r>
          </w:p>
        </w:tc>
        <w:tc>
          <w:tcPr>
            <w:tcW w:w="2190" w:type="dxa"/>
            <w:vAlign w:val="center"/>
          </w:tcPr>
          <w:p w14:paraId="386D31C8" w14:textId="77777777" w:rsidR="006313C2" w:rsidRPr="00F9785F" w:rsidRDefault="006313C2" w:rsidP="00F9785F">
            <w:pPr>
              <w:spacing w:before="120" w:after="120"/>
              <w:rPr>
                <w:b/>
              </w:rPr>
            </w:pPr>
            <w:r w:rsidRPr="00F9785F">
              <w:rPr>
                <w:b/>
              </w:rPr>
              <w:t>50%</w:t>
            </w:r>
          </w:p>
        </w:tc>
      </w:tr>
      <w:tr w:rsidR="006313C2" w:rsidRPr="00F9785F" w14:paraId="68C0422C" w14:textId="77777777" w:rsidTr="00F9785F">
        <w:trPr>
          <w:trHeight w:val="2033"/>
        </w:trPr>
        <w:tc>
          <w:tcPr>
            <w:tcW w:w="1800" w:type="dxa"/>
            <w:vAlign w:val="center"/>
          </w:tcPr>
          <w:p w14:paraId="4CD712EC" w14:textId="77777777" w:rsidR="006313C2" w:rsidRPr="00F9785F" w:rsidRDefault="006313C2" w:rsidP="00F9785F">
            <w:pPr>
              <w:spacing w:before="120" w:after="120"/>
              <w:rPr>
                <w:b/>
              </w:rPr>
            </w:pPr>
            <w:r w:rsidRPr="00F9785F">
              <w:rPr>
                <w:b/>
              </w:rPr>
              <w:t>Lecturer:</w:t>
            </w:r>
          </w:p>
        </w:tc>
        <w:tc>
          <w:tcPr>
            <w:tcW w:w="4050" w:type="dxa"/>
            <w:vAlign w:val="center"/>
          </w:tcPr>
          <w:p w14:paraId="71FDCF48" w14:textId="77777777" w:rsidR="006313C2" w:rsidRPr="00F9785F" w:rsidRDefault="006313C2" w:rsidP="00F9785F">
            <w:pPr>
              <w:spacing w:before="120" w:after="120"/>
              <w:rPr>
                <w:b/>
              </w:rPr>
            </w:pPr>
            <w:r w:rsidRPr="00F9785F">
              <w:rPr>
                <w:b/>
              </w:rPr>
              <w:t>Gladius Kulothungan (London)</w:t>
            </w:r>
          </w:p>
          <w:p w14:paraId="3105FE69" w14:textId="77777777" w:rsidR="006313C2" w:rsidRPr="00F9785F" w:rsidRDefault="006313C2" w:rsidP="00F9785F">
            <w:pPr>
              <w:spacing w:before="120" w:after="120"/>
              <w:rPr>
                <w:b/>
              </w:rPr>
            </w:pPr>
            <w:r w:rsidRPr="00F9785F">
              <w:rPr>
                <w:b/>
              </w:rPr>
              <w:t>Eno Maycock (Birmingham)</w:t>
            </w:r>
          </w:p>
        </w:tc>
        <w:tc>
          <w:tcPr>
            <w:tcW w:w="2292" w:type="dxa"/>
            <w:shd w:val="clear" w:color="auto" w:fill="D9D9D9" w:themeFill="background1" w:themeFillShade="D9"/>
            <w:vAlign w:val="center"/>
          </w:tcPr>
          <w:p w14:paraId="4DFDC25C" w14:textId="77777777" w:rsidR="006313C2" w:rsidRPr="00F9785F" w:rsidRDefault="006313C2" w:rsidP="00F9785F">
            <w:pPr>
              <w:spacing w:before="120" w:after="120"/>
              <w:rPr>
                <w:b/>
              </w:rPr>
            </w:pPr>
            <w:r w:rsidRPr="00F9785F">
              <w:rPr>
                <w:b/>
              </w:rPr>
              <w:t>Internal Verifier:</w:t>
            </w:r>
          </w:p>
        </w:tc>
        <w:tc>
          <w:tcPr>
            <w:tcW w:w="2190" w:type="dxa"/>
            <w:vAlign w:val="center"/>
          </w:tcPr>
          <w:p w14:paraId="1B161073" w14:textId="77777777" w:rsidR="006313C2" w:rsidRPr="00F9785F" w:rsidRDefault="006313C2" w:rsidP="00F9785F">
            <w:pPr>
              <w:spacing w:before="120" w:after="120"/>
              <w:rPr>
                <w:b/>
              </w:rPr>
            </w:pPr>
            <w:r w:rsidRPr="00F9785F">
              <w:rPr>
                <w:b/>
              </w:rPr>
              <w:t>Vasilios Tavlaridis</w:t>
            </w:r>
          </w:p>
          <w:p w14:paraId="3881DB21" w14:textId="77777777" w:rsidR="006313C2" w:rsidRPr="00F9785F" w:rsidRDefault="006313C2" w:rsidP="00F9785F">
            <w:pPr>
              <w:spacing w:before="120" w:after="120"/>
              <w:rPr>
                <w:b/>
              </w:rPr>
            </w:pPr>
            <w:r w:rsidRPr="00F9785F">
              <w:rPr>
                <w:b/>
              </w:rPr>
              <w:t>Hoang Nguyen</w:t>
            </w:r>
          </w:p>
        </w:tc>
      </w:tr>
      <w:tr w:rsidR="006313C2" w:rsidRPr="00F9785F" w14:paraId="1ECFBF0E" w14:textId="77777777" w:rsidTr="00F9785F">
        <w:trPr>
          <w:trHeight w:val="1077"/>
        </w:trPr>
        <w:tc>
          <w:tcPr>
            <w:tcW w:w="1800" w:type="dxa"/>
            <w:vAlign w:val="center"/>
          </w:tcPr>
          <w:p w14:paraId="32B7933D" w14:textId="77777777" w:rsidR="006313C2" w:rsidRPr="00F9785F" w:rsidRDefault="006313C2" w:rsidP="00F9785F">
            <w:pPr>
              <w:spacing w:before="120" w:after="120"/>
              <w:rPr>
                <w:b/>
              </w:rPr>
            </w:pPr>
            <w:r w:rsidRPr="00F9785F">
              <w:rPr>
                <w:b/>
              </w:rPr>
              <w:t>Assignment Title:</w:t>
            </w:r>
          </w:p>
        </w:tc>
        <w:tc>
          <w:tcPr>
            <w:tcW w:w="4050" w:type="dxa"/>
            <w:vAlign w:val="center"/>
          </w:tcPr>
          <w:p w14:paraId="66A9229D" w14:textId="77777777" w:rsidR="006313C2" w:rsidRPr="00F9785F" w:rsidRDefault="006313C2" w:rsidP="00F9785F">
            <w:pPr>
              <w:rPr>
                <w:b/>
                <w:bCs/>
                <w:sz w:val="22"/>
                <w:szCs w:val="22"/>
              </w:rPr>
            </w:pPr>
            <w:r w:rsidRPr="00F9785F">
              <w:rPr>
                <w:b/>
                <w:bCs/>
                <w:sz w:val="22"/>
                <w:szCs w:val="22"/>
              </w:rPr>
              <w:t>Designing a Human Capital Architecture for Strategic Renewal</w:t>
            </w:r>
          </w:p>
          <w:p w14:paraId="47984B4C" w14:textId="35EF6503" w:rsidR="006313C2" w:rsidRPr="00F9785F" w:rsidRDefault="006313C2" w:rsidP="00F9785F">
            <w:r w:rsidRPr="00F9785F">
              <w:rPr>
                <w:b/>
                <w:bCs/>
                <w:sz w:val="22"/>
                <w:szCs w:val="22"/>
              </w:rPr>
              <w:t>A Strategic Human Capital Advisory Report for Helios Urban Mobility</w:t>
            </w:r>
          </w:p>
        </w:tc>
        <w:tc>
          <w:tcPr>
            <w:tcW w:w="2292" w:type="dxa"/>
            <w:vAlign w:val="center"/>
          </w:tcPr>
          <w:p w14:paraId="388D8F08" w14:textId="77777777" w:rsidR="006313C2" w:rsidRPr="00F9785F" w:rsidRDefault="006313C2" w:rsidP="00F9785F">
            <w:pPr>
              <w:spacing w:before="120" w:after="120"/>
              <w:rPr>
                <w:b/>
              </w:rPr>
            </w:pPr>
            <w:r w:rsidRPr="00F9785F">
              <w:rPr>
                <w:b/>
              </w:rPr>
              <w:t>Word count (or equivalent):</w:t>
            </w:r>
          </w:p>
        </w:tc>
        <w:tc>
          <w:tcPr>
            <w:tcW w:w="2190" w:type="dxa"/>
            <w:vAlign w:val="center"/>
          </w:tcPr>
          <w:p w14:paraId="29B4F961" w14:textId="29BC102D" w:rsidR="006313C2" w:rsidRPr="00F9785F" w:rsidRDefault="006313C2" w:rsidP="00F9785F">
            <w:pPr>
              <w:spacing w:before="120" w:after="120"/>
              <w:rPr>
                <w:b/>
              </w:rPr>
            </w:pPr>
            <w:r w:rsidRPr="00F9785F">
              <w:rPr>
                <w:b/>
              </w:rPr>
              <w:t xml:space="preserve"> 2,5</w:t>
            </w:r>
            <w:r w:rsidR="00F9785F">
              <w:rPr>
                <w:b/>
              </w:rPr>
              <w:t>61</w:t>
            </w:r>
          </w:p>
        </w:tc>
      </w:tr>
      <w:tr w:rsidR="00F9785F" w:rsidRPr="00F9785F" w14:paraId="2B00AE9D" w14:textId="77777777" w:rsidTr="00F9785F">
        <w:trPr>
          <w:trHeight w:val="1358"/>
        </w:trPr>
        <w:tc>
          <w:tcPr>
            <w:tcW w:w="1800" w:type="dxa"/>
            <w:vAlign w:val="center"/>
          </w:tcPr>
          <w:p w14:paraId="22E13422" w14:textId="77777777" w:rsidR="00F9785F" w:rsidRPr="00F9785F" w:rsidRDefault="00F9785F" w:rsidP="00F9785F">
            <w:pPr>
              <w:spacing w:before="120" w:after="120"/>
              <w:rPr>
                <w:b/>
              </w:rPr>
            </w:pPr>
            <w:r w:rsidRPr="00F9785F">
              <w:rPr>
                <w:b/>
              </w:rPr>
              <w:t>Submission deadline:</w:t>
            </w:r>
          </w:p>
        </w:tc>
        <w:tc>
          <w:tcPr>
            <w:tcW w:w="8532" w:type="dxa"/>
            <w:gridSpan w:val="3"/>
            <w:vAlign w:val="center"/>
          </w:tcPr>
          <w:p w14:paraId="7E346C2E" w14:textId="537F9470" w:rsidR="00F9785F" w:rsidRPr="00F9785F" w:rsidRDefault="00F9785F" w:rsidP="00F9785F">
            <w:pPr>
              <w:rPr>
                <w:b/>
                <w:bCs/>
              </w:rPr>
            </w:pPr>
            <w:r w:rsidRPr="00F9785F">
              <w:rPr>
                <w:b/>
                <w:bCs/>
              </w:rPr>
              <w:t>Friday 19</w:t>
            </w:r>
            <w:r w:rsidRPr="00F9785F">
              <w:rPr>
                <w:b/>
                <w:bCs/>
                <w:vertAlign w:val="superscript"/>
              </w:rPr>
              <w:t>th</w:t>
            </w:r>
            <w:r w:rsidRPr="00F9785F">
              <w:rPr>
                <w:b/>
                <w:bCs/>
              </w:rPr>
              <w:t xml:space="preserve"> June 2026</w:t>
            </w:r>
            <w:r>
              <w:rPr>
                <w:b/>
                <w:bCs/>
              </w:rPr>
              <w:t xml:space="preserve"> </w:t>
            </w:r>
            <w:r w:rsidRPr="00F9785F">
              <w:rPr>
                <w:b/>
                <w:bCs/>
              </w:rPr>
              <w:t>by 2pm</w:t>
            </w:r>
          </w:p>
          <w:p w14:paraId="02A264C6" w14:textId="3C271F91" w:rsidR="00F9785F" w:rsidRPr="00F9785F" w:rsidRDefault="00F9785F" w:rsidP="00F9785F">
            <w:pPr>
              <w:spacing w:before="120" w:after="120"/>
              <w:rPr>
                <w:b/>
                <w:bCs/>
                <w:color w:val="FF0000"/>
              </w:rPr>
            </w:pPr>
          </w:p>
        </w:tc>
      </w:tr>
    </w:tbl>
    <w:p w14:paraId="5CC0AA20" w14:textId="77777777" w:rsidR="006313C2" w:rsidRPr="00F9785F" w:rsidRDefault="006313C2" w:rsidP="00F9785F"/>
    <w:p w14:paraId="42F8CD71" w14:textId="33B5B3D4" w:rsidR="004E4D56" w:rsidRPr="00F9785F" w:rsidRDefault="00000000" w:rsidP="00F9785F">
      <w:pPr>
        <w:pStyle w:val="Title"/>
        <w:jc w:val="center"/>
      </w:pPr>
      <w:r w:rsidRPr="00F9785F">
        <w:lastRenderedPageBreak/>
        <w:t>Designing a Human Capital Architecture for Strategic Renewal</w:t>
      </w:r>
    </w:p>
    <w:p w14:paraId="5DEE342D" w14:textId="77777777" w:rsidR="004E4D56" w:rsidRPr="00F9785F" w:rsidRDefault="00000000" w:rsidP="00F9785F">
      <w:pPr>
        <w:pStyle w:val="Title"/>
        <w:jc w:val="center"/>
      </w:pPr>
      <w:r w:rsidRPr="00F9785F">
        <w:t>A Strategic Human Capital Advisory Report for Helios Urban Mobility</w:t>
      </w:r>
    </w:p>
    <w:p w14:paraId="678D0634" w14:textId="77777777" w:rsidR="004E4D56" w:rsidRPr="00F9785F" w:rsidRDefault="004E4D56" w:rsidP="00F9785F">
      <w:pPr>
        <w:sectPr w:rsidR="004E4D56" w:rsidRPr="00F9785F" w:rsidSect="008263B5">
          <w:pgSz w:w="12240" w:h="15840" w:code="1"/>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20"/>
          <w:docGrid w:linePitch="360"/>
        </w:sectPr>
      </w:pPr>
    </w:p>
    <w:p w14:paraId="08BD348C" w14:textId="77777777" w:rsidR="004E4D56" w:rsidRPr="00F9785F" w:rsidRDefault="00000000" w:rsidP="00F9785F">
      <w:pPr>
        <w:rPr>
          <w:b/>
          <w:bCs/>
        </w:rPr>
      </w:pPr>
      <w:bookmarkStart w:id="0" w:name="_Toc232420206"/>
      <w:bookmarkStart w:id="1" w:name="_Toc232420247"/>
      <w:r w:rsidRPr="00F9785F">
        <w:rPr>
          <w:b/>
          <w:bCs/>
        </w:rPr>
        <w:lastRenderedPageBreak/>
        <w:t>Executive Summary</w:t>
      </w:r>
      <w:bookmarkEnd w:id="0"/>
      <w:bookmarkEnd w:id="1"/>
    </w:p>
    <w:p w14:paraId="5D959987" w14:textId="3B1D8744" w:rsidR="004E4D56" w:rsidRPr="00F9785F" w:rsidRDefault="00F938AB" w:rsidP="00F9785F">
      <w:pPr>
        <w:spacing w:after="160"/>
      </w:pPr>
      <w:r w:rsidRPr="00F9785F">
        <w:t xml:space="preserve">Helios Urban Mobility has experienced rapid growth over the last five years outpaced its people architecture, resulting in slow newcomer </w:t>
      </w:r>
      <w:proofErr w:type="spellStart"/>
      <w:r w:rsidRPr="00F9785F">
        <w:t>socialisation</w:t>
      </w:r>
      <w:proofErr w:type="spellEnd"/>
      <w:r w:rsidRPr="00F9785F">
        <w:t xml:space="preserve">, poor employee engagement and loss of high-potential graduates. The report is an external strategic human capital advisory perspective and makes proposals for a combined human capital architecture for strategic renewal. Task A rethinks </w:t>
      </w:r>
      <w:proofErr w:type="spellStart"/>
      <w:r w:rsidRPr="00F9785F">
        <w:t>socialisation</w:t>
      </w:r>
      <w:proofErr w:type="spellEnd"/>
      <w:r w:rsidRPr="00F9785F">
        <w:t xml:space="preserve"> equipped with a high level of </w:t>
      </w:r>
      <w:proofErr w:type="spellStart"/>
      <w:r w:rsidRPr="00F9785F">
        <w:t>organisational</w:t>
      </w:r>
      <w:proofErr w:type="spellEnd"/>
      <w:r w:rsidRPr="00F9785F">
        <w:t xml:space="preserve"> identification, committed as an </w:t>
      </w:r>
      <w:proofErr w:type="spellStart"/>
      <w:r w:rsidRPr="00F9785F">
        <w:t>organisational</w:t>
      </w:r>
      <w:proofErr w:type="spellEnd"/>
      <w:r w:rsidRPr="00F9785F">
        <w:t xml:space="preserve"> citizen. Task B is a job design adaptation of the Job Characteristics Model and job crafting and a talent marketplace based on skills to foster intrinsic motivation and innovation. Task C is a reflection on how AI can be used responsibly as a decision support tool, and a personal capability development plan for employability in the future</w:t>
      </w:r>
      <w:r w:rsidR="00455885" w:rsidRPr="00F9785F">
        <w:t>.</w:t>
      </w:r>
    </w:p>
    <w:p w14:paraId="3B162EC6" w14:textId="77777777" w:rsidR="008263B5" w:rsidRPr="00F9785F" w:rsidRDefault="008263B5" w:rsidP="00F9785F">
      <w:pPr>
        <w:rPr>
          <w:b/>
          <w:bCs/>
          <w:color w:val="1F4E66"/>
          <w:sz w:val="32"/>
          <w:szCs w:val="32"/>
        </w:rPr>
      </w:pPr>
      <w:bookmarkStart w:id="2" w:name="_Toc232420207"/>
      <w:bookmarkStart w:id="3" w:name="_Toc232420248"/>
      <w:r w:rsidRPr="00F9785F">
        <w:br w:type="page"/>
      </w:r>
    </w:p>
    <w:p w14:paraId="5D0D3D1E" w14:textId="77777777" w:rsidR="008263B5" w:rsidRPr="00F9785F" w:rsidRDefault="008263B5" w:rsidP="00F9785F">
      <w:pPr>
        <w:pStyle w:val="Heading1"/>
        <w:sectPr w:rsidR="008263B5" w:rsidRPr="00F9785F" w:rsidSect="008263B5">
          <w:footerReference w:type="default" r:id="rId10"/>
          <w:pgSz w:w="12240" w:h="15840" w:code="1"/>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20"/>
          <w:docGrid w:linePitch="360"/>
        </w:sectPr>
      </w:pPr>
    </w:p>
    <w:sdt>
      <w:sdtPr>
        <w:rPr>
          <w:rFonts w:ascii="Arial" w:eastAsia="Arial" w:hAnsi="Arial" w:cs="Arial"/>
          <w:color w:val="auto"/>
          <w:sz w:val="24"/>
          <w:szCs w:val="24"/>
        </w:rPr>
        <w:id w:val="415820765"/>
        <w:docPartObj>
          <w:docPartGallery w:val="Table of Contents"/>
          <w:docPartUnique/>
        </w:docPartObj>
      </w:sdtPr>
      <w:sdtEndPr>
        <w:rPr>
          <w:b/>
          <w:bCs/>
          <w:noProof/>
        </w:rPr>
      </w:sdtEndPr>
      <w:sdtContent>
        <w:p w14:paraId="48A15E63" w14:textId="297F1C0E" w:rsidR="008263B5" w:rsidRPr="00F9785F" w:rsidRDefault="008263B5" w:rsidP="00F9785F">
          <w:pPr>
            <w:pStyle w:val="TOCHeading"/>
            <w:spacing w:line="360" w:lineRule="auto"/>
            <w:rPr>
              <w:rFonts w:ascii="Arial" w:hAnsi="Arial" w:cs="Arial"/>
            </w:rPr>
          </w:pPr>
          <w:r w:rsidRPr="00F9785F">
            <w:rPr>
              <w:rFonts w:ascii="Arial" w:hAnsi="Arial" w:cs="Arial"/>
            </w:rPr>
            <w:t>Table of Contents</w:t>
          </w:r>
        </w:p>
        <w:p w14:paraId="04B2145B" w14:textId="38752023" w:rsidR="00F9785F" w:rsidRDefault="008263B5">
          <w:pPr>
            <w:pStyle w:val="TOC1"/>
            <w:tabs>
              <w:tab w:val="right" w:leader="dot" w:pos="9350"/>
            </w:tabs>
            <w:rPr>
              <w:rFonts w:asciiTheme="minorHAnsi" w:eastAsiaTheme="minorEastAsia" w:hAnsiTheme="minorHAnsi" w:cstheme="minorBidi"/>
              <w:noProof/>
              <w:kern w:val="2"/>
              <w14:ligatures w14:val="standardContextual"/>
            </w:rPr>
          </w:pPr>
          <w:r w:rsidRPr="00F9785F">
            <w:fldChar w:fldCharType="begin"/>
          </w:r>
          <w:r w:rsidRPr="00F9785F">
            <w:instrText xml:space="preserve"> TOC \o "1-3" \h \z \u </w:instrText>
          </w:r>
          <w:r w:rsidRPr="00F9785F">
            <w:fldChar w:fldCharType="separate"/>
          </w:r>
          <w:hyperlink w:anchor="_Toc232513597" w:history="1">
            <w:r w:rsidR="00F9785F" w:rsidRPr="00C0142A">
              <w:rPr>
                <w:rStyle w:val="Hyperlink"/>
                <w:noProof/>
              </w:rPr>
              <w:t>1. Introduction</w:t>
            </w:r>
            <w:r w:rsidR="00F9785F">
              <w:rPr>
                <w:noProof/>
                <w:webHidden/>
              </w:rPr>
              <w:tab/>
            </w:r>
            <w:r w:rsidR="00F9785F">
              <w:rPr>
                <w:noProof/>
                <w:webHidden/>
              </w:rPr>
              <w:fldChar w:fldCharType="begin"/>
            </w:r>
            <w:r w:rsidR="00F9785F">
              <w:rPr>
                <w:noProof/>
                <w:webHidden/>
              </w:rPr>
              <w:instrText xml:space="preserve"> PAGEREF _Toc232513597 \h </w:instrText>
            </w:r>
            <w:r w:rsidR="00F9785F">
              <w:rPr>
                <w:noProof/>
                <w:webHidden/>
              </w:rPr>
            </w:r>
            <w:r w:rsidR="00F9785F">
              <w:rPr>
                <w:noProof/>
                <w:webHidden/>
              </w:rPr>
              <w:fldChar w:fldCharType="separate"/>
            </w:r>
            <w:r w:rsidR="00F9785F">
              <w:rPr>
                <w:noProof/>
                <w:webHidden/>
              </w:rPr>
              <w:t>1</w:t>
            </w:r>
            <w:r w:rsidR="00F9785F">
              <w:rPr>
                <w:noProof/>
                <w:webHidden/>
              </w:rPr>
              <w:fldChar w:fldCharType="end"/>
            </w:r>
          </w:hyperlink>
        </w:p>
        <w:p w14:paraId="3EC3A121" w14:textId="490F5CF8" w:rsidR="00F9785F" w:rsidRDefault="00F9785F">
          <w:pPr>
            <w:pStyle w:val="TOC1"/>
            <w:tabs>
              <w:tab w:val="right" w:leader="dot" w:pos="9350"/>
            </w:tabs>
            <w:rPr>
              <w:rFonts w:asciiTheme="minorHAnsi" w:eastAsiaTheme="minorEastAsia" w:hAnsiTheme="minorHAnsi" w:cstheme="minorBidi"/>
              <w:noProof/>
              <w:kern w:val="2"/>
              <w14:ligatures w14:val="standardContextual"/>
            </w:rPr>
          </w:pPr>
          <w:hyperlink w:anchor="_Toc232513598" w:history="1">
            <w:r w:rsidRPr="00C0142A">
              <w:rPr>
                <w:rStyle w:val="Hyperlink"/>
                <w:noProof/>
              </w:rPr>
              <w:t>2. Task A: Socialisation, Identity and Business Activism</w:t>
            </w:r>
            <w:r>
              <w:rPr>
                <w:noProof/>
                <w:webHidden/>
              </w:rPr>
              <w:tab/>
            </w:r>
            <w:r>
              <w:rPr>
                <w:noProof/>
                <w:webHidden/>
              </w:rPr>
              <w:fldChar w:fldCharType="begin"/>
            </w:r>
            <w:r>
              <w:rPr>
                <w:noProof/>
                <w:webHidden/>
              </w:rPr>
              <w:instrText xml:space="preserve"> PAGEREF _Toc232513598 \h </w:instrText>
            </w:r>
            <w:r>
              <w:rPr>
                <w:noProof/>
                <w:webHidden/>
              </w:rPr>
            </w:r>
            <w:r>
              <w:rPr>
                <w:noProof/>
                <w:webHidden/>
              </w:rPr>
              <w:fldChar w:fldCharType="separate"/>
            </w:r>
            <w:r>
              <w:rPr>
                <w:noProof/>
                <w:webHidden/>
              </w:rPr>
              <w:t>1</w:t>
            </w:r>
            <w:r>
              <w:rPr>
                <w:noProof/>
                <w:webHidden/>
              </w:rPr>
              <w:fldChar w:fldCharType="end"/>
            </w:r>
          </w:hyperlink>
        </w:p>
        <w:p w14:paraId="7209400F" w14:textId="427DF03A" w:rsidR="00F9785F" w:rsidRDefault="00F9785F">
          <w:pPr>
            <w:pStyle w:val="TOC2"/>
            <w:tabs>
              <w:tab w:val="right" w:leader="dot" w:pos="9350"/>
            </w:tabs>
            <w:rPr>
              <w:rFonts w:asciiTheme="minorHAnsi" w:eastAsiaTheme="minorEastAsia" w:hAnsiTheme="minorHAnsi" w:cstheme="minorBidi"/>
              <w:noProof/>
              <w:kern w:val="2"/>
              <w14:ligatures w14:val="standardContextual"/>
            </w:rPr>
          </w:pPr>
          <w:hyperlink w:anchor="_Toc232513599" w:history="1">
            <w:r w:rsidRPr="00C0142A">
              <w:rPr>
                <w:rStyle w:val="Hyperlink"/>
                <w:noProof/>
              </w:rPr>
              <w:t>2.1 From traditional onboarding to strategic socialisation</w:t>
            </w:r>
            <w:r>
              <w:rPr>
                <w:noProof/>
                <w:webHidden/>
              </w:rPr>
              <w:tab/>
            </w:r>
            <w:r>
              <w:rPr>
                <w:noProof/>
                <w:webHidden/>
              </w:rPr>
              <w:fldChar w:fldCharType="begin"/>
            </w:r>
            <w:r>
              <w:rPr>
                <w:noProof/>
                <w:webHidden/>
              </w:rPr>
              <w:instrText xml:space="preserve"> PAGEREF _Toc232513599 \h </w:instrText>
            </w:r>
            <w:r>
              <w:rPr>
                <w:noProof/>
                <w:webHidden/>
              </w:rPr>
            </w:r>
            <w:r>
              <w:rPr>
                <w:noProof/>
                <w:webHidden/>
              </w:rPr>
              <w:fldChar w:fldCharType="separate"/>
            </w:r>
            <w:r>
              <w:rPr>
                <w:noProof/>
                <w:webHidden/>
              </w:rPr>
              <w:t>1</w:t>
            </w:r>
            <w:r>
              <w:rPr>
                <w:noProof/>
                <w:webHidden/>
              </w:rPr>
              <w:fldChar w:fldCharType="end"/>
            </w:r>
          </w:hyperlink>
        </w:p>
        <w:p w14:paraId="67EB6DD1" w14:textId="60E9ECD6" w:rsidR="00F9785F" w:rsidRDefault="00F9785F">
          <w:pPr>
            <w:pStyle w:val="TOC2"/>
            <w:tabs>
              <w:tab w:val="right" w:leader="dot" w:pos="9350"/>
            </w:tabs>
            <w:rPr>
              <w:rFonts w:asciiTheme="minorHAnsi" w:eastAsiaTheme="minorEastAsia" w:hAnsiTheme="minorHAnsi" w:cstheme="minorBidi"/>
              <w:noProof/>
              <w:kern w:val="2"/>
              <w14:ligatures w14:val="standardContextual"/>
            </w:rPr>
          </w:pPr>
          <w:hyperlink w:anchor="_Toc232513600" w:history="1">
            <w:r w:rsidRPr="00C0142A">
              <w:rPr>
                <w:rStyle w:val="Hyperlink"/>
                <w:noProof/>
              </w:rPr>
              <w:t>2.2 A structured socialisation framework for Helios</w:t>
            </w:r>
            <w:r>
              <w:rPr>
                <w:noProof/>
                <w:webHidden/>
              </w:rPr>
              <w:tab/>
            </w:r>
            <w:r>
              <w:rPr>
                <w:noProof/>
                <w:webHidden/>
              </w:rPr>
              <w:fldChar w:fldCharType="begin"/>
            </w:r>
            <w:r>
              <w:rPr>
                <w:noProof/>
                <w:webHidden/>
              </w:rPr>
              <w:instrText xml:space="preserve"> PAGEREF _Toc232513600 \h </w:instrText>
            </w:r>
            <w:r>
              <w:rPr>
                <w:noProof/>
                <w:webHidden/>
              </w:rPr>
            </w:r>
            <w:r>
              <w:rPr>
                <w:noProof/>
                <w:webHidden/>
              </w:rPr>
              <w:fldChar w:fldCharType="separate"/>
            </w:r>
            <w:r>
              <w:rPr>
                <w:noProof/>
                <w:webHidden/>
              </w:rPr>
              <w:t>2</w:t>
            </w:r>
            <w:r>
              <w:rPr>
                <w:noProof/>
                <w:webHidden/>
              </w:rPr>
              <w:fldChar w:fldCharType="end"/>
            </w:r>
          </w:hyperlink>
        </w:p>
        <w:p w14:paraId="4DE0DA32" w14:textId="0636BA0B" w:rsidR="00F9785F" w:rsidRDefault="00F9785F">
          <w:pPr>
            <w:pStyle w:val="TOC2"/>
            <w:tabs>
              <w:tab w:val="right" w:leader="dot" w:pos="9350"/>
            </w:tabs>
            <w:rPr>
              <w:rFonts w:asciiTheme="minorHAnsi" w:eastAsiaTheme="minorEastAsia" w:hAnsiTheme="minorHAnsi" w:cstheme="minorBidi"/>
              <w:noProof/>
              <w:kern w:val="2"/>
              <w14:ligatures w14:val="standardContextual"/>
            </w:rPr>
          </w:pPr>
          <w:hyperlink w:anchor="_Toc232513601" w:history="1">
            <w:r w:rsidRPr="00C0142A">
              <w:rPr>
                <w:rStyle w:val="Hyperlink"/>
                <w:noProof/>
              </w:rPr>
              <w:t>2.3 Cultivating identification, ethical professionalism and the business activist</w:t>
            </w:r>
            <w:r>
              <w:rPr>
                <w:noProof/>
                <w:webHidden/>
              </w:rPr>
              <w:tab/>
            </w:r>
            <w:r>
              <w:rPr>
                <w:noProof/>
                <w:webHidden/>
              </w:rPr>
              <w:fldChar w:fldCharType="begin"/>
            </w:r>
            <w:r>
              <w:rPr>
                <w:noProof/>
                <w:webHidden/>
              </w:rPr>
              <w:instrText xml:space="preserve"> PAGEREF _Toc232513601 \h </w:instrText>
            </w:r>
            <w:r>
              <w:rPr>
                <w:noProof/>
                <w:webHidden/>
              </w:rPr>
            </w:r>
            <w:r>
              <w:rPr>
                <w:noProof/>
                <w:webHidden/>
              </w:rPr>
              <w:fldChar w:fldCharType="separate"/>
            </w:r>
            <w:r>
              <w:rPr>
                <w:noProof/>
                <w:webHidden/>
              </w:rPr>
              <w:t>3</w:t>
            </w:r>
            <w:r>
              <w:rPr>
                <w:noProof/>
                <w:webHidden/>
              </w:rPr>
              <w:fldChar w:fldCharType="end"/>
            </w:r>
          </w:hyperlink>
        </w:p>
        <w:p w14:paraId="461F7FE3" w14:textId="1F4E0D33" w:rsidR="00F9785F" w:rsidRDefault="00F9785F">
          <w:pPr>
            <w:pStyle w:val="TOC1"/>
            <w:tabs>
              <w:tab w:val="right" w:leader="dot" w:pos="9350"/>
            </w:tabs>
            <w:rPr>
              <w:rFonts w:asciiTheme="minorHAnsi" w:eastAsiaTheme="minorEastAsia" w:hAnsiTheme="minorHAnsi" w:cstheme="minorBidi"/>
              <w:noProof/>
              <w:kern w:val="2"/>
              <w14:ligatures w14:val="standardContextual"/>
            </w:rPr>
          </w:pPr>
          <w:hyperlink w:anchor="_Toc232513602" w:history="1">
            <w:r w:rsidRPr="00C0142A">
              <w:rPr>
                <w:rStyle w:val="Hyperlink"/>
                <w:noProof/>
              </w:rPr>
              <w:t>3. Task B: Innovative Job Design</w:t>
            </w:r>
            <w:r>
              <w:rPr>
                <w:noProof/>
                <w:webHidden/>
              </w:rPr>
              <w:tab/>
            </w:r>
            <w:r>
              <w:rPr>
                <w:noProof/>
                <w:webHidden/>
              </w:rPr>
              <w:fldChar w:fldCharType="begin"/>
            </w:r>
            <w:r>
              <w:rPr>
                <w:noProof/>
                <w:webHidden/>
              </w:rPr>
              <w:instrText xml:space="preserve"> PAGEREF _Toc232513602 \h </w:instrText>
            </w:r>
            <w:r>
              <w:rPr>
                <w:noProof/>
                <w:webHidden/>
              </w:rPr>
            </w:r>
            <w:r>
              <w:rPr>
                <w:noProof/>
                <w:webHidden/>
              </w:rPr>
              <w:fldChar w:fldCharType="separate"/>
            </w:r>
            <w:r>
              <w:rPr>
                <w:noProof/>
                <w:webHidden/>
              </w:rPr>
              <w:t>4</w:t>
            </w:r>
            <w:r>
              <w:rPr>
                <w:noProof/>
                <w:webHidden/>
              </w:rPr>
              <w:fldChar w:fldCharType="end"/>
            </w:r>
          </w:hyperlink>
        </w:p>
        <w:p w14:paraId="417A0B7F" w14:textId="601F857A" w:rsidR="00F9785F" w:rsidRDefault="00F9785F">
          <w:pPr>
            <w:pStyle w:val="TOC2"/>
            <w:tabs>
              <w:tab w:val="right" w:leader="dot" w:pos="9350"/>
            </w:tabs>
            <w:rPr>
              <w:rFonts w:asciiTheme="minorHAnsi" w:eastAsiaTheme="minorEastAsia" w:hAnsiTheme="minorHAnsi" w:cstheme="minorBidi"/>
              <w:noProof/>
              <w:kern w:val="2"/>
              <w14:ligatures w14:val="standardContextual"/>
            </w:rPr>
          </w:pPr>
          <w:hyperlink w:anchor="_Toc232513603" w:history="1">
            <w:r w:rsidRPr="00C0142A">
              <w:rPr>
                <w:rStyle w:val="Hyperlink"/>
                <w:noProof/>
              </w:rPr>
              <w:t>3.1 The Job Characteristics Model as foundation</w:t>
            </w:r>
            <w:r>
              <w:rPr>
                <w:noProof/>
                <w:webHidden/>
              </w:rPr>
              <w:tab/>
            </w:r>
            <w:r>
              <w:rPr>
                <w:noProof/>
                <w:webHidden/>
              </w:rPr>
              <w:fldChar w:fldCharType="begin"/>
            </w:r>
            <w:r>
              <w:rPr>
                <w:noProof/>
                <w:webHidden/>
              </w:rPr>
              <w:instrText xml:space="preserve"> PAGEREF _Toc232513603 \h </w:instrText>
            </w:r>
            <w:r>
              <w:rPr>
                <w:noProof/>
                <w:webHidden/>
              </w:rPr>
            </w:r>
            <w:r>
              <w:rPr>
                <w:noProof/>
                <w:webHidden/>
              </w:rPr>
              <w:fldChar w:fldCharType="separate"/>
            </w:r>
            <w:r>
              <w:rPr>
                <w:noProof/>
                <w:webHidden/>
              </w:rPr>
              <w:t>4</w:t>
            </w:r>
            <w:r>
              <w:rPr>
                <w:noProof/>
                <w:webHidden/>
              </w:rPr>
              <w:fldChar w:fldCharType="end"/>
            </w:r>
          </w:hyperlink>
        </w:p>
        <w:p w14:paraId="0217CD6C" w14:textId="11D6CA19" w:rsidR="00F9785F" w:rsidRDefault="00F9785F">
          <w:pPr>
            <w:pStyle w:val="TOC2"/>
            <w:tabs>
              <w:tab w:val="right" w:leader="dot" w:pos="9350"/>
            </w:tabs>
            <w:rPr>
              <w:rFonts w:asciiTheme="minorHAnsi" w:eastAsiaTheme="minorEastAsia" w:hAnsiTheme="minorHAnsi" w:cstheme="minorBidi"/>
              <w:noProof/>
              <w:kern w:val="2"/>
              <w14:ligatures w14:val="standardContextual"/>
            </w:rPr>
          </w:pPr>
          <w:hyperlink w:anchor="_Toc232513604" w:history="1">
            <w:r w:rsidRPr="00C0142A">
              <w:rPr>
                <w:rStyle w:val="Hyperlink"/>
                <w:noProof/>
              </w:rPr>
              <w:t>3.2 Job crafting as bottom-up agency</w:t>
            </w:r>
            <w:r>
              <w:rPr>
                <w:noProof/>
                <w:webHidden/>
              </w:rPr>
              <w:tab/>
            </w:r>
            <w:r>
              <w:rPr>
                <w:noProof/>
                <w:webHidden/>
              </w:rPr>
              <w:fldChar w:fldCharType="begin"/>
            </w:r>
            <w:r>
              <w:rPr>
                <w:noProof/>
                <w:webHidden/>
              </w:rPr>
              <w:instrText xml:space="preserve"> PAGEREF _Toc232513604 \h </w:instrText>
            </w:r>
            <w:r>
              <w:rPr>
                <w:noProof/>
                <w:webHidden/>
              </w:rPr>
            </w:r>
            <w:r>
              <w:rPr>
                <w:noProof/>
                <w:webHidden/>
              </w:rPr>
              <w:fldChar w:fldCharType="separate"/>
            </w:r>
            <w:r>
              <w:rPr>
                <w:noProof/>
                <w:webHidden/>
              </w:rPr>
              <w:t>5</w:t>
            </w:r>
            <w:r>
              <w:rPr>
                <w:noProof/>
                <w:webHidden/>
              </w:rPr>
              <w:fldChar w:fldCharType="end"/>
            </w:r>
          </w:hyperlink>
        </w:p>
        <w:p w14:paraId="66306A3F" w14:textId="2D27341A" w:rsidR="00F9785F" w:rsidRDefault="00F9785F">
          <w:pPr>
            <w:pStyle w:val="TOC2"/>
            <w:tabs>
              <w:tab w:val="right" w:leader="dot" w:pos="9350"/>
            </w:tabs>
            <w:rPr>
              <w:rFonts w:asciiTheme="minorHAnsi" w:eastAsiaTheme="minorEastAsia" w:hAnsiTheme="minorHAnsi" w:cstheme="minorBidi"/>
              <w:noProof/>
              <w:kern w:val="2"/>
              <w14:ligatures w14:val="standardContextual"/>
            </w:rPr>
          </w:pPr>
          <w:hyperlink w:anchor="_Toc232513605" w:history="1">
            <w:r w:rsidRPr="00C0142A">
              <w:rPr>
                <w:rStyle w:val="Hyperlink"/>
                <w:noProof/>
              </w:rPr>
              <w:t>3.3 Skills-based architecture and an internal talent marketplace</w:t>
            </w:r>
            <w:r>
              <w:rPr>
                <w:noProof/>
                <w:webHidden/>
              </w:rPr>
              <w:tab/>
            </w:r>
            <w:r>
              <w:rPr>
                <w:noProof/>
                <w:webHidden/>
              </w:rPr>
              <w:fldChar w:fldCharType="begin"/>
            </w:r>
            <w:r>
              <w:rPr>
                <w:noProof/>
                <w:webHidden/>
              </w:rPr>
              <w:instrText xml:space="preserve"> PAGEREF _Toc232513605 \h </w:instrText>
            </w:r>
            <w:r>
              <w:rPr>
                <w:noProof/>
                <w:webHidden/>
              </w:rPr>
            </w:r>
            <w:r>
              <w:rPr>
                <w:noProof/>
                <w:webHidden/>
              </w:rPr>
              <w:fldChar w:fldCharType="separate"/>
            </w:r>
            <w:r>
              <w:rPr>
                <w:noProof/>
                <w:webHidden/>
              </w:rPr>
              <w:t>5</w:t>
            </w:r>
            <w:r>
              <w:rPr>
                <w:noProof/>
                <w:webHidden/>
              </w:rPr>
              <w:fldChar w:fldCharType="end"/>
            </w:r>
          </w:hyperlink>
        </w:p>
        <w:p w14:paraId="6A68CDB3" w14:textId="1E487278" w:rsidR="00F9785F" w:rsidRDefault="00F9785F">
          <w:pPr>
            <w:pStyle w:val="TOC2"/>
            <w:tabs>
              <w:tab w:val="right" w:leader="dot" w:pos="9350"/>
            </w:tabs>
            <w:rPr>
              <w:rFonts w:asciiTheme="minorHAnsi" w:eastAsiaTheme="minorEastAsia" w:hAnsiTheme="minorHAnsi" w:cstheme="minorBidi"/>
              <w:noProof/>
              <w:kern w:val="2"/>
              <w14:ligatures w14:val="standardContextual"/>
            </w:rPr>
          </w:pPr>
          <w:hyperlink w:anchor="_Toc232513606" w:history="1">
            <w:r w:rsidRPr="00C0142A">
              <w:rPr>
                <w:rStyle w:val="Hyperlink"/>
                <w:noProof/>
              </w:rPr>
              <w:t>3.4 Stimulating intrinsic motivation and innovation</w:t>
            </w:r>
            <w:r>
              <w:rPr>
                <w:noProof/>
                <w:webHidden/>
              </w:rPr>
              <w:tab/>
            </w:r>
            <w:r>
              <w:rPr>
                <w:noProof/>
                <w:webHidden/>
              </w:rPr>
              <w:fldChar w:fldCharType="begin"/>
            </w:r>
            <w:r>
              <w:rPr>
                <w:noProof/>
                <w:webHidden/>
              </w:rPr>
              <w:instrText xml:space="preserve"> PAGEREF _Toc232513606 \h </w:instrText>
            </w:r>
            <w:r>
              <w:rPr>
                <w:noProof/>
                <w:webHidden/>
              </w:rPr>
            </w:r>
            <w:r>
              <w:rPr>
                <w:noProof/>
                <w:webHidden/>
              </w:rPr>
              <w:fldChar w:fldCharType="separate"/>
            </w:r>
            <w:r>
              <w:rPr>
                <w:noProof/>
                <w:webHidden/>
              </w:rPr>
              <w:t>6</w:t>
            </w:r>
            <w:r>
              <w:rPr>
                <w:noProof/>
                <w:webHidden/>
              </w:rPr>
              <w:fldChar w:fldCharType="end"/>
            </w:r>
          </w:hyperlink>
        </w:p>
        <w:p w14:paraId="51A84290" w14:textId="568ABE92" w:rsidR="00F9785F" w:rsidRDefault="00F9785F">
          <w:pPr>
            <w:pStyle w:val="TOC2"/>
            <w:tabs>
              <w:tab w:val="right" w:leader="dot" w:pos="9350"/>
            </w:tabs>
            <w:rPr>
              <w:rFonts w:asciiTheme="minorHAnsi" w:eastAsiaTheme="minorEastAsia" w:hAnsiTheme="minorHAnsi" w:cstheme="minorBidi"/>
              <w:noProof/>
              <w:kern w:val="2"/>
              <w14:ligatures w14:val="standardContextual"/>
            </w:rPr>
          </w:pPr>
          <w:hyperlink w:anchor="_Toc232513607" w:history="1">
            <w:r w:rsidRPr="00C0142A">
              <w:rPr>
                <w:rStyle w:val="Hyperlink"/>
                <w:noProof/>
              </w:rPr>
              <w:t>3.5 Implementation and measurement</w:t>
            </w:r>
            <w:r>
              <w:rPr>
                <w:noProof/>
                <w:webHidden/>
              </w:rPr>
              <w:tab/>
            </w:r>
            <w:r>
              <w:rPr>
                <w:noProof/>
                <w:webHidden/>
              </w:rPr>
              <w:fldChar w:fldCharType="begin"/>
            </w:r>
            <w:r>
              <w:rPr>
                <w:noProof/>
                <w:webHidden/>
              </w:rPr>
              <w:instrText xml:space="preserve"> PAGEREF _Toc232513607 \h </w:instrText>
            </w:r>
            <w:r>
              <w:rPr>
                <w:noProof/>
                <w:webHidden/>
              </w:rPr>
            </w:r>
            <w:r>
              <w:rPr>
                <w:noProof/>
                <w:webHidden/>
              </w:rPr>
              <w:fldChar w:fldCharType="separate"/>
            </w:r>
            <w:r>
              <w:rPr>
                <w:noProof/>
                <w:webHidden/>
              </w:rPr>
              <w:t>7</w:t>
            </w:r>
            <w:r>
              <w:rPr>
                <w:noProof/>
                <w:webHidden/>
              </w:rPr>
              <w:fldChar w:fldCharType="end"/>
            </w:r>
          </w:hyperlink>
        </w:p>
        <w:p w14:paraId="3F0E75CA" w14:textId="40CE52B9" w:rsidR="00F9785F" w:rsidRDefault="00F9785F">
          <w:pPr>
            <w:pStyle w:val="TOC1"/>
            <w:tabs>
              <w:tab w:val="right" w:leader="dot" w:pos="9350"/>
            </w:tabs>
            <w:rPr>
              <w:rFonts w:asciiTheme="minorHAnsi" w:eastAsiaTheme="minorEastAsia" w:hAnsiTheme="minorHAnsi" w:cstheme="minorBidi"/>
              <w:noProof/>
              <w:kern w:val="2"/>
              <w14:ligatures w14:val="standardContextual"/>
            </w:rPr>
          </w:pPr>
          <w:hyperlink w:anchor="_Toc232513608" w:history="1">
            <w:r w:rsidRPr="00C0142A">
              <w:rPr>
                <w:rStyle w:val="Hyperlink"/>
                <w:noProof/>
              </w:rPr>
              <w:t>4. Task C: Reflective Report</w:t>
            </w:r>
            <w:r>
              <w:rPr>
                <w:noProof/>
                <w:webHidden/>
              </w:rPr>
              <w:tab/>
            </w:r>
            <w:r>
              <w:rPr>
                <w:noProof/>
                <w:webHidden/>
              </w:rPr>
              <w:fldChar w:fldCharType="begin"/>
            </w:r>
            <w:r>
              <w:rPr>
                <w:noProof/>
                <w:webHidden/>
              </w:rPr>
              <w:instrText xml:space="preserve"> PAGEREF _Toc232513608 \h </w:instrText>
            </w:r>
            <w:r>
              <w:rPr>
                <w:noProof/>
                <w:webHidden/>
              </w:rPr>
            </w:r>
            <w:r>
              <w:rPr>
                <w:noProof/>
                <w:webHidden/>
              </w:rPr>
              <w:fldChar w:fldCharType="separate"/>
            </w:r>
            <w:r>
              <w:rPr>
                <w:noProof/>
                <w:webHidden/>
              </w:rPr>
              <w:t>8</w:t>
            </w:r>
            <w:r>
              <w:rPr>
                <w:noProof/>
                <w:webHidden/>
              </w:rPr>
              <w:fldChar w:fldCharType="end"/>
            </w:r>
          </w:hyperlink>
        </w:p>
        <w:p w14:paraId="28C99A4E" w14:textId="5F8E3965" w:rsidR="00F9785F" w:rsidRDefault="00F9785F">
          <w:pPr>
            <w:pStyle w:val="TOC2"/>
            <w:tabs>
              <w:tab w:val="right" w:leader="dot" w:pos="9350"/>
            </w:tabs>
            <w:rPr>
              <w:rFonts w:asciiTheme="minorHAnsi" w:eastAsiaTheme="minorEastAsia" w:hAnsiTheme="minorHAnsi" w:cstheme="minorBidi"/>
              <w:noProof/>
              <w:kern w:val="2"/>
              <w14:ligatures w14:val="standardContextual"/>
            </w:rPr>
          </w:pPr>
          <w:hyperlink w:anchor="_Toc232513609" w:history="1">
            <w:r w:rsidRPr="00C0142A">
              <w:rPr>
                <w:rStyle w:val="Hyperlink"/>
                <w:noProof/>
              </w:rPr>
              <w:t>4.1 Using AI as decision support without eroding human judgement</w:t>
            </w:r>
            <w:r>
              <w:rPr>
                <w:noProof/>
                <w:webHidden/>
              </w:rPr>
              <w:tab/>
            </w:r>
            <w:r>
              <w:rPr>
                <w:noProof/>
                <w:webHidden/>
              </w:rPr>
              <w:fldChar w:fldCharType="begin"/>
            </w:r>
            <w:r>
              <w:rPr>
                <w:noProof/>
                <w:webHidden/>
              </w:rPr>
              <w:instrText xml:space="preserve"> PAGEREF _Toc232513609 \h </w:instrText>
            </w:r>
            <w:r>
              <w:rPr>
                <w:noProof/>
                <w:webHidden/>
              </w:rPr>
            </w:r>
            <w:r>
              <w:rPr>
                <w:noProof/>
                <w:webHidden/>
              </w:rPr>
              <w:fldChar w:fldCharType="separate"/>
            </w:r>
            <w:r>
              <w:rPr>
                <w:noProof/>
                <w:webHidden/>
              </w:rPr>
              <w:t>8</w:t>
            </w:r>
            <w:r>
              <w:rPr>
                <w:noProof/>
                <w:webHidden/>
              </w:rPr>
              <w:fldChar w:fldCharType="end"/>
            </w:r>
          </w:hyperlink>
        </w:p>
        <w:p w14:paraId="59316698" w14:textId="2AD7F00B" w:rsidR="00F9785F" w:rsidRDefault="00F9785F">
          <w:pPr>
            <w:pStyle w:val="TOC2"/>
            <w:tabs>
              <w:tab w:val="right" w:leader="dot" w:pos="9350"/>
            </w:tabs>
            <w:rPr>
              <w:rFonts w:asciiTheme="minorHAnsi" w:eastAsiaTheme="minorEastAsia" w:hAnsiTheme="minorHAnsi" w:cstheme="minorBidi"/>
              <w:noProof/>
              <w:kern w:val="2"/>
              <w14:ligatures w14:val="standardContextual"/>
            </w:rPr>
          </w:pPr>
          <w:hyperlink w:anchor="_Toc232513610" w:history="1">
            <w:r w:rsidRPr="00C0142A">
              <w:rPr>
                <w:rStyle w:val="Hyperlink"/>
                <w:noProof/>
              </w:rPr>
              <w:t>4.2 Personal capability development plan</w:t>
            </w:r>
            <w:r>
              <w:rPr>
                <w:noProof/>
                <w:webHidden/>
              </w:rPr>
              <w:tab/>
            </w:r>
            <w:r>
              <w:rPr>
                <w:noProof/>
                <w:webHidden/>
              </w:rPr>
              <w:fldChar w:fldCharType="begin"/>
            </w:r>
            <w:r>
              <w:rPr>
                <w:noProof/>
                <w:webHidden/>
              </w:rPr>
              <w:instrText xml:space="preserve"> PAGEREF _Toc232513610 \h </w:instrText>
            </w:r>
            <w:r>
              <w:rPr>
                <w:noProof/>
                <w:webHidden/>
              </w:rPr>
            </w:r>
            <w:r>
              <w:rPr>
                <w:noProof/>
                <w:webHidden/>
              </w:rPr>
              <w:fldChar w:fldCharType="separate"/>
            </w:r>
            <w:r>
              <w:rPr>
                <w:noProof/>
                <w:webHidden/>
              </w:rPr>
              <w:t>9</w:t>
            </w:r>
            <w:r>
              <w:rPr>
                <w:noProof/>
                <w:webHidden/>
              </w:rPr>
              <w:fldChar w:fldCharType="end"/>
            </w:r>
          </w:hyperlink>
        </w:p>
        <w:p w14:paraId="5739C144" w14:textId="34238C24" w:rsidR="00F9785F" w:rsidRDefault="00F9785F">
          <w:pPr>
            <w:pStyle w:val="TOC1"/>
            <w:tabs>
              <w:tab w:val="right" w:leader="dot" w:pos="9350"/>
            </w:tabs>
            <w:rPr>
              <w:rFonts w:asciiTheme="minorHAnsi" w:eastAsiaTheme="minorEastAsia" w:hAnsiTheme="minorHAnsi" w:cstheme="minorBidi"/>
              <w:noProof/>
              <w:kern w:val="2"/>
              <w14:ligatures w14:val="standardContextual"/>
            </w:rPr>
          </w:pPr>
          <w:hyperlink w:anchor="_Toc232513611" w:history="1">
            <w:r w:rsidRPr="00C0142A">
              <w:rPr>
                <w:rStyle w:val="Hyperlink"/>
                <w:noProof/>
              </w:rPr>
              <w:t>5. Conclusion</w:t>
            </w:r>
            <w:r>
              <w:rPr>
                <w:noProof/>
                <w:webHidden/>
              </w:rPr>
              <w:tab/>
            </w:r>
            <w:r>
              <w:rPr>
                <w:noProof/>
                <w:webHidden/>
              </w:rPr>
              <w:fldChar w:fldCharType="begin"/>
            </w:r>
            <w:r>
              <w:rPr>
                <w:noProof/>
                <w:webHidden/>
              </w:rPr>
              <w:instrText xml:space="preserve"> PAGEREF _Toc232513611 \h </w:instrText>
            </w:r>
            <w:r>
              <w:rPr>
                <w:noProof/>
                <w:webHidden/>
              </w:rPr>
            </w:r>
            <w:r>
              <w:rPr>
                <w:noProof/>
                <w:webHidden/>
              </w:rPr>
              <w:fldChar w:fldCharType="separate"/>
            </w:r>
            <w:r>
              <w:rPr>
                <w:noProof/>
                <w:webHidden/>
              </w:rPr>
              <w:t>10</w:t>
            </w:r>
            <w:r>
              <w:rPr>
                <w:noProof/>
                <w:webHidden/>
              </w:rPr>
              <w:fldChar w:fldCharType="end"/>
            </w:r>
          </w:hyperlink>
        </w:p>
        <w:p w14:paraId="5DB824B2" w14:textId="487D38B7" w:rsidR="00F9785F" w:rsidRDefault="00F9785F">
          <w:pPr>
            <w:pStyle w:val="TOC1"/>
            <w:tabs>
              <w:tab w:val="right" w:leader="dot" w:pos="9350"/>
            </w:tabs>
            <w:rPr>
              <w:rFonts w:asciiTheme="minorHAnsi" w:eastAsiaTheme="minorEastAsia" w:hAnsiTheme="minorHAnsi" w:cstheme="minorBidi"/>
              <w:noProof/>
              <w:kern w:val="2"/>
              <w14:ligatures w14:val="standardContextual"/>
            </w:rPr>
          </w:pPr>
          <w:hyperlink w:anchor="_Toc232513612" w:history="1">
            <w:r w:rsidRPr="00C0142A">
              <w:rPr>
                <w:rStyle w:val="Hyperlink"/>
                <w:noProof/>
              </w:rPr>
              <w:t>6. References:</w:t>
            </w:r>
            <w:r>
              <w:rPr>
                <w:noProof/>
                <w:webHidden/>
              </w:rPr>
              <w:tab/>
            </w:r>
            <w:r>
              <w:rPr>
                <w:noProof/>
                <w:webHidden/>
              </w:rPr>
              <w:fldChar w:fldCharType="begin"/>
            </w:r>
            <w:r>
              <w:rPr>
                <w:noProof/>
                <w:webHidden/>
              </w:rPr>
              <w:instrText xml:space="preserve"> PAGEREF _Toc232513612 \h </w:instrText>
            </w:r>
            <w:r>
              <w:rPr>
                <w:noProof/>
                <w:webHidden/>
              </w:rPr>
            </w:r>
            <w:r>
              <w:rPr>
                <w:noProof/>
                <w:webHidden/>
              </w:rPr>
              <w:fldChar w:fldCharType="separate"/>
            </w:r>
            <w:r>
              <w:rPr>
                <w:noProof/>
                <w:webHidden/>
              </w:rPr>
              <w:t>11</w:t>
            </w:r>
            <w:r>
              <w:rPr>
                <w:noProof/>
                <w:webHidden/>
              </w:rPr>
              <w:fldChar w:fldCharType="end"/>
            </w:r>
          </w:hyperlink>
        </w:p>
        <w:p w14:paraId="71AED01B" w14:textId="7C649614" w:rsidR="008263B5" w:rsidRPr="00F9785F" w:rsidRDefault="008263B5" w:rsidP="00F9785F">
          <w:r w:rsidRPr="00F9785F">
            <w:rPr>
              <w:b/>
              <w:bCs/>
              <w:noProof/>
            </w:rPr>
            <w:fldChar w:fldCharType="end"/>
          </w:r>
        </w:p>
      </w:sdtContent>
    </w:sdt>
    <w:p w14:paraId="5FEE83E9" w14:textId="77777777" w:rsidR="008263B5" w:rsidRPr="00F9785F" w:rsidRDefault="008263B5" w:rsidP="00F9785F">
      <w:pPr>
        <w:pStyle w:val="Heading1"/>
        <w:sectPr w:rsidR="008263B5" w:rsidRPr="00F9785F" w:rsidSect="008263B5">
          <w:pgSz w:w="12240" w:h="15840" w:code="1"/>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20"/>
          <w:docGrid w:linePitch="360"/>
        </w:sectPr>
      </w:pPr>
    </w:p>
    <w:p w14:paraId="4F2FB280" w14:textId="4C1E2249" w:rsidR="004E4D56" w:rsidRPr="00F9785F" w:rsidRDefault="00000000" w:rsidP="00F9785F">
      <w:pPr>
        <w:pStyle w:val="Heading1"/>
      </w:pPr>
      <w:bookmarkStart w:id="4" w:name="_Toc232513597"/>
      <w:r w:rsidRPr="00F9785F">
        <w:lastRenderedPageBreak/>
        <w:t>1. Introduction</w:t>
      </w:r>
      <w:bookmarkEnd w:id="2"/>
      <w:bookmarkEnd w:id="3"/>
      <w:bookmarkEnd w:id="4"/>
    </w:p>
    <w:p w14:paraId="73DFA5E6" w14:textId="41E68C69" w:rsidR="004E4D56" w:rsidRPr="00F9785F" w:rsidRDefault="00455885" w:rsidP="00F9785F">
      <w:pPr>
        <w:spacing w:after="160"/>
      </w:pPr>
      <w:r w:rsidRPr="00F9785F">
        <w:t xml:space="preserve">Helios Urban Mobility (HUM) has 450 employees in London, Berlin and Singapore, developing AI-powered electric mobility solutions and smart-infrastructure analytics for city governments. Three symptoms after five years of growth threaten its renewal: the average newcomer ramp-up time is eight months, employee engagement is only fifty-four per cent, and high attrition amongst high-potential graduates. This report outlines an evidence-based human capital architecture for </w:t>
      </w:r>
      <w:proofErr w:type="spellStart"/>
      <w:r w:rsidRPr="00F9785F">
        <w:t>socialisation</w:t>
      </w:r>
      <w:proofErr w:type="spellEnd"/>
      <w:r w:rsidRPr="00F9785F">
        <w:t xml:space="preserve"> and identity, innovative job design</w:t>
      </w:r>
      <w:r w:rsidR="00196E21" w:rsidRPr="00F9785F">
        <w:t>.</w:t>
      </w:r>
      <w:r w:rsidRPr="00F9785F">
        <w:t xml:space="preserve"> </w:t>
      </w:r>
    </w:p>
    <w:p w14:paraId="65EC5ABE" w14:textId="77777777" w:rsidR="004E4D56" w:rsidRPr="00F9785F" w:rsidRDefault="00000000" w:rsidP="00F9785F">
      <w:pPr>
        <w:pStyle w:val="Heading1"/>
      </w:pPr>
      <w:bookmarkStart w:id="5" w:name="_Toc232420208"/>
      <w:bookmarkStart w:id="6" w:name="_Toc232420249"/>
      <w:bookmarkStart w:id="7" w:name="_Toc232513598"/>
      <w:r w:rsidRPr="00F9785F">
        <w:t xml:space="preserve">2. Task A: </w:t>
      </w:r>
      <w:proofErr w:type="spellStart"/>
      <w:r w:rsidRPr="00F9785F">
        <w:t>Socialisation</w:t>
      </w:r>
      <w:proofErr w:type="spellEnd"/>
      <w:r w:rsidRPr="00F9785F">
        <w:t>, Identity and Business Activism</w:t>
      </w:r>
      <w:bookmarkEnd w:id="5"/>
      <w:bookmarkEnd w:id="6"/>
      <w:bookmarkEnd w:id="7"/>
    </w:p>
    <w:p w14:paraId="37622455" w14:textId="77777777" w:rsidR="004E4D56" w:rsidRPr="00F9785F" w:rsidRDefault="00000000" w:rsidP="00F9785F">
      <w:pPr>
        <w:pStyle w:val="Heading2"/>
      </w:pPr>
      <w:bookmarkStart w:id="8" w:name="_Toc232420209"/>
      <w:bookmarkStart w:id="9" w:name="_Toc232420250"/>
      <w:bookmarkStart w:id="10" w:name="_Toc232513599"/>
      <w:r w:rsidRPr="00F9785F">
        <w:t xml:space="preserve">2.1 From traditional onboarding to strategic </w:t>
      </w:r>
      <w:proofErr w:type="spellStart"/>
      <w:r w:rsidRPr="00F9785F">
        <w:t>socialisation</w:t>
      </w:r>
      <w:bookmarkEnd w:id="8"/>
      <w:bookmarkEnd w:id="9"/>
      <w:bookmarkEnd w:id="10"/>
      <w:proofErr w:type="spellEnd"/>
    </w:p>
    <w:p w14:paraId="47741E3D" w14:textId="43D41A5D" w:rsidR="00F938AB" w:rsidRPr="00F9785F" w:rsidRDefault="00F938AB" w:rsidP="00F9785F">
      <w:pPr>
        <w:spacing w:after="160"/>
      </w:pPr>
      <w:r w:rsidRPr="00F9785F">
        <w:t xml:space="preserve">While traditional onboarding may be a short administrative process involving paperwork, orientation and access to systems, strategic </w:t>
      </w:r>
      <w:proofErr w:type="spellStart"/>
      <w:r w:rsidRPr="00F9785F">
        <w:t>organisational</w:t>
      </w:r>
      <w:proofErr w:type="spellEnd"/>
      <w:r w:rsidRPr="00F9785F">
        <w:t xml:space="preserve"> </w:t>
      </w:r>
      <w:proofErr w:type="spellStart"/>
      <w:r w:rsidRPr="00F9785F">
        <w:t>socialisation</w:t>
      </w:r>
      <w:proofErr w:type="spellEnd"/>
      <w:r w:rsidRPr="00F9785F">
        <w:t xml:space="preserve"> is a longer process through which newcomers learn the attitudes, knowledge and relationships required to become full members of the </w:t>
      </w:r>
      <w:proofErr w:type="spellStart"/>
      <w:r w:rsidRPr="00F9785F">
        <w:t>organisation</w:t>
      </w:r>
      <w:proofErr w:type="spellEnd"/>
      <w:r w:rsidRPr="00F9785F">
        <w:t xml:space="preserve">. Van Maanen and Schein's classic typology distinguishes between </w:t>
      </w:r>
      <w:proofErr w:type="spellStart"/>
      <w:r w:rsidRPr="00F9785F">
        <w:t>institutionalised</w:t>
      </w:r>
      <w:proofErr w:type="spellEnd"/>
      <w:r w:rsidRPr="00F9785F">
        <w:t xml:space="preserve"> and </w:t>
      </w:r>
      <w:proofErr w:type="spellStart"/>
      <w:r w:rsidRPr="00F9785F">
        <w:t>individualised</w:t>
      </w:r>
      <w:proofErr w:type="spellEnd"/>
      <w:r w:rsidRPr="00F9785F">
        <w:t xml:space="preserve"> </w:t>
      </w:r>
      <w:proofErr w:type="spellStart"/>
      <w:r w:rsidRPr="00F9785F">
        <w:t>socialisation</w:t>
      </w:r>
      <w:proofErr w:type="spellEnd"/>
      <w:r w:rsidRPr="00F9785F">
        <w:t xml:space="preserve"> tactics, and the updated meta-analysis by </w:t>
      </w:r>
      <w:r w:rsidR="00427331" w:rsidRPr="00F9785F">
        <w:fldChar w:fldCharType="begin" w:fldLock="1"/>
      </w:r>
      <w:r w:rsidR="00427331" w:rsidRPr="00F9785F">
        <w:instrText>ADDIN CSL_CITATION {"citationItems":[{"id":"ITEM-1","itemData":{"author":[{"dropping-particle":"","family":"Bauer","given":"Talya N.","non-dropping-particle":"","parse-names":false,"suffix":""},{"dropping-particle":"","family":"Erdogan","given":"Berrin","non-dropping-particle":"","parse-names":false,"suffix":""},{"dropping-particle":"","family":"Bodner","given":"Todd","non-dropping-particle":"","parse-names":false,"suffix":""}],"id":"ITEM-1","issued":{"date-parts":[["2024"]]},"title":"New Horizons for Newcomer Organizational Socialization: A Review, Meta-Analysis, and Future Research Directions","type":"article-journal"},"uris":["http://www.mendeley.com/documents/?uuid=9ca656d1-68ca-405e-96e2-c2724c91337f"]}],"mendeley":{"formattedCitation":"(Bauer, Erdogan and Bodner, 2024)","manualFormatting":"Bauer, Erdogan and Bodner, (2024)","plainTextFormattedCitation":"(Bauer, Erdogan and Bodner, 2024)","previouslyFormattedCitation":"(Bauer, Erdogan and Bodner, 2024)"},"properties":{"noteIndex":0},"schema":"https://github.com/citation-style-language/schema/raw/master/csl-citation.json"}</w:instrText>
      </w:r>
      <w:r w:rsidR="00427331" w:rsidRPr="00F9785F">
        <w:fldChar w:fldCharType="separate"/>
      </w:r>
      <w:r w:rsidR="00427331" w:rsidRPr="00F9785F">
        <w:rPr>
          <w:noProof/>
        </w:rPr>
        <w:t>Bauer, Erdogan and Bodner, (2024)</w:t>
      </w:r>
      <w:r w:rsidR="00427331" w:rsidRPr="00F9785F">
        <w:fldChar w:fldCharType="end"/>
      </w:r>
      <w:r w:rsidRPr="00F9785F">
        <w:t xml:space="preserve">.indicates that </w:t>
      </w:r>
      <w:proofErr w:type="spellStart"/>
      <w:r w:rsidRPr="00F9785F">
        <w:t>institutionalised</w:t>
      </w:r>
      <w:proofErr w:type="spellEnd"/>
      <w:r w:rsidRPr="00F9785F">
        <w:t xml:space="preserve"> tactics that are rich in resources can decrease role ambiguity and turnover, and increase newcomer adjustment and performance. A recent review of the onboarding literature comes to the same conclusion, indicating that extensive onboarding can enhance retention, engagement, commitment and performance</w:t>
      </w:r>
      <w:r w:rsidR="00427331" w:rsidRPr="00F9785F">
        <w:t xml:space="preserve"> </w:t>
      </w:r>
      <w:r w:rsidR="00427331" w:rsidRPr="00F9785F">
        <w:fldChar w:fldCharType="begin" w:fldLock="1"/>
      </w:r>
      <w:r w:rsidR="00427331" w:rsidRPr="00F9785F">
        <w:instrText>ADDIN CSL_CITATION {"citationItems":[{"id":"ITEM-1","itemData":{"ISSN":"23311975","abstract":"This study provides a comprehensive review of the intellectual structure and current dynamics of onboarding and socialization research. Using the Web of Science (WoS) database, we found 452 research articles that met the inclusion criteria. Biblioshiny R-package and VOSviewer were used for the bibliometric analysis. We lay out the most prolific authors, journals, institutions and articles in this rapidly growing field. We find that current research is scattered all over different topics and disciplines. We identify five research fronts that authors have pursued in the last 5 years. Researchers have focused on: psychological contracts; the role of networks and relationship building; the changing work contexts in which organizational socialization takes place; the effects of newcomer proactivity and interactions with supervisors; onboarding in distinct areas like software engineering. Promising research avenues in this field can be distinguished in: different groups of newcomers; examining interactive effects between newcomers and socialization agents; and analyzing the evolving area of digital and virtual onboarding and organizational socialization.","author":[{"dropping-particle":"","family":"Didion","given":"Eva","non-dropping-particle":"","parse-names":false,"suffix":""},{"dropping-particle":"","family":"Perello-Marin","given":"Maria Rosario","non-dropping-particle":"","parse-names":false,"suffix":""},{"dropping-particle":"","family":"Catala-Perez","given":"Daniel","non-dropping-particle":"","parse-names":false,"suffix":""},{"dropping-particle":"","family":"Ambrosius","given":"Ute","non-dropping-particle":"","parse-names":false,"suffix":""}],"container-title":"Cogent Business and Management","id":"ITEM-1","issue":"1","issued":{"date-parts":[["2024"]]},"title":"Mapping the organizational socialization and onboarding literature: a bibliometric analysis of the field","type":"article-journal","volume":"11"},"uris":["http://www.mendeley.com/documents/?uuid=e0dda7be-a70c-4a8a-be5e-d4a25b21bdc6"]}],"mendeley":{"formattedCitation":"(Didion &lt;i&gt;et al.&lt;/i&gt;, 2024)","plainTextFormattedCitation":"(Didion et al., 2024)","previouslyFormattedCitation":"(Didion &lt;i&gt;et al.&lt;/i&gt;, 2024)"},"properties":{"noteIndex":0},"schema":"https://github.com/citation-style-language/schema/raw/master/csl-citation.json"}</w:instrText>
      </w:r>
      <w:r w:rsidR="00427331" w:rsidRPr="00F9785F">
        <w:fldChar w:fldCharType="separate"/>
      </w:r>
      <w:r w:rsidR="00427331" w:rsidRPr="00F9785F">
        <w:rPr>
          <w:noProof/>
        </w:rPr>
        <w:t xml:space="preserve">(Didion </w:t>
      </w:r>
      <w:r w:rsidR="00427331" w:rsidRPr="00F9785F">
        <w:rPr>
          <w:i/>
          <w:noProof/>
        </w:rPr>
        <w:t>et al.</w:t>
      </w:r>
      <w:r w:rsidR="00427331" w:rsidRPr="00F9785F">
        <w:rPr>
          <w:noProof/>
        </w:rPr>
        <w:t>, 2024)</w:t>
      </w:r>
      <w:r w:rsidR="00427331" w:rsidRPr="00F9785F">
        <w:fldChar w:fldCharType="end"/>
      </w:r>
      <w:r w:rsidRPr="00F9785F">
        <w:t xml:space="preserve">. Helios' eight-month ramp-up time implies a too strong focus on sink-or-swim, </w:t>
      </w:r>
      <w:proofErr w:type="spellStart"/>
      <w:r w:rsidRPr="00F9785F">
        <w:t>individualised</w:t>
      </w:r>
      <w:proofErr w:type="spellEnd"/>
      <w:r w:rsidRPr="00F9785F">
        <w:t xml:space="preserve"> entry, whereas </w:t>
      </w:r>
      <w:r w:rsidR="00427331" w:rsidRPr="00F9785F">
        <w:fldChar w:fldCharType="begin" w:fldLock="1"/>
      </w:r>
      <w:r w:rsidR="00427331" w:rsidRPr="00F9785F">
        <w:instrText>ADDIN CSL_CITATION {"citationItems":[{"id":"ITEM-1","itemData":{"author":[{"dropping-particle":"","family":"Frögéli","given":"Elin","non-dropping-particle":"","parse-names":false,"suffix":""},{"dropping-particle":"","family":"Jenner","given":"Bo","non-dropping-particle":"","parse-names":false,"suffix":""},{"dropping-particle":"","family":"Gustavsson","given":"Petter","non-dropping-particle":"","parse-names":false,"suffix":""}],"id":"ITEM-1","issued":{"date-parts":[["2023"]]},"title":"Effectiveness of formal onboarding for facilitating organizational socialization: A systematic review","type":"article-journal"},"uris":["http://www.mendeley.com/documents/?uuid=c0409e6f-25a6-4b0f-9c0d-bd77d7b7f1f4"]}],"mendeley":{"formattedCitation":"(Frögéli, Jenner and Gustavsson, 2023)","manualFormatting":"Frögéli, Jenner and Gustavsson, (2023)","plainTextFormattedCitation":"(Frögéli, Jenner and Gustavsson, 2023)","previouslyFormattedCitation":"(Frögéli, Jenner and Gustavsson, 2023)"},"properties":{"noteIndex":0},"schema":"https://github.com/citation-style-language/schema/raw/master/csl-citation.json"}</w:instrText>
      </w:r>
      <w:r w:rsidR="00427331" w:rsidRPr="00F9785F">
        <w:fldChar w:fldCharType="separate"/>
      </w:r>
      <w:r w:rsidR="00427331" w:rsidRPr="00F9785F">
        <w:rPr>
          <w:noProof/>
        </w:rPr>
        <w:t>Frögéli, Jenner and Gustavsson, (2023)</w:t>
      </w:r>
      <w:r w:rsidR="00427331" w:rsidRPr="00F9785F">
        <w:fldChar w:fldCharType="end"/>
      </w:r>
      <w:r w:rsidR="00427331" w:rsidRPr="00F9785F">
        <w:t xml:space="preserve"> </w:t>
      </w:r>
      <w:r w:rsidRPr="00F9785F">
        <w:t xml:space="preserve">systematic review indicates that structured formal onboarding can speed up the </w:t>
      </w:r>
      <w:proofErr w:type="spellStart"/>
      <w:r w:rsidRPr="00F9785F">
        <w:t>socialisation</w:t>
      </w:r>
      <w:proofErr w:type="spellEnd"/>
      <w:r w:rsidRPr="00F9785F">
        <w:t xml:space="preserve"> process.</w:t>
      </w:r>
    </w:p>
    <w:p w14:paraId="1606F64D" w14:textId="5CE4C2F2" w:rsidR="00455885" w:rsidRPr="00F9785F" w:rsidRDefault="00F938AB" w:rsidP="00F9785F">
      <w:pPr>
        <w:spacing w:after="160"/>
      </w:pPr>
      <w:r w:rsidRPr="00F9785F">
        <w:t xml:space="preserve">Importantly, </w:t>
      </w:r>
      <w:proofErr w:type="spellStart"/>
      <w:r w:rsidRPr="00F9785F">
        <w:t>institutionalised</w:t>
      </w:r>
      <w:proofErr w:type="spellEnd"/>
      <w:r w:rsidRPr="00F9785F">
        <w:t xml:space="preserve"> tactics are not necessarily better. Helios is a creative technology company, and role innovation can also be encouraged through individual approaches. The challenge of the design is thus to find a balance between </w:t>
      </w:r>
      <w:proofErr w:type="spellStart"/>
      <w:r w:rsidRPr="00F9785F">
        <w:t>institutionalised</w:t>
      </w:r>
      <w:proofErr w:type="spellEnd"/>
      <w:r w:rsidRPr="00F9785F">
        <w:t xml:space="preserve"> structure (which gives clarity) and selective </w:t>
      </w:r>
      <w:proofErr w:type="spellStart"/>
      <w:r w:rsidRPr="00F9785F">
        <w:t>individualisation</w:t>
      </w:r>
      <w:proofErr w:type="spellEnd"/>
      <w:r w:rsidRPr="00F9785F">
        <w:t xml:space="preserve"> (which </w:t>
      </w:r>
      <w:r w:rsidRPr="00F9785F">
        <w:lastRenderedPageBreak/>
        <w:t>keeps graduates' capacity to redefine their roles). There is a risk of over-</w:t>
      </w:r>
      <w:proofErr w:type="spellStart"/>
      <w:r w:rsidRPr="00F9785F">
        <w:t>institutionalisation</w:t>
      </w:r>
      <w:proofErr w:type="spellEnd"/>
      <w:r w:rsidRPr="00F9785F">
        <w:t xml:space="preserve"> as techniques that reduce uncertainty by promoting conformity to role norms can create a custodial role orientation, which leads to passive acceptance of the status quo and a reduced capacity for innovation by newcomers. Helios's success relies on developing AI-powered mobility solutions, so a very </w:t>
      </w:r>
      <w:proofErr w:type="spellStart"/>
      <w:r w:rsidRPr="00F9785F">
        <w:t>institutionalised</w:t>
      </w:r>
      <w:proofErr w:type="spellEnd"/>
      <w:r w:rsidRPr="00F9785F">
        <w:t xml:space="preserve"> </w:t>
      </w:r>
      <w:proofErr w:type="spellStart"/>
      <w:r w:rsidRPr="00F9785F">
        <w:t>socialisation</w:t>
      </w:r>
      <w:proofErr w:type="spellEnd"/>
      <w:r w:rsidRPr="00F9785F">
        <w:t xml:space="preserve"> </w:t>
      </w:r>
      <w:proofErr w:type="spellStart"/>
      <w:r w:rsidRPr="00F9785F">
        <w:t>programme</w:t>
      </w:r>
      <w:proofErr w:type="spellEnd"/>
      <w:r w:rsidRPr="00F9785F">
        <w:t xml:space="preserve"> may dampen the creativity that Helios requires. A more suitable model is a phased one: a strong </w:t>
      </w:r>
      <w:proofErr w:type="spellStart"/>
      <w:r w:rsidRPr="00F9785F">
        <w:t>institutionalised</w:t>
      </w:r>
      <w:proofErr w:type="spellEnd"/>
      <w:r w:rsidRPr="00F9785F">
        <w:t xml:space="preserve"> model in the first 90 days to </w:t>
      </w:r>
      <w:proofErr w:type="spellStart"/>
      <w:r w:rsidRPr="00F9785F">
        <w:t>minimise</w:t>
      </w:r>
      <w:proofErr w:type="spellEnd"/>
      <w:r w:rsidRPr="00F9785F">
        <w:t xml:space="preserve"> role ambiguity and foster identification, and then a more </w:t>
      </w:r>
      <w:proofErr w:type="spellStart"/>
      <w:r w:rsidRPr="00F9785F">
        <w:t>individualised</w:t>
      </w:r>
      <w:proofErr w:type="spellEnd"/>
      <w:r w:rsidRPr="00F9785F">
        <w:t xml:space="preserve">, divestiture-light model in year one, where graduates can challenge and redefine their roles. Helios's risk of doing nothing is obvious: months of lost productivity for each new hire and months of time for graduates to consider staying with the </w:t>
      </w:r>
      <w:proofErr w:type="spellStart"/>
      <w:r w:rsidRPr="00F9785F">
        <w:t>organisation</w:t>
      </w:r>
      <w:proofErr w:type="spellEnd"/>
      <w:r w:rsidR="00455885" w:rsidRPr="00F9785F">
        <w:t>.</w:t>
      </w:r>
    </w:p>
    <w:p w14:paraId="0CCA417A" w14:textId="156ABC80" w:rsidR="004E4D56" w:rsidRPr="00F9785F" w:rsidRDefault="00455885" w:rsidP="00F9785F">
      <w:pPr>
        <w:spacing w:after="160"/>
      </w:pPr>
      <w:r w:rsidRPr="00F9785F">
        <w:t xml:space="preserve">The theory of psychological contract helps to understand why it is crucial that the way into the firm matters: newcomers develop ideas about what they believe the firm owes them, and when the firm delivers on this, it enhances work involvement and vice versa. Weave the </w:t>
      </w:r>
      <w:proofErr w:type="spellStart"/>
      <w:r w:rsidRPr="00F9785F">
        <w:t>organisation</w:t>
      </w:r>
      <w:proofErr w:type="spellEnd"/>
      <w:r w:rsidRPr="00F9785F">
        <w:t xml:space="preserve"> into the newcomers' self-concept as an integral part of </w:t>
      </w:r>
      <w:proofErr w:type="spellStart"/>
      <w:r w:rsidRPr="00F9785F">
        <w:t>socialisation</w:t>
      </w:r>
      <w:proofErr w:type="spellEnd"/>
      <w:r w:rsidRPr="00F9785F">
        <w:t xml:space="preserve">, closely related to the psychological contract and to knowledge-sharing </w:t>
      </w:r>
      <w:proofErr w:type="spellStart"/>
      <w:r w:rsidRPr="00F9785F">
        <w:t>behaviour</w:t>
      </w:r>
      <w:proofErr w:type="spellEnd"/>
      <w:r w:rsidRPr="00F9785F">
        <w:t>, is the deeper mechanism</w:t>
      </w:r>
      <w:r w:rsidR="00427331" w:rsidRPr="00F9785F">
        <w:t xml:space="preserve"> </w:t>
      </w:r>
      <w:r w:rsidR="00427331" w:rsidRPr="00F9785F">
        <w:fldChar w:fldCharType="begin" w:fldLock="1"/>
      </w:r>
      <w:r w:rsidR="00427331" w:rsidRPr="00F9785F">
        <w:instrText>ADDIN CSL_CITATION {"citationItems":[{"id":"ITEM-1","itemData":{"author":[{"dropping-particle":"","family":"Jiang","given":"Boliang","non-dropping-particle":"","parse-names":false,"suffix":""},{"dropping-particle":"","family":"Kumar","given":"Tribhuwan","non-dropping-particle":"","parse-names":false,"suffix":""},{"dropping-particle":"","family":"Rehman","given":"Nabeel","non-dropping-particle":"","parse-names":false,"suffix":""},{"dropping-particle":"","family":"Hameed","given":"Rizwana","non-dropping-particle":"","parse-names":false,"suffix":""},{"dropping-particle":"","family":"Kiziloglu","given":"Mehmet","non-dropping-particle":"","parse-names":false,"suffix":""},{"dropping-particle":"","family":"Israr","given":"Adan","non-dropping-particle":"","parse-names":false,"suffix":""}],"id":"ITEM-1","issued":{"date-parts":[["2022"]]},"title":"Role of Psychological Contracts in Enhancing Employee Creativity Through Knowledge Sharing: Do Boundary Conditions of Organization’s Socialization and Work-Related Curiosity Matter?","type":"article-journal"},"uris":["http://www.mendeley.com/documents/?uuid=61f2a0d4-a893-475b-85a3-490a2955556e"]}],"mendeley":{"formattedCitation":"(Jiang &lt;i&gt;et al.&lt;/i&gt;, 2022)","plainTextFormattedCitation":"(Jiang et al., 2022)","previouslyFormattedCitation":"(Jiang &lt;i&gt;et al.&lt;/i&gt;, 2022)"},"properties":{"noteIndex":0},"schema":"https://github.com/citation-style-language/schema/raw/master/csl-citation.json"}</w:instrText>
      </w:r>
      <w:r w:rsidR="00427331" w:rsidRPr="00F9785F">
        <w:fldChar w:fldCharType="separate"/>
      </w:r>
      <w:r w:rsidR="00427331" w:rsidRPr="00F9785F">
        <w:rPr>
          <w:noProof/>
        </w:rPr>
        <w:t xml:space="preserve">(Jiang </w:t>
      </w:r>
      <w:r w:rsidR="00427331" w:rsidRPr="00F9785F">
        <w:rPr>
          <w:i/>
          <w:noProof/>
        </w:rPr>
        <w:t>et al.</w:t>
      </w:r>
      <w:r w:rsidR="00427331" w:rsidRPr="00F9785F">
        <w:rPr>
          <w:noProof/>
        </w:rPr>
        <w:t>, 2022)</w:t>
      </w:r>
      <w:r w:rsidR="00427331" w:rsidRPr="00F9785F">
        <w:fldChar w:fldCharType="end"/>
      </w:r>
      <w:r w:rsidRPr="00F9785F">
        <w:t>. This engagement of 54 per cent is particularly alarming when Gallup</w:t>
      </w:r>
      <w:r w:rsidR="005F334F" w:rsidRPr="00F9785F">
        <w:t xml:space="preserve"> regional data</w:t>
      </w:r>
      <w:r w:rsidRPr="00F9785F">
        <w:t xml:space="preserve"> </w:t>
      </w:r>
      <w:r w:rsidR="005F334F" w:rsidRPr="00F9785F">
        <w:t>shows that Europe records the lowest employee engagement of any region, with only 12% of employees engaged compared with a global average of 20%</w:t>
      </w:r>
      <w:r w:rsidR="00427331" w:rsidRPr="00F9785F">
        <w:t xml:space="preserve"> </w:t>
      </w:r>
      <w:r w:rsidR="00427331" w:rsidRPr="00F9785F">
        <w:fldChar w:fldCharType="begin" w:fldLock="1"/>
      </w:r>
      <w:r w:rsidR="007C11BB" w:rsidRPr="00F9785F">
        <w:instrText>ADDIN CSL_CITATION {"citationItems":[{"id":"ITEM-1","itemData":{"author":[{"dropping-particle":"","family":"Vigers","given":"Benedict","non-dropping-particle":"","parse-names":false,"suffix":""}],"id":"ITEM-1","issued":{"date-parts":[["2026"]]},"title":"Europeans Upbeat on Job Market but Not Engaged at Work","type":"article-journal"},"uris":["http://www.mendeley.com/documents/?uuid=dcde3e6f-7b6f-4eb2-a611-6570881ddc55"]}],"mendeley":{"formattedCitation":"(Vigers, 2026)","plainTextFormattedCitation":"(Vigers, 2026)","previouslyFormattedCitation":"(Vigers, 2026)"},"properties":{"noteIndex":0},"schema":"https://github.com/citation-style-language/schema/raw/master/csl-citation.json"}</w:instrText>
      </w:r>
      <w:r w:rsidR="00427331" w:rsidRPr="00F9785F">
        <w:fldChar w:fldCharType="separate"/>
      </w:r>
      <w:r w:rsidR="00427331" w:rsidRPr="00F9785F">
        <w:rPr>
          <w:noProof/>
        </w:rPr>
        <w:t>(Vigers, 2026)</w:t>
      </w:r>
      <w:r w:rsidR="00427331" w:rsidRPr="00F9785F">
        <w:fldChar w:fldCharType="end"/>
      </w:r>
      <w:r w:rsidR="00F938AB" w:rsidRPr="00F9785F">
        <w:t>.</w:t>
      </w:r>
      <w:r w:rsidRPr="00F9785F">
        <w:t xml:space="preserve"> Helios' contract with graduates is being breached in part with unmet promises around the three pillars of development, belonging and impact, which are now starting to undermine the economy globally.</w:t>
      </w:r>
    </w:p>
    <w:p w14:paraId="463E9114" w14:textId="77777777" w:rsidR="004E4D56" w:rsidRPr="00F9785F" w:rsidRDefault="00000000" w:rsidP="00F9785F">
      <w:pPr>
        <w:pStyle w:val="Heading2"/>
      </w:pPr>
      <w:bookmarkStart w:id="11" w:name="_Toc232420210"/>
      <w:bookmarkStart w:id="12" w:name="_Toc232420251"/>
      <w:bookmarkStart w:id="13" w:name="_Toc232513600"/>
      <w:r w:rsidRPr="00F9785F">
        <w:t xml:space="preserve">2.2 A structured </w:t>
      </w:r>
      <w:proofErr w:type="spellStart"/>
      <w:r w:rsidRPr="00F9785F">
        <w:t>socialisation</w:t>
      </w:r>
      <w:proofErr w:type="spellEnd"/>
      <w:r w:rsidRPr="00F9785F">
        <w:t xml:space="preserve"> framework for Helios</w:t>
      </w:r>
      <w:bookmarkEnd w:id="11"/>
      <w:bookmarkEnd w:id="12"/>
      <w:bookmarkEnd w:id="13"/>
    </w:p>
    <w:p w14:paraId="69508919" w14:textId="18667AEC" w:rsidR="004E4D56" w:rsidRPr="00F9785F" w:rsidRDefault="00455885" w:rsidP="00F9785F">
      <w:pPr>
        <w:spacing w:after="160"/>
      </w:pPr>
      <w:r w:rsidRPr="00F9785F">
        <w:t xml:space="preserve">The proposed framework has 3 steps as </w:t>
      </w:r>
      <w:proofErr w:type="spellStart"/>
      <w:r w:rsidRPr="00F9785F">
        <w:t>summarised</w:t>
      </w:r>
      <w:proofErr w:type="spellEnd"/>
      <w:r w:rsidRPr="00F9785F">
        <w:t xml:space="preserve"> in Table 1. Helios should provide realistic role previews, provide a peer “mobility buddy” and share their civic impact mission with them prior to day one. This sequential approach includes formal induction into a cohort, systematic onboarding manager check-in points at 30, 60 and 90 days as well as intentional relationship-building, and results in an indirect relationship between </w:t>
      </w:r>
      <w:proofErr w:type="spellStart"/>
      <w:r w:rsidRPr="00F9785F">
        <w:t>socialisation</w:t>
      </w:r>
      <w:proofErr w:type="spellEnd"/>
      <w:r w:rsidRPr="00F9785F">
        <w:t xml:space="preserve"> tactics and engagement and well-being through the mediating role of perceived </w:t>
      </w:r>
      <w:proofErr w:type="spellStart"/>
      <w:r w:rsidRPr="00F9785F">
        <w:t>organisational</w:t>
      </w:r>
      <w:proofErr w:type="spellEnd"/>
      <w:r w:rsidRPr="00F9785F">
        <w:t xml:space="preserve"> support and on-the-job embeddedness, as indicated by a two-</w:t>
      </w:r>
      <w:r w:rsidRPr="00F9785F">
        <w:lastRenderedPageBreak/>
        <w:t xml:space="preserve">wave study. At year one, belonging is reinforced through rotational projects, mentoring and a six-month identity review. This </w:t>
      </w:r>
      <w:proofErr w:type="spellStart"/>
      <w:r w:rsidRPr="00F9785F">
        <w:t>institutionalised</w:t>
      </w:r>
      <w:proofErr w:type="spellEnd"/>
      <w:r w:rsidRPr="00F9785F">
        <w:t xml:space="preserve"> design is supported because it introduces </w:t>
      </w:r>
      <w:proofErr w:type="gramStart"/>
      <w:r w:rsidRPr="00F9785F">
        <w:t>a</w:t>
      </w:r>
      <w:proofErr w:type="gramEnd"/>
      <w:r w:rsidRPr="00F9785F">
        <w:t xml:space="preserve"> 8-months drift to a </w:t>
      </w:r>
      <w:proofErr w:type="spellStart"/>
      <w:r w:rsidRPr="00F9785F">
        <w:t>formalised</w:t>
      </w:r>
      <w:proofErr w:type="spellEnd"/>
      <w:r w:rsidRPr="00F9785F">
        <w:t xml:space="preserve"> learning process, and because engaging managers and co-workers with onboarding, not just corporate welcome, most effectively helps to lower turnover intention through identification and well</w:t>
      </w:r>
      <w:r w:rsidR="00A7698A" w:rsidRPr="00F9785F">
        <w:t>-</w:t>
      </w:r>
      <w:r w:rsidRPr="00F9785F">
        <w:t>being. Accountability for integration should never be unclear; it should be clearly defined for each phase: talent acquisition for pre-boarding, line managers for the first 90 days, and a mentor and HR business partner for year one.</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900"/>
        <w:gridCol w:w="1700"/>
        <w:gridCol w:w="3760"/>
        <w:gridCol w:w="2000"/>
      </w:tblGrid>
      <w:tr w:rsidR="004E4D56" w:rsidRPr="00F9785F" w14:paraId="50B86442" w14:textId="77777777" w:rsidTr="00455885">
        <w:tc>
          <w:tcPr>
            <w:tcW w:w="1900" w:type="dxa"/>
            <w:tcBorders>
              <w:top w:val="single" w:sz="1" w:space="0" w:color="BFBFBF"/>
              <w:left w:val="single" w:sz="1" w:space="0" w:color="BFBFBF"/>
              <w:bottom w:val="single" w:sz="1" w:space="0" w:color="BFBFBF"/>
              <w:right w:val="single" w:sz="1" w:space="0" w:color="BFBFBF"/>
            </w:tcBorders>
            <w:tcMar>
              <w:top w:w="80" w:type="dxa"/>
              <w:left w:w="120" w:type="dxa"/>
              <w:bottom w:w="80" w:type="dxa"/>
              <w:right w:w="120" w:type="dxa"/>
            </w:tcMar>
          </w:tcPr>
          <w:p w14:paraId="51A8864F" w14:textId="77777777" w:rsidR="004E4D56" w:rsidRPr="00F9785F" w:rsidRDefault="00000000" w:rsidP="00F9785F">
            <w:r w:rsidRPr="00F9785F">
              <w:rPr>
                <w:b/>
                <w:bCs/>
              </w:rPr>
              <w:t>Phase</w:t>
            </w:r>
          </w:p>
        </w:tc>
        <w:tc>
          <w:tcPr>
            <w:tcW w:w="1700" w:type="dxa"/>
            <w:tcBorders>
              <w:top w:val="single" w:sz="1" w:space="0" w:color="BFBFBF"/>
              <w:left w:val="single" w:sz="1" w:space="0" w:color="BFBFBF"/>
              <w:bottom w:val="single" w:sz="1" w:space="0" w:color="BFBFBF"/>
              <w:right w:val="single" w:sz="1" w:space="0" w:color="BFBFBF"/>
            </w:tcBorders>
            <w:tcMar>
              <w:top w:w="80" w:type="dxa"/>
              <w:left w:w="120" w:type="dxa"/>
              <w:bottom w:w="80" w:type="dxa"/>
              <w:right w:w="120" w:type="dxa"/>
            </w:tcMar>
          </w:tcPr>
          <w:p w14:paraId="493552B3" w14:textId="77777777" w:rsidR="004E4D56" w:rsidRPr="00F9785F" w:rsidRDefault="00000000" w:rsidP="00F9785F">
            <w:r w:rsidRPr="00F9785F">
              <w:rPr>
                <w:b/>
                <w:bCs/>
              </w:rPr>
              <w:t>Timing</w:t>
            </w:r>
          </w:p>
        </w:tc>
        <w:tc>
          <w:tcPr>
            <w:tcW w:w="3760" w:type="dxa"/>
            <w:tcBorders>
              <w:top w:val="single" w:sz="1" w:space="0" w:color="BFBFBF"/>
              <w:left w:val="single" w:sz="1" w:space="0" w:color="BFBFBF"/>
              <w:bottom w:val="single" w:sz="1" w:space="0" w:color="BFBFBF"/>
              <w:right w:val="single" w:sz="1" w:space="0" w:color="BFBFBF"/>
            </w:tcBorders>
            <w:tcMar>
              <w:top w:w="80" w:type="dxa"/>
              <w:left w:w="120" w:type="dxa"/>
              <w:bottom w:w="80" w:type="dxa"/>
              <w:right w:w="120" w:type="dxa"/>
            </w:tcMar>
          </w:tcPr>
          <w:p w14:paraId="1DB27A3E" w14:textId="77777777" w:rsidR="004E4D56" w:rsidRPr="00F9785F" w:rsidRDefault="00000000" w:rsidP="00F9785F">
            <w:r w:rsidRPr="00F9785F">
              <w:rPr>
                <w:b/>
                <w:bCs/>
              </w:rPr>
              <w:t>Key activities</w:t>
            </w:r>
          </w:p>
        </w:tc>
        <w:tc>
          <w:tcPr>
            <w:tcW w:w="2000" w:type="dxa"/>
            <w:tcBorders>
              <w:top w:val="single" w:sz="1" w:space="0" w:color="BFBFBF"/>
              <w:left w:val="single" w:sz="1" w:space="0" w:color="BFBFBF"/>
              <w:bottom w:val="single" w:sz="1" w:space="0" w:color="BFBFBF"/>
              <w:right w:val="single" w:sz="1" w:space="0" w:color="BFBFBF"/>
            </w:tcBorders>
            <w:tcMar>
              <w:top w:w="80" w:type="dxa"/>
              <w:left w:w="120" w:type="dxa"/>
              <w:bottom w:w="80" w:type="dxa"/>
              <w:right w:w="120" w:type="dxa"/>
            </w:tcMar>
          </w:tcPr>
          <w:p w14:paraId="63084E80" w14:textId="77777777" w:rsidR="004E4D56" w:rsidRPr="00F9785F" w:rsidRDefault="00000000" w:rsidP="00F9785F">
            <w:r w:rsidRPr="00F9785F">
              <w:rPr>
                <w:b/>
                <w:bCs/>
              </w:rPr>
              <w:t>Intended outcome</w:t>
            </w:r>
          </w:p>
        </w:tc>
      </w:tr>
      <w:tr w:rsidR="004E4D56" w:rsidRPr="00F9785F" w14:paraId="0B06B508" w14:textId="77777777">
        <w:tc>
          <w:tcPr>
            <w:tcW w:w="1900" w:type="dxa"/>
            <w:tcBorders>
              <w:top w:val="single" w:sz="1" w:space="0" w:color="BFBFBF"/>
              <w:left w:val="single" w:sz="1" w:space="0" w:color="BFBFBF"/>
              <w:bottom w:val="single" w:sz="1" w:space="0" w:color="BFBFBF"/>
              <w:right w:val="single" w:sz="1" w:space="0" w:color="BFBFBF"/>
            </w:tcBorders>
            <w:shd w:val="clear" w:color="auto" w:fill="FFFFFF"/>
            <w:tcMar>
              <w:top w:w="80" w:type="dxa"/>
              <w:left w:w="120" w:type="dxa"/>
              <w:bottom w:w="80" w:type="dxa"/>
              <w:right w:w="120" w:type="dxa"/>
            </w:tcMar>
          </w:tcPr>
          <w:p w14:paraId="4CEB170F" w14:textId="77777777" w:rsidR="004E4D56" w:rsidRPr="00F9785F" w:rsidRDefault="00000000" w:rsidP="00F9785F">
            <w:r w:rsidRPr="00F9785F">
              <w:rPr>
                <w:color w:val="000000"/>
              </w:rPr>
              <w:t>Pre-boarding</w:t>
            </w:r>
          </w:p>
        </w:tc>
        <w:tc>
          <w:tcPr>
            <w:tcW w:w="1700" w:type="dxa"/>
            <w:tcBorders>
              <w:top w:val="single" w:sz="1" w:space="0" w:color="BFBFBF"/>
              <w:left w:val="single" w:sz="1" w:space="0" w:color="BFBFBF"/>
              <w:bottom w:val="single" w:sz="1" w:space="0" w:color="BFBFBF"/>
              <w:right w:val="single" w:sz="1" w:space="0" w:color="BFBFBF"/>
            </w:tcBorders>
            <w:shd w:val="clear" w:color="auto" w:fill="FFFFFF"/>
            <w:tcMar>
              <w:top w:w="80" w:type="dxa"/>
              <w:left w:w="120" w:type="dxa"/>
              <w:bottom w:w="80" w:type="dxa"/>
              <w:right w:w="120" w:type="dxa"/>
            </w:tcMar>
          </w:tcPr>
          <w:p w14:paraId="71E0878B" w14:textId="77777777" w:rsidR="004E4D56" w:rsidRPr="00F9785F" w:rsidRDefault="00000000" w:rsidP="00F9785F">
            <w:r w:rsidRPr="00F9785F">
              <w:rPr>
                <w:color w:val="000000"/>
              </w:rPr>
              <w:t>Offer to day 1</w:t>
            </w:r>
          </w:p>
        </w:tc>
        <w:tc>
          <w:tcPr>
            <w:tcW w:w="3760" w:type="dxa"/>
            <w:tcBorders>
              <w:top w:val="single" w:sz="1" w:space="0" w:color="BFBFBF"/>
              <w:left w:val="single" w:sz="1" w:space="0" w:color="BFBFBF"/>
              <w:bottom w:val="single" w:sz="1" w:space="0" w:color="BFBFBF"/>
              <w:right w:val="single" w:sz="1" w:space="0" w:color="BFBFBF"/>
            </w:tcBorders>
            <w:shd w:val="clear" w:color="auto" w:fill="FFFFFF"/>
            <w:tcMar>
              <w:top w:w="80" w:type="dxa"/>
              <w:left w:w="120" w:type="dxa"/>
              <w:bottom w:w="80" w:type="dxa"/>
              <w:right w:w="120" w:type="dxa"/>
            </w:tcMar>
          </w:tcPr>
          <w:p w14:paraId="4DBCCB51" w14:textId="77777777" w:rsidR="004E4D56" w:rsidRPr="00F9785F" w:rsidRDefault="00000000" w:rsidP="00F9785F">
            <w:r w:rsidRPr="00F9785F">
              <w:rPr>
                <w:color w:val="000000"/>
              </w:rPr>
              <w:t>Realistic role preview; mobility-buddy assignment; civic-mission storytelling; logistics</w:t>
            </w:r>
          </w:p>
        </w:tc>
        <w:tc>
          <w:tcPr>
            <w:tcW w:w="2000" w:type="dxa"/>
            <w:tcBorders>
              <w:top w:val="single" w:sz="1" w:space="0" w:color="BFBFBF"/>
              <w:left w:val="single" w:sz="1" w:space="0" w:color="BFBFBF"/>
              <w:bottom w:val="single" w:sz="1" w:space="0" w:color="BFBFBF"/>
              <w:right w:val="single" w:sz="1" w:space="0" w:color="BFBFBF"/>
            </w:tcBorders>
            <w:shd w:val="clear" w:color="auto" w:fill="FFFFFF"/>
            <w:tcMar>
              <w:top w:w="80" w:type="dxa"/>
              <w:left w:w="120" w:type="dxa"/>
              <w:bottom w:w="80" w:type="dxa"/>
              <w:right w:w="120" w:type="dxa"/>
            </w:tcMar>
          </w:tcPr>
          <w:p w14:paraId="5ED0CAF3" w14:textId="77777777" w:rsidR="004E4D56" w:rsidRPr="00F9785F" w:rsidRDefault="00000000" w:rsidP="00F9785F">
            <w:r w:rsidRPr="00F9785F">
              <w:rPr>
                <w:color w:val="000000"/>
              </w:rPr>
              <w:t>Lower uncertainty; early identification</w:t>
            </w:r>
          </w:p>
        </w:tc>
      </w:tr>
      <w:tr w:rsidR="004E4D56" w:rsidRPr="00F9785F" w14:paraId="4263C929" w14:textId="77777777">
        <w:tc>
          <w:tcPr>
            <w:tcW w:w="1900" w:type="dxa"/>
            <w:tcBorders>
              <w:top w:val="single" w:sz="1" w:space="0" w:color="BFBFBF"/>
              <w:left w:val="single" w:sz="1" w:space="0" w:color="BFBFBF"/>
              <w:bottom w:val="single" w:sz="1" w:space="0" w:color="BFBFBF"/>
              <w:right w:val="single" w:sz="1" w:space="0" w:color="BFBFBF"/>
            </w:tcBorders>
            <w:shd w:val="clear" w:color="auto" w:fill="FFFFFF"/>
            <w:tcMar>
              <w:top w:w="80" w:type="dxa"/>
              <w:left w:w="120" w:type="dxa"/>
              <w:bottom w:w="80" w:type="dxa"/>
              <w:right w:w="120" w:type="dxa"/>
            </w:tcMar>
          </w:tcPr>
          <w:p w14:paraId="1B5BA4D6" w14:textId="77777777" w:rsidR="004E4D56" w:rsidRPr="00F9785F" w:rsidRDefault="00000000" w:rsidP="00F9785F">
            <w:r w:rsidRPr="00F9785F">
              <w:rPr>
                <w:color w:val="000000"/>
              </w:rPr>
              <w:t>First 90 days</w:t>
            </w:r>
          </w:p>
        </w:tc>
        <w:tc>
          <w:tcPr>
            <w:tcW w:w="1700" w:type="dxa"/>
            <w:tcBorders>
              <w:top w:val="single" w:sz="1" w:space="0" w:color="BFBFBF"/>
              <w:left w:val="single" w:sz="1" w:space="0" w:color="BFBFBF"/>
              <w:bottom w:val="single" w:sz="1" w:space="0" w:color="BFBFBF"/>
              <w:right w:val="single" w:sz="1" w:space="0" w:color="BFBFBF"/>
            </w:tcBorders>
            <w:shd w:val="clear" w:color="auto" w:fill="FFFFFF"/>
            <w:tcMar>
              <w:top w:w="80" w:type="dxa"/>
              <w:left w:w="120" w:type="dxa"/>
              <w:bottom w:w="80" w:type="dxa"/>
              <w:right w:w="120" w:type="dxa"/>
            </w:tcMar>
          </w:tcPr>
          <w:p w14:paraId="25CF70AC" w14:textId="77777777" w:rsidR="004E4D56" w:rsidRPr="00F9785F" w:rsidRDefault="00000000" w:rsidP="00F9785F">
            <w:r w:rsidRPr="00F9785F">
              <w:rPr>
                <w:color w:val="000000"/>
              </w:rPr>
              <w:t>Days 1–90</w:t>
            </w:r>
          </w:p>
        </w:tc>
        <w:tc>
          <w:tcPr>
            <w:tcW w:w="3760" w:type="dxa"/>
            <w:tcBorders>
              <w:top w:val="single" w:sz="1" w:space="0" w:color="BFBFBF"/>
              <w:left w:val="single" w:sz="1" w:space="0" w:color="BFBFBF"/>
              <w:bottom w:val="single" w:sz="1" w:space="0" w:color="BFBFBF"/>
              <w:right w:val="single" w:sz="1" w:space="0" w:color="BFBFBF"/>
            </w:tcBorders>
            <w:shd w:val="clear" w:color="auto" w:fill="FFFFFF"/>
            <w:tcMar>
              <w:top w:w="80" w:type="dxa"/>
              <w:left w:w="120" w:type="dxa"/>
              <w:bottom w:w="80" w:type="dxa"/>
              <w:right w:w="120" w:type="dxa"/>
            </w:tcMar>
          </w:tcPr>
          <w:p w14:paraId="2222428A" w14:textId="77777777" w:rsidR="004E4D56" w:rsidRPr="00F9785F" w:rsidRDefault="00000000" w:rsidP="00F9785F">
            <w:r w:rsidRPr="00F9785F">
              <w:rPr>
                <w:color w:val="000000"/>
              </w:rPr>
              <w:t>Cohort induction; 30/60/90 manager check-ins; embeddedness and network building</w:t>
            </w:r>
          </w:p>
        </w:tc>
        <w:tc>
          <w:tcPr>
            <w:tcW w:w="2000" w:type="dxa"/>
            <w:tcBorders>
              <w:top w:val="single" w:sz="1" w:space="0" w:color="BFBFBF"/>
              <w:left w:val="single" w:sz="1" w:space="0" w:color="BFBFBF"/>
              <w:bottom w:val="single" w:sz="1" w:space="0" w:color="BFBFBF"/>
              <w:right w:val="single" w:sz="1" w:space="0" w:color="BFBFBF"/>
            </w:tcBorders>
            <w:shd w:val="clear" w:color="auto" w:fill="FFFFFF"/>
            <w:tcMar>
              <w:top w:w="80" w:type="dxa"/>
              <w:left w:w="120" w:type="dxa"/>
              <w:bottom w:w="80" w:type="dxa"/>
              <w:right w:w="120" w:type="dxa"/>
            </w:tcMar>
          </w:tcPr>
          <w:p w14:paraId="175F699F" w14:textId="77777777" w:rsidR="004E4D56" w:rsidRPr="00F9785F" w:rsidRDefault="00000000" w:rsidP="00F9785F">
            <w:r w:rsidRPr="00F9785F">
              <w:rPr>
                <w:color w:val="000000"/>
              </w:rPr>
              <w:t>Role clarity; engagement; support</w:t>
            </w:r>
          </w:p>
        </w:tc>
      </w:tr>
      <w:tr w:rsidR="004E4D56" w:rsidRPr="00F9785F" w14:paraId="3EC6175D" w14:textId="77777777">
        <w:tc>
          <w:tcPr>
            <w:tcW w:w="1900" w:type="dxa"/>
            <w:tcBorders>
              <w:top w:val="single" w:sz="1" w:space="0" w:color="BFBFBF"/>
              <w:left w:val="single" w:sz="1" w:space="0" w:color="BFBFBF"/>
              <w:bottom w:val="single" w:sz="1" w:space="0" w:color="BFBFBF"/>
              <w:right w:val="single" w:sz="1" w:space="0" w:color="BFBFBF"/>
            </w:tcBorders>
            <w:shd w:val="clear" w:color="auto" w:fill="FFFFFF"/>
            <w:tcMar>
              <w:top w:w="80" w:type="dxa"/>
              <w:left w:w="120" w:type="dxa"/>
              <w:bottom w:w="80" w:type="dxa"/>
              <w:right w:w="120" w:type="dxa"/>
            </w:tcMar>
          </w:tcPr>
          <w:p w14:paraId="0928FFEA" w14:textId="77777777" w:rsidR="004E4D56" w:rsidRPr="00F9785F" w:rsidRDefault="00000000" w:rsidP="00F9785F">
            <w:r w:rsidRPr="00F9785F">
              <w:rPr>
                <w:color w:val="000000"/>
              </w:rPr>
              <w:t>Year one</w:t>
            </w:r>
          </w:p>
        </w:tc>
        <w:tc>
          <w:tcPr>
            <w:tcW w:w="1700" w:type="dxa"/>
            <w:tcBorders>
              <w:top w:val="single" w:sz="1" w:space="0" w:color="BFBFBF"/>
              <w:left w:val="single" w:sz="1" w:space="0" w:color="BFBFBF"/>
              <w:bottom w:val="single" w:sz="1" w:space="0" w:color="BFBFBF"/>
              <w:right w:val="single" w:sz="1" w:space="0" w:color="BFBFBF"/>
            </w:tcBorders>
            <w:shd w:val="clear" w:color="auto" w:fill="FFFFFF"/>
            <w:tcMar>
              <w:top w:w="80" w:type="dxa"/>
              <w:left w:w="120" w:type="dxa"/>
              <w:bottom w:w="80" w:type="dxa"/>
              <w:right w:w="120" w:type="dxa"/>
            </w:tcMar>
          </w:tcPr>
          <w:p w14:paraId="04EE7B91" w14:textId="77777777" w:rsidR="004E4D56" w:rsidRPr="00F9785F" w:rsidRDefault="00000000" w:rsidP="00F9785F">
            <w:r w:rsidRPr="00F9785F">
              <w:rPr>
                <w:color w:val="000000"/>
              </w:rPr>
              <w:t>Months 4–12</w:t>
            </w:r>
          </w:p>
        </w:tc>
        <w:tc>
          <w:tcPr>
            <w:tcW w:w="3760" w:type="dxa"/>
            <w:tcBorders>
              <w:top w:val="single" w:sz="1" w:space="0" w:color="BFBFBF"/>
              <w:left w:val="single" w:sz="1" w:space="0" w:color="BFBFBF"/>
              <w:bottom w:val="single" w:sz="1" w:space="0" w:color="BFBFBF"/>
              <w:right w:val="single" w:sz="1" w:space="0" w:color="BFBFBF"/>
            </w:tcBorders>
            <w:shd w:val="clear" w:color="auto" w:fill="FFFFFF"/>
            <w:tcMar>
              <w:top w:w="80" w:type="dxa"/>
              <w:left w:w="120" w:type="dxa"/>
              <w:bottom w:w="80" w:type="dxa"/>
              <w:right w:w="120" w:type="dxa"/>
            </w:tcMar>
          </w:tcPr>
          <w:p w14:paraId="4C072F0F" w14:textId="77777777" w:rsidR="004E4D56" w:rsidRPr="00F9785F" w:rsidRDefault="00000000" w:rsidP="00F9785F">
            <w:r w:rsidRPr="00F9785F">
              <w:rPr>
                <w:color w:val="000000"/>
              </w:rPr>
              <w:t>Rotational projects; mentoring; six-month identity review; stakeholder-impact goals</w:t>
            </w:r>
          </w:p>
        </w:tc>
        <w:tc>
          <w:tcPr>
            <w:tcW w:w="2000" w:type="dxa"/>
            <w:tcBorders>
              <w:top w:val="single" w:sz="1" w:space="0" w:color="BFBFBF"/>
              <w:left w:val="single" w:sz="1" w:space="0" w:color="BFBFBF"/>
              <w:bottom w:val="single" w:sz="1" w:space="0" w:color="BFBFBF"/>
              <w:right w:val="single" w:sz="1" w:space="0" w:color="BFBFBF"/>
            </w:tcBorders>
            <w:shd w:val="clear" w:color="auto" w:fill="FFFFFF"/>
            <w:tcMar>
              <w:top w:w="80" w:type="dxa"/>
              <w:left w:w="120" w:type="dxa"/>
              <w:bottom w:w="80" w:type="dxa"/>
              <w:right w:w="120" w:type="dxa"/>
            </w:tcMar>
          </w:tcPr>
          <w:p w14:paraId="4AA533EE" w14:textId="77777777" w:rsidR="004E4D56" w:rsidRPr="00F9785F" w:rsidRDefault="00000000" w:rsidP="00F9785F">
            <w:r w:rsidRPr="00F9785F">
              <w:rPr>
                <w:color w:val="000000"/>
              </w:rPr>
              <w:t>Belonging; commitment; retention</w:t>
            </w:r>
          </w:p>
        </w:tc>
      </w:tr>
    </w:tbl>
    <w:p w14:paraId="507B25D3" w14:textId="77777777" w:rsidR="004E4D56" w:rsidRPr="00F9785F" w:rsidRDefault="00000000" w:rsidP="00F9785F">
      <w:pPr>
        <w:spacing w:before="60" w:after="200"/>
      </w:pPr>
      <w:r w:rsidRPr="00F9785F">
        <w:rPr>
          <w:i/>
          <w:iCs/>
          <w:sz w:val="20"/>
          <w:szCs w:val="20"/>
        </w:rPr>
        <w:t xml:space="preserve">Table 1: A three-phase strategic </w:t>
      </w:r>
      <w:proofErr w:type="spellStart"/>
      <w:r w:rsidRPr="00F9785F">
        <w:rPr>
          <w:i/>
          <w:iCs/>
          <w:sz w:val="20"/>
          <w:szCs w:val="20"/>
        </w:rPr>
        <w:t>socialisation</w:t>
      </w:r>
      <w:proofErr w:type="spellEnd"/>
      <w:r w:rsidRPr="00F9785F">
        <w:rPr>
          <w:i/>
          <w:iCs/>
          <w:sz w:val="20"/>
          <w:szCs w:val="20"/>
        </w:rPr>
        <w:t xml:space="preserve"> framework for Helios (author’s own elaboration).</w:t>
      </w:r>
    </w:p>
    <w:p w14:paraId="1F66DDBB" w14:textId="77777777" w:rsidR="004E4D56" w:rsidRPr="00F9785F" w:rsidRDefault="00000000" w:rsidP="00F9785F">
      <w:pPr>
        <w:pStyle w:val="Heading2"/>
      </w:pPr>
      <w:bookmarkStart w:id="14" w:name="_Toc232420211"/>
      <w:bookmarkStart w:id="15" w:name="_Toc232420252"/>
      <w:bookmarkStart w:id="16" w:name="_Toc232513601"/>
      <w:r w:rsidRPr="00F9785F">
        <w:t>2.3 Cultivating identification, ethical professionalism and the business activist</w:t>
      </w:r>
      <w:bookmarkEnd w:id="14"/>
      <w:bookmarkEnd w:id="15"/>
      <w:bookmarkEnd w:id="16"/>
    </w:p>
    <w:p w14:paraId="48550CC0" w14:textId="34995B06" w:rsidR="004E4D56" w:rsidRPr="00F9785F" w:rsidRDefault="00455885" w:rsidP="00F9785F">
      <w:pPr>
        <w:spacing w:after="160"/>
      </w:pPr>
      <w:r w:rsidRPr="00F9785F">
        <w:t>Responding to these high-performance HR practices, along with a fair culture and a genuine internal communication, a recent study provides evidence that deepens employee identification with Helios, thereby increasing their commitment</w:t>
      </w:r>
      <w:r w:rsidR="007C11BB" w:rsidRPr="00F9785F">
        <w:t xml:space="preserve"> </w:t>
      </w:r>
      <w:r w:rsidR="007C11BB" w:rsidRPr="00F9785F">
        <w:fldChar w:fldCharType="begin" w:fldLock="1"/>
      </w:r>
      <w:r w:rsidR="007C11BB" w:rsidRPr="00F9785F">
        <w:instrText>ADDIN CSL_CITATION {"citationItems":[{"id":"ITEM-1","itemData":{"author":[{"dropping-particle":"","family":"Yang","given":"Yifan","non-dropping-particle":"","parse-names":false,"suffix":""},{"dropping-particle":"","family":"Mostafa","given":"Ahmed Mohammed Sayed","non-dropping-particle":"","parse-names":false,"suffix":""}],"id":"ITEM-1","issued":{"date-parts":[["2024"]]},"title":"High-performance human resource practices, organizational identification and employee commitment: the moderating role of organizational culture","type":"article-journal"},"uris":["http://www.mendeley.com/documents/?uuid=3e67bc84-5b37-4a21-9d89-c69afc04ffc6"]}],"mendeley":{"formattedCitation":"(Yang and Mostafa, 2024)","plainTextFormattedCitation":"(Yang and Mostafa, 2024)","previouslyFormattedCitation":"(Yang and Mostafa, 2024)"},"properties":{"noteIndex":0},"schema":"https://github.com/citation-style-language/schema/raw/master/csl-citation.json"}</w:instrText>
      </w:r>
      <w:r w:rsidR="007C11BB" w:rsidRPr="00F9785F">
        <w:fldChar w:fldCharType="separate"/>
      </w:r>
      <w:r w:rsidR="007C11BB" w:rsidRPr="00F9785F">
        <w:rPr>
          <w:noProof/>
        </w:rPr>
        <w:t>(Yang and Mostafa, 2024)</w:t>
      </w:r>
      <w:r w:rsidR="007C11BB" w:rsidRPr="00F9785F">
        <w:fldChar w:fldCharType="end"/>
      </w:r>
      <w:r w:rsidRPr="00F9785F">
        <w:t xml:space="preserve">. Then we need to make responsible-AI and data-ethics part of the </w:t>
      </w:r>
      <w:r w:rsidRPr="00F9785F">
        <w:lastRenderedPageBreak/>
        <w:t xml:space="preserve">norms of our profession, by defining them as part of our ethical work, and to integrate them into the expectations of roles and into induction, so that civic-technology values are </w:t>
      </w:r>
      <w:proofErr w:type="spellStart"/>
      <w:r w:rsidRPr="00F9785F">
        <w:t>internalised</w:t>
      </w:r>
      <w:proofErr w:type="spellEnd"/>
      <w:r w:rsidRPr="00F9785F">
        <w:t xml:space="preserve"> as much as they are observed</w:t>
      </w:r>
      <w:r w:rsidR="007C11BB" w:rsidRPr="00F9785F">
        <w:t xml:space="preserve"> </w:t>
      </w:r>
      <w:r w:rsidR="007C11BB" w:rsidRPr="00F9785F">
        <w:fldChar w:fldCharType="begin" w:fldLock="1"/>
      </w:r>
      <w:r w:rsidR="007C11BB" w:rsidRPr="00F9785F">
        <w:instrText>ADDIN CSL_CITATION {"citationItems":[{"id":"ITEM-1","itemData":{"author":[{"dropping-particle":"","family":"UNESCO","given":"","non-dropping-particle":"","parse-names":false,"suffix":""}],"id":"ITEM-1","issued":{"date-parts":[["2026"]]},"title":"Ethics of Artificial Intelligence","type":"article-journal"},"uris":["http://www.mendeley.com/documents/?uuid=99b192c9-c575-4f39-a843-564756caa962"]}],"mendeley":{"formattedCitation":"(UNESCO, 2026)","plainTextFormattedCitation":"(UNESCO, 2026)","previouslyFormattedCitation":"(UNESCO, 2026)"},"properties":{"noteIndex":0},"schema":"https://github.com/citation-style-language/schema/raw/master/csl-citation.json"}</w:instrText>
      </w:r>
      <w:r w:rsidR="007C11BB" w:rsidRPr="00F9785F">
        <w:fldChar w:fldCharType="separate"/>
      </w:r>
      <w:r w:rsidR="007C11BB" w:rsidRPr="00F9785F">
        <w:rPr>
          <w:noProof/>
        </w:rPr>
        <w:t>(UNESCO, 2026)</w:t>
      </w:r>
      <w:r w:rsidR="007C11BB" w:rsidRPr="00F9785F">
        <w:fldChar w:fldCharType="end"/>
      </w:r>
      <w:r w:rsidRPr="00F9785F">
        <w:t>. Lastly, the “business activist” is part of the HR model that Ulrich calls the “business partner/change agent”, in which HR professionals impact strategy and influence culture</w:t>
      </w:r>
      <w:r w:rsidR="007C11BB" w:rsidRPr="00F9785F">
        <w:t xml:space="preserve"> </w:t>
      </w:r>
      <w:r w:rsidR="007C11BB" w:rsidRPr="00F9785F">
        <w:fldChar w:fldCharType="begin" w:fldLock="1"/>
      </w:r>
      <w:r w:rsidR="007C11BB" w:rsidRPr="00F9785F">
        <w:instrText>ADDIN CSL_CITATION {"citationItems":[{"id":"ITEM-1","itemData":{"author":[{"dropping-particle":"","family":"Somu","given":"Subbulakshmi","non-dropping-particle":"","parse-names":false,"suffix":""},{"dropping-particle":"","family":"Jayavel","given":"J","non-dropping-particle":"","parse-names":false,"suffix":""}],"id":"ITEM-1","issued":{"date-parts":[["2024"]]},"title":"THE PRACTICE OF ULRICH’S FOUR-ROLE MODEL OF HR EXECUTIVES: COMPARING EVIDENCE FROM HR AND NON-HR EXECUTIVES","type":"article-journal"},"uris":["http://www.mendeley.com/documents/?uuid=590373b8-a137-4ce5-9394-fdb583610948"]}],"mendeley":{"formattedCitation":"(Somu and Jayavel, 2024)","plainTextFormattedCitation":"(Somu and Jayavel, 2024)","previouslyFormattedCitation":"(Somu and Jayavel, 2024)"},"properties":{"noteIndex":0},"schema":"https://github.com/citation-style-language/schema/raw/master/csl-citation.json"}</w:instrText>
      </w:r>
      <w:r w:rsidR="007C11BB" w:rsidRPr="00F9785F">
        <w:fldChar w:fldCharType="separate"/>
      </w:r>
      <w:r w:rsidR="007C11BB" w:rsidRPr="00F9785F">
        <w:rPr>
          <w:noProof/>
        </w:rPr>
        <w:t>(Somu and Jayavel, 2024)</w:t>
      </w:r>
      <w:r w:rsidR="007C11BB" w:rsidRPr="00F9785F">
        <w:fldChar w:fldCharType="end"/>
      </w:r>
      <w:r w:rsidRPr="00F9785F">
        <w:t>. This is directly linked to stakeholder capitalism as the World Economic Forum's Davos Manifesto states that a company's purpose is to generate shared value for all stakeholders, not shareholders only</w:t>
      </w:r>
      <w:r w:rsidR="007C11BB" w:rsidRPr="00F9785F">
        <w:t xml:space="preserve"> </w:t>
      </w:r>
      <w:r w:rsidR="007C11BB" w:rsidRPr="00F9785F">
        <w:fldChar w:fldCharType="begin" w:fldLock="1"/>
      </w:r>
      <w:r w:rsidR="007C11BB" w:rsidRPr="00F9785F">
        <w:instrText>ADDIN CSL_CITATION {"citationItems":[{"id":"ITEM-1","itemData":{"author":[{"dropping-particle":"","family":"World Economic Forum","given":"","non-dropping-particle":"","parse-names":false,"suffix":""}],"id":"ITEM-1","issued":{"date-parts":[["2020"]]},"title":"Stakeholder Capitalism: A Manifesto for a Cohesive and Sustainable World","type":"article-journal"},"uris":["http://www.mendeley.com/documents/?uuid=5e10d667-3644-404b-b4f9-109f8f485b73"]}],"mendeley":{"formattedCitation":"(World Economic Forum, 2020)","plainTextFormattedCitation":"(World Economic Forum, 2020)","previouslyFormattedCitation":"(World Economic Forum, 2020)"},"properties":{"noteIndex":0},"schema":"https://github.com/citation-style-language/schema/raw/master/csl-citation.json"}</w:instrText>
      </w:r>
      <w:r w:rsidR="007C11BB" w:rsidRPr="00F9785F">
        <w:fldChar w:fldCharType="separate"/>
      </w:r>
      <w:r w:rsidR="007C11BB" w:rsidRPr="00F9785F">
        <w:rPr>
          <w:noProof/>
        </w:rPr>
        <w:t>(World Economic Forum, 2020)</w:t>
      </w:r>
      <w:r w:rsidR="007C11BB" w:rsidRPr="00F9785F">
        <w:fldChar w:fldCharType="end"/>
      </w:r>
      <w:r w:rsidRPr="00F9785F">
        <w:t>. Helios can enable that by providing employees with objectives that impact stakeholders, with real voice, and with real accountability mechanisms to ensure the commitment is not just words, Brookings</w:t>
      </w:r>
      <w:r w:rsidR="00F938AB" w:rsidRPr="00F9785F">
        <w:t xml:space="preserve"> wrote</w:t>
      </w:r>
      <w:r w:rsidR="007C11BB" w:rsidRPr="00F9785F">
        <w:t xml:space="preserve"> </w:t>
      </w:r>
      <w:r w:rsidR="007C11BB" w:rsidRPr="00F9785F">
        <w:fldChar w:fldCharType="begin" w:fldLock="1"/>
      </w:r>
      <w:r w:rsidR="007C11BB" w:rsidRPr="00F9785F">
        <w:instrText>ADDIN CSL_CITATION {"citationItems":[{"id":"ITEM-1","itemData":{"author":[{"dropping-particle":"","family":"Lashitew","given":"Addisu","non-dropping-particle":"","parse-names":false,"suffix":""}],"id":"ITEM-1","issued":{"date-parts":[["2020"]]},"title":"Stakeholder capitalism arrives at Davos","type":"article-journal"},"uris":["http://www.mendeley.com/documents/?uuid=3e830d63-6fd8-4773-812a-15599e4571cd"]}],"mendeley":{"formattedCitation":"(Lashitew, 2020)","plainTextFormattedCitation":"(Lashitew, 2020)","previouslyFormattedCitation":"(Lashitew, 2020)"},"properties":{"noteIndex":0},"schema":"https://github.com/citation-style-language/schema/raw/master/csl-citation.json"}</w:instrText>
      </w:r>
      <w:r w:rsidR="007C11BB" w:rsidRPr="00F9785F">
        <w:fldChar w:fldCharType="separate"/>
      </w:r>
      <w:r w:rsidR="007C11BB" w:rsidRPr="00F9785F">
        <w:rPr>
          <w:noProof/>
        </w:rPr>
        <w:t>(Lashitew, 2020)</w:t>
      </w:r>
      <w:r w:rsidR="007C11BB" w:rsidRPr="00F9785F">
        <w:fldChar w:fldCharType="end"/>
      </w:r>
      <w:r w:rsidRPr="00F9785F">
        <w:t xml:space="preserve">. Incorporating activism into the </w:t>
      </w:r>
      <w:proofErr w:type="spellStart"/>
      <w:r w:rsidRPr="00F9785F">
        <w:t>socialisation</w:t>
      </w:r>
      <w:proofErr w:type="spellEnd"/>
      <w:r w:rsidRPr="00F9785F">
        <w:t xml:space="preserve"> process therefore completes the cycle, turning graduates into active members of their </w:t>
      </w:r>
      <w:proofErr w:type="spellStart"/>
      <w:r w:rsidRPr="00F9785F">
        <w:t>organisation</w:t>
      </w:r>
      <w:proofErr w:type="spellEnd"/>
      <w:r w:rsidRPr="00F9785F">
        <w:t xml:space="preserve"> who have a civic mission as their professional goal, instead of external ones. From a practice perspective, this involves assigning each graduate an impact sponsor who is a senior leader, sharing the social impact of their project with the community and acknowledging ethical, stakeholder-focused practices as part of performance evaluation, as opposed to just a recommendation.</w:t>
      </w:r>
    </w:p>
    <w:p w14:paraId="01D6F5F9" w14:textId="77777777" w:rsidR="004E4D56" w:rsidRPr="00F9785F" w:rsidRDefault="00000000" w:rsidP="00F9785F">
      <w:pPr>
        <w:pStyle w:val="Heading1"/>
      </w:pPr>
      <w:bookmarkStart w:id="17" w:name="_Toc232420212"/>
      <w:bookmarkStart w:id="18" w:name="_Toc232420253"/>
      <w:bookmarkStart w:id="19" w:name="_Toc232513602"/>
      <w:r w:rsidRPr="00F9785F">
        <w:t>3. Task B: Innovative Job Design</w:t>
      </w:r>
      <w:bookmarkEnd w:id="17"/>
      <w:bookmarkEnd w:id="18"/>
      <w:bookmarkEnd w:id="19"/>
    </w:p>
    <w:p w14:paraId="2EA70B3A" w14:textId="77777777" w:rsidR="004E4D56" w:rsidRPr="00F9785F" w:rsidRDefault="00000000" w:rsidP="00F9785F">
      <w:pPr>
        <w:pStyle w:val="Heading2"/>
      </w:pPr>
      <w:bookmarkStart w:id="20" w:name="_Toc232420213"/>
      <w:bookmarkStart w:id="21" w:name="_Toc232420254"/>
      <w:bookmarkStart w:id="22" w:name="_Toc232513603"/>
      <w:r w:rsidRPr="00F9785F">
        <w:t>3.1 The Job Characteristics Model as foundation</w:t>
      </w:r>
      <w:bookmarkEnd w:id="20"/>
      <w:bookmarkEnd w:id="21"/>
      <w:bookmarkEnd w:id="22"/>
    </w:p>
    <w:p w14:paraId="59668BA2" w14:textId="66D2BA1A" w:rsidR="004E4D56" w:rsidRPr="00F9785F" w:rsidRDefault="00455885" w:rsidP="00F9785F">
      <w:pPr>
        <w:spacing w:after="160"/>
      </w:pPr>
      <w:r w:rsidRPr="00F9785F">
        <w:t>A new job structure should start with Hackman and Oldham's Job Characteristics Model, which proposes that five dimensions of the job (skill variety, task identity, task significance, autonomy and feedback) give rise to three psychological states that are experienced by the worker: experienced meaningfulness, experienced responsibility for outcome and experienced knowledge of results</w:t>
      </w:r>
      <w:r w:rsidR="007C11BB" w:rsidRPr="00F9785F">
        <w:t xml:space="preserve"> </w:t>
      </w:r>
      <w:r w:rsidR="007C11BB" w:rsidRPr="00F9785F">
        <w:fldChar w:fldCharType="begin" w:fldLock="1"/>
      </w:r>
      <w:r w:rsidR="002D24C4" w:rsidRPr="00F9785F">
        <w:instrText>ADDIN CSL_CITATION {"citationItems":[{"id":"ITEM-1","itemData":{"abstract":"This paper investigates the factors influencing employees’ work engagement with focus on the experiences of employees in Slovenian and Malaysian organizations. Previous research has shown that the closer an employee's engagement is with an organization, the higher the employee's performance. To explore job characteristics that deliver employees’ work engagement, this study employs Hackman and Oldham's job characteristics model, focusing on the core elements of task identity, task significance, skill variety, feedback, and autonomy as a lens to investigate this phenomenon in two different countries. Data from organizations in Slovenia and Malaysia were gathered and analyzed using quantitative methodology. The findings highlight the fact that employees’ work engagement is not necessarily employee engagement; whereas the former examines engagement at the psychological level with an individual employee, the latter takes a broader approach in looking at factors that are also organizational. We find that work engagement is affected by job characteristics—task identity, task significance, skill variety, feedback, and autonomy—but these differ according to context, which we have shown can be in relation to the cultural setting of the organization. While in Slovenia, employees’ work engagement is influenced by skill variety and feedback (structure), in Malaysia, work engagement is affected by employees’ task identity and autonomy. These findings speak to a culture of direct communication in Slovenia as opposed to high</w:instrText>
      </w:r>
      <w:r w:rsidR="002D24C4" w:rsidRPr="00F9785F">
        <w:rPr>
          <w:rFonts w:ascii="Cambria Math" w:hAnsi="Cambria Math" w:cs="Cambria Math"/>
        </w:rPr>
        <w:instrText>‐</w:instrText>
      </w:r>
      <w:r w:rsidR="002D24C4" w:rsidRPr="00F9785F">
        <w:instrText>power distance that is often argued in Malaysian organizations. In practice, context must be considered when designing jobs and policies for managing human resources as employees find meaning in work through different job characteristics.","author":[{"dropping-particle":"","family":"Cotič","given":"Lea Pfajfar","non-dropping-particle":"","parse-names":false,"suffix":""},{"dropping-particle":"","family":"Man","given":"Mandy Mok Kim","non-dropping-particle":"","parse-names":false,"suffix":""},{"dropping-particle":"","family":"Soga","given":"Lebene Richmond","non-dropping-particle":"","parse-names":false,"suffix":""},{"dropping-particle":"","family":"Konstantopoulou","given":"Anastasia","non-dropping-particle":"","parse-names":false,"suffix":""},{"dropping-particle":"","family":"Lodorfos","given":"George","non-dropping-particle":"","parse-names":false,"suffix":""}],"container-title":"Global Business and Organizational Excellence","id":"ITEM-1","issue":"5","issued":{"date-parts":[["2025","7","25"]]},"page":"75-85","title":"Job Characteristics for Work Engagement: Autonomy, Feedback, Skill Variety, Task Identity, and Task Significance","type":"article-journal","volume":"44"},"uris":["http://www.mendeley.com/documents/?uuid=6125bce3-498b-4f76-9cec-bddeee23006e"]}],"mendeley":{"formattedCitation":"(Cotič &lt;i&gt;et al.&lt;/i&gt;, 2025)","plainTextFormattedCitation":"(Cotič et al., 2025)","previouslyFormattedCitation":"(Cotič &lt;i&gt;et al.&lt;/i&gt;, 2026)"},"properties":{"noteIndex":0},"schema":"https://github.com/citation-style-language/schema/raw/master/csl-citation.json"}</w:instrText>
      </w:r>
      <w:r w:rsidR="007C11BB" w:rsidRPr="00F9785F">
        <w:fldChar w:fldCharType="separate"/>
      </w:r>
      <w:r w:rsidR="002D24C4" w:rsidRPr="00F9785F">
        <w:rPr>
          <w:noProof/>
        </w:rPr>
        <w:t xml:space="preserve">(Cotič </w:t>
      </w:r>
      <w:r w:rsidR="002D24C4" w:rsidRPr="00F9785F">
        <w:rPr>
          <w:i/>
          <w:noProof/>
        </w:rPr>
        <w:t>et al.</w:t>
      </w:r>
      <w:r w:rsidR="002D24C4" w:rsidRPr="00F9785F">
        <w:rPr>
          <w:noProof/>
        </w:rPr>
        <w:t>, 2025)</w:t>
      </w:r>
      <w:r w:rsidR="007C11BB" w:rsidRPr="00F9785F">
        <w:fldChar w:fldCharType="end"/>
      </w:r>
      <w:r w:rsidRPr="00F9785F">
        <w:t>. More recently, there is evidence that jobs rich with these characteristics enhance intrinsic motivation and job satisfaction</w:t>
      </w:r>
      <w:r w:rsidR="007C11BB" w:rsidRPr="00F9785F">
        <w:t xml:space="preserve"> </w:t>
      </w:r>
      <w:r w:rsidR="007C11BB" w:rsidRPr="00F9785F">
        <w:fldChar w:fldCharType="begin" w:fldLock="1"/>
      </w:r>
      <w:r w:rsidR="007C11BB" w:rsidRPr="00F9785F">
        <w:instrText>ADDIN CSL_CITATION {"citationItems":[{"id":"ITEM-1","itemData":{"author":[{"dropping-particle":"","family":"Aljumah","given":"Abdulsalam","non-dropping-particle":"","parse-names":false,"suffix":""}],"id":"ITEM-1","issued":{"date-parts":[["2023"]]},"title":"The impact of extrinsic and intrinsic motivation on job satisfaction: The mediating role of transactional leadership","type":"article-journal"},"uris":["http://www.mendeley.com/documents/?uuid=da7c5052-24ed-4ef4-a724-23a0a1c25a6e"]}],"mendeley":{"formattedCitation":"(Aljumah, 2023)","plainTextFormattedCitation":"(Aljumah, 2023)","previouslyFormattedCitation":"(Aljumah, 2023)"},"properties":{"noteIndex":0},"schema":"https://github.com/citation-style-language/schema/raw/master/csl-citation.json"}</w:instrText>
      </w:r>
      <w:r w:rsidR="007C11BB" w:rsidRPr="00F9785F">
        <w:fldChar w:fldCharType="separate"/>
      </w:r>
      <w:r w:rsidR="007C11BB" w:rsidRPr="00F9785F">
        <w:rPr>
          <w:noProof/>
        </w:rPr>
        <w:t>(Aljumah, 2023)</w:t>
      </w:r>
      <w:r w:rsidR="007C11BB" w:rsidRPr="00F9785F">
        <w:fldChar w:fldCharType="end"/>
      </w:r>
      <w:r w:rsidRPr="00F9785F">
        <w:t xml:space="preserve">. Autonomy over the technical approach, ownership of individual city-government projects by the engineers and data analysts, and the tangible civic impact of cleaner urban mobility can be incorporated into each of their roles, as described in Table 2. Even if roles must be very specific (like maintenance tasks on the </w:t>
      </w:r>
      <w:r w:rsidRPr="00F9785F">
        <w:lastRenderedPageBreak/>
        <w:t>data pipelines), Helios can make them more meaningful by associating them with a measurable city outcome, such as the reduction of congestion or emissions, and make them more effective with the use of real-time performance dashboards. Importantly, the effect of the model is amplified by employees' growth-need strength, making it necessary to match employee design with selection and development that is appealing to graduates who value challenge.</w:t>
      </w:r>
    </w:p>
    <w:p w14:paraId="4E07B558" w14:textId="77777777" w:rsidR="004E4D56" w:rsidRPr="00F9785F" w:rsidRDefault="00000000" w:rsidP="00F9785F">
      <w:pPr>
        <w:pStyle w:val="Heading2"/>
      </w:pPr>
      <w:bookmarkStart w:id="23" w:name="_Toc232420214"/>
      <w:bookmarkStart w:id="24" w:name="_Toc232420255"/>
      <w:bookmarkStart w:id="25" w:name="_Toc232513604"/>
      <w:r w:rsidRPr="00F9785F">
        <w:t>3.2 Job crafting as bottom-up agency</w:t>
      </w:r>
      <w:bookmarkEnd w:id="23"/>
      <w:bookmarkEnd w:id="24"/>
      <w:bookmarkEnd w:id="25"/>
    </w:p>
    <w:p w14:paraId="18C4D59A" w14:textId="7C3864B5" w:rsidR="004E4D56" w:rsidRPr="00F9785F" w:rsidRDefault="00455885" w:rsidP="00F9785F">
      <w:pPr>
        <w:spacing w:after="160"/>
      </w:pPr>
      <w:proofErr w:type="gramStart"/>
      <w:r w:rsidRPr="00F9785F">
        <w:t>Top down</w:t>
      </w:r>
      <w:proofErr w:type="gramEnd"/>
      <w:r w:rsidRPr="00F9785F">
        <w:t xml:space="preserve"> design is required but not enough. Job crafting involves making bottom-up changes by the worker to the task, worker relationships, and the meaning of the work, which can augment the processes of managerial design. Tims and Bakker's model relates to crafting as a search for structural and social resources and challenging as a reduction of hindrances, and empirical research has found links between these and increased work engagement, task performance and employability</w:t>
      </w:r>
      <w:r w:rsidR="007C11BB" w:rsidRPr="00F9785F">
        <w:t xml:space="preserve"> </w:t>
      </w:r>
      <w:r w:rsidR="007C11BB" w:rsidRPr="00F9785F">
        <w:fldChar w:fldCharType="begin" w:fldLock="1"/>
      </w:r>
      <w:r w:rsidR="007C11BB" w:rsidRPr="00F9785F">
        <w:instrText>ADDIN CSL_CITATION {"citationItems":[{"id":"ITEM-1","itemData":{"author":[{"dropping-particle":"","family":"Nergiz","given":"Hatice Güçlü","non-dropping-particle":"","parse-names":false,"suffix":""},{"dropping-particle":"","family":"Unsal-Akbiyik","given":"Banu S.","non-dropping-particle":"","parse-names":false,"suffix":""}],"id":"ITEM-1","issued":{"date-parts":[["2024"]]},"title":"Job Crafting, Task Performance, and Employability: The Role of Work Engagement","type":"article-journal"},"uris":["http://www.mendeley.com/documents/?uuid=b2c89e5c-5009-4cf6-9dd4-0627a1f9f8e3"]}],"mendeley":{"formattedCitation":"(Nergiz and Unsal-Akbiyik, 2024)","plainTextFormattedCitation":"(Nergiz and Unsal-Akbiyik, 2024)","previouslyFormattedCitation":"(Nergiz and Unsal-Akbiyik, 2024)"},"properties":{"noteIndex":0},"schema":"https://github.com/citation-style-language/schema/raw/master/csl-citation.json"}</w:instrText>
      </w:r>
      <w:r w:rsidR="007C11BB" w:rsidRPr="00F9785F">
        <w:fldChar w:fldCharType="separate"/>
      </w:r>
      <w:r w:rsidR="007C11BB" w:rsidRPr="00F9785F">
        <w:rPr>
          <w:noProof/>
        </w:rPr>
        <w:t>(Nergiz and Unsal-Akbiyik, 2024)</w:t>
      </w:r>
      <w:r w:rsidR="007C11BB" w:rsidRPr="00F9785F">
        <w:fldChar w:fldCharType="end"/>
      </w:r>
      <w:r w:rsidRPr="00F9785F">
        <w:t xml:space="preserve">. Helios should thus </w:t>
      </w:r>
      <w:proofErr w:type="spellStart"/>
      <w:r w:rsidRPr="00F9785F">
        <w:t>legitimise</w:t>
      </w:r>
      <w:proofErr w:type="spellEnd"/>
      <w:r w:rsidRPr="00F9785F">
        <w:t xml:space="preserve"> the activity of explicitly crafting by explicitly crafting workshops, by flexible objective setting and the role-modelling of managers, so that mission-oriented graduates can influence the way in which their work counts. While there is a known risk associated with crafting, as engagement can be reduced when demands are lowered, leaders should make it a challenge-seeking and resource-seeking craft to avoid a shift to withdrawal. </w:t>
      </w:r>
    </w:p>
    <w:p w14:paraId="5243263F" w14:textId="77777777" w:rsidR="004E4D56" w:rsidRPr="00F9785F" w:rsidRDefault="00000000" w:rsidP="00F9785F">
      <w:pPr>
        <w:pStyle w:val="Heading2"/>
      </w:pPr>
      <w:bookmarkStart w:id="26" w:name="_Toc232420215"/>
      <w:bookmarkStart w:id="27" w:name="_Toc232420256"/>
      <w:bookmarkStart w:id="28" w:name="_Toc232513605"/>
      <w:r w:rsidRPr="00F9785F">
        <w:t>3.3 Skills-based architecture and an internal talent marketplace</w:t>
      </w:r>
      <w:bookmarkEnd w:id="26"/>
      <w:bookmarkEnd w:id="27"/>
      <w:bookmarkEnd w:id="28"/>
    </w:p>
    <w:p w14:paraId="6904D0E8" w14:textId="2004A19E" w:rsidR="00455885" w:rsidRPr="00F9785F" w:rsidRDefault="00455885" w:rsidP="00F9785F">
      <w:pPr>
        <w:spacing w:after="160"/>
      </w:pPr>
      <w:r w:rsidRPr="00F9785F">
        <w:t xml:space="preserve">Helios needs to move away from a lock-step approach to a skills-driven approach, with an internal talent marketplace. </w:t>
      </w:r>
      <w:proofErr w:type="spellStart"/>
      <w:r w:rsidRPr="00F9785F">
        <w:t>Organisations</w:t>
      </w:r>
      <w:proofErr w:type="spellEnd"/>
      <w:r w:rsidRPr="00F9785F">
        <w:t xml:space="preserve"> must become agile by separating the work from the jobs and focus on people as portfolios of skills applied to the tasks and projects they work on, argues Deloitte</w:t>
      </w:r>
      <w:r w:rsidR="007C11BB" w:rsidRPr="00F9785F">
        <w:t xml:space="preserve"> </w:t>
      </w:r>
      <w:r w:rsidR="007C11BB" w:rsidRPr="00F9785F">
        <w:fldChar w:fldCharType="begin" w:fldLock="1"/>
      </w:r>
      <w:r w:rsidR="007C11BB" w:rsidRPr="00F9785F">
        <w:instrText>ADDIN CSL_CITATION {"citationItems":[{"id":"ITEM-1","itemData":{"author":[{"dropping-particle":"","family":"Jones","given":"Robin","non-dropping-particle":"","parse-names":false,"suffix":""},{"dropping-particle":"","family":"Cantrell","given":"Sue","non-dropping-particle":"","parse-names":false,"suffix":""},{"dropping-particle":"","family":"Griffiths","given":"Michael","non-dropping-particle":"","parse-names":false,"suffix":""},{"dropping-particle":"","family":"Hiipakka","given":"Julie","non-dropping-particle":"","parse-names":false,"suffix":""}],"id":"ITEM-1","issued":{"date-parts":[["2022"]]},"title":"The skills-based organization: A new operating model for work and the workforce","type":"article-journal"},"uris":["http://www.mendeley.com/documents/?uuid=b9540e8b-cb92-42a4-997b-96edd18bd494"]}],"mendeley":{"formattedCitation":"(Jones &lt;i&gt;et al.&lt;/i&gt;, 2022)","plainTextFormattedCitation":"(Jones et al., 2022)","previouslyFormattedCitation":"(Jones &lt;i&gt;et al.&lt;/i&gt;, 2022)"},"properties":{"noteIndex":0},"schema":"https://github.com/citation-style-language/schema/raw/master/csl-citation.json"}</w:instrText>
      </w:r>
      <w:r w:rsidR="007C11BB" w:rsidRPr="00F9785F">
        <w:fldChar w:fldCharType="separate"/>
      </w:r>
      <w:r w:rsidR="007C11BB" w:rsidRPr="00F9785F">
        <w:rPr>
          <w:noProof/>
        </w:rPr>
        <w:t xml:space="preserve">(Jones </w:t>
      </w:r>
      <w:r w:rsidR="007C11BB" w:rsidRPr="00F9785F">
        <w:rPr>
          <w:i/>
          <w:noProof/>
        </w:rPr>
        <w:t>et al.</w:t>
      </w:r>
      <w:r w:rsidR="007C11BB" w:rsidRPr="00F9785F">
        <w:rPr>
          <w:noProof/>
        </w:rPr>
        <w:t>, 2022)</w:t>
      </w:r>
      <w:r w:rsidR="007C11BB" w:rsidRPr="00F9785F">
        <w:fldChar w:fldCharType="end"/>
      </w:r>
      <w:r w:rsidRPr="00F9785F">
        <w:t>. Live projects match the skills and aspirations of employees at speed, harnessing raw capacity and future skills</w:t>
      </w:r>
      <w:r w:rsidR="007C11BB" w:rsidRPr="00F9785F">
        <w:t xml:space="preserve"> </w:t>
      </w:r>
      <w:r w:rsidR="007C11BB" w:rsidRPr="00F9785F">
        <w:fldChar w:fldCharType="begin" w:fldLock="1"/>
      </w:r>
      <w:r w:rsidR="007C11BB" w:rsidRPr="00F9785F">
        <w:instrText>ADDIN CSL_CITATION {"citationItems":[{"id":"ITEM-1","itemData":{"author":[{"dropping-particle":"","family":"Gantcheva","given":"Ina","non-dropping-particle":"","parse-names":false,"suffix":""},{"dropping-particle":"","family":"Schwartz","given":"Jeff","non-dropping-particle":"","parse-names":false,"suffix":""},{"dropping-particle":"","family":"Jones","given":"Robin","non-dropping-particle":"","parse-names":false,"suffix":""},{"dropping-particle":"","family":"Lee","given":"Linnet","non-dropping-particle":"","parse-names":false,"suffix":""},{"dropping-particle":"","family":"Kearns-Manolatos","given":"Diana","non-dropping-particle":"","parse-names":false,"suffix":""},{"dropping-particle":"","family":"Rawat","given":"Manu","non-dropping-particle":"","parse-names":false,"suffix":""}],"id":"ITEM-1","issued":{"date-parts":[["2020"]]},"title":"Activating the internal talent marketplace","type":"article-journal"},"uris":["http://www.mendeley.com/documents/?uuid=44cddade-f40c-42df-ae8a-74a9aca3ff40"]}],"mendeley":{"formattedCitation":"(Gantcheva &lt;i&gt;et al.&lt;/i&gt;, 2020)","plainTextFormattedCitation":"(Gantcheva et al., 2020)","previouslyFormattedCitation":"(Gantcheva &lt;i&gt;et al.&lt;/i&gt;, 2020)"},"properties":{"noteIndex":0},"schema":"https://github.com/citation-style-language/schema/raw/master/csl-citation.json"}</w:instrText>
      </w:r>
      <w:r w:rsidR="007C11BB" w:rsidRPr="00F9785F">
        <w:fldChar w:fldCharType="separate"/>
      </w:r>
      <w:r w:rsidR="007C11BB" w:rsidRPr="00F9785F">
        <w:rPr>
          <w:noProof/>
        </w:rPr>
        <w:t xml:space="preserve">(Gantcheva </w:t>
      </w:r>
      <w:r w:rsidR="007C11BB" w:rsidRPr="00F9785F">
        <w:rPr>
          <w:i/>
          <w:noProof/>
        </w:rPr>
        <w:t>et al.</w:t>
      </w:r>
      <w:r w:rsidR="007C11BB" w:rsidRPr="00F9785F">
        <w:rPr>
          <w:noProof/>
        </w:rPr>
        <w:t>, 2020)</w:t>
      </w:r>
      <w:r w:rsidR="007C11BB" w:rsidRPr="00F9785F">
        <w:fldChar w:fldCharType="end"/>
      </w:r>
      <w:r w:rsidRPr="00F9785F">
        <w:t xml:space="preserve">. A market place shared by London, Berlin and Singapore would enable top talent to be geographically mobile, laterally flexible, undertaking stretch assignments across borders and seeing clearly the career path ahead, all of which would work against the stalling attrition of siloed careers. Helios will require a </w:t>
      </w:r>
      <w:r w:rsidRPr="00F9785F">
        <w:lastRenderedPageBreak/>
        <w:t>shared skills taxonomy and a lightweight technology platform to make the model credible, and navigating the most-frequently mentioned obstacle to skills transformation – legacy mindsets among managers who equate value with job titles instead of demonstrated skills.</w:t>
      </w:r>
    </w:p>
    <w:p w14:paraId="480106D7" w14:textId="3AEE991E" w:rsidR="004E4D56" w:rsidRPr="00F9785F" w:rsidRDefault="00455885" w:rsidP="00F9785F">
      <w:pPr>
        <w:spacing w:after="160"/>
      </w:pPr>
      <w:r w:rsidRPr="00F9785F">
        <w:t>A reliable marketplace design will account for the three failure modes involved with internal talent markets, rather than assuming they will self-regulate. First, managers may keep talent; even committed leaders have a problem handing down top players; the Conference Board points to the negative effects of talent hoarding for a business</w:t>
      </w:r>
      <w:r w:rsidR="007C11BB" w:rsidRPr="00F9785F">
        <w:t xml:space="preserve"> </w:t>
      </w:r>
      <w:r w:rsidR="007C11BB" w:rsidRPr="00F9785F">
        <w:fldChar w:fldCharType="begin" w:fldLock="1"/>
      </w:r>
      <w:r w:rsidR="008263B5" w:rsidRPr="00F9785F">
        <w:instrText>ADDIN CSL_CITATION {"citationItems":[{"id":"ITEM-1","itemData":{"author":[{"dropping-particle":"","family":"Haegele","given":"Ingrid","non-dropping-particle":"","parse-names":false,"suffix":""}],"id":"ITEM-1","issued":{"date-parts":[["2025"]]},"title":"Talent Hoarding in Organizations","type":"article-journal"},"uris":["http://www.mendeley.com/documents/?uuid=5907d6ca-572d-42a4-86ca-85983437ef3a"]}],"mendeley":{"formattedCitation":"(Haegele, 2025)","plainTextFormattedCitation":"(Haegele, 2025)","previouslyFormattedCitation":"(Haegele, 2025)"},"properties":{"noteIndex":0},"schema":"https://github.com/citation-style-language/schema/raw/master/csl-citation.json"}</w:instrText>
      </w:r>
      <w:r w:rsidR="007C11BB" w:rsidRPr="00F9785F">
        <w:fldChar w:fldCharType="separate"/>
      </w:r>
      <w:r w:rsidR="007C11BB" w:rsidRPr="00F9785F">
        <w:rPr>
          <w:noProof/>
        </w:rPr>
        <w:t>(Haegele, 2025)</w:t>
      </w:r>
      <w:r w:rsidR="007C11BB" w:rsidRPr="00F9785F">
        <w:fldChar w:fldCharType="end"/>
      </w:r>
      <w:r w:rsidRPr="00F9785F">
        <w:t xml:space="preserve"> broader community and the fact that markets thrive with support from leaders and significant investment. Secondly, staff may be committed to the more visible, prestigious projects and neglect their less glamorous but business-critical ones. Third, the skills data used for matching can become quickly obsolete quickly, impact the quality of the recommendations and reduce the trust in the system. Helios should therefore integrate controls: connect manager scorecards and incentives to talent sharing and retention, and establish minimum internal-release expectations and rotations of critical but unappealing work, and refresh their skills taxonomy on a fixed timeline with validated self- and manager assessment. </w:t>
      </w:r>
    </w:p>
    <w:p w14:paraId="6A704FD4" w14:textId="77777777" w:rsidR="004E4D56" w:rsidRPr="00F9785F" w:rsidRDefault="00000000" w:rsidP="00F9785F">
      <w:pPr>
        <w:pStyle w:val="Heading2"/>
      </w:pPr>
      <w:bookmarkStart w:id="29" w:name="_Toc232420216"/>
      <w:bookmarkStart w:id="30" w:name="_Toc232420257"/>
      <w:bookmarkStart w:id="31" w:name="_Toc232513606"/>
      <w:r w:rsidRPr="00F9785F">
        <w:t>3.4 Stimulating intrinsic motivation and innovation</w:t>
      </w:r>
      <w:bookmarkEnd w:id="29"/>
      <w:bookmarkEnd w:id="30"/>
      <w:bookmarkEnd w:id="31"/>
    </w:p>
    <w:p w14:paraId="71B35D2B" w14:textId="568E226A" w:rsidR="004E4D56" w:rsidRPr="00F9785F" w:rsidRDefault="00455885" w:rsidP="00F9785F">
      <w:pPr>
        <w:spacing w:after="160"/>
      </w:pPr>
      <w:r w:rsidRPr="00F9785F">
        <w:t>The selections encourage intrinsic motivation as they serve basic psychological needs. Autonomy, competence and relatedness as the cornerstone of autonomous motivation, engagement, and well-being, their frustration as leading factors of burnout and turnover</w:t>
      </w:r>
      <w:r w:rsidR="008263B5" w:rsidRPr="00F9785F">
        <w:t xml:space="preserve"> </w:t>
      </w:r>
      <w:r w:rsidR="008263B5" w:rsidRPr="00F9785F">
        <w:fldChar w:fldCharType="begin" w:fldLock="1"/>
      </w:r>
      <w:r w:rsidR="008263B5" w:rsidRPr="00F9785F">
        <w:instrText>ADDIN CSL_CITATION {"citationItems":[{"id":"ITEM-1","itemData":{"author":[{"dropping-particle":"","family":"McAnally","given":"Kaylyn","non-dropping-particle":"","parse-names":false,"suffix":""},{"dropping-particle":"","family":"Hagger","given":"Martin S.","non-dropping-particle":"","parse-names":false,"suffix":""}],"id":"ITEM-1","issued":{"date-parts":[["2024"]]},"title":"Self-Determination Theory and Workplace Outcomes: A Conceptual Review and Future Research Directions","type":"article-journal"},"uris":["http://www.mendeley.com/documents/?uuid=54eabd25-7ef1-44fb-9b14-5701846602ff"]}],"mendeley":{"formattedCitation":"(McAnally and Hagger, 2024)","plainTextFormattedCitation":"(McAnally and Hagger, 2024)","previouslyFormattedCitation":"(McAnally and Hagger, 2024)"},"properties":{"noteIndex":0},"schema":"https://github.com/citation-style-language/schema/raw/master/csl-citation.json"}</w:instrText>
      </w:r>
      <w:r w:rsidR="008263B5" w:rsidRPr="00F9785F">
        <w:fldChar w:fldCharType="separate"/>
      </w:r>
      <w:r w:rsidR="008263B5" w:rsidRPr="00F9785F">
        <w:rPr>
          <w:noProof/>
        </w:rPr>
        <w:t>(McAnally and Hagger, 2024)</w:t>
      </w:r>
      <w:r w:rsidR="008263B5" w:rsidRPr="00F9785F">
        <w:fldChar w:fldCharType="end"/>
      </w:r>
      <w:r w:rsidR="00072433" w:rsidRPr="00F9785F">
        <w:t>.</w:t>
      </w:r>
      <w:r w:rsidRPr="00F9785F">
        <w:t xml:space="preserve"> Autonomy and competence are fostered by marketplace mobility and job crafting, and relatedness is fostered by cross site project teams</w:t>
      </w:r>
      <w:r w:rsidR="008263B5" w:rsidRPr="00F9785F">
        <w:t xml:space="preserve"> </w:t>
      </w:r>
      <w:r w:rsidR="008263B5" w:rsidRPr="00F9785F">
        <w:fldChar w:fldCharType="begin" w:fldLock="1"/>
      </w:r>
      <w:r w:rsidR="008263B5" w:rsidRPr="00F9785F">
        <w:instrText>ADDIN CSL_CITATION {"citationItems":[{"id":"ITEM-1","itemData":{"author":[{"dropping-particle":"","family":"Nergiz","given":"Hatice Güçlü","non-dropping-particle":"","parse-names":false,"suffix":""},{"dropping-particle":"","family":"Unsal-Akbiyik","given":"Banu S.","non-dropping-particle":"","parse-names":false,"suffix":""}],"id":"ITEM-1","issued":{"date-parts":[["2024"]]},"title":"Job Crafting, Task Performance, and Employability: The Role of Work Engagement","type":"article-journal"},"uris":["http://www.mendeley.com/documents/?uuid=4dd22bfa-6a79-4345-82e4-a2d012f7ad5d"]}],"mendeley":{"formattedCitation":"(Nergiz and Unsal-Akbiyik, 2024)","plainTextFormattedCitation":"(Nergiz and Unsal-Akbiyik, 2024)","previouslyFormattedCitation":"(Nergiz and Unsal-Akbiyik, 2024)"},"properties":{"noteIndex":0},"schema":"https://github.com/citation-style-language/schema/raw/master/csl-citation.json"}</w:instrText>
      </w:r>
      <w:r w:rsidR="008263B5" w:rsidRPr="00F9785F">
        <w:fldChar w:fldCharType="separate"/>
      </w:r>
      <w:r w:rsidR="008263B5" w:rsidRPr="00F9785F">
        <w:rPr>
          <w:noProof/>
        </w:rPr>
        <w:t>(Nergiz and Unsal-Akbiyik, 2024)</w:t>
      </w:r>
      <w:r w:rsidR="008263B5" w:rsidRPr="00F9785F">
        <w:fldChar w:fldCharType="end"/>
      </w:r>
      <w:r w:rsidRPr="00F9785F">
        <w:t xml:space="preserve">. It is also born of that architecture, as the World Economic </w:t>
      </w:r>
      <w:r w:rsidR="008263B5" w:rsidRPr="00F9785F">
        <w:fldChar w:fldCharType="begin" w:fldLock="1"/>
      </w:r>
      <w:r w:rsidR="008263B5" w:rsidRPr="00F9785F">
        <w:instrText>ADDIN CSL_CITATION {"citationItems":[{"id":"ITEM-1","itemData":{"author":[{"dropping-particle":"","family":"WEForum","given":"","non-dropping-particle":"","parse-names":false,"suffix":""}],"id":"ITEM-1","issued":{"date-parts":[["2025"]]},"title":"Future of Jobs Report","type":"article-journal"},"uris":["http://www.mendeley.com/documents/?uuid=7a9272ac-227e-4622-a2b1-aea262bff931"]}],"mendeley":{"formattedCitation":"(WEForum, 2025)","plainTextFormattedCitation":"(WEForum, 2025)","previouslyFormattedCitation":"(WEForum, 2025)"},"properties":{"noteIndex":0},"schema":"https://github.com/citation-style-language/schema/raw/master/csl-citation.json"}</w:instrText>
      </w:r>
      <w:r w:rsidR="008263B5" w:rsidRPr="00F9785F">
        <w:fldChar w:fldCharType="separate"/>
      </w:r>
      <w:r w:rsidR="008263B5" w:rsidRPr="00F9785F">
        <w:rPr>
          <w:noProof/>
        </w:rPr>
        <w:t>(WEForum, 2025)</w:t>
      </w:r>
      <w:r w:rsidR="008263B5" w:rsidRPr="00F9785F">
        <w:fldChar w:fldCharType="end"/>
      </w:r>
      <w:r w:rsidR="008263B5" w:rsidRPr="00F9785F">
        <w:t xml:space="preserve"> </w:t>
      </w:r>
      <w:r w:rsidRPr="00F9785F">
        <w:t xml:space="preserve">shows that creative thinking, analytical thinking, AI and big data skills are the three most rapidly growing skills, and a skills-based marketplace is the very mechanism by which Helios will be able to constantly recombine these scarce skills in the face of new urban-mobility challenges. The marketplace also signals that Helios invests in their development and mobility, especially for their high-potential graduates, </w:t>
      </w:r>
      <w:r w:rsidRPr="00F9785F">
        <w:lastRenderedPageBreak/>
        <w:t xml:space="preserve">and this helps to confirm the very developmental promises whose breaking is the cause of early attrition. </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400"/>
        <w:gridCol w:w="5960"/>
      </w:tblGrid>
      <w:tr w:rsidR="004E4D56" w:rsidRPr="00F9785F" w14:paraId="54281B5D" w14:textId="77777777" w:rsidTr="00455885">
        <w:tc>
          <w:tcPr>
            <w:tcW w:w="3400" w:type="dxa"/>
            <w:tcBorders>
              <w:top w:val="single" w:sz="1" w:space="0" w:color="BFBFBF"/>
              <w:left w:val="single" w:sz="1" w:space="0" w:color="BFBFBF"/>
              <w:bottom w:val="single" w:sz="1" w:space="0" w:color="BFBFBF"/>
              <w:right w:val="single" w:sz="1" w:space="0" w:color="BFBFBF"/>
            </w:tcBorders>
            <w:tcMar>
              <w:top w:w="80" w:type="dxa"/>
              <w:left w:w="120" w:type="dxa"/>
              <w:bottom w:w="80" w:type="dxa"/>
              <w:right w:w="120" w:type="dxa"/>
            </w:tcMar>
          </w:tcPr>
          <w:p w14:paraId="090A1CB5" w14:textId="77777777" w:rsidR="004E4D56" w:rsidRPr="00F9785F" w:rsidRDefault="00000000" w:rsidP="00F9785F">
            <w:r w:rsidRPr="00F9785F">
              <w:rPr>
                <w:b/>
                <w:bCs/>
              </w:rPr>
              <w:t>JCM dimension</w:t>
            </w:r>
          </w:p>
        </w:tc>
        <w:tc>
          <w:tcPr>
            <w:tcW w:w="5960" w:type="dxa"/>
            <w:tcBorders>
              <w:top w:val="single" w:sz="1" w:space="0" w:color="BFBFBF"/>
              <w:left w:val="single" w:sz="1" w:space="0" w:color="BFBFBF"/>
              <w:bottom w:val="single" w:sz="1" w:space="0" w:color="BFBFBF"/>
              <w:right w:val="single" w:sz="1" w:space="0" w:color="BFBFBF"/>
            </w:tcBorders>
            <w:tcMar>
              <w:top w:w="80" w:type="dxa"/>
              <w:left w:w="120" w:type="dxa"/>
              <w:bottom w:w="80" w:type="dxa"/>
              <w:right w:w="120" w:type="dxa"/>
            </w:tcMar>
          </w:tcPr>
          <w:p w14:paraId="63FBF663" w14:textId="77777777" w:rsidR="004E4D56" w:rsidRPr="00F9785F" w:rsidRDefault="00000000" w:rsidP="00F9785F">
            <w:r w:rsidRPr="00F9785F">
              <w:rPr>
                <w:b/>
                <w:bCs/>
              </w:rPr>
              <w:t>Helios design intervention</w:t>
            </w:r>
          </w:p>
        </w:tc>
      </w:tr>
      <w:tr w:rsidR="004E4D56" w:rsidRPr="00F9785F" w14:paraId="237D2554" w14:textId="77777777">
        <w:tc>
          <w:tcPr>
            <w:tcW w:w="3400" w:type="dxa"/>
            <w:tcBorders>
              <w:top w:val="single" w:sz="1" w:space="0" w:color="BFBFBF"/>
              <w:left w:val="single" w:sz="1" w:space="0" w:color="BFBFBF"/>
              <w:bottom w:val="single" w:sz="1" w:space="0" w:color="BFBFBF"/>
              <w:right w:val="single" w:sz="1" w:space="0" w:color="BFBFBF"/>
            </w:tcBorders>
            <w:shd w:val="clear" w:color="auto" w:fill="FFFFFF"/>
            <w:tcMar>
              <w:top w:w="80" w:type="dxa"/>
              <w:left w:w="120" w:type="dxa"/>
              <w:bottom w:w="80" w:type="dxa"/>
              <w:right w:w="120" w:type="dxa"/>
            </w:tcMar>
          </w:tcPr>
          <w:p w14:paraId="21AEB21A" w14:textId="77777777" w:rsidR="004E4D56" w:rsidRPr="00F9785F" w:rsidRDefault="00000000" w:rsidP="00F9785F">
            <w:r w:rsidRPr="00F9785F">
              <w:rPr>
                <w:color w:val="000000"/>
              </w:rPr>
              <w:t>Skill variety</w:t>
            </w:r>
          </w:p>
        </w:tc>
        <w:tc>
          <w:tcPr>
            <w:tcW w:w="5960" w:type="dxa"/>
            <w:tcBorders>
              <w:top w:val="single" w:sz="1" w:space="0" w:color="BFBFBF"/>
              <w:left w:val="single" w:sz="1" w:space="0" w:color="BFBFBF"/>
              <w:bottom w:val="single" w:sz="1" w:space="0" w:color="BFBFBF"/>
              <w:right w:val="single" w:sz="1" w:space="0" w:color="BFBFBF"/>
            </w:tcBorders>
            <w:shd w:val="clear" w:color="auto" w:fill="FFFFFF"/>
            <w:tcMar>
              <w:top w:w="80" w:type="dxa"/>
              <w:left w:w="120" w:type="dxa"/>
              <w:bottom w:w="80" w:type="dxa"/>
              <w:right w:w="120" w:type="dxa"/>
            </w:tcMar>
          </w:tcPr>
          <w:p w14:paraId="45F357D3" w14:textId="77777777" w:rsidR="004E4D56" w:rsidRPr="00F9785F" w:rsidRDefault="00000000" w:rsidP="00F9785F">
            <w:r w:rsidRPr="00F9785F">
              <w:rPr>
                <w:color w:val="000000"/>
              </w:rPr>
              <w:t>Cross-functional project rotations via the internal talent marketplace</w:t>
            </w:r>
          </w:p>
        </w:tc>
      </w:tr>
      <w:tr w:rsidR="004E4D56" w:rsidRPr="00F9785F" w14:paraId="48A59D52" w14:textId="77777777">
        <w:tc>
          <w:tcPr>
            <w:tcW w:w="3400" w:type="dxa"/>
            <w:tcBorders>
              <w:top w:val="single" w:sz="1" w:space="0" w:color="BFBFBF"/>
              <w:left w:val="single" w:sz="1" w:space="0" w:color="BFBFBF"/>
              <w:bottom w:val="single" w:sz="1" w:space="0" w:color="BFBFBF"/>
              <w:right w:val="single" w:sz="1" w:space="0" w:color="BFBFBF"/>
            </w:tcBorders>
            <w:shd w:val="clear" w:color="auto" w:fill="FFFFFF"/>
            <w:tcMar>
              <w:top w:w="80" w:type="dxa"/>
              <w:left w:w="120" w:type="dxa"/>
              <w:bottom w:w="80" w:type="dxa"/>
              <w:right w:w="120" w:type="dxa"/>
            </w:tcMar>
          </w:tcPr>
          <w:p w14:paraId="130DBBAB" w14:textId="77777777" w:rsidR="004E4D56" w:rsidRPr="00F9785F" w:rsidRDefault="00000000" w:rsidP="00F9785F">
            <w:r w:rsidRPr="00F9785F">
              <w:rPr>
                <w:color w:val="000000"/>
              </w:rPr>
              <w:t>Task identity</w:t>
            </w:r>
          </w:p>
        </w:tc>
        <w:tc>
          <w:tcPr>
            <w:tcW w:w="5960" w:type="dxa"/>
            <w:tcBorders>
              <w:top w:val="single" w:sz="1" w:space="0" w:color="BFBFBF"/>
              <w:left w:val="single" w:sz="1" w:space="0" w:color="BFBFBF"/>
              <w:bottom w:val="single" w:sz="1" w:space="0" w:color="BFBFBF"/>
              <w:right w:val="single" w:sz="1" w:space="0" w:color="BFBFBF"/>
            </w:tcBorders>
            <w:shd w:val="clear" w:color="auto" w:fill="FFFFFF"/>
            <w:tcMar>
              <w:top w:w="80" w:type="dxa"/>
              <w:left w:w="120" w:type="dxa"/>
              <w:bottom w:w="80" w:type="dxa"/>
              <w:right w:w="120" w:type="dxa"/>
            </w:tcMar>
          </w:tcPr>
          <w:p w14:paraId="10E552C9" w14:textId="77777777" w:rsidR="004E4D56" w:rsidRPr="00F9785F" w:rsidRDefault="00000000" w:rsidP="00F9785F">
            <w:r w:rsidRPr="00F9785F">
              <w:rPr>
                <w:color w:val="000000"/>
              </w:rPr>
              <w:t>Whole-task ownership of a city-government deployment from design to handover</w:t>
            </w:r>
          </w:p>
        </w:tc>
      </w:tr>
      <w:tr w:rsidR="004E4D56" w:rsidRPr="00F9785F" w14:paraId="38A0F450" w14:textId="77777777">
        <w:tc>
          <w:tcPr>
            <w:tcW w:w="3400" w:type="dxa"/>
            <w:tcBorders>
              <w:top w:val="single" w:sz="1" w:space="0" w:color="BFBFBF"/>
              <w:left w:val="single" w:sz="1" w:space="0" w:color="BFBFBF"/>
              <w:bottom w:val="single" w:sz="1" w:space="0" w:color="BFBFBF"/>
              <w:right w:val="single" w:sz="1" w:space="0" w:color="BFBFBF"/>
            </w:tcBorders>
            <w:shd w:val="clear" w:color="auto" w:fill="FFFFFF"/>
            <w:tcMar>
              <w:top w:w="80" w:type="dxa"/>
              <w:left w:w="120" w:type="dxa"/>
              <w:bottom w:w="80" w:type="dxa"/>
              <w:right w:w="120" w:type="dxa"/>
            </w:tcMar>
          </w:tcPr>
          <w:p w14:paraId="14912464" w14:textId="77777777" w:rsidR="004E4D56" w:rsidRPr="00F9785F" w:rsidRDefault="00000000" w:rsidP="00F9785F">
            <w:r w:rsidRPr="00F9785F">
              <w:rPr>
                <w:color w:val="000000"/>
              </w:rPr>
              <w:t>Task significance</w:t>
            </w:r>
          </w:p>
        </w:tc>
        <w:tc>
          <w:tcPr>
            <w:tcW w:w="5960" w:type="dxa"/>
            <w:tcBorders>
              <w:top w:val="single" w:sz="1" w:space="0" w:color="BFBFBF"/>
              <w:left w:val="single" w:sz="1" w:space="0" w:color="BFBFBF"/>
              <w:bottom w:val="single" w:sz="1" w:space="0" w:color="BFBFBF"/>
              <w:right w:val="single" w:sz="1" w:space="0" w:color="BFBFBF"/>
            </w:tcBorders>
            <w:shd w:val="clear" w:color="auto" w:fill="FFFFFF"/>
            <w:tcMar>
              <w:top w:w="80" w:type="dxa"/>
              <w:left w:w="120" w:type="dxa"/>
              <w:bottom w:w="80" w:type="dxa"/>
              <w:right w:w="120" w:type="dxa"/>
            </w:tcMar>
          </w:tcPr>
          <w:p w14:paraId="1F2DBC63" w14:textId="77777777" w:rsidR="004E4D56" w:rsidRPr="00F9785F" w:rsidRDefault="00000000" w:rsidP="00F9785F">
            <w:r w:rsidRPr="00F9785F">
              <w:rPr>
                <w:color w:val="000000"/>
              </w:rPr>
              <w:t>Explicit linkage of work to congestion, emissions and citizen-mobility outcomes</w:t>
            </w:r>
          </w:p>
        </w:tc>
      </w:tr>
      <w:tr w:rsidR="004E4D56" w:rsidRPr="00F9785F" w14:paraId="1F05C259" w14:textId="77777777">
        <w:tc>
          <w:tcPr>
            <w:tcW w:w="3400" w:type="dxa"/>
            <w:tcBorders>
              <w:top w:val="single" w:sz="1" w:space="0" w:color="BFBFBF"/>
              <w:left w:val="single" w:sz="1" w:space="0" w:color="BFBFBF"/>
              <w:bottom w:val="single" w:sz="1" w:space="0" w:color="BFBFBF"/>
              <w:right w:val="single" w:sz="1" w:space="0" w:color="BFBFBF"/>
            </w:tcBorders>
            <w:shd w:val="clear" w:color="auto" w:fill="FFFFFF"/>
            <w:tcMar>
              <w:top w:w="80" w:type="dxa"/>
              <w:left w:w="120" w:type="dxa"/>
              <w:bottom w:w="80" w:type="dxa"/>
              <w:right w:w="120" w:type="dxa"/>
            </w:tcMar>
          </w:tcPr>
          <w:p w14:paraId="11C96C72" w14:textId="77777777" w:rsidR="004E4D56" w:rsidRPr="00F9785F" w:rsidRDefault="00000000" w:rsidP="00F9785F">
            <w:r w:rsidRPr="00F9785F">
              <w:rPr>
                <w:color w:val="000000"/>
              </w:rPr>
              <w:t>Autonomy</w:t>
            </w:r>
          </w:p>
        </w:tc>
        <w:tc>
          <w:tcPr>
            <w:tcW w:w="5960" w:type="dxa"/>
            <w:tcBorders>
              <w:top w:val="single" w:sz="1" w:space="0" w:color="BFBFBF"/>
              <w:left w:val="single" w:sz="1" w:space="0" w:color="BFBFBF"/>
              <w:bottom w:val="single" w:sz="1" w:space="0" w:color="BFBFBF"/>
              <w:right w:val="single" w:sz="1" w:space="0" w:color="BFBFBF"/>
            </w:tcBorders>
            <w:shd w:val="clear" w:color="auto" w:fill="FFFFFF"/>
            <w:tcMar>
              <w:top w:w="80" w:type="dxa"/>
              <w:left w:w="120" w:type="dxa"/>
              <w:bottom w:w="80" w:type="dxa"/>
              <w:right w:w="120" w:type="dxa"/>
            </w:tcMar>
          </w:tcPr>
          <w:p w14:paraId="7751FA8C" w14:textId="77777777" w:rsidR="004E4D56" w:rsidRPr="00F9785F" w:rsidRDefault="00000000" w:rsidP="00F9785F">
            <w:r w:rsidRPr="00F9785F">
              <w:rPr>
                <w:color w:val="000000"/>
              </w:rPr>
              <w:t>Discretion over technical approach, tools and crafting of role boundaries</w:t>
            </w:r>
          </w:p>
        </w:tc>
      </w:tr>
      <w:tr w:rsidR="004E4D56" w:rsidRPr="00F9785F" w14:paraId="660DEFEA" w14:textId="77777777">
        <w:tc>
          <w:tcPr>
            <w:tcW w:w="3400" w:type="dxa"/>
            <w:tcBorders>
              <w:top w:val="single" w:sz="1" w:space="0" w:color="BFBFBF"/>
              <w:left w:val="single" w:sz="1" w:space="0" w:color="BFBFBF"/>
              <w:bottom w:val="single" w:sz="1" w:space="0" w:color="BFBFBF"/>
              <w:right w:val="single" w:sz="1" w:space="0" w:color="BFBFBF"/>
            </w:tcBorders>
            <w:shd w:val="clear" w:color="auto" w:fill="FFFFFF"/>
            <w:tcMar>
              <w:top w:w="80" w:type="dxa"/>
              <w:left w:w="120" w:type="dxa"/>
              <w:bottom w:w="80" w:type="dxa"/>
              <w:right w:w="120" w:type="dxa"/>
            </w:tcMar>
          </w:tcPr>
          <w:p w14:paraId="3AFDA2FB" w14:textId="77777777" w:rsidR="004E4D56" w:rsidRPr="00F9785F" w:rsidRDefault="00000000" w:rsidP="00F9785F">
            <w:r w:rsidRPr="00F9785F">
              <w:rPr>
                <w:color w:val="000000"/>
              </w:rPr>
              <w:t>Feedback</w:t>
            </w:r>
          </w:p>
        </w:tc>
        <w:tc>
          <w:tcPr>
            <w:tcW w:w="5960" w:type="dxa"/>
            <w:tcBorders>
              <w:top w:val="single" w:sz="1" w:space="0" w:color="BFBFBF"/>
              <w:left w:val="single" w:sz="1" w:space="0" w:color="BFBFBF"/>
              <w:bottom w:val="single" w:sz="1" w:space="0" w:color="BFBFBF"/>
              <w:right w:val="single" w:sz="1" w:space="0" w:color="BFBFBF"/>
            </w:tcBorders>
            <w:shd w:val="clear" w:color="auto" w:fill="FFFFFF"/>
            <w:tcMar>
              <w:top w:w="80" w:type="dxa"/>
              <w:left w:w="120" w:type="dxa"/>
              <w:bottom w:w="80" w:type="dxa"/>
              <w:right w:w="120" w:type="dxa"/>
            </w:tcMar>
          </w:tcPr>
          <w:p w14:paraId="2F623813" w14:textId="77777777" w:rsidR="004E4D56" w:rsidRPr="00F9785F" w:rsidRDefault="00000000" w:rsidP="00F9785F">
            <w:r w:rsidRPr="00F9785F">
              <w:rPr>
                <w:color w:val="000000"/>
              </w:rPr>
              <w:t>Real-time performance dashboards plus structured manager and client feedback</w:t>
            </w:r>
          </w:p>
        </w:tc>
      </w:tr>
    </w:tbl>
    <w:p w14:paraId="3FB9DAFF" w14:textId="77777777" w:rsidR="004E4D56" w:rsidRPr="00F9785F" w:rsidRDefault="00000000" w:rsidP="00F9785F">
      <w:pPr>
        <w:spacing w:before="60" w:after="200"/>
      </w:pPr>
      <w:r w:rsidRPr="00F9785F">
        <w:rPr>
          <w:i/>
          <w:iCs/>
          <w:sz w:val="20"/>
          <w:szCs w:val="20"/>
        </w:rPr>
        <w:t>Table 2: Applying the Job Characteristics Model to Helios roles (author’s own elaboration).</w:t>
      </w:r>
    </w:p>
    <w:p w14:paraId="58132D32" w14:textId="77777777" w:rsidR="004E4D56" w:rsidRPr="00F9785F" w:rsidRDefault="00000000" w:rsidP="00F9785F">
      <w:pPr>
        <w:pStyle w:val="Heading2"/>
      </w:pPr>
      <w:bookmarkStart w:id="32" w:name="_Toc232420217"/>
      <w:bookmarkStart w:id="33" w:name="_Toc232420258"/>
      <w:bookmarkStart w:id="34" w:name="_Toc232513607"/>
      <w:r w:rsidRPr="00F9785F">
        <w:t>3.5 Implementation and measurement</w:t>
      </w:r>
      <w:bookmarkEnd w:id="32"/>
      <w:bookmarkEnd w:id="33"/>
      <w:bookmarkEnd w:id="34"/>
    </w:p>
    <w:p w14:paraId="72B9B8B8" w14:textId="2412C435" w:rsidR="004E4D56" w:rsidRPr="00F9785F" w:rsidRDefault="00455885" w:rsidP="00F9785F">
      <w:pPr>
        <w:spacing w:after="160"/>
      </w:pPr>
      <w:r w:rsidRPr="00F9785F">
        <w:t xml:space="preserve">Each intervention is connected to clear goals and targets and aggregated into Table 3 to ensure it is an accountable, not aspirational, architecture. These metrics enable the Board to measure progress towards Helios' three presenting issues (slow </w:t>
      </w:r>
      <w:proofErr w:type="spellStart"/>
      <w:r w:rsidRPr="00F9785F">
        <w:t>socialisation</w:t>
      </w:r>
      <w:proofErr w:type="spellEnd"/>
      <w:r w:rsidRPr="00F9785F">
        <w:t>, weak engagement and graduate attrition) at specific intervals and to take action when targets are not being met.</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00"/>
        <w:gridCol w:w="2860"/>
        <w:gridCol w:w="1300"/>
        <w:gridCol w:w="1700"/>
        <w:gridCol w:w="1300"/>
      </w:tblGrid>
      <w:tr w:rsidR="004E4D56" w:rsidRPr="00F9785F" w14:paraId="0D4548A0" w14:textId="77777777" w:rsidTr="00455885">
        <w:tc>
          <w:tcPr>
            <w:tcW w:w="2200" w:type="dxa"/>
            <w:tcBorders>
              <w:top w:val="single" w:sz="1" w:space="0" w:color="BFBFBF"/>
              <w:left w:val="single" w:sz="1" w:space="0" w:color="BFBFBF"/>
              <w:bottom w:val="single" w:sz="1" w:space="0" w:color="BFBFBF"/>
              <w:right w:val="single" w:sz="1" w:space="0" w:color="BFBFBF"/>
            </w:tcBorders>
            <w:tcMar>
              <w:top w:w="80" w:type="dxa"/>
              <w:left w:w="120" w:type="dxa"/>
              <w:bottom w:w="80" w:type="dxa"/>
              <w:right w:w="120" w:type="dxa"/>
            </w:tcMar>
          </w:tcPr>
          <w:p w14:paraId="59F057B7" w14:textId="77777777" w:rsidR="004E4D56" w:rsidRPr="00F9785F" w:rsidRDefault="00000000" w:rsidP="00F9785F">
            <w:r w:rsidRPr="00F9785F">
              <w:rPr>
                <w:b/>
                <w:bCs/>
              </w:rPr>
              <w:t>Objective</w:t>
            </w:r>
          </w:p>
        </w:tc>
        <w:tc>
          <w:tcPr>
            <w:tcW w:w="2860" w:type="dxa"/>
            <w:tcBorders>
              <w:top w:val="single" w:sz="1" w:space="0" w:color="BFBFBF"/>
              <w:left w:val="single" w:sz="1" w:space="0" w:color="BFBFBF"/>
              <w:bottom w:val="single" w:sz="1" w:space="0" w:color="BFBFBF"/>
              <w:right w:val="single" w:sz="1" w:space="0" w:color="BFBFBF"/>
            </w:tcBorders>
            <w:tcMar>
              <w:top w:w="80" w:type="dxa"/>
              <w:left w:w="120" w:type="dxa"/>
              <w:bottom w:w="80" w:type="dxa"/>
              <w:right w:w="120" w:type="dxa"/>
            </w:tcMar>
          </w:tcPr>
          <w:p w14:paraId="7461DE78" w14:textId="77777777" w:rsidR="004E4D56" w:rsidRPr="00F9785F" w:rsidRDefault="00000000" w:rsidP="00F9785F">
            <w:r w:rsidRPr="00F9785F">
              <w:rPr>
                <w:b/>
                <w:bCs/>
              </w:rPr>
              <w:t>Metric</w:t>
            </w:r>
          </w:p>
        </w:tc>
        <w:tc>
          <w:tcPr>
            <w:tcW w:w="1300" w:type="dxa"/>
            <w:tcBorders>
              <w:top w:val="single" w:sz="1" w:space="0" w:color="BFBFBF"/>
              <w:left w:val="single" w:sz="1" w:space="0" w:color="BFBFBF"/>
              <w:bottom w:val="single" w:sz="1" w:space="0" w:color="BFBFBF"/>
              <w:right w:val="single" w:sz="1" w:space="0" w:color="BFBFBF"/>
            </w:tcBorders>
            <w:tcMar>
              <w:top w:w="80" w:type="dxa"/>
              <w:left w:w="120" w:type="dxa"/>
              <w:bottom w:w="80" w:type="dxa"/>
              <w:right w:w="120" w:type="dxa"/>
            </w:tcMar>
          </w:tcPr>
          <w:p w14:paraId="69A09D60" w14:textId="77777777" w:rsidR="004E4D56" w:rsidRPr="00F9785F" w:rsidRDefault="00000000" w:rsidP="00F9785F">
            <w:r w:rsidRPr="00F9785F">
              <w:rPr>
                <w:b/>
                <w:bCs/>
              </w:rPr>
              <w:t>Baseline</w:t>
            </w:r>
          </w:p>
        </w:tc>
        <w:tc>
          <w:tcPr>
            <w:tcW w:w="1700" w:type="dxa"/>
            <w:tcBorders>
              <w:top w:val="single" w:sz="1" w:space="0" w:color="BFBFBF"/>
              <w:left w:val="single" w:sz="1" w:space="0" w:color="BFBFBF"/>
              <w:bottom w:val="single" w:sz="1" w:space="0" w:color="BFBFBF"/>
              <w:right w:val="single" w:sz="1" w:space="0" w:color="BFBFBF"/>
            </w:tcBorders>
            <w:tcMar>
              <w:top w:w="80" w:type="dxa"/>
              <w:left w:w="120" w:type="dxa"/>
              <w:bottom w:w="80" w:type="dxa"/>
              <w:right w:w="120" w:type="dxa"/>
            </w:tcMar>
          </w:tcPr>
          <w:p w14:paraId="51C24869" w14:textId="77777777" w:rsidR="004E4D56" w:rsidRPr="00F9785F" w:rsidRDefault="00000000" w:rsidP="00F9785F">
            <w:r w:rsidRPr="00F9785F">
              <w:rPr>
                <w:b/>
                <w:bCs/>
              </w:rPr>
              <w:t>Target</w:t>
            </w:r>
          </w:p>
        </w:tc>
        <w:tc>
          <w:tcPr>
            <w:tcW w:w="1300" w:type="dxa"/>
            <w:tcBorders>
              <w:top w:val="single" w:sz="1" w:space="0" w:color="BFBFBF"/>
              <w:left w:val="single" w:sz="1" w:space="0" w:color="BFBFBF"/>
              <w:bottom w:val="single" w:sz="1" w:space="0" w:color="BFBFBF"/>
              <w:right w:val="single" w:sz="1" w:space="0" w:color="BFBFBF"/>
            </w:tcBorders>
            <w:tcMar>
              <w:top w:w="80" w:type="dxa"/>
              <w:left w:w="120" w:type="dxa"/>
              <w:bottom w:w="80" w:type="dxa"/>
              <w:right w:w="120" w:type="dxa"/>
            </w:tcMar>
          </w:tcPr>
          <w:p w14:paraId="2560CA80" w14:textId="77777777" w:rsidR="004E4D56" w:rsidRPr="00F9785F" w:rsidRDefault="00000000" w:rsidP="00F9785F">
            <w:r w:rsidRPr="00F9785F">
              <w:rPr>
                <w:b/>
                <w:bCs/>
              </w:rPr>
              <w:t>Review</w:t>
            </w:r>
          </w:p>
        </w:tc>
      </w:tr>
      <w:tr w:rsidR="004E4D56" w:rsidRPr="00F9785F" w14:paraId="16BA553D" w14:textId="77777777">
        <w:tc>
          <w:tcPr>
            <w:tcW w:w="2200" w:type="dxa"/>
            <w:tcBorders>
              <w:top w:val="single" w:sz="1" w:space="0" w:color="BFBFBF"/>
              <w:left w:val="single" w:sz="1" w:space="0" w:color="BFBFBF"/>
              <w:bottom w:val="single" w:sz="1" w:space="0" w:color="BFBFBF"/>
              <w:right w:val="single" w:sz="1" w:space="0" w:color="BFBFBF"/>
            </w:tcBorders>
            <w:shd w:val="clear" w:color="auto" w:fill="FFFFFF"/>
            <w:tcMar>
              <w:top w:w="80" w:type="dxa"/>
              <w:left w:w="120" w:type="dxa"/>
              <w:bottom w:w="80" w:type="dxa"/>
              <w:right w:w="120" w:type="dxa"/>
            </w:tcMar>
          </w:tcPr>
          <w:p w14:paraId="35FFD77A" w14:textId="77777777" w:rsidR="004E4D56" w:rsidRPr="00F9785F" w:rsidRDefault="00000000" w:rsidP="00F9785F">
            <w:r w:rsidRPr="00F9785F">
              <w:rPr>
                <w:color w:val="000000"/>
              </w:rPr>
              <w:t xml:space="preserve">Faster </w:t>
            </w:r>
            <w:proofErr w:type="spellStart"/>
            <w:r w:rsidRPr="00F9785F">
              <w:rPr>
                <w:color w:val="000000"/>
              </w:rPr>
              <w:t>socialisation</w:t>
            </w:r>
            <w:proofErr w:type="spellEnd"/>
          </w:p>
        </w:tc>
        <w:tc>
          <w:tcPr>
            <w:tcW w:w="2860" w:type="dxa"/>
            <w:tcBorders>
              <w:top w:val="single" w:sz="1" w:space="0" w:color="BFBFBF"/>
              <w:left w:val="single" w:sz="1" w:space="0" w:color="BFBFBF"/>
              <w:bottom w:val="single" w:sz="1" w:space="0" w:color="BFBFBF"/>
              <w:right w:val="single" w:sz="1" w:space="0" w:color="BFBFBF"/>
            </w:tcBorders>
            <w:shd w:val="clear" w:color="auto" w:fill="FFFFFF"/>
            <w:tcMar>
              <w:top w:w="80" w:type="dxa"/>
              <w:left w:w="120" w:type="dxa"/>
              <w:bottom w:w="80" w:type="dxa"/>
              <w:right w:w="120" w:type="dxa"/>
            </w:tcMar>
          </w:tcPr>
          <w:p w14:paraId="32FA2363" w14:textId="77777777" w:rsidR="004E4D56" w:rsidRPr="00F9785F" w:rsidRDefault="00000000" w:rsidP="00F9785F">
            <w:r w:rsidRPr="00F9785F">
              <w:rPr>
                <w:color w:val="000000"/>
              </w:rPr>
              <w:t>Time-to-full-productivity (ramp-up)</w:t>
            </w:r>
          </w:p>
        </w:tc>
        <w:tc>
          <w:tcPr>
            <w:tcW w:w="1300" w:type="dxa"/>
            <w:tcBorders>
              <w:top w:val="single" w:sz="1" w:space="0" w:color="BFBFBF"/>
              <w:left w:val="single" w:sz="1" w:space="0" w:color="BFBFBF"/>
              <w:bottom w:val="single" w:sz="1" w:space="0" w:color="BFBFBF"/>
              <w:right w:val="single" w:sz="1" w:space="0" w:color="BFBFBF"/>
            </w:tcBorders>
            <w:shd w:val="clear" w:color="auto" w:fill="FFFFFF"/>
            <w:tcMar>
              <w:top w:w="80" w:type="dxa"/>
              <w:left w:w="120" w:type="dxa"/>
              <w:bottom w:w="80" w:type="dxa"/>
              <w:right w:w="120" w:type="dxa"/>
            </w:tcMar>
          </w:tcPr>
          <w:p w14:paraId="412C4C0E" w14:textId="77777777" w:rsidR="004E4D56" w:rsidRPr="00F9785F" w:rsidRDefault="00000000" w:rsidP="00F9785F">
            <w:r w:rsidRPr="00F9785F">
              <w:rPr>
                <w:color w:val="000000"/>
              </w:rPr>
              <w:t>8 months</w:t>
            </w:r>
          </w:p>
        </w:tc>
        <w:tc>
          <w:tcPr>
            <w:tcW w:w="1700" w:type="dxa"/>
            <w:tcBorders>
              <w:top w:val="single" w:sz="1" w:space="0" w:color="BFBFBF"/>
              <w:left w:val="single" w:sz="1" w:space="0" w:color="BFBFBF"/>
              <w:bottom w:val="single" w:sz="1" w:space="0" w:color="BFBFBF"/>
              <w:right w:val="single" w:sz="1" w:space="0" w:color="BFBFBF"/>
            </w:tcBorders>
            <w:shd w:val="clear" w:color="auto" w:fill="FFFFFF"/>
            <w:tcMar>
              <w:top w:w="80" w:type="dxa"/>
              <w:left w:w="120" w:type="dxa"/>
              <w:bottom w:w="80" w:type="dxa"/>
              <w:right w:w="120" w:type="dxa"/>
            </w:tcMar>
          </w:tcPr>
          <w:p w14:paraId="5B6E8CAD" w14:textId="77777777" w:rsidR="004E4D56" w:rsidRPr="00F9785F" w:rsidRDefault="00000000" w:rsidP="00F9785F">
            <w:r w:rsidRPr="00F9785F">
              <w:t>4–5 months</w:t>
            </w:r>
          </w:p>
        </w:tc>
        <w:tc>
          <w:tcPr>
            <w:tcW w:w="1300" w:type="dxa"/>
            <w:tcBorders>
              <w:top w:val="single" w:sz="1" w:space="0" w:color="BFBFBF"/>
              <w:left w:val="single" w:sz="1" w:space="0" w:color="BFBFBF"/>
              <w:bottom w:val="single" w:sz="1" w:space="0" w:color="BFBFBF"/>
              <w:right w:val="single" w:sz="1" w:space="0" w:color="BFBFBF"/>
            </w:tcBorders>
            <w:shd w:val="clear" w:color="auto" w:fill="FFFFFF"/>
            <w:tcMar>
              <w:top w:w="80" w:type="dxa"/>
              <w:left w:w="120" w:type="dxa"/>
              <w:bottom w:w="80" w:type="dxa"/>
              <w:right w:w="120" w:type="dxa"/>
            </w:tcMar>
          </w:tcPr>
          <w:p w14:paraId="3B17AFA6" w14:textId="77777777" w:rsidR="004E4D56" w:rsidRPr="00F9785F" w:rsidRDefault="00000000" w:rsidP="00F9785F">
            <w:r w:rsidRPr="00F9785F">
              <w:t>12 months</w:t>
            </w:r>
          </w:p>
        </w:tc>
      </w:tr>
      <w:tr w:rsidR="004E4D56" w:rsidRPr="00F9785F" w14:paraId="3FACB18A" w14:textId="77777777">
        <w:tc>
          <w:tcPr>
            <w:tcW w:w="2200" w:type="dxa"/>
            <w:tcBorders>
              <w:top w:val="single" w:sz="1" w:space="0" w:color="BFBFBF"/>
              <w:left w:val="single" w:sz="1" w:space="0" w:color="BFBFBF"/>
              <w:bottom w:val="single" w:sz="1" w:space="0" w:color="BFBFBF"/>
              <w:right w:val="single" w:sz="1" w:space="0" w:color="BFBFBF"/>
            </w:tcBorders>
            <w:shd w:val="clear" w:color="auto" w:fill="FFFFFF"/>
            <w:tcMar>
              <w:top w:w="80" w:type="dxa"/>
              <w:left w:w="120" w:type="dxa"/>
              <w:bottom w:w="80" w:type="dxa"/>
              <w:right w:w="120" w:type="dxa"/>
            </w:tcMar>
          </w:tcPr>
          <w:p w14:paraId="0564C826" w14:textId="77777777" w:rsidR="004E4D56" w:rsidRPr="00F9785F" w:rsidRDefault="00000000" w:rsidP="00F9785F">
            <w:r w:rsidRPr="00F9785F">
              <w:rPr>
                <w:color w:val="000000"/>
              </w:rPr>
              <w:t>Onboarding quality</w:t>
            </w:r>
          </w:p>
        </w:tc>
        <w:tc>
          <w:tcPr>
            <w:tcW w:w="2860" w:type="dxa"/>
            <w:tcBorders>
              <w:top w:val="single" w:sz="1" w:space="0" w:color="BFBFBF"/>
              <w:left w:val="single" w:sz="1" w:space="0" w:color="BFBFBF"/>
              <w:bottom w:val="single" w:sz="1" w:space="0" w:color="BFBFBF"/>
              <w:right w:val="single" w:sz="1" w:space="0" w:color="BFBFBF"/>
            </w:tcBorders>
            <w:shd w:val="clear" w:color="auto" w:fill="FFFFFF"/>
            <w:tcMar>
              <w:top w:w="80" w:type="dxa"/>
              <w:left w:w="120" w:type="dxa"/>
              <w:bottom w:w="80" w:type="dxa"/>
              <w:right w:w="120" w:type="dxa"/>
            </w:tcMar>
          </w:tcPr>
          <w:p w14:paraId="065F1C1F" w14:textId="77777777" w:rsidR="004E4D56" w:rsidRPr="00F9785F" w:rsidRDefault="00000000" w:rsidP="00F9785F">
            <w:r w:rsidRPr="00F9785F">
              <w:rPr>
                <w:color w:val="000000"/>
              </w:rPr>
              <w:t>30/60/90-day feedback; check-in completion</w:t>
            </w:r>
          </w:p>
        </w:tc>
        <w:tc>
          <w:tcPr>
            <w:tcW w:w="1300" w:type="dxa"/>
            <w:tcBorders>
              <w:top w:val="single" w:sz="1" w:space="0" w:color="BFBFBF"/>
              <w:left w:val="single" w:sz="1" w:space="0" w:color="BFBFBF"/>
              <w:bottom w:val="single" w:sz="1" w:space="0" w:color="BFBFBF"/>
              <w:right w:val="single" w:sz="1" w:space="0" w:color="BFBFBF"/>
            </w:tcBorders>
            <w:shd w:val="clear" w:color="auto" w:fill="FFFFFF"/>
            <w:tcMar>
              <w:top w:w="80" w:type="dxa"/>
              <w:left w:w="120" w:type="dxa"/>
              <w:bottom w:w="80" w:type="dxa"/>
              <w:right w:w="120" w:type="dxa"/>
            </w:tcMar>
          </w:tcPr>
          <w:p w14:paraId="09C67B3A" w14:textId="77777777" w:rsidR="004E4D56" w:rsidRPr="00F9785F" w:rsidRDefault="00000000" w:rsidP="00F9785F">
            <w:r w:rsidRPr="00F9785F">
              <w:rPr>
                <w:color w:val="000000"/>
              </w:rPr>
              <w:t>Not tracked</w:t>
            </w:r>
          </w:p>
        </w:tc>
        <w:tc>
          <w:tcPr>
            <w:tcW w:w="1700" w:type="dxa"/>
            <w:tcBorders>
              <w:top w:val="single" w:sz="1" w:space="0" w:color="BFBFBF"/>
              <w:left w:val="single" w:sz="1" w:space="0" w:color="BFBFBF"/>
              <w:bottom w:val="single" w:sz="1" w:space="0" w:color="BFBFBF"/>
              <w:right w:val="single" w:sz="1" w:space="0" w:color="BFBFBF"/>
            </w:tcBorders>
            <w:shd w:val="clear" w:color="auto" w:fill="FFFFFF"/>
            <w:tcMar>
              <w:top w:w="80" w:type="dxa"/>
              <w:left w:w="120" w:type="dxa"/>
              <w:bottom w:w="80" w:type="dxa"/>
              <w:right w:w="120" w:type="dxa"/>
            </w:tcMar>
          </w:tcPr>
          <w:p w14:paraId="1E7208C2" w14:textId="77777777" w:rsidR="004E4D56" w:rsidRPr="00F9785F" w:rsidRDefault="00000000" w:rsidP="00F9785F">
            <w:r w:rsidRPr="00F9785F">
              <w:rPr>
                <w:color w:val="000000"/>
              </w:rPr>
              <w:t>≥4/5; 100%</w:t>
            </w:r>
          </w:p>
        </w:tc>
        <w:tc>
          <w:tcPr>
            <w:tcW w:w="1300" w:type="dxa"/>
            <w:tcBorders>
              <w:top w:val="single" w:sz="1" w:space="0" w:color="BFBFBF"/>
              <w:left w:val="single" w:sz="1" w:space="0" w:color="BFBFBF"/>
              <w:bottom w:val="single" w:sz="1" w:space="0" w:color="BFBFBF"/>
              <w:right w:val="single" w:sz="1" w:space="0" w:color="BFBFBF"/>
            </w:tcBorders>
            <w:shd w:val="clear" w:color="auto" w:fill="FFFFFF"/>
            <w:tcMar>
              <w:top w:w="80" w:type="dxa"/>
              <w:left w:w="120" w:type="dxa"/>
              <w:bottom w:w="80" w:type="dxa"/>
              <w:right w:w="120" w:type="dxa"/>
            </w:tcMar>
          </w:tcPr>
          <w:p w14:paraId="17C6C628" w14:textId="77777777" w:rsidR="004E4D56" w:rsidRPr="00F9785F" w:rsidRDefault="00000000" w:rsidP="00F9785F">
            <w:r w:rsidRPr="00F9785F">
              <w:rPr>
                <w:color w:val="000000"/>
              </w:rPr>
              <w:t>Quarterly</w:t>
            </w:r>
          </w:p>
        </w:tc>
      </w:tr>
      <w:tr w:rsidR="004E4D56" w:rsidRPr="00F9785F" w14:paraId="3C41A03D" w14:textId="77777777">
        <w:tc>
          <w:tcPr>
            <w:tcW w:w="2200" w:type="dxa"/>
            <w:tcBorders>
              <w:top w:val="single" w:sz="1" w:space="0" w:color="BFBFBF"/>
              <w:left w:val="single" w:sz="1" w:space="0" w:color="BFBFBF"/>
              <w:bottom w:val="single" w:sz="1" w:space="0" w:color="BFBFBF"/>
              <w:right w:val="single" w:sz="1" w:space="0" w:color="BFBFBF"/>
            </w:tcBorders>
            <w:shd w:val="clear" w:color="auto" w:fill="FFFFFF"/>
            <w:tcMar>
              <w:top w:w="80" w:type="dxa"/>
              <w:left w:w="120" w:type="dxa"/>
              <w:bottom w:w="80" w:type="dxa"/>
              <w:right w:w="120" w:type="dxa"/>
            </w:tcMar>
          </w:tcPr>
          <w:p w14:paraId="5F23E022" w14:textId="77777777" w:rsidR="004E4D56" w:rsidRPr="00F9785F" w:rsidRDefault="00000000" w:rsidP="00F9785F">
            <w:r w:rsidRPr="00F9785F">
              <w:rPr>
                <w:color w:val="000000"/>
              </w:rPr>
              <w:lastRenderedPageBreak/>
              <w:t>Higher engagement</w:t>
            </w:r>
          </w:p>
        </w:tc>
        <w:tc>
          <w:tcPr>
            <w:tcW w:w="2860" w:type="dxa"/>
            <w:tcBorders>
              <w:top w:val="single" w:sz="1" w:space="0" w:color="BFBFBF"/>
              <w:left w:val="single" w:sz="1" w:space="0" w:color="BFBFBF"/>
              <w:bottom w:val="single" w:sz="1" w:space="0" w:color="BFBFBF"/>
              <w:right w:val="single" w:sz="1" w:space="0" w:color="BFBFBF"/>
            </w:tcBorders>
            <w:shd w:val="clear" w:color="auto" w:fill="FFFFFF"/>
            <w:tcMar>
              <w:top w:w="80" w:type="dxa"/>
              <w:left w:w="120" w:type="dxa"/>
              <w:bottom w:w="80" w:type="dxa"/>
              <w:right w:w="120" w:type="dxa"/>
            </w:tcMar>
          </w:tcPr>
          <w:p w14:paraId="7E5A72DB" w14:textId="77777777" w:rsidR="004E4D56" w:rsidRPr="00F9785F" w:rsidRDefault="00000000" w:rsidP="00F9785F">
            <w:r w:rsidRPr="00F9785F">
              <w:rPr>
                <w:color w:val="000000"/>
              </w:rPr>
              <w:t>Annual engagement survey score</w:t>
            </w:r>
          </w:p>
        </w:tc>
        <w:tc>
          <w:tcPr>
            <w:tcW w:w="1300" w:type="dxa"/>
            <w:tcBorders>
              <w:top w:val="single" w:sz="1" w:space="0" w:color="BFBFBF"/>
              <w:left w:val="single" w:sz="1" w:space="0" w:color="BFBFBF"/>
              <w:bottom w:val="single" w:sz="1" w:space="0" w:color="BFBFBF"/>
              <w:right w:val="single" w:sz="1" w:space="0" w:color="BFBFBF"/>
            </w:tcBorders>
            <w:shd w:val="clear" w:color="auto" w:fill="FFFFFF"/>
            <w:tcMar>
              <w:top w:w="80" w:type="dxa"/>
              <w:left w:w="120" w:type="dxa"/>
              <w:bottom w:w="80" w:type="dxa"/>
              <w:right w:w="120" w:type="dxa"/>
            </w:tcMar>
          </w:tcPr>
          <w:p w14:paraId="6EF53B16" w14:textId="77777777" w:rsidR="004E4D56" w:rsidRPr="00F9785F" w:rsidRDefault="00000000" w:rsidP="00F9785F">
            <w:r w:rsidRPr="00F9785F">
              <w:rPr>
                <w:color w:val="000000"/>
              </w:rPr>
              <w:t>54%</w:t>
            </w:r>
          </w:p>
        </w:tc>
        <w:tc>
          <w:tcPr>
            <w:tcW w:w="1700" w:type="dxa"/>
            <w:tcBorders>
              <w:top w:val="single" w:sz="1" w:space="0" w:color="BFBFBF"/>
              <w:left w:val="single" w:sz="1" w:space="0" w:color="BFBFBF"/>
              <w:bottom w:val="single" w:sz="1" w:space="0" w:color="BFBFBF"/>
              <w:right w:val="single" w:sz="1" w:space="0" w:color="BFBFBF"/>
            </w:tcBorders>
            <w:shd w:val="clear" w:color="auto" w:fill="FFFFFF"/>
            <w:tcMar>
              <w:top w:w="80" w:type="dxa"/>
              <w:left w:w="120" w:type="dxa"/>
              <w:bottom w:w="80" w:type="dxa"/>
              <w:right w:w="120" w:type="dxa"/>
            </w:tcMar>
          </w:tcPr>
          <w:p w14:paraId="50E89AD3" w14:textId="77777777" w:rsidR="004E4D56" w:rsidRPr="00F9785F" w:rsidRDefault="00000000" w:rsidP="00F9785F">
            <w:r w:rsidRPr="00F9785F">
              <w:rPr>
                <w:color w:val="000000"/>
              </w:rPr>
              <w:t>≥65%</w:t>
            </w:r>
          </w:p>
        </w:tc>
        <w:tc>
          <w:tcPr>
            <w:tcW w:w="1300" w:type="dxa"/>
            <w:tcBorders>
              <w:top w:val="single" w:sz="1" w:space="0" w:color="BFBFBF"/>
              <w:left w:val="single" w:sz="1" w:space="0" w:color="BFBFBF"/>
              <w:bottom w:val="single" w:sz="1" w:space="0" w:color="BFBFBF"/>
              <w:right w:val="single" w:sz="1" w:space="0" w:color="BFBFBF"/>
            </w:tcBorders>
            <w:shd w:val="clear" w:color="auto" w:fill="FFFFFF"/>
            <w:tcMar>
              <w:top w:w="80" w:type="dxa"/>
              <w:left w:w="120" w:type="dxa"/>
              <w:bottom w:w="80" w:type="dxa"/>
              <w:right w:w="120" w:type="dxa"/>
            </w:tcMar>
          </w:tcPr>
          <w:p w14:paraId="068876C9" w14:textId="77777777" w:rsidR="004E4D56" w:rsidRPr="00F9785F" w:rsidRDefault="00000000" w:rsidP="00F9785F">
            <w:r w:rsidRPr="00F9785F">
              <w:rPr>
                <w:color w:val="000000"/>
              </w:rPr>
              <w:t>Next survey</w:t>
            </w:r>
          </w:p>
        </w:tc>
      </w:tr>
      <w:tr w:rsidR="004E4D56" w:rsidRPr="00F9785F" w14:paraId="7F0E52DE" w14:textId="77777777">
        <w:tc>
          <w:tcPr>
            <w:tcW w:w="2200" w:type="dxa"/>
            <w:tcBorders>
              <w:top w:val="single" w:sz="1" w:space="0" w:color="BFBFBF"/>
              <w:left w:val="single" w:sz="1" w:space="0" w:color="BFBFBF"/>
              <w:bottom w:val="single" w:sz="1" w:space="0" w:color="BFBFBF"/>
              <w:right w:val="single" w:sz="1" w:space="0" w:color="BFBFBF"/>
            </w:tcBorders>
            <w:shd w:val="clear" w:color="auto" w:fill="FFFFFF"/>
            <w:tcMar>
              <w:top w:w="80" w:type="dxa"/>
              <w:left w:w="120" w:type="dxa"/>
              <w:bottom w:w="80" w:type="dxa"/>
              <w:right w:w="120" w:type="dxa"/>
            </w:tcMar>
          </w:tcPr>
          <w:p w14:paraId="3CAD05DF" w14:textId="77777777" w:rsidR="004E4D56" w:rsidRPr="00F9785F" w:rsidRDefault="00000000" w:rsidP="00F9785F">
            <w:r w:rsidRPr="00F9785F">
              <w:rPr>
                <w:color w:val="000000"/>
              </w:rPr>
              <w:t>Graduate retention</w:t>
            </w:r>
          </w:p>
        </w:tc>
        <w:tc>
          <w:tcPr>
            <w:tcW w:w="2860" w:type="dxa"/>
            <w:tcBorders>
              <w:top w:val="single" w:sz="1" w:space="0" w:color="BFBFBF"/>
              <w:left w:val="single" w:sz="1" w:space="0" w:color="BFBFBF"/>
              <w:bottom w:val="single" w:sz="1" w:space="0" w:color="BFBFBF"/>
              <w:right w:val="single" w:sz="1" w:space="0" w:color="BFBFBF"/>
            </w:tcBorders>
            <w:shd w:val="clear" w:color="auto" w:fill="FFFFFF"/>
            <w:tcMar>
              <w:top w:w="80" w:type="dxa"/>
              <w:left w:w="120" w:type="dxa"/>
              <w:bottom w:w="80" w:type="dxa"/>
              <w:right w:w="120" w:type="dxa"/>
            </w:tcMar>
          </w:tcPr>
          <w:p w14:paraId="54C72150" w14:textId="77777777" w:rsidR="004E4D56" w:rsidRPr="00F9785F" w:rsidRDefault="00000000" w:rsidP="00F9785F">
            <w:r w:rsidRPr="00F9785F">
              <w:rPr>
                <w:color w:val="000000"/>
              </w:rPr>
              <w:t>12-month / 24-month retention</w:t>
            </w:r>
          </w:p>
        </w:tc>
        <w:tc>
          <w:tcPr>
            <w:tcW w:w="1300" w:type="dxa"/>
            <w:tcBorders>
              <w:top w:val="single" w:sz="1" w:space="0" w:color="BFBFBF"/>
              <w:left w:val="single" w:sz="1" w:space="0" w:color="BFBFBF"/>
              <w:bottom w:val="single" w:sz="1" w:space="0" w:color="BFBFBF"/>
              <w:right w:val="single" w:sz="1" w:space="0" w:color="BFBFBF"/>
            </w:tcBorders>
            <w:shd w:val="clear" w:color="auto" w:fill="FFFFFF"/>
            <w:tcMar>
              <w:top w:w="80" w:type="dxa"/>
              <w:left w:w="120" w:type="dxa"/>
              <w:bottom w:w="80" w:type="dxa"/>
              <w:right w:w="120" w:type="dxa"/>
            </w:tcMar>
          </w:tcPr>
          <w:p w14:paraId="7655EA14" w14:textId="77777777" w:rsidR="004E4D56" w:rsidRPr="00F9785F" w:rsidRDefault="00000000" w:rsidP="00F9785F">
            <w:r w:rsidRPr="00F9785F">
              <w:rPr>
                <w:color w:val="000000"/>
              </w:rPr>
              <w:t>Not tracked</w:t>
            </w:r>
          </w:p>
        </w:tc>
        <w:tc>
          <w:tcPr>
            <w:tcW w:w="1700" w:type="dxa"/>
            <w:tcBorders>
              <w:top w:val="single" w:sz="1" w:space="0" w:color="BFBFBF"/>
              <w:left w:val="single" w:sz="1" w:space="0" w:color="BFBFBF"/>
              <w:bottom w:val="single" w:sz="1" w:space="0" w:color="BFBFBF"/>
              <w:right w:val="single" w:sz="1" w:space="0" w:color="BFBFBF"/>
            </w:tcBorders>
            <w:shd w:val="clear" w:color="auto" w:fill="FFFFFF"/>
            <w:tcMar>
              <w:top w:w="80" w:type="dxa"/>
              <w:left w:w="120" w:type="dxa"/>
              <w:bottom w:w="80" w:type="dxa"/>
              <w:right w:w="120" w:type="dxa"/>
            </w:tcMar>
          </w:tcPr>
          <w:p w14:paraId="5901F04F" w14:textId="77777777" w:rsidR="004E4D56" w:rsidRPr="00F9785F" w:rsidRDefault="00000000" w:rsidP="00F9785F">
            <w:r w:rsidRPr="00F9785F">
              <w:rPr>
                <w:color w:val="000000"/>
              </w:rPr>
              <w:t>≥90% / ≥80%</w:t>
            </w:r>
          </w:p>
        </w:tc>
        <w:tc>
          <w:tcPr>
            <w:tcW w:w="1300" w:type="dxa"/>
            <w:tcBorders>
              <w:top w:val="single" w:sz="1" w:space="0" w:color="BFBFBF"/>
              <w:left w:val="single" w:sz="1" w:space="0" w:color="BFBFBF"/>
              <w:bottom w:val="single" w:sz="1" w:space="0" w:color="BFBFBF"/>
              <w:right w:val="single" w:sz="1" w:space="0" w:color="BFBFBF"/>
            </w:tcBorders>
            <w:shd w:val="clear" w:color="auto" w:fill="FFFFFF"/>
            <w:tcMar>
              <w:top w:w="80" w:type="dxa"/>
              <w:left w:w="120" w:type="dxa"/>
              <w:bottom w:w="80" w:type="dxa"/>
              <w:right w:w="120" w:type="dxa"/>
            </w:tcMar>
          </w:tcPr>
          <w:p w14:paraId="3A6CE808" w14:textId="77777777" w:rsidR="004E4D56" w:rsidRPr="00F9785F" w:rsidRDefault="00000000" w:rsidP="00F9785F">
            <w:r w:rsidRPr="00F9785F">
              <w:rPr>
                <w:color w:val="000000"/>
              </w:rPr>
              <w:t>Bi-annual</w:t>
            </w:r>
          </w:p>
        </w:tc>
      </w:tr>
      <w:tr w:rsidR="004E4D56" w:rsidRPr="00F9785F" w14:paraId="75EC7246" w14:textId="77777777">
        <w:tc>
          <w:tcPr>
            <w:tcW w:w="2200" w:type="dxa"/>
            <w:tcBorders>
              <w:top w:val="single" w:sz="1" w:space="0" w:color="BFBFBF"/>
              <w:left w:val="single" w:sz="1" w:space="0" w:color="BFBFBF"/>
              <w:bottom w:val="single" w:sz="1" w:space="0" w:color="BFBFBF"/>
              <w:right w:val="single" w:sz="1" w:space="0" w:color="BFBFBF"/>
            </w:tcBorders>
            <w:shd w:val="clear" w:color="auto" w:fill="FFFFFF"/>
            <w:tcMar>
              <w:top w:w="80" w:type="dxa"/>
              <w:left w:w="120" w:type="dxa"/>
              <w:bottom w:w="80" w:type="dxa"/>
              <w:right w:w="120" w:type="dxa"/>
            </w:tcMar>
          </w:tcPr>
          <w:p w14:paraId="638E184A" w14:textId="77777777" w:rsidR="004E4D56" w:rsidRPr="00F9785F" w:rsidRDefault="00000000" w:rsidP="00F9785F">
            <w:r w:rsidRPr="00F9785F">
              <w:rPr>
                <w:color w:val="000000"/>
              </w:rPr>
              <w:t>Internal mobility</w:t>
            </w:r>
          </w:p>
        </w:tc>
        <w:tc>
          <w:tcPr>
            <w:tcW w:w="2860" w:type="dxa"/>
            <w:tcBorders>
              <w:top w:val="single" w:sz="1" w:space="0" w:color="BFBFBF"/>
              <w:left w:val="single" w:sz="1" w:space="0" w:color="BFBFBF"/>
              <w:bottom w:val="single" w:sz="1" w:space="0" w:color="BFBFBF"/>
              <w:right w:val="single" w:sz="1" w:space="0" w:color="BFBFBF"/>
            </w:tcBorders>
            <w:shd w:val="clear" w:color="auto" w:fill="FFFFFF"/>
            <w:tcMar>
              <w:top w:w="80" w:type="dxa"/>
              <w:left w:w="120" w:type="dxa"/>
              <w:bottom w:w="80" w:type="dxa"/>
              <w:right w:w="120" w:type="dxa"/>
            </w:tcMar>
          </w:tcPr>
          <w:p w14:paraId="5D46C2A5" w14:textId="77777777" w:rsidR="004E4D56" w:rsidRPr="00F9785F" w:rsidRDefault="00000000" w:rsidP="00F9785F">
            <w:r w:rsidRPr="00F9785F">
              <w:rPr>
                <w:color w:val="000000"/>
              </w:rPr>
              <w:t>Projects staffed internally; mobility rate</w:t>
            </w:r>
          </w:p>
        </w:tc>
        <w:tc>
          <w:tcPr>
            <w:tcW w:w="1300" w:type="dxa"/>
            <w:tcBorders>
              <w:top w:val="single" w:sz="1" w:space="0" w:color="BFBFBF"/>
              <w:left w:val="single" w:sz="1" w:space="0" w:color="BFBFBF"/>
              <w:bottom w:val="single" w:sz="1" w:space="0" w:color="BFBFBF"/>
              <w:right w:val="single" w:sz="1" w:space="0" w:color="BFBFBF"/>
            </w:tcBorders>
            <w:shd w:val="clear" w:color="auto" w:fill="FFFFFF"/>
            <w:tcMar>
              <w:top w:w="80" w:type="dxa"/>
              <w:left w:w="120" w:type="dxa"/>
              <w:bottom w:w="80" w:type="dxa"/>
              <w:right w:w="120" w:type="dxa"/>
            </w:tcMar>
          </w:tcPr>
          <w:p w14:paraId="7EA62621" w14:textId="77777777" w:rsidR="004E4D56" w:rsidRPr="00F9785F" w:rsidRDefault="00000000" w:rsidP="00F9785F">
            <w:r w:rsidRPr="00F9785F">
              <w:rPr>
                <w:color w:val="000000"/>
              </w:rPr>
              <w:t>Not tracked</w:t>
            </w:r>
          </w:p>
        </w:tc>
        <w:tc>
          <w:tcPr>
            <w:tcW w:w="1700" w:type="dxa"/>
            <w:tcBorders>
              <w:top w:val="single" w:sz="1" w:space="0" w:color="BFBFBF"/>
              <w:left w:val="single" w:sz="1" w:space="0" w:color="BFBFBF"/>
              <w:bottom w:val="single" w:sz="1" w:space="0" w:color="BFBFBF"/>
              <w:right w:val="single" w:sz="1" w:space="0" w:color="BFBFBF"/>
            </w:tcBorders>
            <w:shd w:val="clear" w:color="auto" w:fill="FFFFFF"/>
            <w:tcMar>
              <w:top w:w="80" w:type="dxa"/>
              <w:left w:w="120" w:type="dxa"/>
              <w:bottom w:w="80" w:type="dxa"/>
              <w:right w:w="120" w:type="dxa"/>
            </w:tcMar>
          </w:tcPr>
          <w:p w14:paraId="4711B94C" w14:textId="77777777" w:rsidR="004E4D56" w:rsidRPr="00F9785F" w:rsidRDefault="00000000" w:rsidP="00F9785F">
            <w:r w:rsidRPr="00F9785F">
              <w:rPr>
                <w:color w:val="000000"/>
              </w:rPr>
              <w:t>≥20%; ≥15% p.a.</w:t>
            </w:r>
          </w:p>
        </w:tc>
        <w:tc>
          <w:tcPr>
            <w:tcW w:w="1300" w:type="dxa"/>
            <w:tcBorders>
              <w:top w:val="single" w:sz="1" w:space="0" w:color="BFBFBF"/>
              <w:left w:val="single" w:sz="1" w:space="0" w:color="BFBFBF"/>
              <w:bottom w:val="single" w:sz="1" w:space="0" w:color="BFBFBF"/>
              <w:right w:val="single" w:sz="1" w:space="0" w:color="BFBFBF"/>
            </w:tcBorders>
            <w:shd w:val="clear" w:color="auto" w:fill="FFFFFF"/>
            <w:tcMar>
              <w:top w:w="80" w:type="dxa"/>
              <w:left w:w="120" w:type="dxa"/>
              <w:bottom w:w="80" w:type="dxa"/>
              <w:right w:w="120" w:type="dxa"/>
            </w:tcMar>
          </w:tcPr>
          <w:p w14:paraId="0DFE7573" w14:textId="77777777" w:rsidR="004E4D56" w:rsidRPr="00F9785F" w:rsidRDefault="00000000" w:rsidP="00F9785F">
            <w:r w:rsidRPr="00F9785F">
              <w:rPr>
                <w:color w:val="000000"/>
              </w:rPr>
              <w:t>Annual</w:t>
            </w:r>
          </w:p>
        </w:tc>
      </w:tr>
      <w:tr w:rsidR="004E4D56" w:rsidRPr="00F9785F" w14:paraId="6AB4EA21" w14:textId="77777777">
        <w:tc>
          <w:tcPr>
            <w:tcW w:w="2200" w:type="dxa"/>
            <w:tcBorders>
              <w:top w:val="single" w:sz="1" w:space="0" w:color="BFBFBF"/>
              <w:left w:val="single" w:sz="1" w:space="0" w:color="BFBFBF"/>
              <w:bottom w:val="single" w:sz="1" w:space="0" w:color="BFBFBF"/>
              <w:right w:val="single" w:sz="1" w:space="0" w:color="BFBFBF"/>
            </w:tcBorders>
            <w:shd w:val="clear" w:color="auto" w:fill="FFFFFF"/>
            <w:tcMar>
              <w:top w:w="80" w:type="dxa"/>
              <w:left w:w="120" w:type="dxa"/>
              <w:bottom w:w="80" w:type="dxa"/>
              <w:right w:w="120" w:type="dxa"/>
            </w:tcMar>
          </w:tcPr>
          <w:p w14:paraId="0AE8DBCC" w14:textId="77777777" w:rsidR="004E4D56" w:rsidRPr="00F9785F" w:rsidRDefault="00000000" w:rsidP="00F9785F">
            <w:r w:rsidRPr="00F9785F">
              <w:rPr>
                <w:color w:val="000000"/>
              </w:rPr>
              <w:t>Skills-data quality</w:t>
            </w:r>
          </w:p>
        </w:tc>
        <w:tc>
          <w:tcPr>
            <w:tcW w:w="2860" w:type="dxa"/>
            <w:tcBorders>
              <w:top w:val="single" w:sz="1" w:space="0" w:color="BFBFBF"/>
              <w:left w:val="single" w:sz="1" w:space="0" w:color="BFBFBF"/>
              <w:bottom w:val="single" w:sz="1" w:space="0" w:color="BFBFBF"/>
              <w:right w:val="single" w:sz="1" w:space="0" w:color="BFBFBF"/>
            </w:tcBorders>
            <w:shd w:val="clear" w:color="auto" w:fill="FFFFFF"/>
            <w:tcMar>
              <w:top w:w="80" w:type="dxa"/>
              <w:left w:w="120" w:type="dxa"/>
              <w:bottom w:w="80" w:type="dxa"/>
              <w:right w:w="120" w:type="dxa"/>
            </w:tcMar>
          </w:tcPr>
          <w:p w14:paraId="2244D809" w14:textId="77777777" w:rsidR="004E4D56" w:rsidRPr="00F9785F" w:rsidRDefault="00000000" w:rsidP="00F9785F">
            <w:r w:rsidRPr="00F9785F">
              <w:rPr>
                <w:color w:val="000000"/>
              </w:rPr>
              <w:t>Profiles refreshed within six months</w:t>
            </w:r>
          </w:p>
        </w:tc>
        <w:tc>
          <w:tcPr>
            <w:tcW w:w="1300" w:type="dxa"/>
            <w:tcBorders>
              <w:top w:val="single" w:sz="1" w:space="0" w:color="BFBFBF"/>
              <w:left w:val="single" w:sz="1" w:space="0" w:color="BFBFBF"/>
              <w:bottom w:val="single" w:sz="1" w:space="0" w:color="BFBFBF"/>
              <w:right w:val="single" w:sz="1" w:space="0" w:color="BFBFBF"/>
            </w:tcBorders>
            <w:shd w:val="clear" w:color="auto" w:fill="FFFFFF"/>
            <w:tcMar>
              <w:top w:w="80" w:type="dxa"/>
              <w:left w:w="120" w:type="dxa"/>
              <w:bottom w:w="80" w:type="dxa"/>
              <w:right w:w="120" w:type="dxa"/>
            </w:tcMar>
          </w:tcPr>
          <w:p w14:paraId="46208A37" w14:textId="77777777" w:rsidR="004E4D56" w:rsidRPr="00F9785F" w:rsidRDefault="00000000" w:rsidP="00F9785F">
            <w:r w:rsidRPr="00F9785F">
              <w:rPr>
                <w:color w:val="000000"/>
              </w:rPr>
              <w:t>Not tracked</w:t>
            </w:r>
          </w:p>
        </w:tc>
        <w:tc>
          <w:tcPr>
            <w:tcW w:w="1700" w:type="dxa"/>
            <w:tcBorders>
              <w:top w:val="single" w:sz="1" w:space="0" w:color="BFBFBF"/>
              <w:left w:val="single" w:sz="1" w:space="0" w:color="BFBFBF"/>
              <w:bottom w:val="single" w:sz="1" w:space="0" w:color="BFBFBF"/>
              <w:right w:val="single" w:sz="1" w:space="0" w:color="BFBFBF"/>
            </w:tcBorders>
            <w:shd w:val="clear" w:color="auto" w:fill="FFFFFF"/>
            <w:tcMar>
              <w:top w:w="80" w:type="dxa"/>
              <w:left w:w="120" w:type="dxa"/>
              <w:bottom w:w="80" w:type="dxa"/>
              <w:right w:w="120" w:type="dxa"/>
            </w:tcMar>
          </w:tcPr>
          <w:p w14:paraId="69633B9E" w14:textId="77777777" w:rsidR="004E4D56" w:rsidRPr="00F9785F" w:rsidRDefault="00000000" w:rsidP="00F9785F">
            <w:r w:rsidRPr="00F9785F">
              <w:rPr>
                <w:color w:val="000000"/>
              </w:rPr>
              <w:t>≥90%</w:t>
            </w:r>
          </w:p>
        </w:tc>
        <w:tc>
          <w:tcPr>
            <w:tcW w:w="1300" w:type="dxa"/>
            <w:tcBorders>
              <w:top w:val="single" w:sz="1" w:space="0" w:color="BFBFBF"/>
              <w:left w:val="single" w:sz="1" w:space="0" w:color="BFBFBF"/>
              <w:bottom w:val="single" w:sz="1" w:space="0" w:color="BFBFBF"/>
              <w:right w:val="single" w:sz="1" w:space="0" w:color="BFBFBF"/>
            </w:tcBorders>
            <w:shd w:val="clear" w:color="auto" w:fill="FFFFFF"/>
            <w:tcMar>
              <w:top w:w="80" w:type="dxa"/>
              <w:left w:w="120" w:type="dxa"/>
              <w:bottom w:w="80" w:type="dxa"/>
              <w:right w:w="120" w:type="dxa"/>
            </w:tcMar>
          </w:tcPr>
          <w:p w14:paraId="1EF2FBDC" w14:textId="77777777" w:rsidR="004E4D56" w:rsidRPr="00F9785F" w:rsidRDefault="00000000" w:rsidP="00F9785F">
            <w:r w:rsidRPr="00F9785F">
              <w:rPr>
                <w:color w:val="000000"/>
              </w:rPr>
              <w:t>Bi-annual</w:t>
            </w:r>
          </w:p>
        </w:tc>
      </w:tr>
    </w:tbl>
    <w:p w14:paraId="3986F192" w14:textId="77777777" w:rsidR="004E4D56" w:rsidRPr="00F9785F" w:rsidRDefault="00000000" w:rsidP="00F9785F">
      <w:pPr>
        <w:spacing w:before="60" w:after="200"/>
      </w:pPr>
      <w:r w:rsidRPr="00F9785F">
        <w:rPr>
          <w:i/>
          <w:iCs/>
          <w:sz w:val="20"/>
          <w:szCs w:val="20"/>
        </w:rPr>
        <w:t>Table 3: Key performance indicators and targets for the human capital architecture (author’s own elaboration).</w:t>
      </w:r>
    </w:p>
    <w:p w14:paraId="08EE3201" w14:textId="77777777" w:rsidR="004E4D56" w:rsidRPr="00F9785F" w:rsidRDefault="00000000" w:rsidP="00F9785F">
      <w:pPr>
        <w:pStyle w:val="Heading1"/>
      </w:pPr>
      <w:bookmarkStart w:id="35" w:name="_Toc232420218"/>
      <w:bookmarkStart w:id="36" w:name="_Toc232420259"/>
      <w:bookmarkStart w:id="37" w:name="_Toc232513608"/>
      <w:r w:rsidRPr="00F9785F">
        <w:t>4. Task C: Reflective Report</w:t>
      </w:r>
      <w:bookmarkEnd w:id="35"/>
      <w:bookmarkEnd w:id="36"/>
      <w:bookmarkEnd w:id="37"/>
    </w:p>
    <w:p w14:paraId="3500FA2D" w14:textId="77777777" w:rsidR="004E4D56" w:rsidRPr="00F9785F" w:rsidRDefault="00000000" w:rsidP="00F9785F">
      <w:pPr>
        <w:pStyle w:val="Heading2"/>
      </w:pPr>
      <w:bookmarkStart w:id="38" w:name="_Toc232420219"/>
      <w:bookmarkStart w:id="39" w:name="_Toc232420260"/>
      <w:bookmarkStart w:id="40" w:name="_Toc232513609"/>
      <w:r w:rsidRPr="00F9785F">
        <w:t>4.1 Using AI as decision support without eroding human judgement</w:t>
      </w:r>
      <w:bookmarkEnd w:id="38"/>
      <w:bookmarkEnd w:id="39"/>
      <w:bookmarkEnd w:id="40"/>
    </w:p>
    <w:p w14:paraId="018A5177" w14:textId="782C349B" w:rsidR="004E4D56" w:rsidRPr="00F9785F" w:rsidRDefault="00455885" w:rsidP="00F9785F">
      <w:pPr>
        <w:spacing w:after="160"/>
      </w:pPr>
      <w:r w:rsidRPr="00F9785F">
        <w:t>As an advisor, I will use AI as an aid, but not an automaton. In the area of decision augmentation, researchers separate the algorithmic prediction offered by AI from the judgement that humans make, and they conclude that judgment is also intuitive, ethical, and value based, and therefore should be supplemented by AI, but not replaced</w:t>
      </w:r>
      <w:r w:rsidR="008263B5" w:rsidRPr="00F9785F">
        <w:t xml:space="preserve"> </w:t>
      </w:r>
      <w:r w:rsidR="008263B5" w:rsidRPr="00F9785F">
        <w:fldChar w:fldCharType="begin" w:fldLock="1"/>
      </w:r>
      <w:r w:rsidR="008263B5" w:rsidRPr="00F9785F">
        <w:instrText>ADDIN CSL_CITATION {"citationItems":[{"id":"ITEM-1","itemData":{"author":[{"dropping-particle":"","family":"Leyer","given":"Michael","non-dropping-particle":"","parse-names":false,"suffix":""},{"dropping-particle":"","family":"Schneider","given":"Sabrina","non-dropping-particle":"","parse-names":false,"suffix":""}],"id":"ITEM-1","issued":{"date-parts":[["2021"]]},"title":"Decision augmentation and automation with artificial intelligence: Threat or opportunity for managers?","type":"article-journal"},"uris":["http://www.mendeley.com/documents/?uuid=61b5a16b-2048-4bac-b127-cc282b0f6217"]}],"mendeley":{"formattedCitation":"(Leyer and Schneider, 2021)","plainTextFormattedCitation":"(Leyer and Schneider, 2021)","previouslyFormattedCitation":"(Leyer and Schneider, 2021)"},"properties":{"noteIndex":0},"schema":"https://github.com/citation-style-language/schema/raw/master/csl-citation.json"}</w:instrText>
      </w:r>
      <w:r w:rsidR="008263B5" w:rsidRPr="00F9785F">
        <w:fldChar w:fldCharType="separate"/>
      </w:r>
      <w:r w:rsidR="008263B5" w:rsidRPr="00F9785F">
        <w:rPr>
          <w:noProof/>
        </w:rPr>
        <w:t>(Leyer and Schneider, 2021)</w:t>
      </w:r>
      <w:r w:rsidR="008263B5" w:rsidRPr="00F9785F">
        <w:fldChar w:fldCharType="end"/>
      </w:r>
      <w:r w:rsidRPr="00F9785F">
        <w:t>. In HR, AI can enhance the efficiency of hiring processes and minimize some of the bias in the hiring process, but AI alone cannot fully replace human judgment in cases where context and meaning are crucial for the decision-making process, as evidenced by research</w:t>
      </w:r>
      <w:r w:rsidR="008263B5" w:rsidRPr="00F9785F">
        <w:t xml:space="preserve"> </w:t>
      </w:r>
      <w:r w:rsidR="008263B5" w:rsidRPr="00F9785F">
        <w:fldChar w:fldCharType="begin" w:fldLock="1"/>
      </w:r>
      <w:r w:rsidR="008263B5" w:rsidRPr="00F9785F">
        <w:instrText>ADDIN CSL_CITATION {"citationItems":[{"id":"ITEM-1","itemData":{"author":[{"dropping-particle":"","family":"Berg","given":"Janine","non-dropping-particle":"","parse-names":false,"suffix":""},{"dropping-particle":"","family":"Johnston","given":"Hannah","non-dropping-particle":"","parse-names":false,"suffix":""}],"id":"ITEM-1","issued":{"date-parts":[["2026"]]},"title":"AI in human resource management The limits of empiricism","type":"article-journal"},"uris":["http://www.mendeley.com/documents/?uuid=7f1c41be-effc-41ac-b98b-2ab487071c2b"]}],"mendeley":{"formattedCitation":"(Berg and Johnston, 2026)","plainTextFormattedCitation":"(Berg and Johnston, 2026)","previouslyFormattedCitation":"(Berg and Johnston, 2026)"},"properties":{"noteIndex":0},"schema":"https://github.com/citation-style-language/schema/raw/master/csl-citation.json"}</w:instrText>
      </w:r>
      <w:r w:rsidR="008263B5" w:rsidRPr="00F9785F">
        <w:fldChar w:fldCharType="separate"/>
      </w:r>
      <w:r w:rsidR="008263B5" w:rsidRPr="00F9785F">
        <w:rPr>
          <w:noProof/>
        </w:rPr>
        <w:t>(Berg and Johnston, 2026)</w:t>
      </w:r>
      <w:r w:rsidR="008263B5" w:rsidRPr="00F9785F">
        <w:fldChar w:fldCharType="end"/>
      </w:r>
      <w:r w:rsidRPr="00F9785F">
        <w:t>.</w:t>
      </w:r>
      <w:r w:rsidR="00F938AB" w:rsidRPr="00F9785F">
        <w:t xml:space="preserve"> </w:t>
      </w:r>
      <w:r w:rsidRPr="00F9785F">
        <w:t>As for the HR field, research indicates that AI can aid in reducing some hiring process biases and improve efficiency, but human judgment remains essential when it comes to context and meaning in the decision-making process. So</w:t>
      </w:r>
      <w:r w:rsidR="00F938AB" w:rsidRPr="00F9785F">
        <w:t>,</w:t>
      </w:r>
      <w:r w:rsidRPr="00F9785F">
        <w:t xml:space="preserve"> I will use AI to detect patterns from early indicators of attrition and leave that final decision to human deliberation, and will work to prevent algorithmic bias by requiring explainable models, mixed human-AI decision-making, and human oversight to ensure that patterns are not being exploited. Looking back at my own practice, I am strong on analytical structuring and weak on relying too much on the quantitative output; this is a safeguard because the biggest danger is </w:t>
      </w:r>
      <w:r w:rsidRPr="00F9785F">
        <w:lastRenderedPageBreak/>
        <w:t>automation complacency, in which useful suggestions are undermining the need for careful consideration.</w:t>
      </w:r>
    </w:p>
    <w:p w14:paraId="3263EFCA" w14:textId="77777777" w:rsidR="004E4D56" w:rsidRPr="00F9785F" w:rsidRDefault="00000000" w:rsidP="00F9785F">
      <w:pPr>
        <w:pStyle w:val="Heading2"/>
      </w:pPr>
      <w:bookmarkStart w:id="41" w:name="_Toc232420220"/>
      <w:bookmarkStart w:id="42" w:name="_Toc232420261"/>
      <w:bookmarkStart w:id="43" w:name="_Toc232513610"/>
      <w:r w:rsidRPr="00F9785F">
        <w:t>4.2 Personal capability development plan</w:t>
      </w:r>
      <w:bookmarkEnd w:id="41"/>
      <w:bookmarkEnd w:id="42"/>
      <w:bookmarkEnd w:id="43"/>
    </w:p>
    <w:p w14:paraId="3EF2DCA5" w14:textId="4952BDCF" w:rsidR="004E4D56" w:rsidRPr="00F9785F" w:rsidRDefault="00455885" w:rsidP="00F9785F">
      <w:pPr>
        <w:spacing w:after="160"/>
      </w:pPr>
      <w:r w:rsidRPr="00F9785F">
        <w:t>I'm going to work on four skills, each based on a realistic idea of my own weakness. First, data literacy: I can read simple HR metrics like turnover and dashboards of headcount, but I'm not very confident in people-analytics and statistical inference, which the World Economic Forum deems one of the most critical and growing skills</w:t>
      </w:r>
      <w:r w:rsidR="008263B5" w:rsidRPr="00F9785F">
        <w:t xml:space="preserve"> </w:t>
      </w:r>
      <w:r w:rsidR="008263B5" w:rsidRPr="00F9785F">
        <w:fldChar w:fldCharType="begin" w:fldLock="1"/>
      </w:r>
      <w:r w:rsidR="008263B5" w:rsidRPr="00F9785F">
        <w:instrText>ADDIN CSL_CITATION {"citationItems":[{"id":"ITEM-1","itemData":{"author":[{"dropping-particle":"","family":"WEForum","given":"","non-dropping-particle":"","parse-names":false,"suffix":""}],"id":"ITEM-1","issued":{"date-parts":[["2025"]]},"title":"Future of Jobs Report","type":"article-journal"},"uris":["http://www.mendeley.com/documents/?uuid=7a9272ac-227e-4622-a2b1-aea262bff931"]}],"mendeley":{"formattedCitation":"(WEForum, 2025)","plainTextFormattedCitation":"(WEForum, 2025)","previouslyFormattedCitation":"(WEForum, 2025)"},"properties":{"noteIndex":0},"schema":"https://github.com/citation-style-language/schema/raw/master/csl-citation.json"}</w:instrText>
      </w:r>
      <w:r w:rsidR="008263B5" w:rsidRPr="00F9785F">
        <w:fldChar w:fldCharType="separate"/>
      </w:r>
      <w:r w:rsidR="008263B5" w:rsidRPr="00F9785F">
        <w:rPr>
          <w:noProof/>
        </w:rPr>
        <w:t>(WEForum, 2025)</w:t>
      </w:r>
      <w:r w:rsidR="008263B5" w:rsidRPr="00F9785F">
        <w:fldChar w:fldCharType="end"/>
      </w:r>
      <w:r w:rsidR="00F938AB" w:rsidRPr="00F9785F">
        <w:t xml:space="preserve">. </w:t>
      </w:r>
      <w:r w:rsidRPr="00F9785F">
        <w:t xml:space="preserve">My action is to take a structured people-analytics certification, perform continuous practice on open HR data sets and have monthly feedback from an analytics mentor to adjust my interpretations. Secondly, AI augmentation in HR: I can draft and synthesize from AI, but am not able to critically audit a model for bias, so I will complete responsible-AI training and shadow a live bias audit before deploying AI tools in an HR selection decision. Third, strategic influencing – my natural style is presentation of information; I will </w:t>
      </w:r>
      <w:proofErr w:type="spellStart"/>
      <w:r w:rsidRPr="00F9785F">
        <w:t>practise</w:t>
      </w:r>
      <w:proofErr w:type="spellEnd"/>
      <w:r w:rsidRPr="00F9785F">
        <w:t xml:space="preserve"> board briefings, gain a senior sponsor for stretch presentations, and learn negotiation technique to enable me to take steps to become a true strategic partner. Fourth, global mobility awareness – I will have a strong exposure to single country, so will undertake planned rotations across Helios' London, Berlin and Singapore locations, gaining an understanding of comparative employment law and cross-cultural working. As 2030 is a long way off, and a high percentage of skills will change, this will be continuous lifelong learning, and evidence will be made up of a portfolio of applied projects, not just certificates, and presented quarterly with feedback from mentor</w:t>
      </w:r>
      <w:r w:rsidR="008263B5" w:rsidRPr="00F9785F">
        <w:t xml:space="preserve"> </w:t>
      </w:r>
      <w:r w:rsidR="008263B5" w:rsidRPr="00F9785F">
        <w:fldChar w:fldCharType="begin" w:fldLock="1"/>
      </w:r>
      <w:r w:rsidR="008263B5" w:rsidRPr="00F9785F">
        <w:instrText>ADDIN CSL_CITATION {"citationItems":[{"id":"ITEM-1","itemData":{"author":[{"dropping-particle":"","family":"WEForum","given":"","non-dropping-particle":"","parse-names":false,"suffix":""}],"id":"ITEM-1","issued":{"date-parts":[["2026"]]},"title":"Reskilling Revolution: Preparing 1 billion people for tomorrow’s economy","type":"article-journal"},"uris":["http://www.mendeley.com/documents/?uuid=0c375032-3d7d-42f3-8e2d-b2702d1b3db0"]}],"mendeley":{"formattedCitation":"(WEForum, 2026)","plainTextFormattedCitation":"(WEForum, 2026)","previouslyFormattedCitation":"(WEForum, 2026)"},"properties":{"noteIndex":0},"schema":"https://github.com/citation-style-language/schema/raw/master/csl-citation.json"}</w:instrText>
      </w:r>
      <w:r w:rsidR="008263B5" w:rsidRPr="00F9785F">
        <w:fldChar w:fldCharType="separate"/>
      </w:r>
      <w:r w:rsidR="008263B5" w:rsidRPr="00F9785F">
        <w:rPr>
          <w:noProof/>
        </w:rPr>
        <w:t>(WEForum, 2026)</w:t>
      </w:r>
      <w:r w:rsidR="008263B5" w:rsidRPr="00F9785F">
        <w:fldChar w:fldCharType="end"/>
      </w:r>
      <w:r w:rsidRPr="00F9785F">
        <w:t>.</w:t>
      </w:r>
    </w:p>
    <w:p w14:paraId="6CD0BF10" w14:textId="77777777" w:rsidR="008263B5" w:rsidRPr="00F9785F" w:rsidRDefault="008263B5" w:rsidP="00F9785F">
      <w:pPr>
        <w:rPr>
          <w:b/>
          <w:bCs/>
          <w:color w:val="1F4E66"/>
          <w:sz w:val="32"/>
          <w:szCs w:val="32"/>
        </w:rPr>
      </w:pPr>
      <w:bookmarkStart w:id="44" w:name="_Toc232420221"/>
      <w:bookmarkStart w:id="45" w:name="_Toc232420262"/>
      <w:r w:rsidRPr="00F9785F">
        <w:br w:type="page"/>
      </w:r>
    </w:p>
    <w:p w14:paraId="06077721" w14:textId="0E479FF9" w:rsidR="004E4D56" w:rsidRPr="00F9785F" w:rsidRDefault="00000000" w:rsidP="00F9785F">
      <w:pPr>
        <w:pStyle w:val="Heading1"/>
      </w:pPr>
      <w:bookmarkStart w:id="46" w:name="_Toc232513611"/>
      <w:r w:rsidRPr="00F9785F">
        <w:lastRenderedPageBreak/>
        <w:t>5. Conclusion</w:t>
      </w:r>
      <w:bookmarkEnd w:id="44"/>
      <w:bookmarkEnd w:id="45"/>
      <w:bookmarkEnd w:id="46"/>
    </w:p>
    <w:p w14:paraId="6771EC3A" w14:textId="625ED0D9" w:rsidR="008263B5" w:rsidRPr="00F9785F" w:rsidRDefault="00455885" w:rsidP="00F9785F">
      <w:pPr>
        <w:spacing w:after="160"/>
      </w:pPr>
      <w:r w:rsidRPr="00F9785F">
        <w:t xml:space="preserve">A new human capital model can turn Helios' interlocking issues of slow </w:t>
      </w:r>
      <w:proofErr w:type="spellStart"/>
      <w:r w:rsidRPr="00F9785F">
        <w:t>socialisation</w:t>
      </w:r>
      <w:proofErr w:type="spellEnd"/>
      <w:r w:rsidRPr="00F9785F">
        <w:t xml:space="preserve">, weak engagement and graduate attrition around. Structured, identity-building </w:t>
      </w:r>
      <w:proofErr w:type="spellStart"/>
      <w:r w:rsidRPr="00F9785F">
        <w:t>socialisation</w:t>
      </w:r>
      <w:proofErr w:type="spellEnd"/>
      <w:r w:rsidRPr="00F9785F">
        <w:t xml:space="preserve"> turns new members into dedicated </w:t>
      </w:r>
      <w:proofErr w:type="spellStart"/>
      <w:r w:rsidRPr="00F9785F">
        <w:t>organisational</w:t>
      </w:r>
      <w:proofErr w:type="spellEnd"/>
      <w:r w:rsidRPr="00F9785F">
        <w:t xml:space="preserve"> citizens, motivating job design and a skills-based talent marketplace keeps people intrinsically motivated and innovative, and responsible, human-led use of AI maintains judgement and develops future capability. When implemented in tandem, these interventions help to connect Helios' people strategy with its civic mission and set the </w:t>
      </w:r>
      <w:proofErr w:type="spellStart"/>
      <w:r w:rsidRPr="00F9785F">
        <w:t>organisation</w:t>
      </w:r>
      <w:proofErr w:type="spellEnd"/>
      <w:r w:rsidRPr="00F9785F">
        <w:t xml:space="preserve"> up for long-term strategic renewal. </w:t>
      </w:r>
    </w:p>
    <w:p w14:paraId="6A7EF4F6" w14:textId="77777777" w:rsidR="008263B5" w:rsidRPr="00F9785F" w:rsidRDefault="008263B5" w:rsidP="00F9785F">
      <w:r w:rsidRPr="00F9785F">
        <w:br w:type="page"/>
      </w:r>
    </w:p>
    <w:p w14:paraId="450EC315" w14:textId="6FBD44F5" w:rsidR="004E4D56" w:rsidRPr="00F9785F" w:rsidRDefault="008263B5" w:rsidP="00F9785F">
      <w:pPr>
        <w:pStyle w:val="Heading1"/>
      </w:pPr>
      <w:bookmarkStart w:id="47" w:name="_Toc232513612"/>
      <w:r w:rsidRPr="00F9785F">
        <w:lastRenderedPageBreak/>
        <w:t>6. References:</w:t>
      </w:r>
      <w:bookmarkEnd w:id="47"/>
    </w:p>
    <w:p w14:paraId="69ED226A" w14:textId="76DBF18A" w:rsidR="002D24C4" w:rsidRPr="00F9785F" w:rsidRDefault="008263B5" w:rsidP="00F9785F">
      <w:pPr>
        <w:widowControl w:val="0"/>
        <w:autoSpaceDE w:val="0"/>
        <w:autoSpaceDN w:val="0"/>
        <w:adjustRightInd w:val="0"/>
        <w:spacing w:after="160"/>
        <w:rPr>
          <w:noProof/>
        </w:rPr>
      </w:pPr>
      <w:r w:rsidRPr="00F9785F">
        <w:fldChar w:fldCharType="begin" w:fldLock="1"/>
      </w:r>
      <w:r w:rsidRPr="00F9785F">
        <w:instrText xml:space="preserve">ADDIN Mendeley Bibliography CSL_BIBLIOGRAPHY </w:instrText>
      </w:r>
      <w:r w:rsidRPr="00F9785F">
        <w:fldChar w:fldCharType="separate"/>
      </w:r>
      <w:r w:rsidR="002D24C4" w:rsidRPr="00F9785F">
        <w:rPr>
          <w:noProof/>
        </w:rPr>
        <w:t xml:space="preserve">Aljumah, A. (2023) “The impact of extrinsic and intrinsic motivation on job satisfaction: The mediating role of transactional leadership.” Available at: </w:t>
      </w:r>
      <w:hyperlink r:id="rId11" w:history="1">
        <w:r w:rsidR="002D24C4" w:rsidRPr="00F9785F">
          <w:rPr>
            <w:rStyle w:val="Hyperlink"/>
            <w:noProof/>
          </w:rPr>
          <w:t>https://www.tandfonline.com/doi/full/10.1080/23311975.2023.2270813</w:t>
        </w:r>
      </w:hyperlink>
      <w:r w:rsidR="002D24C4" w:rsidRPr="00F9785F">
        <w:rPr>
          <w:noProof/>
        </w:rPr>
        <w:t>.</w:t>
      </w:r>
    </w:p>
    <w:p w14:paraId="494E1F1D" w14:textId="52515A3C" w:rsidR="002D24C4" w:rsidRPr="00F9785F" w:rsidRDefault="002D24C4" w:rsidP="00F9785F">
      <w:pPr>
        <w:widowControl w:val="0"/>
        <w:autoSpaceDE w:val="0"/>
        <w:autoSpaceDN w:val="0"/>
        <w:adjustRightInd w:val="0"/>
        <w:spacing w:after="160"/>
        <w:rPr>
          <w:noProof/>
        </w:rPr>
      </w:pPr>
      <w:r w:rsidRPr="00F9785F">
        <w:rPr>
          <w:noProof/>
        </w:rPr>
        <w:t xml:space="preserve">Bauer, T.N., Erdogan, B. and Bodner, T. (2024) “New Horizons for Newcomer Organizational Socialization: A Review, Meta-Analysis, and Future Research Directions.” Available at: </w:t>
      </w:r>
      <w:hyperlink r:id="rId12" w:history="1">
        <w:r w:rsidRPr="00F9785F">
          <w:rPr>
            <w:rStyle w:val="Hyperlink"/>
            <w:noProof/>
          </w:rPr>
          <w:t>https://journals.sagepub.com/doi/10.1177/01492063241277168</w:t>
        </w:r>
      </w:hyperlink>
      <w:r w:rsidRPr="00F9785F">
        <w:rPr>
          <w:noProof/>
        </w:rPr>
        <w:t>.</w:t>
      </w:r>
    </w:p>
    <w:p w14:paraId="550C76DF" w14:textId="48EF9D56" w:rsidR="002D24C4" w:rsidRPr="00F9785F" w:rsidRDefault="002D24C4" w:rsidP="00F9785F">
      <w:pPr>
        <w:widowControl w:val="0"/>
        <w:autoSpaceDE w:val="0"/>
        <w:autoSpaceDN w:val="0"/>
        <w:adjustRightInd w:val="0"/>
        <w:spacing w:after="160"/>
        <w:rPr>
          <w:noProof/>
        </w:rPr>
      </w:pPr>
      <w:r w:rsidRPr="00F9785F">
        <w:rPr>
          <w:noProof/>
        </w:rPr>
        <w:t xml:space="preserve">Berg, J. and Johnston, H. (2026) “AI in human resource management The limits of empiricism.” Available at: </w:t>
      </w:r>
      <w:hyperlink r:id="rId13" w:history="1">
        <w:r w:rsidRPr="00F9785F">
          <w:rPr>
            <w:rStyle w:val="Hyperlink"/>
            <w:noProof/>
          </w:rPr>
          <w:t>https://webapps.ilo.org/static/english/intserv/working-papers/wp154/index.html</w:t>
        </w:r>
      </w:hyperlink>
      <w:r w:rsidRPr="00F9785F">
        <w:rPr>
          <w:noProof/>
        </w:rPr>
        <w:t>.</w:t>
      </w:r>
    </w:p>
    <w:p w14:paraId="5A3932F6" w14:textId="4F29C5C3" w:rsidR="002D24C4" w:rsidRPr="00F9785F" w:rsidRDefault="002D24C4" w:rsidP="00F9785F">
      <w:pPr>
        <w:widowControl w:val="0"/>
        <w:autoSpaceDE w:val="0"/>
        <w:autoSpaceDN w:val="0"/>
        <w:adjustRightInd w:val="0"/>
        <w:spacing w:after="160"/>
        <w:rPr>
          <w:noProof/>
        </w:rPr>
      </w:pPr>
      <w:r w:rsidRPr="00F9785F">
        <w:rPr>
          <w:noProof/>
        </w:rPr>
        <w:t xml:space="preserve">Cotič, L.P. </w:t>
      </w:r>
      <w:r w:rsidRPr="00F9785F">
        <w:rPr>
          <w:i/>
          <w:iCs/>
          <w:noProof/>
        </w:rPr>
        <w:t>et al.</w:t>
      </w:r>
      <w:r w:rsidRPr="00F9785F">
        <w:rPr>
          <w:noProof/>
        </w:rPr>
        <w:t xml:space="preserve"> (2025) “Job Characteristics for Work Engagement: Autonomy, Feedback, Skill Variety, Task Identity, and Task Significance,” </w:t>
      </w:r>
      <w:r w:rsidRPr="00F9785F">
        <w:rPr>
          <w:i/>
          <w:iCs/>
          <w:noProof/>
        </w:rPr>
        <w:t>Global Business and Organizational Excellence</w:t>
      </w:r>
      <w:r w:rsidRPr="00F9785F">
        <w:rPr>
          <w:noProof/>
        </w:rPr>
        <w:t>, 44(5), pp. 75–85. Available at:</w:t>
      </w:r>
      <w:hyperlink r:id="rId14" w:history="1">
        <w:r w:rsidRPr="00F9785F">
          <w:rPr>
            <w:rStyle w:val="Hyperlink"/>
            <w:noProof/>
          </w:rPr>
          <w:t xml:space="preserve"> https://centaur.reading.ac.uk/121888/</w:t>
        </w:r>
      </w:hyperlink>
      <w:r w:rsidRPr="00F9785F">
        <w:rPr>
          <w:noProof/>
        </w:rPr>
        <w:t>.</w:t>
      </w:r>
    </w:p>
    <w:p w14:paraId="5F64DB0F" w14:textId="031D1CD4" w:rsidR="002D24C4" w:rsidRPr="00F9785F" w:rsidRDefault="002D24C4" w:rsidP="00F9785F">
      <w:pPr>
        <w:widowControl w:val="0"/>
        <w:autoSpaceDE w:val="0"/>
        <w:autoSpaceDN w:val="0"/>
        <w:adjustRightInd w:val="0"/>
        <w:spacing w:after="160"/>
        <w:rPr>
          <w:noProof/>
        </w:rPr>
      </w:pPr>
      <w:r w:rsidRPr="00F9785F">
        <w:rPr>
          <w:noProof/>
        </w:rPr>
        <w:t xml:space="preserve">Didion, E. </w:t>
      </w:r>
      <w:r w:rsidRPr="00F9785F">
        <w:rPr>
          <w:i/>
          <w:iCs/>
          <w:noProof/>
        </w:rPr>
        <w:t>et al.</w:t>
      </w:r>
      <w:r w:rsidRPr="00F9785F">
        <w:rPr>
          <w:noProof/>
        </w:rPr>
        <w:t xml:space="preserve"> (2024) “Mapping the organizational socialization and onboarding literature: a bibliometric analysis of the field,” </w:t>
      </w:r>
      <w:r w:rsidRPr="00F9785F">
        <w:rPr>
          <w:i/>
          <w:iCs/>
          <w:noProof/>
        </w:rPr>
        <w:t>Cogent Business and Management</w:t>
      </w:r>
      <w:r w:rsidRPr="00F9785F">
        <w:rPr>
          <w:noProof/>
        </w:rPr>
        <w:t xml:space="preserve">, 11(1). Available at: </w:t>
      </w:r>
      <w:hyperlink r:id="rId15" w:history="1">
        <w:r w:rsidRPr="00F9785F">
          <w:rPr>
            <w:rStyle w:val="Hyperlink"/>
            <w:noProof/>
          </w:rPr>
          <w:t>https://www.tandfonline.com/doi/full/10.1080/23311975.2024.2337957</w:t>
        </w:r>
      </w:hyperlink>
      <w:r w:rsidRPr="00F9785F">
        <w:rPr>
          <w:noProof/>
        </w:rPr>
        <w:t>.</w:t>
      </w:r>
    </w:p>
    <w:p w14:paraId="3B34CA88" w14:textId="3F199395" w:rsidR="002D24C4" w:rsidRPr="00F9785F" w:rsidRDefault="002D24C4" w:rsidP="00F9785F">
      <w:pPr>
        <w:widowControl w:val="0"/>
        <w:autoSpaceDE w:val="0"/>
        <w:autoSpaceDN w:val="0"/>
        <w:adjustRightInd w:val="0"/>
        <w:spacing w:after="160"/>
        <w:rPr>
          <w:noProof/>
        </w:rPr>
      </w:pPr>
      <w:r w:rsidRPr="00F9785F">
        <w:rPr>
          <w:noProof/>
        </w:rPr>
        <w:t xml:space="preserve">Frögéli, E., Jenner, B. and Gustavsson, P. (2023) “Effectiveness of formal onboarding for facilitating organizational socialization: A systematic review.” Available at: </w:t>
      </w:r>
      <w:hyperlink r:id="rId16" w:history="1">
        <w:r w:rsidRPr="00F9785F">
          <w:rPr>
            <w:rStyle w:val="Hyperlink"/>
            <w:noProof/>
          </w:rPr>
          <w:t>https://journals.plos.org/plosone/article?id=10.1371%2Fjournal.pone.0281823</w:t>
        </w:r>
      </w:hyperlink>
      <w:r w:rsidRPr="00F9785F">
        <w:rPr>
          <w:noProof/>
        </w:rPr>
        <w:t>.</w:t>
      </w:r>
    </w:p>
    <w:p w14:paraId="734A9573" w14:textId="679B7ECA" w:rsidR="002D24C4" w:rsidRPr="00F9785F" w:rsidRDefault="002D24C4" w:rsidP="00F9785F">
      <w:pPr>
        <w:widowControl w:val="0"/>
        <w:autoSpaceDE w:val="0"/>
        <w:autoSpaceDN w:val="0"/>
        <w:adjustRightInd w:val="0"/>
        <w:spacing w:after="160"/>
        <w:rPr>
          <w:noProof/>
        </w:rPr>
      </w:pPr>
      <w:r w:rsidRPr="00F9785F">
        <w:rPr>
          <w:noProof/>
        </w:rPr>
        <w:t xml:space="preserve">Gantcheva, I. </w:t>
      </w:r>
      <w:r w:rsidRPr="00F9785F">
        <w:rPr>
          <w:i/>
          <w:iCs/>
          <w:noProof/>
        </w:rPr>
        <w:t>et al.</w:t>
      </w:r>
      <w:r w:rsidRPr="00F9785F">
        <w:rPr>
          <w:noProof/>
        </w:rPr>
        <w:t xml:space="preserve"> (2020) “Activating the internal talent marketplace.” Available at: </w:t>
      </w:r>
      <w:hyperlink r:id="rId17" w:history="1">
        <w:r w:rsidRPr="00F9785F">
          <w:rPr>
            <w:rStyle w:val="Hyperlink"/>
            <w:noProof/>
          </w:rPr>
          <w:t>https://www.deloitte.com/us/en/insights/topics/talent/internal-talent-marketplace.html</w:t>
        </w:r>
      </w:hyperlink>
      <w:r w:rsidRPr="00F9785F">
        <w:rPr>
          <w:noProof/>
        </w:rPr>
        <w:t>.</w:t>
      </w:r>
    </w:p>
    <w:p w14:paraId="0F545903" w14:textId="2FDA0964" w:rsidR="002D24C4" w:rsidRPr="00F9785F" w:rsidRDefault="002D24C4" w:rsidP="00F9785F">
      <w:pPr>
        <w:widowControl w:val="0"/>
        <w:autoSpaceDE w:val="0"/>
        <w:autoSpaceDN w:val="0"/>
        <w:adjustRightInd w:val="0"/>
        <w:spacing w:after="160"/>
        <w:rPr>
          <w:noProof/>
        </w:rPr>
      </w:pPr>
      <w:r w:rsidRPr="00F9785F">
        <w:rPr>
          <w:noProof/>
        </w:rPr>
        <w:t xml:space="preserve">Haegele, I. (2025) “Talent Hoarding in Organizations.” Available at: </w:t>
      </w:r>
      <w:hyperlink r:id="rId18" w:history="1">
        <w:r w:rsidRPr="00F9785F">
          <w:rPr>
            <w:rStyle w:val="Hyperlink"/>
            <w:noProof/>
          </w:rPr>
          <w:t>https://arxiv.org/abs/2206.15098</w:t>
        </w:r>
      </w:hyperlink>
      <w:r w:rsidRPr="00F9785F">
        <w:rPr>
          <w:noProof/>
        </w:rPr>
        <w:t>.</w:t>
      </w:r>
    </w:p>
    <w:p w14:paraId="31E781DC" w14:textId="7B26A1CD" w:rsidR="002D24C4" w:rsidRPr="00F9785F" w:rsidRDefault="002D24C4" w:rsidP="00F9785F">
      <w:pPr>
        <w:widowControl w:val="0"/>
        <w:autoSpaceDE w:val="0"/>
        <w:autoSpaceDN w:val="0"/>
        <w:adjustRightInd w:val="0"/>
        <w:spacing w:after="160"/>
        <w:rPr>
          <w:noProof/>
        </w:rPr>
      </w:pPr>
      <w:r w:rsidRPr="00F9785F">
        <w:rPr>
          <w:noProof/>
        </w:rPr>
        <w:t xml:space="preserve">Jiang, B. </w:t>
      </w:r>
      <w:r w:rsidRPr="00F9785F">
        <w:rPr>
          <w:i/>
          <w:iCs/>
          <w:noProof/>
        </w:rPr>
        <w:t>et al.</w:t>
      </w:r>
      <w:r w:rsidRPr="00F9785F">
        <w:rPr>
          <w:noProof/>
        </w:rPr>
        <w:t xml:space="preserve"> (2022) “Role of Psychological Contracts in Enhancing Employee Creativity Through Knowledge Sharing: Do Boundary Conditions of Organization’s </w:t>
      </w:r>
      <w:r w:rsidRPr="00F9785F">
        <w:rPr>
          <w:noProof/>
        </w:rPr>
        <w:lastRenderedPageBreak/>
        <w:t xml:space="preserve">Socialization and Work-Related Curiosity Matter?” Available at: </w:t>
      </w:r>
      <w:hyperlink r:id="rId19" w:history="1">
        <w:r w:rsidRPr="00F9785F">
          <w:rPr>
            <w:rStyle w:val="Hyperlink"/>
            <w:noProof/>
          </w:rPr>
          <w:t>https://pmc.ncbi.nlm.nih.gov/articles/PMC9239741/</w:t>
        </w:r>
      </w:hyperlink>
      <w:r w:rsidRPr="00F9785F">
        <w:rPr>
          <w:noProof/>
        </w:rPr>
        <w:t>.</w:t>
      </w:r>
    </w:p>
    <w:p w14:paraId="196DB07D" w14:textId="7E68B4E5" w:rsidR="002D24C4" w:rsidRPr="00F9785F" w:rsidRDefault="002D24C4" w:rsidP="00F9785F">
      <w:pPr>
        <w:widowControl w:val="0"/>
        <w:autoSpaceDE w:val="0"/>
        <w:autoSpaceDN w:val="0"/>
        <w:adjustRightInd w:val="0"/>
        <w:spacing w:after="160"/>
        <w:rPr>
          <w:noProof/>
        </w:rPr>
      </w:pPr>
      <w:r w:rsidRPr="00F9785F">
        <w:rPr>
          <w:noProof/>
        </w:rPr>
        <w:t xml:space="preserve">Jones, R. </w:t>
      </w:r>
      <w:r w:rsidRPr="00F9785F">
        <w:rPr>
          <w:i/>
          <w:iCs/>
          <w:noProof/>
        </w:rPr>
        <w:t>et al.</w:t>
      </w:r>
      <w:r w:rsidRPr="00F9785F">
        <w:rPr>
          <w:noProof/>
        </w:rPr>
        <w:t xml:space="preserve"> (2022) “The skills-based organization: A new operating model for work and the workforce.” Available at: </w:t>
      </w:r>
      <w:hyperlink r:id="rId20" w:history="1">
        <w:r w:rsidRPr="00F9785F">
          <w:rPr>
            <w:rStyle w:val="Hyperlink"/>
            <w:noProof/>
          </w:rPr>
          <w:t>https://www.deloitte.com/us/en/insights/topics/talent/organizational-skill-based-hiring.html</w:t>
        </w:r>
      </w:hyperlink>
      <w:r w:rsidRPr="00F9785F">
        <w:rPr>
          <w:noProof/>
        </w:rPr>
        <w:t>.</w:t>
      </w:r>
    </w:p>
    <w:p w14:paraId="20185D8A" w14:textId="7FEB4FBD" w:rsidR="002D24C4" w:rsidRPr="00F9785F" w:rsidRDefault="002D24C4" w:rsidP="00F9785F">
      <w:pPr>
        <w:widowControl w:val="0"/>
        <w:autoSpaceDE w:val="0"/>
        <w:autoSpaceDN w:val="0"/>
        <w:adjustRightInd w:val="0"/>
        <w:spacing w:after="160"/>
        <w:rPr>
          <w:noProof/>
        </w:rPr>
      </w:pPr>
      <w:r w:rsidRPr="00F9785F">
        <w:rPr>
          <w:noProof/>
        </w:rPr>
        <w:t xml:space="preserve">Lashitew, A. (2020) “Stakeholder capitalism arrives at Davos.” Available at: </w:t>
      </w:r>
      <w:hyperlink r:id="rId21" w:history="1">
        <w:r w:rsidRPr="00F9785F">
          <w:rPr>
            <w:rStyle w:val="Hyperlink"/>
            <w:noProof/>
          </w:rPr>
          <w:t>https://www.brookings.edu/articles/stakeholder-capitalism-arrives-at-davos/</w:t>
        </w:r>
      </w:hyperlink>
      <w:r w:rsidRPr="00F9785F">
        <w:rPr>
          <w:noProof/>
        </w:rPr>
        <w:t>.</w:t>
      </w:r>
    </w:p>
    <w:p w14:paraId="61C93E76" w14:textId="072DC636" w:rsidR="002D24C4" w:rsidRPr="00F9785F" w:rsidRDefault="002D24C4" w:rsidP="00F9785F">
      <w:pPr>
        <w:widowControl w:val="0"/>
        <w:autoSpaceDE w:val="0"/>
        <w:autoSpaceDN w:val="0"/>
        <w:adjustRightInd w:val="0"/>
        <w:spacing w:after="160"/>
        <w:rPr>
          <w:noProof/>
        </w:rPr>
      </w:pPr>
      <w:r w:rsidRPr="00F9785F">
        <w:rPr>
          <w:noProof/>
        </w:rPr>
        <w:t xml:space="preserve">Leyer, M. and Schneider, S. (2021) “Decision augmentation and automation with artificial intelligence: Threat or opportunity for managers?” Available at: </w:t>
      </w:r>
      <w:hyperlink r:id="rId22" w:history="1">
        <w:r w:rsidRPr="00F9785F">
          <w:rPr>
            <w:rStyle w:val="Hyperlink"/>
            <w:noProof/>
          </w:rPr>
          <w:t>https://www.sciencedirect.com/science/article/abs/pii/S0007681321000288</w:t>
        </w:r>
      </w:hyperlink>
      <w:r w:rsidRPr="00F9785F">
        <w:rPr>
          <w:noProof/>
        </w:rPr>
        <w:t>.</w:t>
      </w:r>
    </w:p>
    <w:p w14:paraId="006E3214" w14:textId="1708DB1B" w:rsidR="002D24C4" w:rsidRPr="00F9785F" w:rsidRDefault="002D24C4" w:rsidP="00F9785F">
      <w:pPr>
        <w:widowControl w:val="0"/>
        <w:autoSpaceDE w:val="0"/>
        <w:autoSpaceDN w:val="0"/>
        <w:adjustRightInd w:val="0"/>
        <w:spacing w:after="160"/>
        <w:rPr>
          <w:noProof/>
        </w:rPr>
      </w:pPr>
      <w:r w:rsidRPr="00F9785F">
        <w:rPr>
          <w:noProof/>
        </w:rPr>
        <w:t xml:space="preserve">McAnally, K. and Hagger, M.S. (2024) “Self-Determination Theory and Workplace Outcomes: A Conceptual Review and Future Research Directions.” Available at: </w:t>
      </w:r>
      <w:hyperlink r:id="rId23" w:history="1">
        <w:r w:rsidRPr="00F9785F">
          <w:rPr>
            <w:rStyle w:val="Hyperlink"/>
            <w:noProof/>
          </w:rPr>
          <w:t>https://www.mdpi.com/2076-328X/14/6/428</w:t>
        </w:r>
      </w:hyperlink>
      <w:r w:rsidRPr="00F9785F">
        <w:rPr>
          <w:noProof/>
        </w:rPr>
        <w:t>.</w:t>
      </w:r>
    </w:p>
    <w:p w14:paraId="1E83CA63" w14:textId="5D5901CF" w:rsidR="002D24C4" w:rsidRPr="00F9785F" w:rsidRDefault="002D24C4" w:rsidP="00F9785F">
      <w:pPr>
        <w:widowControl w:val="0"/>
        <w:autoSpaceDE w:val="0"/>
        <w:autoSpaceDN w:val="0"/>
        <w:adjustRightInd w:val="0"/>
        <w:spacing w:after="160"/>
        <w:rPr>
          <w:noProof/>
        </w:rPr>
      </w:pPr>
      <w:r w:rsidRPr="00F9785F">
        <w:rPr>
          <w:noProof/>
        </w:rPr>
        <w:t xml:space="preserve">Nergiz, H.G. and Unsal-Akbiyik, B.S. (2024) “Job Crafting, Task Performance, and Employability: The Role of Work Engagement.” Available at: </w:t>
      </w:r>
      <w:hyperlink r:id="rId24" w:history="1">
        <w:r w:rsidRPr="00F9785F">
          <w:rPr>
            <w:rStyle w:val="Hyperlink"/>
            <w:noProof/>
          </w:rPr>
          <w:t>https://journals.sagepub.com/doi/10.1177/21582440241271125</w:t>
        </w:r>
      </w:hyperlink>
      <w:r w:rsidRPr="00F9785F">
        <w:rPr>
          <w:noProof/>
        </w:rPr>
        <w:t>.</w:t>
      </w:r>
    </w:p>
    <w:p w14:paraId="40F7F662" w14:textId="71D6C7ED" w:rsidR="002D24C4" w:rsidRPr="00F9785F" w:rsidRDefault="002D24C4" w:rsidP="00F9785F">
      <w:pPr>
        <w:widowControl w:val="0"/>
        <w:autoSpaceDE w:val="0"/>
        <w:autoSpaceDN w:val="0"/>
        <w:adjustRightInd w:val="0"/>
        <w:spacing w:after="160"/>
        <w:rPr>
          <w:noProof/>
        </w:rPr>
      </w:pPr>
      <w:r w:rsidRPr="00F9785F">
        <w:rPr>
          <w:noProof/>
        </w:rPr>
        <w:t xml:space="preserve">Somu, S. and Jayavel, J. (2024) “THE PRACTICE OF ULRICH’S FOUR-ROLE MODEL OF HR EXECUTIVES: COMPARING EVIDENCE FROM HR AND NON-HR EXECUTIVES.” Available at: </w:t>
      </w:r>
      <w:hyperlink r:id="rId25" w:history="1">
        <w:r w:rsidRPr="00F9785F">
          <w:rPr>
            <w:rStyle w:val="Hyperlink"/>
            <w:noProof/>
          </w:rPr>
          <w:t>https://www.researchgate.net/publication/380638688_THE_PRACTICE_OF_ULRICH%27S_FOUR-ROLE_MODEL_OF_HR_EXECUTIVES_COMPARING_EVIDENCE_FROM_HR_AND_NON-HR_EXECUTIVES</w:t>
        </w:r>
      </w:hyperlink>
      <w:r w:rsidRPr="00F9785F">
        <w:rPr>
          <w:noProof/>
        </w:rPr>
        <w:t>.</w:t>
      </w:r>
    </w:p>
    <w:p w14:paraId="03B3D859" w14:textId="64E8887D" w:rsidR="002D24C4" w:rsidRPr="00F9785F" w:rsidRDefault="002D24C4" w:rsidP="00F9785F">
      <w:pPr>
        <w:widowControl w:val="0"/>
        <w:autoSpaceDE w:val="0"/>
        <w:autoSpaceDN w:val="0"/>
        <w:adjustRightInd w:val="0"/>
        <w:spacing w:after="160"/>
        <w:rPr>
          <w:noProof/>
        </w:rPr>
      </w:pPr>
      <w:r w:rsidRPr="00F9785F">
        <w:rPr>
          <w:noProof/>
        </w:rPr>
        <w:t xml:space="preserve">UNESCO (2026) “Ethics of Artificial Intelligence.” Available at: </w:t>
      </w:r>
      <w:hyperlink r:id="rId26" w:history="1">
        <w:r w:rsidRPr="00F9785F">
          <w:rPr>
            <w:rStyle w:val="Hyperlink"/>
            <w:noProof/>
          </w:rPr>
          <w:t>https://www.unesco.org/en/artificial-intelligence/recommendation-ethics</w:t>
        </w:r>
      </w:hyperlink>
      <w:r w:rsidRPr="00F9785F">
        <w:rPr>
          <w:noProof/>
        </w:rPr>
        <w:t>.</w:t>
      </w:r>
    </w:p>
    <w:p w14:paraId="257F75BF" w14:textId="31106906" w:rsidR="002D24C4" w:rsidRPr="00F9785F" w:rsidRDefault="002D24C4" w:rsidP="00F9785F">
      <w:pPr>
        <w:widowControl w:val="0"/>
        <w:autoSpaceDE w:val="0"/>
        <w:autoSpaceDN w:val="0"/>
        <w:adjustRightInd w:val="0"/>
        <w:spacing w:after="160"/>
        <w:rPr>
          <w:noProof/>
        </w:rPr>
      </w:pPr>
      <w:r w:rsidRPr="00F9785F">
        <w:rPr>
          <w:noProof/>
        </w:rPr>
        <w:t xml:space="preserve">Vigers, B. (2026) “Europeans Upbeat on Job Market but Not Engaged at Work.” Available at: </w:t>
      </w:r>
      <w:hyperlink r:id="rId27" w:history="1">
        <w:r w:rsidRPr="00F9785F">
          <w:rPr>
            <w:rStyle w:val="Hyperlink"/>
            <w:noProof/>
          </w:rPr>
          <w:t>https://www.gallup.com/workplace/709163/europeans-upbeat-job-market-</w:t>
        </w:r>
        <w:r w:rsidRPr="00F9785F">
          <w:rPr>
            <w:rStyle w:val="Hyperlink"/>
            <w:noProof/>
          </w:rPr>
          <w:lastRenderedPageBreak/>
          <w:t>not-engaged-work.aspx</w:t>
        </w:r>
      </w:hyperlink>
      <w:r w:rsidRPr="00F9785F">
        <w:rPr>
          <w:noProof/>
        </w:rPr>
        <w:t>.</w:t>
      </w:r>
    </w:p>
    <w:p w14:paraId="25D4E8B2" w14:textId="2B6F8B90" w:rsidR="002D24C4" w:rsidRPr="00F9785F" w:rsidRDefault="002D24C4" w:rsidP="00F9785F">
      <w:pPr>
        <w:widowControl w:val="0"/>
        <w:autoSpaceDE w:val="0"/>
        <w:autoSpaceDN w:val="0"/>
        <w:adjustRightInd w:val="0"/>
        <w:spacing w:after="160"/>
        <w:rPr>
          <w:noProof/>
        </w:rPr>
      </w:pPr>
      <w:r w:rsidRPr="00F9785F">
        <w:rPr>
          <w:noProof/>
        </w:rPr>
        <w:t xml:space="preserve">WEForum (2025) “Future of Jobs Report.” Available at: </w:t>
      </w:r>
      <w:hyperlink r:id="rId28" w:history="1">
        <w:r w:rsidRPr="00F9785F">
          <w:rPr>
            <w:rStyle w:val="Hyperlink"/>
            <w:noProof/>
          </w:rPr>
          <w:t>https://reports.weforum.org/docs/WEF_Future_of_Jobs_Report_2025.pdf</w:t>
        </w:r>
      </w:hyperlink>
      <w:r w:rsidRPr="00F9785F">
        <w:rPr>
          <w:noProof/>
        </w:rPr>
        <w:t>.</w:t>
      </w:r>
    </w:p>
    <w:p w14:paraId="73EFB300" w14:textId="237BB3FE" w:rsidR="002D24C4" w:rsidRPr="00F9785F" w:rsidRDefault="002D24C4" w:rsidP="00F9785F">
      <w:pPr>
        <w:widowControl w:val="0"/>
        <w:autoSpaceDE w:val="0"/>
        <w:autoSpaceDN w:val="0"/>
        <w:adjustRightInd w:val="0"/>
        <w:spacing w:after="160"/>
        <w:rPr>
          <w:noProof/>
        </w:rPr>
      </w:pPr>
      <w:r w:rsidRPr="00F9785F">
        <w:rPr>
          <w:noProof/>
        </w:rPr>
        <w:t xml:space="preserve">WEForum (2026) “Reskilling Revolution: Preparing 1 billion people for tomorrow’s economy.” Available at: </w:t>
      </w:r>
      <w:hyperlink r:id="rId29" w:history="1">
        <w:r w:rsidRPr="00F9785F">
          <w:rPr>
            <w:rStyle w:val="Hyperlink"/>
            <w:noProof/>
          </w:rPr>
          <w:t>https://www.weforum.org/impact/reskilling-revolution-preparing-1-billion-people-for-tomorrows-economy/</w:t>
        </w:r>
      </w:hyperlink>
      <w:r w:rsidRPr="00F9785F">
        <w:rPr>
          <w:noProof/>
        </w:rPr>
        <w:t>.</w:t>
      </w:r>
    </w:p>
    <w:p w14:paraId="4DB30BFF" w14:textId="35716E3C" w:rsidR="002D24C4" w:rsidRPr="00F9785F" w:rsidRDefault="002D24C4" w:rsidP="00F9785F">
      <w:pPr>
        <w:widowControl w:val="0"/>
        <w:autoSpaceDE w:val="0"/>
        <w:autoSpaceDN w:val="0"/>
        <w:adjustRightInd w:val="0"/>
        <w:spacing w:after="160"/>
        <w:rPr>
          <w:noProof/>
        </w:rPr>
      </w:pPr>
      <w:r w:rsidRPr="00F9785F">
        <w:rPr>
          <w:noProof/>
        </w:rPr>
        <w:t>World Economic Forum (2020) “Stakeholder Capitalism: A Manifesto for a Cohesive and Sustainable World.” Available at:</w:t>
      </w:r>
      <w:hyperlink r:id="rId30" w:history="1">
        <w:r w:rsidRPr="00F9785F">
          <w:rPr>
            <w:rStyle w:val="Hyperlink"/>
            <w:noProof/>
          </w:rPr>
          <w:t xml:space="preserve"> https://www.weforum.org/press/2020/01/stakeholder-capitalism-a-manifesto-for-a-cohesive-and-sustainable-world/</w:t>
        </w:r>
      </w:hyperlink>
      <w:r w:rsidRPr="00F9785F">
        <w:rPr>
          <w:noProof/>
        </w:rPr>
        <w:t>.</w:t>
      </w:r>
    </w:p>
    <w:p w14:paraId="68E01F5C" w14:textId="13184CAA" w:rsidR="002D24C4" w:rsidRPr="00F9785F" w:rsidRDefault="002D24C4" w:rsidP="00F9785F">
      <w:pPr>
        <w:widowControl w:val="0"/>
        <w:autoSpaceDE w:val="0"/>
        <w:autoSpaceDN w:val="0"/>
        <w:adjustRightInd w:val="0"/>
        <w:spacing w:after="160"/>
        <w:rPr>
          <w:noProof/>
        </w:rPr>
      </w:pPr>
      <w:r w:rsidRPr="00F9785F">
        <w:rPr>
          <w:noProof/>
        </w:rPr>
        <w:t xml:space="preserve">Yang, Y. and Mostafa, A.M.S. (2024) “High-performance human resource practices, organizational identification and employee commitment: the moderating role of organizational culture.” Available at: </w:t>
      </w:r>
      <w:hyperlink r:id="rId31" w:history="1">
        <w:r w:rsidRPr="00F9785F">
          <w:rPr>
            <w:rStyle w:val="Hyperlink"/>
            <w:noProof/>
          </w:rPr>
          <w:t>https://www.frontiersin.org/journals/psychology/articles/10.3389/fpsyg.2024.1494186/full</w:t>
        </w:r>
      </w:hyperlink>
      <w:r w:rsidRPr="00F9785F">
        <w:rPr>
          <w:noProof/>
        </w:rPr>
        <w:t>.</w:t>
      </w:r>
    </w:p>
    <w:p w14:paraId="0FE8E455" w14:textId="01E24262" w:rsidR="008263B5" w:rsidRPr="00F9785F" w:rsidRDefault="008263B5" w:rsidP="00F9785F">
      <w:pPr>
        <w:spacing w:after="160"/>
      </w:pPr>
      <w:r w:rsidRPr="00F9785F">
        <w:fldChar w:fldCharType="end"/>
      </w:r>
    </w:p>
    <w:sectPr w:rsidR="008263B5" w:rsidRPr="00F9785F" w:rsidSect="008263B5">
      <w:footerReference w:type="default" r:id="rId32"/>
      <w:pgSz w:w="12240" w:h="15840" w:code="1"/>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39BAD1" w14:textId="77777777" w:rsidR="00F47DF8" w:rsidRDefault="00F47DF8">
      <w:pPr>
        <w:spacing w:line="240" w:lineRule="auto"/>
      </w:pPr>
      <w:r>
        <w:separator/>
      </w:r>
    </w:p>
  </w:endnote>
  <w:endnote w:type="continuationSeparator" w:id="0">
    <w:p w14:paraId="373FE542" w14:textId="77777777" w:rsidR="00F47DF8" w:rsidRDefault="00F47DF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278717" w14:textId="4A544BD5" w:rsidR="004E4D56" w:rsidRDefault="004E4D56">
    <w:pP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92881033"/>
      <w:docPartObj>
        <w:docPartGallery w:val="Page Numbers (Bottom of Page)"/>
        <w:docPartUnique/>
      </w:docPartObj>
    </w:sdtPr>
    <w:sdtEndPr>
      <w:rPr>
        <w:noProof/>
      </w:rPr>
    </w:sdtEndPr>
    <w:sdtContent>
      <w:p w14:paraId="3FD1045E" w14:textId="77777777" w:rsidR="008263B5" w:rsidRDefault="008263B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0A14EA2" w14:textId="77777777" w:rsidR="008263B5" w:rsidRDefault="008263B5">
    <w:pP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294D4E" w14:textId="77777777" w:rsidR="00F47DF8" w:rsidRDefault="00F47DF8">
      <w:pPr>
        <w:spacing w:line="240" w:lineRule="auto"/>
      </w:pPr>
      <w:r>
        <w:separator/>
      </w:r>
    </w:p>
  </w:footnote>
  <w:footnote w:type="continuationSeparator" w:id="0">
    <w:p w14:paraId="40EDCDEE" w14:textId="77777777" w:rsidR="00F47DF8" w:rsidRDefault="00F47DF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DF4F75"/>
    <w:multiLevelType w:val="hybridMultilevel"/>
    <w:tmpl w:val="321CB32C"/>
    <w:lvl w:ilvl="0" w:tplc="486E2E96">
      <w:start w:val="1"/>
      <w:numFmt w:val="bullet"/>
      <w:lvlText w:val="●"/>
      <w:lvlJc w:val="left"/>
      <w:pPr>
        <w:ind w:left="720" w:hanging="360"/>
      </w:pPr>
    </w:lvl>
    <w:lvl w:ilvl="1" w:tplc="B2A87558">
      <w:start w:val="1"/>
      <w:numFmt w:val="bullet"/>
      <w:lvlText w:val="○"/>
      <w:lvlJc w:val="left"/>
      <w:pPr>
        <w:ind w:left="1440" w:hanging="360"/>
      </w:pPr>
    </w:lvl>
    <w:lvl w:ilvl="2" w:tplc="15581BD0">
      <w:start w:val="1"/>
      <w:numFmt w:val="bullet"/>
      <w:lvlText w:val="■"/>
      <w:lvlJc w:val="left"/>
      <w:pPr>
        <w:ind w:left="2160" w:hanging="360"/>
      </w:pPr>
    </w:lvl>
    <w:lvl w:ilvl="3" w:tplc="53427FC2">
      <w:start w:val="1"/>
      <w:numFmt w:val="bullet"/>
      <w:lvlText w:val="●"/>
      <w:lvlJc w:val="left"/>
      <w:pPr>
        <w:ind w:left="2880" w:hanging="360"/>
      </w:pPr>
    </w:lvl>
    <w:lvl w:ilvl="4" w:tplc="9B2EC09E">
      <w:start w:val="1"/>
      <w:numFmt w:val="bullet"/>
      <w:lvlText w:val="○"/>
      <w:lvlJc w:val="left"/>
      <w:pPr>
        <w:ind w:left="3600" w:hanging="360"/>
      </w:pPr>
    </w:lvl>
    <w:lvl w:ilvl="5" w:tplc="F3B624FE">
      <w:start w:val="1"/>
      <w:numFmt w:val="bullet"/>
      <w:lvlText w:val="■"/>
      <w:lvlJc w:val="left"/>
      <w:pPr>
        <w:ind w:left="4320" w:hanging="360"/>
      </w:pPr>
    </w:lvl>
    <w:lvl w:ilvl="6" w:tplc="6D20EFDE">
      <w:start w:val="1"/>
      <w:numFmt w:val="bullet"/>
      <w:lvlText w:val="●"/>
      <w:lvlJc w:val="left"/>
      <w:pPr>
        <w:ind w:left="5040" w:hanging="360"/>
      </w:pPr>
    </w:lvl>
    <w:lvl w:ilvl="7" w:tplc="C554A2BA">
      <w:start w:val="1"/>
      <w:numFmt w:val="bullet"/>
      <w:lvlText w:val="●"/>
      <w:lvlJc w:val="left"/>
      <w:pPr>
        <w:ind w:left="5760" w:hanging="360"/>
      </w:pPr>
    </w:lvl>
    <w:lvl w:ilvl="8" w:tplc="3A68F322">
      <w:start w:val="1"/>
      <w:numFmt w:val="bullet"/>
      <w:lvlText w:val="●"/>
      <w:lvlJc w:val="left"/>
      <w:pPr>
        <w:ind w:left="6480" w:hanging="360"/>
      </w:pPr>
    </w:lvl>
  </w:abstractNum>
  <w:num w:numId="1" w16cid:durableId="15423952">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E4D56"/>
    <w:rsid w:val="000146C3"/>
    <w:rsid w:val="00072433"/>
    <w:rsid w:val="000A69A6"/>
    <w:rsid w:val="001751C7"/>
    <w:rsid w:val="00196E21"/>
    <w:rsid w:val="002269DD"/>
    <w:rsid w:val="002922DC"/>
    <w:rsid w:val="002B1CC6"/>
    <w:rsid w:val="002D24C4"/>
    <w:rsid w:val="003E5491"/>
    <w:rsid w:val="0041519C"/>
    <w:rsid w:val="00427331"/>
    <w:rsid w:val="00454340"/>
    <w:rsid w:val="00455885"/>
    <w:rsid w:val="004E4D56"/>
    <w:rsid w:val="005F334F"/>
    <w:rsid w:val="00611CAB"/>
    <w:rsid w:val="006313C2"/>
    <w:rsid w:val="006A05BC"/>
    <w:rsid w:val="006C287F"/>
    <w:rsid w:val="007C11BB"/>
    <w:rsid w:val="008263B5"/>
    <w:rsid w:val="008652CA"/>
    <w:rsid w:val="008727E5"/>
    <w:rsid w:val="00973744"/>
    <w:rsid w:val="009A1C84"/>
    <w:rsid w:val="009C015E"/>
    <w:rsid w:val="00A7698A"/>
    <w:rsid w:val="00AC26F5"/>
    <w:rsid w:val="00AC78F5"/>
    <w:rsid w:val="00AE3710"/>
    <w:rsid w:val="00BA4D62"/>
    <w:rsid w:val="00BA5A10"/>
    <w:rsid w:val="00C7078C"/>
    <w:rsid w:val="00C91EE8"/>
    <w:rsid w:val="00D03C4F"/>
    <w:rsid w:val="00D46108"/>
    <w:rsid w:val="00E64951"/>
    <w:rsid w:val="00F47DF8"/>
    <w:rsid w:val="00F938AB"/>
    <w:rsid w:val="00F978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ED0EF8"/>
  <w15:docId w15:val="{6A7A2859-E6DF-41F7-B38E-D4850226AC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US"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autoRedefine/>
    <w:uiPriority w:val="9"/>
    <w:qFormat/>
    <w:rsid w:val="00F9785F"/>
    <w:pPr>
      <w:spacing w:before="240" w:after="160"/>
      <w:outlineLvl w:val="0"/>
    </w:pPr>
    <w:rPr>
      <w:b/>
      <w:bCs/>
      <w:color w:val="1F4E66"/>
      <w:sz w:val="32"/>
      <w:szCs w:val="32"/>
    </w:rPr>
  </w:style>
  <w:style w:type="paragraph" w:styleId="Heading2">
    <w:name w:val="heading 2"/>
    <w:autoRedefine/>
    <w:uiPriority w:val="9"/>
    <w:unhideWhenUsed/>
    <w:qFormat/>
    <w:rsid w:val="00F9785F"/>
    <w:pPr>
      <w:spacing w:before="160" w:after="120"/>
      <w:outlineLvl w:val="1"/>
    </w:pPr>
    <w:rPr>
      <w:b/>
      <w:bCs/>
      <w:color w:val="2E2E2E"/>
      <w:sz w:val="28"/>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autoRedefine/>
    <w:uiPriority w:val="10"/>
    <w:qFormat/>
    <w:rsid w:val="00F9785F"/>
    <w:rPr>
      <w:b/>
      <w:sz w:val="40"/>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pPr>
      <w:spacing w:line="240" w:lineRule="auto"/>
    </w:pPr>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pPr>
      <w:spacing w:line="240" w:lineRule="auto"/>
    </w:pPr>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D03C4F"/>
    <w:pPr>
      <w:spacing w:after="100"/>
    </w:pPr>
  </w:style>
  <w:style w:type="paragraph" w:styleId="TOC2">
    <w:name w:val="toc 2"/>
    <w:basedOn w:val="Normal"/>
    <w:next w:val="Normal"/>
    <w:autoRedefine/>
    <w:uiPriority w:val="39"/>
    <w:unhideWhenUsed/>
    <w:rsid w:val="00D03C4F"/>
    <w:pPr>
      <w:spacing w:after="100"/>
      <w:ind w:left="240"/>
    </w:pPr>
  </w:style>
  <w:style w:type="paragraph" w:styleId="TOCHeading">
    <w:name w:val="TOC Heading"/>
    <w:basedOn w:val="Heading1"/>
    <w:next w:val="Normal"/>
    <w:uiPriority w:val="39"/>
    <w:unhideWhenUsed/>
    <w:qFormat/>
    <w:rsid w:val="00455885"/>
    <w:pPr>
      <w:keepNext/>
      <w:keepLines/>
      <w:spacing w:after="0" w:line="259" w:lineRule="auto"/>
      <w:outlineLvl w:val="9"/>
    </w:pPr>
    <w:rPr>
      <w:rFonts w:asciiTheme="majorHAnsi" w:eastAsiaTheme="majorEastAsia" w:hAnsiTheme="majorHAnsi" w:cstheme="majorBidi"/>
      <w:b w:val="0"/>
      <w:bCs w:val="0"/>
      <w:color w:val="2F5496" w:themeColor="accent1" w:themeShade="BF"/>
    </w:rPr>
  </w:style>
  <w:style w:type="character" w:styleId="UnresolvedMention">
    <w:name w:val="Unresolved Mention"/>
    <w:basedOn w:val="DefaultParagraphFont"/>
    <w:uiPriority w:val="99"/>
    <w:semiHidden/>
    <w:unhideWhenUsed/>
    <w:rsid w:val="00F938AB"/>
    <w:rPr>
      <w:color w:val="605E5C"/>
      <w:shd w:val="clear" w:color="auto" w:fill="E1DFDD"/>
    </w:rPr>
  </w:style>
  <w:style w:type="character" w:styleId="FollowedHyperlink">
    <w:name w:val="FollowedHyperlink"/>
    <w:basedOn w:val="DefaultParagraphFont"/>
    <w:uiPriority w:val="99"/>
    <w:semiHidden/>
    <w:unhideWhenUsed/>
    <w:rsid w:val="00F938AB"/>
    <w:rPr>
      <w:color w:val="954F72" w:themeColor="followedHyperlink"/>
      <w:u w:val="single"/>
    </w:rPr>
  </w:style>
  <w:style w:type="paragraph" w:styleId="Header">
    <w:name w:val="header"/>
    <w:basedOn w:val="Normal"/>
    <w:link w:val="HeaderChar"/>
    <w:uiPriority w:val="99"/>
    <w:unhideWhenUsed/>
    <w:rsid w:val="008263B5"/>
    <w:pPr>
      <w:tabs>
        <w:tab w:val="center" w:pos="4680"/>
        <w:tab w:val="right" w:pos="9360"/>
      </w:tabs>
      <w:spacing w:line="240" w:lineRule="auto"/>
    </w:pPr>
  </w:style>
  <w:style w:type="character" w:customStyle="1" w:styleId="HeaderChar">
    <w:name w:val="Header Char"/>
    <w:basedOn w:val="DefaultParagraphFont"/>
    <w:link w:val="Header"/>
    <w:uiPriority w:val="99"/>
    <w:rsid w:val="008263B5"/>
  </w:style>
  <w:style w:type="paragraph" w:styleId="Footer">
    <w:name w:val="footer"/>
    <w:basedOn w:val="Normal"/>
    <w:link w:val="FooterChar"/>
    <w:uiPriority w:val="99"/>
    <w:unhideWhenUsed/>
    <w:rsid w:val="008263B5"/>
    <w:pPr>
      <w:tabs>
        <w:tab w:val="center" w:pos="4680"/>
        <w:tab w:val="right" w:pos="9360"/>
      </w:tabs>
      <w:spacing w:line="240" w:lineRule="auto"/>
    </w:pPr>
  </w:style>
  <w:style w:type="character" w:customStyle="1" w:styleId="FooterChar">
    <w:name w:val="Footer Char"/>
    <w:basedOn w:val="DefaultParagraphFont"/>
    <w:link w:val="Footer"/>
    <w:uiPriority w:val="99"/>
    <w:rsid w:val="008263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ebapps.ilo.org/static/english/intserv/working-papers/wp154/index.html" TargetMode="External"/><Relationship Id="rId18" Type="http://schemas.openxmlformats.org/officeDocument/2006/relationships/hyperlink" Target="https://arxiv.org/abs/2206.15098" TargetMode="External"/><Relationship Id="rId26" Type="http://schemas.openxmlformats.org/officeDocument/2006/relationships/hyperlink" Target="https://www.unesco.org/en/artificial-intelligence/recommendation-ethics" TargetMode="External"/><Relationship Id="rId3" Type="http://schemas.openxmlformats.org/officeDocument/2006/relationships/styles" Target="styles.xml"/><Relationship Id="rId21" Type="http://schemas.openxmlformats.org/officeDocument/2006/relationships/hyperlink" Target="https://www.brookings.edu/articles/stakeholder-capitalism-arrives-at-davos/"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journals.sagepub.com/doi/10.1177/01492063241277168" TargetMode="External"/><Relationship Id="rId17" Type="http://schemas.openxmlformats.org/officeDocument/2006/relationships/hyperlink" Target="https://www.deloitte.com/us/en/insights/topics/talent/internal-talent-marketplace.html" TargetMode="External"/><Relationship Id="rId25" Type="http://schemas.openxmlformats.org/officeDocument/2006/relationships/hyperlink" Target="https://www.researchgate.net/publication/380638688_THE_PRACTICE_OF_ULRICH%27S_FOUR-ROLE_MODEL_OF_HR_EXECUTIVES_COMPARING_EVIDENCE_FROM_HR_AND_NON-HR_EXECUTIVES"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journals.plos.org/plosone/article?id=10.1371%2Fjournal.pone.0281823" TargetMode="External"/><Relationship Id="rId20" Type="http://schemas.openxmlformats.org/officeDocument/2006/relationships/hyperlink" Target="https://www.deloitte.com/us/en/insights/topics/talent/organizational-skill-based-hiring.html" TargetMode="External"/><Relationship Id="rId29" Type="http://schemas.openxmlformats.org/officeDocument/2006/relationships/hyperlink" Target="https://www.weforum.org/impact/reskilling-revolution-preparing-1-billion-people-for-tomorrows-econom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andfonline.com/doi/full/10.1080/23311975.2023.2270813" TargetMode="External"/><Relationship Id="rId24" Type="http://schemas.openxmlformats.org/officeDocument/2006/relationships/hyperlink" Target="https://journals.sagepub.com/doi/10.1177/21582440241271125" TargetMode="External"/><Relationship Id="rId32"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tandfonline.com/doi/full/10.1080/23311975.2024.2337957" TargetMode="External"/><Relationship Id="rId23" Type="http://schemas.openxmlformats.org/officeDocument/2006/relationships/hyperlink" Target="https://www.mdpi.com/2076-328X/14/6/428" TargetMode="External"/><Relationship Id="rId28" Type="http://schemas.openxmlformats.org/officeDocument/2006/relationships/hyperlink" Target="https://reports.weforum.org/docs/WEF_Future_of_Jobs_Report_2025.pdf" TargetMode="External"/><Relationship Id="rId10" Type="http://schemas.openxmlformats.org/officeDocument/2006/relationships/footer" Target="footer1.xml"/><Relationship Id="rId19" Type="http://schemas.openxmlformats.org/officeDocument/2006/relationships/hyperlink" Target="https://pmc.ncbi.nlm.nih.gov/articles/PMC9239741/" TargetMode="External"/><Relationship Id="rId31" Type="http://schemas.openxmlformats.org/officeDocument/2006/relationships/hyperlink" Target="https://www.frontiersin.org/journals/psychology/articles/10.3389/fpsyg.2024.1494186/full"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20https:/centaur.reading.ac.uk/121888/" TargetMode="External"/><Relationship Id="rId22" Type="http://schemas.openxmlformats.org/officeDocument/2006/relationships/hyperlink" Target="https://www.sciencedirect.com/science/article/abs/pii/S0007681321000288" TargetMode="External"/><Relationship Id="rId27" Type="http://schemas.openxmlformats.org/officeDocument/2006/relationships/hyperlink" Target="https://www.gallup.com/workplace/709163/europeans-upbeat-job-market-not-engaged-work.aspx" TargetMode="External"/><Relationship Id="rId30" Type="http://schemas.openxmlformats.org/officeDocument/2006/relationships/hyperlink" Target="%20https:/www.weforum.org/press/2020/01/stakeholder-capitalism-a-manifesto-for-a-cohesive-and-sustainable-worl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8D750E-10CE-43D0-B15E-1408830287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TotalTime>
  <Pages>17</Pages>
  <Words>7873</Words>
  <Characters>44880</Characters>
  <DocSecurity>0</DocSecurity>
  <Lines>374</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erms:created xsi:type="dcterms:W3CDTF">2026-06-15T07:02:00Z</dcterms:created>
  <dcterms:modified xsi:type="dcterms:W3CDTF">2026-06-16T09:04:00Z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AMA Manual of Style 11th edition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APSA Style Manual revised 2018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ASA Style Guide 6th/7th edition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18th edition (author-date)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12th edition (author-date/Harvard)</vt:lpwstr>
  </property>
  <property fmtid="{D5CDD505-2E9C-101B-9397-08002B2CF9AE}" pid="12" name="Mendeley Recent Style Id 5_1">
    <vt:lpwstr>http://www.zotero.org/styles/ieee</vt:lpwstr>
  </property>
  <property fmtid="{D5CDD505-2E9C-101B-9397-08002B2CF9AE}" pid="13" name="Mendeley Recent Style Name 5_1">
    <vt:lpwstr>IEEE Reference Guide version 11.29.2023</vt:lpwstr>
  </property>
  <property fmtid="{D5CDD505-2E9C-101B-9397-08002B2CF9AE}" pid="14" name="Mendeley Recent Style Id 6_1">
    <vt:lpwstr>http://www.zotero.org/styles/modern-language-association</vt:lpwstr>
  </property>
  <property fmtid="{D5CDD505-2E9C-101B-9397-08002B2CF9AE}" pid="15" name="Mendeley Recent Style Name 6_1">
    <vt:lpwstr>MLA Handbook 9th edition (in-text citations)</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http://www.zotero.org/styles/nature</vt:lpwstr>
  </property>
  <property fmtid="{D5CDD505-2E9C-101B-9397-08002B2CF9AE}" pid="19" name="Mendeley Recent Style Name 8_1">
    <vt:lpwstr>Nature</vt:lpwstr>
  </property>
  <property fmtid="{D5CDD505-2E9C-101B-9397-08002B2CF9AE}" pid="20" name="Mendeley Recent Style Id 9_1">
    <vt:lpwstr>http://www.zotero.org/styles/oscola-journal-abbreviations</vt:lpwstr>
  </property>
  <property fmtid="{D5CDD505-2E9C-101B-9397-08002B2CF9AE}" pid="21" name="Mendeley Recent Style Name 9_1">
    <vt:lpwstr>OSCOLA 4th edition (journal abbreviations)</vt:lpwstr>
  </property>
  <property fmtid="{D5CDD505-2E9C-101B-9397-08002B2CF9AE}" pid="22" name="Mendeley Citation Style_1">
    <vt:lpwstr>http://www.zotero.org/styles/harvard-cite-them-right</vt:lpwstr>
  </property>
  <property fmtid="{D5CDD505-2E9C-101B-9397-08002B2CF9AE}" pid="23" name="Mendeley Document_1">
    <vt:lpwstr>True</vt:lpwstr>
  </property>
  <property fmtid="{D5CDD505-2E9C-101B-9397-08002B2CF9AE}" pid="24" name="Mendeley Unique User Id_1">
    <vt:lpwstr>85c7ee93-4ff6-3662-9562-1bc742ba9175</vt:lpwstr>
  </property>
  <property fmtid="{D5CDD505-2E9C-101B-9397-08002B2CF9AE}" pid="25" name="GrammarlyDocumentId">
    <vt:lpwstr>7eff864e-ecad-4331-9e10-18fe8eb3d6ad</vt:lpwstr>
  </property>
</Properties>
</file>