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center"/>
      </w:pPr>
      <w:r>
        <w:rPr>
          <w:rFonts w:ascii="Helvetica" w:hAnsi="Helvetica" w:cs="Helvetica"/>
          <w:sz w:val="24"/>
          <w:sz-cs w:val="24"/>
        </w:rPr>
        <w:t xml:space="preserve"/>
      </w:r>
    </w:p>
    <w:p>
      <w:pPr>
        <w:jc w:val="center"/>
      </w:pPr>
      <w:r>
        <w:rPr>
          <w:rFonts w:ascii="Helvetica" w:hAnsi="Helvetica" w:cs="Helvetica"/>
          <w:sz w:val="24"/>
          <w:sz-cs w:val="24"/>
        </w:rPr>
        <w:t xml:space="preserve"/>
      </w:r>
    </w:p>
    <w:p>
      <w:pPr>
        <w:jc w:val="center"/>
      </w:pPr>
      <w:r>
        <w:rPr>
          <w:rFonts w:ascii="Helvetica" w:hAnsi="Helvetica" w:cs="Helvetica"/>
          <w:sz w:val="24"/>
          <w:sz-cs w:val="24"/>
        </w:rPr>
        <w:t xml:space="preserve"/>
      </w:r>
    </w:p>
    <w:p>
      <w:pPr>
        <w:jc w:val="center"/>
      </w:pPr>
      <w:r>
        <w:rPr>
          <w:rFonts w:ascii="Helvetica" w:hAnsi="Helvetica" w:cs="Helvetica"/>
          <w:sz w:val="24"/>
          <w:sz-cs w:val="24"/>
        </w:rPr>
        <w:t xml:space="preserve"/>
      </w:r>
    </w:p>
    <w:p>
      <w:pPr>
        <w:jc w:val="center"/>
      </w:pPr>
      <w:r>
        <w:rPr>
          <w:rFonts w:ascii="Helvetica" w:hAnsi="Helvetica" w:cs="Helvetica"/>
          <w:sz w:val="24"/>
          <w:sz-cs w:val="24"/>
        </w:rPr>
        <w:t xml:space="preserve"/>
      </w:r>
    </w:p>
    <w:p>
      <w:pPr>
        <w:jc w:val="center"/>
      </w:pPr>
      <w:r>
        <w:rPr>
          <w:rFonts w:ascii="Helvetica" w:hAnsi="Helvetica" w:cs="Helvetica"/>
          <w:sz w:val="24"/>
          <w:sz-cs w:val="24"/>
        </w:rPr>
        <w:t xml:space="preserve"/>
      </w:r>
    </w:p>
    <w:p>
      <w:pPr>
        <w:jc w:val="center"/>
      </w:pPr>
      <w:r>
        <w:rPr>
          <w:rFonts w:ascii="Helvetica" w:hAnsi="Helvetica" w:cs="Helvetica"/>
          <w:sz w:val="24"/>
          <w:sz-cs w:val="24"/>
        </w:rPr>
        <w:t xml:space="preserve"/>
      </w:r>
    </w:p>
    <w:p>
      <w:pPr>
        <w:jc w:val="center"/>
      </w:pPr>
      <w:r>
        <w:rPr>
          <w:rFonts w:ascii="Helvetica" w:hAnsi="Helvetica" w:cs="Helvetica"/>
          <w:sz w:val="24"/>
          <w:sz-cs w:val="24"/>
        </w:rPr>
        <w:t xml:space="preserve"/>
      </w:r>
    </w:p>
    <w:p>
      <w:pPr>
        <w:jc w:val="center"/>
      </w:pPr>
      <w:r>
        <w:rPr>
          <w:rFonts w:ascii="Helvetica" w:hAnsi="Helvetica" w:cs="Helvetica"/>
          <w:sz w:val="24"/>
          <w:sz-cs w:val="24"/>
        </w:rPr>
        <w:t xml:space="preserve"/>
      </w:r>
    </w:p>
    <w:p>
      <w:pPr>
        <w:jc w:val="center"/>
      </w:pPr>
      <w:r>
        <w:rPr>
          <w:rFonts w:ascii="Helvetica" w:hAnsi="Helvetica" w:cs="Helvetica"/>
          <w:sz w:val="24"/>
          <w:sz-cs w:val="24"/>
        </w:rPr>
        <w:t xml:space="preserve"/>
      </w:r>
    </w:p>
    <w:p>
      <w:pPr>
        <w:jc w:val="center"/>
      </w:pPr>
      <w:r>
        <w:rPr>
          <w:rFonts w:ascii="Helvetica" w:hAnsi="Helvetica" w:cs="Helvetica"/>
          <w:sz w:val="24"/>
          <w:sz-cs w:val="24"/>
        </w:rPr>
        <w:t xml:space="preserve"/>
      </w:r>
    </w:p>
    <w:p>
      <w:pPr>
        <w:jc w:val="center"/>
      </w:pPr>
      <w:r>
        <w:rPr>
          <w:rFonts w:ascii="Times New Roman" w:hAnsi="Times New Roman" w:cs="Times New Roman"/>
          <w:sz w:val="24"/>
          <w:sz-cs w:val="24"/>
        </w:rPr>
        <w:t xml:space="preserve">Certificate in Higher Education Skills for the Workplace</w:t>
      </w:r>
    </w:p>
    <w:p>
      <w:pPr>
        <w:jc w:val="center"/>
      </w:pPr>
      <w:r>
        <w:rPr>
          <w:rFonts w:ascii="Times New Roman" w:hAnsi="Times New Roman" w:cs="Times New Roman"/>
          <w:sz w:val="24"/>
          <w:sz-cs w:val="24"/>
        </w:rPr>
        <w:t xml:space="preserve">Professional and Career development</w:t>
      </w:r>
    </w:p>
    <w:p>
      <w:pPr>
        <w:jc w:val="center"/>
      </w:pPr>
      <w:r>
        <w:rPr>
          <w:rFonts w:ascii="Times New Roman" w:hAnsi="Times New Roman" w:cs="Times New Roman"/>
          <w:sz w:val="24"/>
          <w:sz-cs w:val="24"/>
        </w:rPr>
        <w:t xml:space="preserve">BMSW 4005</w:t>
      </w:r>
    </w:p>
    <w:p>
      <w:pPr>
        <w:jc w:val="center"/>
      </w:pPr>
      <w:r>
        <w:rPr>
          <w:rFonts w:ascii="Times New Roman" w:hAnsi="Times New Roman" w:cs="Times New Roman"/>
          <w:sz w:val="24"/>
          <w:sz-cs w:val="24"/>
        </w:rPr>
        <w:t xml:space="preserve">Name   Addis Gebresilasie </w:t>
      </w:r>
    </w:p>
    <w:p>
      <w:pPr>
        <w:jc w:val="center"/>
      </w:pPr>
      <w:r>
        <w:rPr>
          <w:rFonts w:ascii="Times New Roman" w:hAnsi="Times New Roman" w:cs="Times New Roman"/>
          <w:sz w:val="24"/>
          <w:sz-cs w:val="24"/>
        </w:rPr>
        <w:t xml:space="preserve">Student number 2112297</w:t>
      </w:r>
    </w:p>
    <w:p>
      <w:pPr>
        <w:jc w:val="center"/>
      </w:pPr>
      <w:r>
        <w:rPr>
          <w:rFonts w:ascii="Times New Roman" w:hAnsi="Times New Roman" w:cs="Times New Roman"/>
          <w:sz w:val="24"/>
          <w:sz-cs w:val="24"/>
        </w:rPr>
        <w:t xml:space="preserve">Date. 19?07/2022</w:t>
      </w:r>
    </w:p>
    <w:p>
      <w:pPr/>
      <w:r>
        <w:rPr>
          <w:rFonts w:ascii="Times New Roman" w:hAnsi="Times New Roman" w:cs="Times New Roman"/>
          <w:sz w:val="24"/>
          <w:sz-cs w:val="24"/>
        </w:rPr>
        <w:t xml:space="preserve">07</w:t>
        <w:br w:type="page"/>
        <w:t xml:space="preserve"/>
      </w:r>
    </w:p>
    <w:p>
      <w:pPr>
        <w:jc w:val="center"/>
      </w:pPr>
      <w:r>
        <w:rPr>
          <w:rFonts w:ascii="Times New Roman" w:hAnsi="Times New Roman" w:cs="Times New Roman"/>
          <w:sz w:val="24"/>
          <w:sz-cs w:val="24"/>
          <w:b/>
        </w:rPr>
        <w:t xml:space="preserve">Table of Content</w:t>
      </w:r>
      <w:r>
        <w:rPr>
          <w:rFonts w:ascii="Times New Roman" w:hAnsi="Times New Roman" w:cs="Times New Roman"/>
          <w:sz w:val="24"/>
          <w:sz-cs w:val="24"/>
        </w:rPr>
        <w:t xml:space="preserve"/>
      </w:r>
    </w:p>
    <w:p>
      <w:pPr/>
      <w:r>
        <w:rPr>
          <w:rFonts w:ascii="Times New Roman" w:hAnsi="Times New Roman" w:cs="Times New Roman"/>
          <w:sz w:val="24"/>
          <w:sz-cs w:val="24"/>
          <w:color w:val="00000A"/>
        </w:rPr>
        <w:t xml:space="preserve">Task 1- Open Book Assessment</w:t>
      </w:r>
      <w:r>
        <w:rPr>
          <w:rFonts w:ascii="Times New Roman" w:hAnsi="Times New Roman" w:cs="Times New Roman"/>
          <w:sz w:val="24"/>
          <w:sz-cs w:val="24"/>
        </w:rPr>
        <w:t xml:space="preserve"/>
        <w:tab/>
        <w:t xml:space="preserve">3</w:t>
      </w:r>
    </w:p>
    <w:p>
      <w:pPr/>
      <w:r>
        <w:rPr>
          <w:rFonts w:ascii="Times New Roman" w:hAnsi="Times New Roman" w:cs="Times New Roman"/>
          <w:sz w:val="24"/>
          <w:sz-cs w:val="24"/>
          <w:color w:val="00000A"/>
        </w:rPr>
        <w:t xml:space="preserve">Task 3- Reflective Portfolio</w:t>
      </w:r>
      <w:r>
        <w:rPr>
          <w:rFonts w:ascii="Times New Roman" w:hAnsi="Times New Roman" w:cs="Times New Roman"/>
          <w:sz w:val="24"/>
          <w:sz-cs w:val="24"/>
        </w:rPr>
        <w:t xml:space="preserve"/>
        <w:tab/>
        <w:t xml:space="preserve">4</w:t>
      </w:r>
    </w:p>
    <w:p>
      <w:pPr/>
      <w:r>
        <w:rPr>
          <w:rFonts w:ascii="Times New Roman" w:hAnsi="Times New Roman" w:cs="Times New Roman"/>
          <w:sz w:val="24"/>
          <w:sz-cs w:val="24"/>
          <w:color w:val="00000A"/>
        </w:rPr>
        <w:t xml:space="preserve">1)</w:t>
      </w:r>
      <w:r>
        <w:rPr>
          <w:rFonts w:ascii="Times New Roman" w:hAnsi="Times New Roman" w:cs="Times New Roman"/>
          <w:sz w:val="24"/>
          <w:sz-cs w:val="24"/>
        </w:rPr>
        <w:t xml:space="preserve"/>
        <w:tab/>
        <w:t xml:space="preserve">4</w:t>
      </w:r>
    </w:p>
    <w:p>
      <w:pPr/>
      <w:r>
        <w:rPr>
          <w:rFonts w:ascii="Times New Roman" w:hAnsi="Times New Roman" w:cs="Times New Roman"/>
          <w:sz w:val="24"/>
          <w:sz-cs w:val="24"/>
          <w:color w:val="00000A"/>
        </w:rPr>
        <w:t xml:space="preserve">2)</w:t>
      </w:r>
      <w:r>
        <w:rPr>
          <w:rFonts w:ascii="Times New Roman" w:hAnsi="Times New Roman" w:cs="Times New Roman"/>
          <w:sz w:val="24"/>
          <w:sz-cs w:val="24"/>
        </w:rPr>
        <w:t xml:space="preserve"/>
        <w:tab/>
        <w:t xml:space="preserve">5</w:t>
      </w:r>
    </w:p>
    <w:p>
      <w:pPr/>
      <w:r>
        <w:rPr>
          <w:rFonts w:ascii="Times New Roman" w:hAnsi="Times New Roman" w:cs="Times New Roman"/>
          <w:sz w:val="24"/>
          <w:sz-cs w:val="24"/>
          <w:color w:val="00000A"/>
        </w:rPr>
        <w:t xml:space="preserve">References</w:t>
      </w:r>
      <w:r>
        <w:rPr>
          <w:rFonts w:ascii="Times New Roman" w:hAnsi="Times New Roman" w:cs="Times New Roman"/>
          <w:sz w:val="24"/>
          <w:sz-cs w:val="24"/>
        </w:rPr>
        <w:t xml:space="preserve"/>
        <w:tab/>
        <w:t xml:space="preserve">8</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br w:type="page"/>
        <w:t xml:space="preserve"/>
      </w:r>
    </w:p>
    <w:p>
      <w:pPr/>
      <w:r>
        <w:rPr>
          <w:rFonts w:ascii="Times New Roman" w:hAnsi="Times New Roman" w:cs="Times New Roman"/>
          <w:sz w:val="24"/>
          <w:sz-cs w:val="24"/>
          <w:b/>
          <w:color w:val="00000A"/>
        </w:rPr>
        <w:t xml:space="preserve">Task 1- Open Book Assessment</w:t>
      </w:r>
    </w:p>
    <w:p>
      <w:pPr/>
      <w:r>
        <w:rPr>
          <w:rFonts w:ascii="Times New Roman" w:hAnsi="Times New Roman" w:cs="Times New Roman"/>
          <w:sz w:val="24"/>
          <w:sz-cs w:val="24"/>
        </w:rPr>
        <w:t xml:space="preserve"/>
        <w:tab/>
        <w:t xml:space="preserve">Discrimination in the workplace takes place when an employee is treated unfairly in the organisation based on his/her religion, colour, sex, ethnicity, age, marital status (including pregnancy, sexual orientation), genetic information, or more. While there are various reasons that could lead to discrimination, every situation needs to be assessed critically to develop an adequate understanding (Dhanani et al., 2018). With regards to the particular case of Fatimah, it could be identified that the employee came back from maternity leave and now closes early to pick up her baby from the nursery. Assessing and evaluating the whole situation, the decision of her boss may not be discriminatory, and there could various other reasons why the particular decision was taken. Evaluating the behaviour of Fatimah’s boss, it could be understood that he allowed Fatimah to leave or close early due to her responsibility for the baby, otherwise, he could have raised several concerns related to this and asked her to stay till the office timings. The boss has been allowing Farimah to close early, and this depicts that he has been cooperating with Fatimah regarding her maternity status. The fact that she was not asked for the special training program could be linked with the approach that she has just come back from the leaves, and she may require some time to adjust back in the company or lead towards attaining training. The boss could be of the idea that Fatimah has augmented responsibilities in terms of work-life balance, and that this might not be the right time for her to attain training and enhance her skills. In fact, she needed rest and this could be one of the ways by which her boss allowed her to relax and not take on challenging tasks or programs. </w:t>
      </w:r>
    </w:p>
    <w:p>
      <w:pPr/>
      <w:r>
        <w:rPr>
          <w:rFonts w:ascii="Times New Roman" w:hAnsi="Times New Roman" w:cs="Times New Roman"/>
          <w:sz w:val="24"/>
          <w:sz-cs w:val="24"/>
        </w:rPr>
        <w:t xml:space="preserve">While employees may often feel that they are being discriminated against, it may not always be the case, and this aspect needs to be taken into keen consideration by the HR of the company (Graham et al., 2019). With regard to the case of Fatimah, the boss could have worked on his behaviour approach, and asking Fatimah if she was interested in the training could have made her feel valued and important in the company. It may be deduced that Fatimah’s boss should have asked her about the training program, or could have communicated to her why she was not being approached for the training session at this point. Stating that this decision was made only due to discrimination may not be the right approach, as there are various other dynamics related to the scenario, and there are ample possibilities that may have taken place. Even though discrimination does take place due to marital status or pregnancies in some situations, it may not necessarily be the case with all companies. With regards to the case of Fatimah, I believe that the boss did not discriminate against her, but he took the decision as it was more appropriate considering the situation of Fatimah. </w:t>
      </w:r>
    </w:p>
    <w:p>
      <w:pPr/>
      <w:r>
        <w:rPr>
          <w:rFonts w:ascii="Times New Roman" w:hAnsi="Times New Roman" w:cs="Times New Roman"/>
          <w:sz w:val="24"/>
          <w:sz-cs w:val="24"/>
        </w:rPr>
        <w:t xml:space="preserve"/>
      </w:r>
    </w:p>
    <w:p>
      <w:pPr/>
      <w:r>
        <w:rPr>
          <w:rFonts w:ascii="Times New Roman" w:hAnsi="Times New Roman" w:cs="Times New Roman"/>
          <w:sz w:val="24"/>
          <w:sz-cs w:val="24"/>
          <w:b/>
          <w:color w:val="00000A"/>
        </w:rPr>
        <w:t xml:space="preserve">Task 3- Reflective Portfolio</w:t>
      </w:r>
    </w:p>
    <w:p>
      <w:pPr>
        <w:ind w:left="720"/>
      </w:pPr>
      <w:r>
        <w:rPr>
          <w:rFonts w:ascii="Times New Roman" w:hAnsi="Times New Roman" w:cs="Times New Roman"/>
          <w:sz w:val="24"/>
          <w:sz-cs w:val="24"/>
          <w:b/>
          <w:i/>
          <w:color w:val="00000A"/>
        </w:rPr>
        <w:t xml:space="preserve"/>
        <w:tab/>
        <w:t xml:space="preserve">•</w:t>
        <w:tab/>
        <w:t xml:space="preserve"> </w:t>
      </w:r>
    </w:p>
    <w:p>
      <w:pPr/>
      <w:r>
        <w:rPr>
          <w:rFonts w:ascii="Times New Roman" w:hAnsi="Times New Roman" w:cs="Times New Roman"/>
          <w:sz w:val="24"/>
          <w:sz-cs w:val="24"/>
        </w:rPr>
        <w:t xml:space="preserve"/>
        <w:tab/>
        <w:t xml:space="preserve">Choosing a career path may often be highly challenging and daunting for individuals who are initiating their professional lives. Making the right decision, selecting the right professional field of work, and identifying/preferring the right employers may all be immensely imperative and critical aspects. In various cases, wrong decisions are also taken by people, but it must be ensured that enough time and effort is put into choosing the career path and explore to the employment opportunities. There are various ways through which employment opportunities could be explored today, and all of these approaches are of high value and significance (Niati et al., 2021). The career path that I would like to apply for will be as an HR manager, in a reputable organisation where I could get adequate opportunities to grow and succeed. Considering the job or career path that I would like to choose, there are various strategies that could be used to explore the employment opportunities, and one of them is self-assessment and evaluation. To explore the employment opportunities, it is vital that the person first starts with himself, and understands his/her own capabilities, interests, skills, expertise, inclination, and more such aspects. While this step could be considered pre-exploration of the employment opportunity, it could also be regarded as an extremely imperative part of it, in which the person is able to well understand what he/she wants to do, what are his/her goals, what does he/she expect to achieve in the long run, and more. </w:t>
      </w:r>
    </w:p>
    <w:p>
      <w:pPr/>
      <w:r>
        <w:rPr>
          <w:rFonts w:ascii="Times New Roman" w:hAnsi="Times New Roman" w:cs="Times New Roman"/>
          <w:sz w:val="24"/>
          <w:sz-cs w:val="24"/>
        </w:rPr>
        <w:t xml:space="preserve">One of the strategies could be regarded as researching viable careers and making a list of occupations that need to be explored. To research viable careers in the contemporary environment, individuals could make use of ample digital platforms, where they can find the relevant information about the market and industry, understand the trends in the job market, and much more. With the use of such digital platforms, individuals could better understand what the viable career options could be, and what are the potential options from which the choice could be made (Shmelev and Petrovsky, 2021). Researching viable careers could also take place through seeking assistance and guidance from those professionals who have knowledge about the particular field of interest, and who know what choices could be beneficial in the future in terms of progress and potential. Researching viable careers could be a critical and imperative part of the process, making it feasible for the individual to better understand how making certain choices could be more useful than the others, and how this could benefit them in the long run, in terms of growth and success. </w:t>
      </w:r>
    </w:p>
    <w:p>
      <w:pPr/>
      <w:r>
        <w:rPr>
          <w:rFonts w:ascii="Times New Roman" w:hAnsi="Times New Roman" w:cs="Times New Roman"/>
          <w:sz w:val="24"/>
          <w:sz-cs w:val="24"/>
        </w:rPr>
        <w:t xml:space="preserve">Another strategy for exploring the employment opportunity could be considered as eliminating the careers that do not appeal, or the ones that would not be preferred. In other words, this could be identified as creating a short list of the potential and relevant career paths that could be chosen. Eliminating the irrelevant career paths would make the work much easier, and this would eventually assist in making the right choice and decision (Matulcikova and Brevenikova, 2020). Even though this process would take time initially, it could contribute to adequate and effective decision-making on the whole. If certain careers are not appealing or of any interest, they must be taken out from the list of possible career path choices or the overall exploration of employment opportunities. To streamline and narrow down the potential employment opportunities, eliminating the ones that are not of use would, therefore, be identified as the right decision and strategic approach. </w:t>
      </w:r>
    </w:p>
    <w:p>
      <w:pPr/>
      <w:r>
        <w:rPr>
          <w:rFonts w:ascii="Times New Roman" w:hAnsi="Times New Roman" w:cs="Times New Roman"/>
          <w:sz w:val="24"/>
          <w:sz-cs w:val="24"/>
        </w:rPr>
        <w:t xml:space="preserve">One of the other strategies that could be considered as conducting information interviews and speaking to others in the field. The knowledge and information that could be attained from individuals related to the field are of much more value than that collected from secondary sources. Information interviews would not only allow me to attain real-time data about the field, but it would further provide me the opportunity to gain insights that are associated and linked with the industry and work (Lent, 2020). Reaching out to people and collecting information about the job could be immensely useful and informative, allowing me to better understand how the industry works, what possible challenges and opportunities I may attain by selecting a certain field, and much more of such useful information. Also, the reliability of such information is much high as compared to any other type of information, making it feasible to assess the real probability of success in a particular field. People who are from the same field have first-hand information about the industry, the career, the possible opportunities, the challenges, the risks, and all the related dynamics which may become immensely useful for me when exploring employment opportunities. Not only is this information essential, but it holds high value in terms of career progression and probability of success. Even though this is a useful and important strategy that could be utilised, it is also vital that the right individuals are identified and selected who could deliver the required data that may assist adequately in making the choice. </w:t>
      </w:r>
    </w:p>
    <w:p>
      <w:pPr/>
      <w:r>
        <w:rPr>
          <w:rFonts w:ascii="Times New Roman" w:hAnsi="Times New Roman" w:cs="Times New Roman"/>
          <w:sz w:val="24"/>
          <w:sz-cs w:val="24"/>
        </w:rPr>
        <w:t xml:space="preserve"/>
        <w:tab/>
        <w:t xml:space="preserve">Working on social networking could also be a useful method and strategy that could assist in exploring employment opportunities. With the use of social networking, it becomes easier to attain updated information about the industry, job market, career choices, career options, potential, and much more such related data. This social networking could be done with the use of digital media, establishing and creating a network that is of use and value to make the right choice and selection related to employment (Parts, 2019). Exploring the right employment opportunity could be an intricate activity, and using the social networks could be of immense use and value for the individual. I would make use of social networking sites such as LinkedIn to connect with professionals and augment my network of professionals overall so that a stronger link could be developed, and its use could be taken to find the right employment opportunity.</w:t>
      </w:r>
    </w:p>
    <w:p>
      <w:pPr/>
      <w:r>
        <w:rPr>
          <w:rFonts w:ascii="Times New Roman" w:hAnsi="Times New Roman" w:cs="Times New Roman"/>
          <w:sz w:val="24"/>
          <w:sz-cs w:val="24"/>
        </w:rPr>
        <w:t xml:space="preserve"/>
      </w:r>
    </w:p>
    <w:p>
      <w:pPr/>
      <w:r>
        <w:rPr>
          <w:rFonts w:ascii="Times New Roman" w:hAnsi="Times New Roman" w:cs="Times New Roman"/>
          <w:sz w:val="24"/>
          <w:sz-cs w:val="24"/>
          <w:b/>
          <w:i/>
          <w:color w:val="00000A"/>
        </w:rPr>
        <w:t xml:space="preserve">2)</w:t>
      </w:r>
    </w:p>
    <w:p>
      <w:pPr/>
      <w:r>
        <w:rPr>
          <w:rFonts w:ascii="Times New Roman" w:hAnsi="Times New Roman" w:cs="Times New Roman"/>
          <w:sz w:val="24"/>
          <w:sz-cs w:val="24"/>
        </w:rPr>
        <w:t xml:space="preserve"/>
        <w:tab/>
        <w:t xml:space="preserve">I have been able to learn various concepts from this module, and all of these concepts have been of immense significance and use to me. I have developed an adequate understanding of such concepts, and this has provided me the opportunity to make use of them in the future, and gain benefit from them personally and professionally. A number of different concepts have been learned, and one of them is leadership. Even though I have been familiar with the term and its dynamics, I have been able to well explore and understand what leadership is, what impact and value it has, how individuals could make use of it, and much more of such related concepts and information. It has become evident to deduce that leadership is one of the most critical and useful aspects of the modern working environment, and this could have an impact on the overall company and its performance in the long run. Leadership could be used to manage various areas and activities of a company, and its usage could be extended to numerous areas. According to Pana and Kreye (2021), the use of leadership is crucial for almost every company, as the leaders are responsible for making most decisions of a firm, and this could eventually direct the company from one pace to another. If the leader is effective, he/she may be able to adequately overcome the adversities and challenges arising in the firm, and this could contribute to the overall effectiveness and efficiency of the company. </w:t>
      </w:r>
    </w:p>
    <w:p>
      <w:pPr/>
      <w:r>
        <w:rPr>
          <w:rFonts w:ascii="Times New Roman" w:hAnsi="Times New Roman" w:cs="Times New Roman"/>
          <w:sz w:val="24"/>
          <w:sz-cs w:val="24"/>
        </w:rPr>
        <w:t xml:space="preserve"/>
        <w:tab/>
        <w:t xml:space="preserve">One of the other learned concepts is cognitive ability, and this has gained my attention due to its significance and importance in the workplace. The cognitive ability could be identified as the ability of an individual to think critically and holistically within the given environment and work scenario. The value and importance of cognitive ability are high because employees with an adequate ability could result in performing much better than the rest, and allow the firm to attain a competitive edge on the whole. The cognitive ability of a person could further allow it to make effective decisions, and overcome difficulties and challenges that may take place at work in short or long intervals. With the use of such ability, employees could outperform others, contributing to the overall productivity and outcomes of the company, and assisting them in achieving the performance-related goals overall.</w:t>
      </w:r>
    </w:p>
    <w:p>
      <w:pPr/>
      <w:r>
        <w:rPr>
          <w:rFonts w:ascii="Times New Roman" w:hAnsi="Times New Roman" w:cs="Times New Roman"/>
          <w:sz w:val="24"/>
          <w:sz-cs w:val="24"/>
        </w:rPr>
        <w:t xml:space="preserve"/>
        <w:tab/>
        <w:t xml:space="preserve">Delegation is another imperative concept that I have been able to learn, which is related to the passing down of authority to lower levels, and dividing the work to ensure better work efficiency and effectiveness. The concept has been of high use and significance to me, and this could be used in the professional concept at a later stage in the future. The concept of delegation has provided an understanding of how passing down and managing the authority level could be critical in the company, and how this may eventually assist in the increased overall performance of the firm as well. Delegation could be identified as being immensely useful in the modern working environment, specifically in large companies where the span of control is huge for managers. As stated by Thisted et al., (2020), managing a huge number of employees may eventually become challenging for the managers, and so delegation could effectively assist such individuals in controlling the human resource and making the best of use of them to augment performance and work efficiency. Also, making use of delegation could provide an opportunity for the manager to lower the work burden and focus more on managing and controlling the human capital. This eventually could assist in improving work efficiency, and establishing greater control over the employees. </w:t>
      </w:r>
    </w:p>
    <w:p>
      <w:pPr/>
      <w:r>
        <w:rPr>
          <w:rFonts w:ascii="Times New Roman" w:hAnsi="Times New Roman" w:cs="Times New Roman"/>
          <w:sz w:val="24"/>
          <w:sz-cs w:val="24"/>
        </w:rPr>
        <w:t xml:space="preserve"/>
        <w:tab/>
        <w:t xml:space="preserve">One of the other concepts could be identified as workplace culture and environment. Even though these are two different concepts, they could be considered as being interrelated in the context of businesses. Workplace culture could be identified as the norms, values, practices, and accepted behaviour of stakeholders in the company. The environment of the firm, on the other hand, could be regarded as the practices, communication, and activities of a firm, inculcating how people behave with each other. These concepts are immensely useful and imperative today, as they depict and explain how companies are operating, what behaviours they are accepting, and much more. For new employees, this information is the most crucial, as this supports the individuals in understanding how he/she needs to work in the company, what are acceptable behaviours, and what are the things that must be refrained. According to Erthal and Marques (2018), the culture of the company eventually turns out to become the identity of the firm, and it is vital that the leaders assert high attention and focus on such aspects to deliver and maintain the required level of efficiency and effectiveness in the firm. I have been able to understand why maintaining the work environment could be critical for businesses today, and that this may have a significant impact on the potential employees and related stakeholders of the company. </w:t>
      </w:r>
    </w:p>
    <w:p>
      <w:pPr/>
      <w:r>
        <w:rPr>
          <w:rFonts w:ascii="Times New Roman" w:hAnsi="Times New Roman" w:cs="Times New Roman"/>
          <w:sz w:val="24"/>
          <w:sz-cs w:val="24"/>
        </w:rPr>
        <w:t xml:space="preserve"/>
        <w:tab/>
        <w:t xml:space="preserve">Stakeholder analysis is another imperative concept that I believe has been essential for my own understanding. I have been able to understand that stakeholders are all those individuals that are associated with the company and its performance in some manner. The stakeholders could be internal or external, each of them having their own value and importance. Stakeholder analysis is the process of identifying and assessing the stakeholders before the project begins, as this provides an ample overview and understanding to the business as to what strategy must be implemented, and what areas of focus must be taken into consideration. With an effective stakeholder analysis, the firm is able to clearly identify and mark the roles of individuals, also ensuring that each stakeholder is managed effectively and efficiently, being able to augment the chances of success of the project. Boadi et al., (2018), some of the imperative stakeholders of a firm could be employees, suppliers, government, customers, trade unions, and much more. All such institutes and individuals are associated with the company and could have an effect on its performance as well. It is vital to identify and manage the stakeholders adequately so that the desired operations and activities could be carried out smoothly. </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b/>
          <w:i/>
        </w:rPr>
        <w:t xml:space="preserve"/>
        <w:br w:type="page"/>
        <w:t xml:space="preserve"/>
      </w:r>
    </w:p>
    <w:p>
      <w:pPr/>
      <w:r>
        <w:rPr>
          <w:rFonts w:ascii="Times New Roman" w:hAnsi="Times New Roman" w:cs="Times New Roman"/>
          <w:sz w:val="24"/>
          <w:sz-cs w:val="24"/>
          <w:b/>
          <w:color w:val="00000A"/>
        </w:rPr>
        <w:t xml:space="preserve">References</w:t>
      </w:r>
    </w:p>
    <w:p>
      <w:pPr>
        <w:ind w:left="720"/>
      </w:pPr>
      <w:r>
        <w:rPr>
          <w:rFonts w:ascii="Times New Roman" w:hAnsi="Times New Roman" w:cs="Times New Roman"/>
          <w:sz w:val="24"/>
          <w:sz-cs w:val="24"/>
        </w:rPr>
        <w:t xml:space="preserve">Boadi, E.A., He, Z., Darko, D.F. and Abrokwah, E., 2018. Unlocking from community stakeholders, corporate social responsibility (CSR) projects for effective company–community relationship. </w:t>
      </w:r>
      <w:r>
        <w:rPr>
          <w:rFonts w:ascii="Times New Roman" w:hAnsi="Times New Roman" w:cs="Times New Roman"/>
          <w:sz w:val="24"/>
          <w:sz-cs w:val="24"/>
          <w:i/>
        </w:rPr>
        <w:t xml:space="preserve">Labor History</w:t>
      </w:r>
      <w:r>
        <w:rPr>
          <w:rFonts w:ascii="Times New Roman" w:hAnsi="Times New Roman" w:cs="Times New Roman"/>
          <w:sz w:val="24"/>
          <w:sz-cs w:val="24"/>
        </w:rPr>
        <w:t xml:space="preserve">, </w:t>
      </w:r>
      <w:r>
        <w:rPr>
          <w:rFonts w:ascii="Times New Roman" w:hAnsi="Times New Roman" w:cs="Times New Roman"/>
          <w:sz w:val="24"/>
          <w:sz-cs w:val="24"/>
          <w:i/>
        </w:rPr>
        <w:t xml:space="preserve">59</w:t>
      </w:r>
      <w:r>
        <w:rPr>
          <w:rFonts w:ascii="Times New Roman" w:hAnsi="Times New Roman" w:cs="Times New Roman"/>
          <w:sz w:val="24"/>
          <w:sz-cs w:val="24"/>
        </w:rPr>
        <w:t xml:space="preserve">(6), pp.746-762.</w:t>
      </w:r>
    </w:p>
    <w:p>
      <w:pPr>
        <w:ind w:left="720"/>
      </w:pPr>
      <w:r>
        <w:rPr>
          <w:rFonts w:ascii="Times New Roman" w:hAnsi="Times New Roman" w:cs="Times New Roman"/>
          <w:sz w:val="24"/>
          <w:sz-cs w:val="24"/>
        </w:rPr>
        <w:t xml:space="preserve">Dhanani, L.Y., Beus, J.M. and Joseph, D.L., 2018. Workplace discrimination: A meta‐analytic extension, critique, and future research agenda. </w:t>
      </w:r>
      <w:r>
        <w:rPr>
          <w:rFonts w:ascii="Times New Roman" w:hAnsi="Times New Roman" w:cs="Times New Roman"/>
          <w:sz w:val="24"/>
          <w:sz-cs w:val="24"/>
          <w:i/>
        </w:rPr>
        <w:t xml:space="preserve">Personnel Psychology</w:t>
      </w:r>
      <w:r>
        <w:rPr>
          <w:rFonts w:ascii="Times New Roman" w:hAnsi="Times New Roman" w:cs="Times New Roman"/>
          <w:sz w:val="24"/>
          <w:sz-cs w:val="24"/>
        </w:rPr>
        <w:t xml:space="preserve">, </w:t>
      </w:r>
      <w:r>
        <w:rPr>
          <w:rFonts w:ascii="Times New Roman" w:hAnsi="Times New Roman" w:cs="Times New Roman"/>
          <w:sz w:val="24"/>
          <w:sz-cs w:val="24"/>
          <w:i/>
        </w:rPr>
        <w:t xml:space="preserve">71</w:t>
      </w:r>
      <w:r>
        <w:rPr>
          <w:rFonts w:ascii="Times New Roman" w:hAnsi="Times New Roman" w:cs="Times New Roman"/>
          <w:sz w:val="24"/>
          <w:sz-cs w:val="24"/>
        </w:rPr>
        <w:t xml:space="preserve">(2), pp.147-179.</w:t>
      </w:r>
    </w:p>
    <w:p>
      <w:pPr>
        <w:ind w:left="720"/>
      </w:pPr>
      <w:r>
        <w:rPr>
          <w:rFonts w:ascii="Times New Roman" w:hAnsi="Times New Roman" w:cs="Times New Roman"/>
          <w:sz w:val="24"/>
          <w:sz-cs w:val="24"/>
        </w:rPr>
        <w:t xml:space="preserve">Erthal, A. and Marques, L., 2018. National culture and organisational culture in lean organisations: a systematic review. </w:t>
      </w:r>
      <w:r>
        <w:rPr>
          <w:rFonts w:ascii="Times New Roman" w:hAnsi="Times New Roman" w:cs="Times New Roman"/>
          <w:sz w:val="24"/>
          <w:sz-cs w:val="24"/>
          <w:i/>
        </w:rPr>
        <w:t xml:space="preserve">Production Planning &amp; Control</w:t>
      </w:r>
      <w:r>
        <w:rPr>
          <w:rFonts w:ascii="Times New Roman" w:hAnsi="Times New Roman" w:cs="Times New Roman"/>
          <w:sz w:val="24"/>
          <w:sz-cs w:val="24"/>
        </w:rPr>
        <w:t xml:space="preserve">, </w:t>
      </w:r>
      <w:r>
        <w:rPr>
          <w:rFonts w:ascii="Times New Roman" w:hAnsi="Times New Roman" w:cs="Times New Roman"/>
          <w:sz w:val="24"/>
          <w:sz-cs w:val="24"/>
          <w:i/>
        </w:rPr>
        <w:t xml:space="preserve">29</w:t>
      </w:r>
      <w:r>
        <w:rPr>
          <w:rFonts w:ascii="Times New Roman" w:hAnsi="Times New Roman" w:cs="Times New Roman"/>
          <w:sz w:val="24"/>
          <w:sz-cs w:val="24"/>
        </w:rPr>
        <w:t xml:space="preserve">(8), pp.668-687.</w:t>
      </w:r>
    </w:p>
    <w:p>
      <w:pPr>
        <w:ind w:left="720"/>
      </w:pPr>
      <w:r>
        <w:rPr>
          <w:rFonts w:ascii="Times New Roman" w:hAnsi="Times New Roman" w:cs="Times New Roman"/>
          <w:sz w:val="24"/>
          <w:sz-cs w:val="24"/>
        </w:rPr>
        <w:t xml:space="preserve">Graham, K.M., McMahon, B.T., Kim, J.H., Simpson, P. and McMahon, M.C., 2019. Patterns of workplace discrimination across broad categories of disability. </w:t>
      </w:r>
      <w:r>
        <w:rPr>
          <w:rFonts w:ascii="Times New Roman" w:hAnsi="Times New Roman" w:cs="Times New Roman"/>
          <w:sz w:val="24"/>
          <w:sz-cs w:val="24"/>
          <w:i/>
        </w:rPr>
        <w:t xml:space="preserve">Rehabilitation psychology</w:t>
      </w:r>
      <w:r>
        <w:rPr>
          <w:rFonts w:ascii="Times New Roman" w:hAnsi="Times New Roman" w:cs="Times New Roman"/>
          <w:sz w:val="24"/>
          <w:sz-cs w:val="24"/>
        </w:rPr>
        <w:t xml:space="preserve">, </w:t>
      </w:r>
      <w:r>
        <w:rPr>
          <w:rFonts w:ascii="Times New Roman" w:hAnsi="Times New Roman" w:cs="Times New Roman"/>
          <w:sz w:val="24"/>
          <w:sz-cs w:val="24"/>
          <w:i/>
        </w:rPr>
        <w:t xml:space="preserve">64</w:t>
      </w:r>
      <w:r>
        <w:rPr>
          <w:rFonts w:ascii="Times New Roman" w:hAnsi="Times New Roman" w:cs="Times New Roman"/>
          <w:sz w:val="24"/>
          <w:sz-cs w:val="24"/>
        </w:rPr>
        <w:t xml:space="preserve">(2), p.194.</w:t>
      </w:r>
    </w:p>
    <w:p>
      <w:pPr>
        <w:ind w:left="720"/>
      </w:pPr>
      <w:r>
        <w:rPr>
          <w:rFonts w:ascii="Times New Roman" w:hAnsi="Times New Roman" w:cs="Times New Roman"/>
          <w:sz w:val="24"/>
          <w:sz-cs w:val="24"/>
        </w:rPr>
        <w:t xml:space="preserve">Lent, R.W., 2020. Career development and counseling: A social cognitive framework. </w:t>
      </w:r>
      <w:r>
        <w:rPr>
          <w:rFonts w:ascii="Times New Roman" w:hAnsi="Times New Roman" w:cs="Times New Roman"/>
          <w:sz w:val="24"/>
          <w:sz-cs w:val="24"/>
          <w:i/>
        </w:rPr>
        <w:t xml:space="preserve">Career development and counseling: Putting theory and research to work</w:t>
      </w:r>
      <w:r>
        <w:rPr>
          <w:rFonts w:ascii="Times New Roman" w:hAnsi="Times New Roman" w:cs="Times New Roman"/>
          <w:sz w:val="24"/>
          <w:sz-cs w:val="24"/>
        </w:rPr>
        <w:t xml:space="preserve">, </w:t>
      </w:r>
      <w:r>
        <w:rPr>
          <w:rFonts w:ascii="Times New Roman" w:hAnsi="Times New Roman" w:cs="Times New Roman"/>
          <w:sz w:val="24"/>
          <w:sz-cs w:val="24"/>
          <w:i/>
        </w:rPr>
        <w:t xml:space="preserve">129</w:t>
      </w:r>
      <w:r>
        <w:rPr>
          <w:rFonts w:ascii="Times New Roman" w:hAnsi="Times New Roman" w:cs="Times New Roman"/>
          <w:sz w:val="24"/>
          <w:sz-cs w:val="24"/>
        </w:rPr>
        <w:t xml:space="preserve">.</w:t>
      </w:r>
    </w:p>
    <w:p>
      <w:pPr>
        <w:ind w:left="720"/>
      </w:pPr>
      <w:r>
        <w:rPr>
          <w:rFonts w:ascii="Times New Roman" w:hAnsi="Times New Roman" w:cs="Times New Roman"/>
          <w:sz w:val="24"/>
          <w:sz-cs w:val="24"/>
        </w:rPr>
        <w:t xml:space="preserve">Matulčíková, M. and Breveníková, D., 2020. Creation of Personal Career Path: Basis for the Development of Educational Products of Further Education. In </w:t>
      </w:r>
      <w:r>
        <w:rPr>
          <w:rFonts w:ascii="Times New Roman" w:hAnsi="Times New Roman" w:cs="Times New Roman"/>
          <w:sz w:val="24"/>
          <w:sz-cs w:val="24"/>
          <w:i/>
        </w:rPr>
        <w:t xml:space="preserve">SHS Web of Conferences</w:t>
      </w:r>
      <w:r>
        <w:rPr>
          <w:rFonts w:ascii="Times New Roman" w:hAnsi="Times New Roman" w:cs="Times New Roman"/>
          <w:sz w:val="24"/>
          <w:sz-cs w:val="24"/>
        </w:rPr>
        <w:t xml:space="preserve"> (Vol. 83, p. 01044). EDP Sciences.</w:t>
      </w:r>
    </w:p>
    <w:p>
      <w:pPr>
        <w:ind w:left="720"/>
      </w:pPr>
      <w:r>
        <w:rPr>
          <w:rFonts w:ascii="Times New Roman" w:hAnsi="Times New Roman" w:cs="Times New Roman"/>
          <w:sz w:val="24"/>
          <w:sz-cs w:val="24"/>
        </w:rPr>
        <w:t xml:space="preserve">Niati, D.R., Siregar, Z.M.E. and Prayoga, Y., 2021. The effect of training on work performance and career development: the role of motivation as intervening variable. </w:t>
      </w:r>
      <w:r>
        <w:rPr>
          <w:rFonts w:ascii="Times New Roman" w:hAnsi="Times New Roman" w:cs="Times New Roman"/>
          <w:sz w:val="24"/>
          <w:sz-cs w:val="24"/>
          <w:i/>
        </w:rPr>
        <w:t xml:space="preserve">Budapest International Research and Critics Institute (BIRCI-Journal): Humanities and Social Sciences</w:t>
      </w:r>
      <w:r>
        <w:rPr>
          <w:rFonts w:ascii="Times New Roman" w:hAnsi="Times New Roman" w:cs="Times New Roman"/>
          <w:sz w:val="24"/>
          <w:sz-cs w:val="24"/>
        </w:rPr>
        <w:t xml:space="preserve">, </w:t>
      </w:r>
      <w:r>
        <w:rPr>
          <w:rFonts w:ascii="Times New Roman" w:hAnsi="Times New Roman" w:cs="Times New Roman"/>
          <w:sz w:val="24"/>
          <w:sz-cs w:val="24"/>
          <w:i/>
        </w:rPr>
        <w:t xml:space="preserve">4</w:t>
      </w:r>
      <w:r>
        <w:rPr>
          <w:rFonts w:ascii="Times New Roman" w:hAnsi="Times New Roman" w:cs="Times New Roman"/>
          <w:sz w:val="24"/>
          <w:sz-cs w:val="24"/>
        </w:rPr>
        <w:t xml:space="preserve">(2), pp.2385-2393.</w:t>
      </w:r>
    </w:p>
    <w:p>
      <w:pPr>
        <w:ind w:left="720"/>
      </w:pPr>
      <w:r>
        <w:rPr>
          <w:rFonts w:ascii="Times New Roman" w:hAnsi="Times New Roman" w:cs="Times New Roman"/>
          <w:sz w:val="24"/>
          <w:sz-cs w:val="24"/>
        </w:rPr>
        <w:t xml:space="preserve">Pana, M. and Kreye, M.E., 2021. Managing the global service transition: employees’ reactions and management responses. </w:t>
      </w:r>
      <w:r>
        <w:rPr>
          <w:rFonts w:ascii="Times New Roman" w:hAnsi="Times New Roman" w:cs="Times New Roman"/>
          <w:sz w:val="24"/>
          <w:sz-cs w:val="24"/>
          <w:i/>
        </w:rPr>
        <w:t xml:space="preserve">Production Planning &amp; Control</w:t>
      </w:r>
      <w:r>
        <w:rPr>
          <w:rFonts w:ascii="Times New Roman" w:hAnsi="Times New Roman" w:cs="Times New Roman"/>
          <w:sz w:val="24"/>
          <w:sz-cs w:val="24"/>
        </w:rPr>
        <w:t xml:space="preserve">, pp.1-13.</w:t>
      </w:r>
    </w:p>
    <w:p>
      <w:pPr>
        <w:ind w:left="720"/>
      </w:pPr>
      <w:r>
        <w:rPr>
          <w:rFonts w:ascii="Times New Roman" w:hAnsi="Times New Roman" w:cs="Times New Roman"/>
          <w:sz w:val="24"/>
          <w:sz-cs w:val="24"/>
        </w:rPr>
        <w:t xml:space="preserve">Parts, A.A., 2019. Career Pathways Case Study. </w:t>
      </w:r>
      <w:r>
        <w:rPr>
          <w:rFonts w:ascii="Times New Roman" w:hAnsi="Times New Roman" w:cs="Times New Roman"/>
          <w:sz w:val="24"/>
          <w:sz-cs w:val="24"/>
          <w:i/>
        </w:rPr>
        <w:t xml:space="preserve">Career Pathways: From School to Retirement</w:t>
      </w:r>
      <w:r>
        <w:rPr>
          <w:rFonts w:ascii="Times New Roman" w:hAnsi="Times New Roman" w:cs="Times New Roman"/>
          <w:sz w:val="24"/>
          <w:sz-cs w:val="24"/>
        </w:rPr>
        <w:t xml:space="preserve">, p.214.</w:t>
      </w:r>
    </w:p>
    <w:p>
      <w:pPr>
        <w:ind w:left="720"/>
      </w:pPr>
      <w:r>
        <w:rPr>
          <w:rFonts w:ascii="Times New Roman" w:hAnsi="Times New Roman" w:cs="Times New Roman"/>
          <w:sz w:val="24"/>
          <w:sz-cs w:val="24"/>
        </w:rPr>
        <w:t xml:space="preserve">Shmelev, I.M. and Petrovsky, V.A., 2021. Formalizing the use of training methods in developing a career path. </w:t>
      </w:r>
      <w:r>
        <w:rPr>
          <w:rFonts w:ascii="Times New Roman" w:hAnsi="Times New Roman" w:cs="Times New Roman"/>
          <w:sz w:val="24"/>
          <w:sz-cs w:val="24"/>
          <w:i/>
        </w:rPr>
        <w:t xml:space="preserve">Journal of Community Psychology</w:t>
      </w:r>
      <w:r>
        <w:rPr>
          <w:rFonts w:ascii="Times New Roman" w:hAnsi="Times New Roman" w:cs="Times New Roman"/>
          <w:sz w:val="24"/>
          <w:sz-cs w:val="24"/>
        </w:rPr>
        <w:t xml:space="preserve">, </w:t>
      </w:r>
      <w:r>
        <w:rPr>
          <w:rFonts w:ascii="Times New Roman" w:hAnsi="Times New Roman" w:cs="Times New Roman"/>
          <w:sz w:val="24"/>
          <w:sz-cs w:val="24"/>
          <w:i/>
        </w:rPr>
        <w:t xml:space="preserve">49</w:t>
      </w:r>
      <w:r>
        <w:rPr>
          <w:rFonts w:ascii="Times New Roman" w:hAnsi="Times New Roman" w:cs="Times New Roman"/>
          <w:sz w:val="24"/>
          <w:sz-cs w:val="24"/>
        </w:rPr>
        <w:t xml:space="preserve">(6), pp.1819-1837.</w:t>
      </w:r>
    </w:p>
    <w:p>
      <w:pPr>
        <w:ind w:left="720"/>
      </w:pPr>
      <w:r>
        <w:rPr>
          <w:rFonts w:ascii="Times New Roman" w:hAnsi="Times New Roman" w:cs="Times New Roman"/>
          <w:sz w:val="24"/>
          <w:sz-cs w:val="24"/>
        </w:rPr>
        <w:t xml:space="preserve">Thisted, C.N., Labriola, M., Vinther Nielsen, C., Kristiansen, S.T., Strøm, J. and Bjerrum, M.B., 2020. Managing employees’ depression from the employees’, co-workers’ and employers’ perspectives. An integrative review. </w:t>
      </w:r>
      <w:r>
        <w:rPr>
          <w:rFonts w:ascii="Times New Roman" w:hAnsi="Times New Roman" w:cs="Times New Roman"/>
          <w:sz w:val="24"/>
          <w:sz-cs w:val="24"/>
          <w:i/>
        </w:rPr>
        <w:t xml:space="preserve">Disability and rehabilitation</w:t>
      </w:r>
      <w:r>
        <w:rPr>
          <w:rFonts w:ascii="Times New Roman" w:hAnsi="Times New Roman" w:cs="Times New Roman"/>
          <w:sz w:val="24"/>
          <w:sz-cs w:val="24"/>
        </w:rPr>
        <w:t xml:space="preserve">, </w:t>
      </w:r>
      <w:r>
        <w:rPr>
          <w:rFonts w:ascii="Times New Roman" w:hAnsi="Times New Roman" w:cs="Times New Roman"/>
          <w:sz w:val="24"/>
          <w:sz-cs w:val="24"/>
          <w:i/>
        </w:rPr>
        <w:t xml:space="preserve">42</w:t>
      </w:r>
      <w:r>
        <w:rPr>
          <w:rFonts w:ascii="Times New Roman" w:hAnsi="Times New Roman" w:cs="Times New Roman"/>
          <w:sz w:val="24"/>
          <w:sz-cs w:val="24"/>
        </w:rPr>
        <w:t xml:space="preserve">(4), pp.445-459.</w:t>
      </w:r>
    </w:p>
    <w:sectPr>
      <w:pgSz w:w="12240" w:h="15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Mohsin Riaz</dc:creator>
</cp:coreProperties>
</file>

<file path=docProps/meta.xml><?xml version="1.0" encoding="utf-8"?>
<meta xmlns="http://schemas.apple.com/cocoa/2006/metadata">
  <generator>CocoaOOXMLWriter/1894.7</generator>
</meta>
</file>