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702B9" w14:textId="34220C87" w:rsidR="00417C7A" w:rsidRDefault="01BF5424" w:rsidP="650DA006">
      <w:pPr>
        <w:shd w:val="clear" w:color="auto" w:fill="FFFFFF" w:themeFill="background1"/>
        <w:spacing w:after="150"/>
        <w:jc w:val="center"/>
        <w:rPr>
          <w:rFonts w:ascii="Aptos" w:eastAsia="Aptos" w:hAnsi="Aptos" w:cs="Aptos"/>
          <w:color w:val="000000" w:themeColor="text1"/>
        </w:rPr>
      </w:pPr>
      <w:r>
        <w:rPr>
          <w:noProof/>
        </w:rPr>
        <w:drawing>
          <wp:inline distT="0" distB="0" distL="0" distR="0" wp14:anchorId="6C7AFA63" wp14:editId="55B42FD7">
            <wp:extent cx="2809875" cy="1123950"/>
            <wp:effectExtent l="0" t="0" r="0" b="0"/>
            <wp:docPr id="1688682339" name="drawing">
              <a:extLst xmlns:a="http://schemas.openxmlformats.org/drawingml/2006/main">
                <a:ext uri="{FF2B5EF4-FFF2-40B4-BE49-F238E27FC236}">
                  <a16:creationId xmlns:a16="http://schemas.microsoft.com/office/drawing/2014/main" id="{B069E715-CFE1-4962-A030-C63199D0D7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82339" name=""/>
                    <pic:cNvPicPr/>
                  </pic:nvPicPr>
                  <pic:blipFill>
                    <a:blip r:embed="rId5">
                      <a:extLst>
                        <a:ext uri="{28A0092B-C50C-407E-A947-70E740481C1C}">
                          <a14:useLocalDpi xmlns:a14="http://schemas.microsoft.com/office/drawing/2010/main" val="0"/>
                        </a:ext>
                      </a:extLst>
                    </a:blip>
                    <a:stretch>
                      <a:fillRect/>
                    </a:stretch>
                  </pic:blipFill>
                  <pic:spPr>
                    <a:xfrm>
                      <a:off x="0" y="0"/>
                      <a:ext cx="2809875" cy="1123950"/>
                    </a:xfrm>
                    <a:prstGeom prst="rect">
                      <a:avLst/>
                    </a:prstGeom>
                  </pic:spPr>
                </pic:pic>
              </a:graphicData>
            </a:graphic>
          </wp:inline>
        </w:drawing>
      </w:r>
    </w:p>
    <w:p w14:paraId="05F39B55" w14:textId="24AAD6B9" w:rsidR="00417C7A" w:rsidRDefault="00417C7A" w:rsidP="650DA006">
      <w:pPr>
        <w:shd w:val="clear" w:color="auto" w:fill="FFFFFF" w:themeFill="background1"/>
        <w:spacing w:after="150"/>
        <w:jc w:val="center"/>
        <w:rPr>
          <w:rFonts w:ascii="Arial" w:eastAsia="Arial" w:hAnsi="Arial" w:cs="Arial"/>
          <w:color w:val="000000" w:themeColor="text1"/>
          <w:sz w:val="28"/>
          <w:szCs w:val="28"/>
        </w:rPr>
      </w:pPr>
    </w:p>
    <w:p w14:paraId="795D3AC3" w14:textId="2A4429A3" w:rsidR="00417C7A" w:rsidRDefault="00417C7A" w:rsidP="650DA006">
      <w:pPr>
        <w:shd w:val="clear" w:color="auto" w:fill="FFFFFF" w:themeFill="background1"/>
        <w:spacing w:after="150"/>
        <w:jc w:val="center"/>
        <w:rPr>
          <w:rFonts w:ascii="Arial" w:eastAsia="Arial" w:hAnsi="Arial" w:cs="Arial"/>
          <w:color w:val="000000" w:themeColor="text1"/>
          <w:sz w:val="28"/>
          <w:szCs w:val="28"/>
        </w:rPr>
      </w:pPr>
    </w:p>
    <w:p w14:paraId="151EFF4D" w14:textId="400AF423" w:rsidR="00417C7A" w:rsidRDefault="00417C7A" w:rsidP="650DA006">
      <w:pPr>
        <w:shd w:val="clear" w:color="auto" w:fill="FFFFFF" w:themeFill="background1"/>
        <w:spacing w:after="150"/>
        <w:jc w:val="center"/>
        <w:rPr>
          <w:rFonts w:ascii="Arial" w:eastAsia="Arial" w:hAnsi="Arial" w:cs="Arial"/>
          <w:color w:val="000000" w:themeColor="text1"/>
          <w:sz w:val="28"/>
          <w:szCs w:val="28"/>
        </w:rPr>
      </w:pPr>
    </w:p>
    <w:p w14:paraId="547F9FC1" w14:textId="13B91499" w:rsidR="00417C7A" w:rsidRDefault="01BF5424" w:rsidP="650DA006">
      <w:pPr>
        <w:shd w:val="clear" w:color="auto" w:fill="FFFFFF" w:themeFill="background1"/>
        <w:spacing w:after="150"/>
        <w:jc w:val="center"/>
        <w:rPr>
          <w:rFonts w:ascii="Arial" w:eastAsia="Arial" w:hAnsi="Arial" w:cs="Arial"/>
          <w:color w:val="000000" w:themeColor="text1"/>
          <w:sz w:val="28"/>
          <w:szCs w:val="28"/>
        </w:rPr>
      </w:pPr>
      <w:r w:rsidRPr="650DA006">
        <w:rPr>
          <w:rFonts w:ascii="Arial" w:eastAsia="Arial" w:hAnsi="Arial" w:cs="Arial"/>
          <w:b/>
          <w:bCs/>
          <w:color w:val="000000" w:themeColor="text1"/>
          <w:sz w:val="28"/>
          <w:szCs w:val="28"/>
        </w:rPr>
        <w:t>Certificate of higher education in employability skills</w:t>
      </w:r>
    </w:p>
    <w:p w14:paraId="0490A6D3" w14:textId="6F54D7A1" w:rsidR="00417C7A" w:rsidRDefault="01BF5424" w:rsidP="650DA006">
      <w:pPr>
        <w:shd w:val="clear" w:color="auto" w:fill="FFFFFF" w:themeFill="background1"/>
        <w:spacing w:after="150"/>
        <w:jc w:val="center"/>
        <w:rPr>
          <w:rFonts w:ascii="Arial" w:eastAsia="Arial" w:hAnsi="Arial" w:cs="Arial"/>
          <w:b/>
          <w:bCs/>
          <w:color w:val="000000" w:themeColor="text1"/>
          <w:sz w:val="28"/>
          <w:szCs w:val="28"/>
        </w:rPr>
      </w:pPr>
      <w:r w:rsidRPr="650DA006">
        <w:rPr>
          <w:rFonts w:ascii="Arial" w:eastAsia="Arial" w:hAnsi="Arial" w:cs="Arial"/>
          <w:b/>
          <w:bCs/>
          <w:color w:val="000000" w:themeColor="text1"/>
          <w:sz w:val="28"/>
          <w:szCs w:val="28"/>
        </w:rPr>
        <w:t xml:space="preserve">Module: </w:t>
      </w:r>
      <w:r w:rsidR="105B2290" w:rsidRPr="650DA006">
        <w:rPr>
          <w:rFonts w:ascii="Arial" w:eastAsia="Arial" w:hAnsi="Arial" w:cs="Arial"/>
          <w:b/>
          <w:bCs/>
          <w:color w:val="000000" w:themeColor="text1"/>
          <w:sz w:val="28"/>
          <w:szCs w:val="28"/>
        </w:rPr>
        <w:t>PROFESSIONAL CAREER DEVELOPMENT</w:t>
      </w:r>
    </w:p>
    <w:p w14:paraId="510B7A89" w14:textId="400A69E7" w:rsidR="00417C7A" w:rsidRDefault="105B2290" w:rsidP="650DA006">
      <w:pPr>
        <w:shd w:val="clear" w:color="auto" w:fill="FFFFFF" w:themeFill="background1"/>
        <w:spacing w:after="150"/>
        <w:jc w:val="center"/>
        <w:rPr>
          <w:rFonts w:ascii="Arial" w:eastAsia="Arial" w:hAnsi="Arial" w:cs="Arial"/>
          <w:b/>
          <w:bCs/>
          <w:color w:val="000000" w:themeColor="text1"/>
          <w:sz w:val="28"/>
          <w:szCs w:val="28"/>
        </w:rPr>
      </w:pPr>
      <w:r w:rsidRPr="650DA006">
        <w:rPr>
          <w:rFonts w:ascii="Arial" w:eastAsia="Arial" w:hAnsi="Arial" w:cs="Arial"/>
          <w:b/>
          <w:bCs/>
          <w:color w:val="000000" w:themeColor="text1"/>
          <w:sz w:val="28"/>
          <w:szCs w:val="28"/>
        </w:rPr>
        <w:t>(BMSW4012)</w:t>
      </w:r>
    </w:p>
    <w:p w14:paraId="1D86E48E" w14:textId="52265E91" w:rsidR="00417C7A" w:rsidRDefault="105B2290" w:rsidP="650DA006">
      <w:pPr>
        <w:shd w:val="clear" w:color="auto" w:fill="FFFFFF" w:themeFill="background1"/>
        <w:spacing w:after="150"/>
        <w:jc w:val="center"/>
        <w:rPr>
          <w:rFonts w:ascii="Arial" w:eastAsia="Arial" w:hAnsi="Arial" w:cs="Arial"/>
          <w:b/>
          <w:bCs/>
          <w:color w:val="000000" w:themeColor="text1"/>
          <w:sz w:val="28"/>
          <w:szCs w:val="28"/>
        </w:rPr>
      </w:pPr>
      <w:r w:rsidRPr="650DA006">
        <w:rPr>
          <w:rFonts w:ascii="Arial" w:eastAsia="Arial" w:hAnsi="Arial" w:cs="Arial"/>
          <w:b/>
          <w:bCs/>
          <w:color w:val="000000" w:themeColor="text1"/>
          <w:sz w:val="28"/>
          <w:szCs w:val="28"/>
        </w:rPr>
        <w:t>TI</w:t>
      </w:r>
      <w:r w:rsidR="01BF5424" w:rsidRPr="650DA006">
        <w:rPr>
          <w:rFonts w:ascii="Arial" w:eastAsia="Arial" w:hAnsi="Arial" w:cs="Arial"/>
          <w:b/>
          <w:bCs/>
          <w:color w:val="000000" w:themeColor="text1"/>
          <w:sz w:val="28"/>
          <w:szCs w:val="28"/>
        </w:rPr>
        <w:t xml:space="preserve">TLE: </w:t>
      </w:r>
      <w:r w:rsidR="0D576473" w:rsidRPr="650DA006">
        <w:rPr>
          <w:rFonts w:ascii="Arial" w:eastAsia="Arial" w:hAnsi="Arial" w:cs="Arial"/>
          <w:b/>
          <w:bCs/>
          <w:color w:val="000000" w:themeColor="text1"/>
          <w:sz w:val="28"/>
          <w:szCs w:val="28"/>
        </w:rPr>
        <w:t>PROFESSIONAL CAREER DEVELOPMENT REFLECTIVE ESSAY.</w:t>
      </w:r>
    </w:p>
    <w:p w14:paraId="6E1F5438" w14:textId="5F3E13F9" w:rsidR="00417C7A" w:rsidRDefault="01BF5424" w:rsidP="650DA006">
      <w:pPr>
        <w:shd w:val="clear" w:color="auto" w:fill="FFFFFF" w:themeFill="background1"/>
        <w:spacing w:after="150"/>
        <w:jc w:val="center"/>
        <w:rPr>
          <w:rFonts w:ascii="Arial" w:eastAsia="Arial" w:hAnsi="Arial" w:cs="Arial"/>
          <w:b/>
          <w:bCs/>
          <w:color w:val="000000" w:themeColor="text1"/>
          <w:sz w:val="28"/>
          <w:szCs w:val="28"/>
        </w:rPr>
      </w:pPr>
      <w:r w:rsidRPr="650DA006">
        <w:rPr>
          <w:rFonts w:ascii="Arial" w:eastAsia="Arial" w:hAnsi="Arial" w:cs="Arial"/>
          <w:b/>
          <w:bCs/>
          <w:color w:val="000000" w:themeColor="text1"/>
          <w:sz w:val="28"/>
          <w:szCs w:val="28"/>
        </w:rPr>
        <w:t xml:space="preserve">Module Lead: </w:t>
      </w:r>
      <w:r w:rsidR="6AFA5DCE" w:rsidRPr="650DA006">
        <w:rPr>
          <w:rFonts w:ascii="Arial" w:eastAsia="Arial" w:hAnsi="Arial" w:cs="Arial"/>
          <w:b/>
          <w:bCs/>
          <w:color w:val="000000" w:themeColor="text1"/>
          <w:sz w:val="28"/>
          <w:szCs w:val="28"/>
        </w:rPr>
        <w:t>Mohammad</w:t>
      </w:r>
      <w:r w:rsidR="438E0AAA" w:rsidRPr="650DA006">
        <w:rPr>
          <w:rFonts w:ascii="Arial" w:eastAsia="Arial" w:hAnsi="Arial" w:cs="Arial"/>
          <w:b/>
          <w:bCs/>
          <w:color w:val="000000" w:themeColor="text1"/>
          <w:sz w:val="28"/>
          <w:szCs w:val="28"/>
        </w:rPr>
        <w:t xml:space="preserve"> Cassamo</w:t>
      </w:r>
    </w:p>
    <w:p w14:paraId="5431DF5C" w14:textId="3C7FFB3E" w:rsidR="00417C7A" w:rsidRDefault="01BF5424" w:rsidP="650DA006">
      <w:pPr>
        <w:shd w:val="clear" w:color="auto" w:fill="FFFFFF" w:themeFill="background1"/>
        <w:spacing w:after="150"/>
        <w:jc w:val="center"/>
        <w:rPr>
          <w:rFonts w:ascii="Arial" w:eastAsia="Arial" w:hAnsi="Arial" w:cs="Arial"/>
          <w:color w:val="000000" w:themeColor="text1"/>
          <w:sz w:val="28"/>
          <w:szCs w:val="28"/>
        </w:rPr>
      </w:pPr>
      <w:r w:rsidRPr="650DA006">
        <w:rPr>
          <w:rFonts w:ascii="Arial" w:eastAsia="Arial" w:hAnsi="Arial" w:cs="Arial"/>
          <w:b/>
          <w:bCs/>
          <w:color w:val="000000" w:themeColor="text1"/>
          <w:sz w:val="28"/>
          <w:szCs w:val="28"/>
        </w:rPr>
        <w:t>STUDENT NUMBER:2432847</w:t>
      </w:r>
    </w:p>
    <w:p w14:paraId="009B7E4C" w14:textId="00C1487D" w:rsidR="00417C7A" w:rsidRDefault="01BF5424" w:rsidP="650DA006">
      <w:pPr>
        <w:shd w:val="clear" w:color="auto" w:fill="FFFFFF" w:themeFill="background1"/>
        <w:spacing w:after="150"/>
        <w:jc w:val="center"/>
        <w:rPr>
          <w:rFonts w:ascii="Arial" w:eastAsia="Arial" w:hAnsi="Arial" w:cs="Arial"/>
          <w:color w:val="000000" w:themeColor="text1"/>
          <w:sz w:val="28"/>
          <w:szCs w:val="28"/>
        </w:rPr>
      </w:pPr>
      <w:r w:rsidRPr="650DA006">
        <w:rPr>
          <w:rFonts w:ascii="Arial" w:eastAsia="Arial" w:hAnsi="Arial" w:cs="Arial"/>
          <w:b/>
          <w:bCs/>
          <w:color w:val="000000" w:themeColor="text1"/>
          <w:sz w:val="28"/>
          <w:szCs w:val="28"/>
        </w:rPr>
        <w:t xml:space="preserve">EMAIL: </w:t>
      </w:r>
      <w:hyperlink r:id="rId6">
        <w:r w:rsidRPr="650DA006">
          <w:rPr>
            <w:rStyle w:val="Hyperlink"/>
            <w:rFonts w:ascii="Arial" w:eastAsia="Arial" w:hAnsi="Arial" w:cs="Arial"/>
            <w:b/>
            <w:bCs/>
            <w:sz w:val="28"/>
            <w:szCs w:val="28"/>
          </w:rPr>
          <w:t>2432847@student.uwtsd.ac.uk</w:t>
        </w:r>
      </w:hyperlink>
      <w:r w:rsidRPr="650DA006">
        <w:rPr>
          <w:rFonts w:ascii="Arial" w:eastAsia="Arial" w:hAnsi="Arial" w:cs="Arial"/>
          <w:b/>
          <w:bCs/>
          <w:color w:val="000000" w:themeColor="text1"/>
          <w:sz w:val="28"/>
          <w:szCs w:val="28"/>
        </w:rPr>
        <w:t>.</w:t>
      </w:r>
    </w:p>
    <w:p w14:paraId="36484CAD" w14:textId="0B73A49D" w:rsidR="00417C7A" w:rsidRDefault="00417C7A" w:rsidP="650DA006">
      <w:pPr>
        <w:rPr>
          <w:rFonts w:ascii="Aptos" w:eastAsia="Aptos" w:hAnsi="Aptos" w:cs="Aptos"/>
          <w:color w:val="000000" w:themeColor="text1"/>
        </w:rPr>
      </w:pPr>
    </w:p>
    <w:p w14:paraId="703B9F3A" w14:textId="07C0C31C" w:rsidR="00417C7A" w:rsidRDefault="00417C7A" w:rsidP="650DA006">
      <w:pPr>
        <w:rPr>
          <w:rFonts w:ascii="Aptos" w:eastAsia="Aptos" w:hAnsi="Aptos" w:cs="Aptos"/>
          <w:color w:val="000000" w:themeColor="text1"/>
        </w:rPr>
      </w:pPr>
    </w:p>
    <w:p w14:paraId="4EB64025" w14:textId="2BD064EF" w:rsidR="00417C7A" w:rsidRDefault="00417C7A" w:rsidP="650DA006">
      <w:pPr>
        <w:rPr>
          <w:rFonts w:ascii="Aptos" w:eastAsia="Aptos" w:hAnsi="Aptos" w:cs="Aptos"/>
          <w:color w:val="000000" w:themeColor="text1"/>
        </w:rPr>
      </w:pPr>
    </w:p>
    <w:p w14:paraId="46936A81" w14:textId="68689B4A" w:rsidR="00417C7A" w:rsidRDefault="00417C7A" w:rsidP="650DA006">
      <w:pPr>
        <w:rPr>
          <w:rFonts w:ascii="Aptos" w:eastAsia="Aptos" w:hAnsi="Aptos" w:cs="Aptos"/>
          <w:color w:val="000000" w:themeColor="text1"/>
        </w:rPr>
      </w:pPr>
    </w:p>
    <w:p w14:paraId="5FB20DFF" w14:textId="4AEE99EC" w:rsidR="00417C7A" w:rsidRDefault="00417C7A" w:rsidP="650DA006">
      <w:pPr>
        <w:rPr>
          <w:rFonts w:ascii="Aptos" w:eastAsia="Aptos" w:hAnsi="Aptos" w:cs="Aptos"/>
          <w:color w:val="000000" w:themeColor="text1"/>
        </w:rPr>
      </w:pPr>
    </w:p>
    <w:p w14:paraId="01DC6311" w14:textId="771F76FB" w:rsidR="00417C7A" w:rsidRDefault="00417C7A" w:rsidP="650DA006">
      <w:pPr>
        <w:rPr>
          <w:rFonts w:ascii="Aptos" w:eastAsia="Aptos" w:hAnsi="Aptos" w:cs="Aptos"/>
          <w:color w:val="000000" w:themeColor="text1"/>
        </w:rPr>
      </w:pPr>
    </w:p>
    <w:p w14:paraId="428223B3" w14:textId="7CE2754F" w:rsidR="00417C7A" w:rsidRDefault="00417C7A" w:rsidP="650DA006">
      <w:pPr>
        <w:rPr>
          <w:rFonts w:ascii="Aptos" w:eastAsia="Aptos" w:hAnsi="Aptos" w:cs="Aptos"/>
          <w:color w:val="000000" w:themeColor="text1"/>
        </w:rPr>
      </w:pPr>
    </w:p>
    <w:p w14:paraId="3AB17011" w14:textId="7D8175AF" w:rsidR="00417C7A" w:rsidRDefault="00417C7A" w:rsidP="650DA006">
      <w:pPr>
        <w:rPr>
          <w:rFonts w:ascii="Aptos" w:eastAsia="Aptos" w:hAnsi="Aptos" w:cs="Aptos"/>
          <w:color w:val="000000" w:themeColor="text1"/>
        </w:rPr>
      </w:pPr>
    </w:p>
    <w:p w14:paraId="4CD48C89" w14:textId="07CA20A6" w:rsidR="00417C7A" w:rsidRDefault="00417C7A" w:rsidP="650DA006">
      <w:pPr>
        <w:rPr>
          <w:rFonts w:ascii="Aptos" w:eastAsia="Aptos" w:hAnsi="Aptos" w:cs="Aptos"/>
          <w:color w:val="000000" w:themeColor="text1"/>
        </w:rPr>
      </w:pPr>
    </w:p>
    <w:p w14:paraId="7E636D9F" w14:textId="716CFA22" w:rsidR="00417C7A" w:rsidRDefault="00417C7A" w:rsidP="650DA006">
      <w:pPr>
        <w:rPr>
          <w:rFonts w:ascii="Aptos" w:eastAsia="Aptos" w:hAnsi="Aptos" w:cs="Aptos"/>
          <w:color w:val="000000" w:themeColor="text1"/>
        </w:rPr>
      </w:pPr>
    </w:p>
    <w:p w14:paraId="401C124F" w14:textId="3D27747E" w:rsidR="00417C7A" w:rsidRDefault="00417C7A" w:rsidP="650DA006">
      <w:pPr>
        <w:rPr>
          <w:rFonts w:ascii="Aptos" w:eastAsia="Aptos" w:hAnsi="Aptos" w:cs="Aptos"/>
          <w:color w:val="000000" w:themeColor="text1"/>
        </w:rPr>
      </w:pPr>
    </w:p>
    <w:p w14:paraId="098BE464" w14:textId="3CAFD1C1"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Introduction</w:t>
      </w:r>
    </w:p>
    <w:p w14:paraId="6C78EAD7" w14:textId="26FF0567"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Professional growth never ends, and it involves us looking within, being prepared to change and actively seeking personal growth. "The Professional Career Development lectures provided me with inspiration and access to an abundance of ideas, models, and strategies that have helped me develop new perspectives on the future employment market while improving my employability. Reflection is a fundamental aspect of learning, enabling people to put their experience into context and in turn assimilate new knowledge with their professional identity (Cottrell, 2021). I will use Rolfe’s Reflective Cycle (2001) to guide my reflection; it seeks to explore three main questions: What? So What? Now What? This model encourages me to make sense of my experience and analyze how it contributes meaning to the process after the fact, and to then plan for future action.</w:t>
      </w:r>
    </w:p>
    <w:p w14:paraId="69F2A7E7" w14:textId="2BA08F3F"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In the following essay I will critically evaluate the learning gained from my attendance and participation in the lectures with reference to career planning, employability, self-awareness, and lifelong learning. I will also describe the models that I would like to utilize for optimum practice in my future career. </w:t>
      </w:r>
    </w:p>
    <w:p w14:paraId="1F316EF6" w14:textId="24AA82CE"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What?</w:t>
      </w:r>
    </w:p>
    <w:p w14:paraId="003D7CBD" w14:textId="7A2AF439"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PCD lectures gave me theoretical but also practical advice of how to manage the labyrinth of the working world. Sessions included content on self-awareness, transferable skills, networking, employability, personal branding and career planning. I thought that the focus would be very much on RESUME writing and in preparation for interview, but I soon discovered the focus goes much wider than that and is based around personal development. </w:t>
      </w:r>
    </w:p>
    <w:p w14:paraId="6C5ABBCC" w14:textId="1C004899"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Another key element in the sessions was to learn about career development models and how they can help make decisions. Robertson, Hooley &amp; McCash (2020) reviewed a few career theories, including the notion that careers are no longer linear and are instead characterized by adaptability and resilience to labor market uncertainty. It shook my past belief that success was solely based on credentials and a formulated career path.</w:t>
      </w:r>
    </w:p>
    <w:p w14:paraId="33290FE4" w14:textId="74F2FF1A"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The lectures also focused on self-reflection and self-assessment tools and allowed me to consider my strengths, weaknesses, values, and long-term goals. I developed exercises that reflected my transferable skills – communication, collaboration, problem-solving skills and which turns out, are highly desirable in professions of all kinds (Gallagher, 2022).</w:t>
      </w:r>
    </w:p>
    <w:p w14:paraId="2223D0B2" w14:textId="2A218EB8" w:rsidR="00417C7A" w:rsidRDefault="00417C7A" w:rsidP="650DA006">
      <w:pPr>
        <w:rPr>
          <w:rFonts w:ascii="Aptos" w:eastAsia="Aptos" w:hAnsi="Aptos" w:cs="Aptos"/>
          <w:color w:val="000000" w:themeColor="text1"/>
        </w:rPr>
      </w:pPr>
    </w:p>
    <w:p w14:paraId="2A978DEB" w14:textId="6EA1CF8B" w:rsidR="00417C7A" w:rsidRDefault="00417C7A" w:rsidP="650DA006">
      <w:pPr>
        <w:rPr>
          <w:rFonts w:ascii="Aptos" w:eastAsia="Aptos" w:hAnsi="Aptos" w:cs="Aptos"/>
          <w:color w:val="000000" w:themeColor="text1"/>
        </w:rPr>
      </w:pPr>
    </w:p>
    <w:p w14:paraId="42CD44D5" w14:textId="40367B0B"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The courses also covered methods for combating obstacles like imposter syndrome, time management, and having a growth mindset (Dweck, 2017). I could also practice personable networking by way of lectures and seminars and receive advice on the process from the perspective of personal development through group talks and events?</w:t>
      </w:r>
    </w:p>
    <w:p w14:paraId="69B72F8D" w14:textId="794296AF"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So What?</w:t>
      </w:r>
    </w:p>
    <w:p w14:paraId="1D320D37" w14:textId="2672532D"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Looking back, there is no doubt that these lectures have shaped my perception of what professional development is and my own career identity.</w:t>
      </w:r>
    </w:p>
    <w:p w14:paraId="644E51E6" w14:textId="11E91F1A"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1. Self-awareness and employability</w:t>
      </w:r>
    </w:p>
    <w:p w14:paraId="2BFE398F" w14:textId="69A92A11"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If I had to choose one, I think the best outcome, was I think I now know myself better. Personal development starts with the reflection of your aptitude and values (Cottrell 2019). Through the self-assessment activities, I reflected on both my strengths, in terms of communication and flexibility, as well as areas needing personal growth, particularly assertiveness in the workplace. This self-awareness is important in the era of employability; employers are increasingly looking for employees that can think about their learning, adapt and take ownership (Smale, 2015).</w:t>
      </w:r>
    </w:p>
    <w:p w14:paraId="3CFEC308" w14:textId="2526C532"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2. Career development models</w:t>
      </w:r>
    </w:p>
    <w:p w14:paraId="37421B8F" w14:textId="3A91E984"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Career development theories gave me frameworks for understanding my choices. For instance, according to Robertson, careers depend on personal agency and various external factors, so flexibility is the key. It allowed me to think of uncertainty as an opportunity for development, not a threat. By applying such models as the Planned Happenstance Theory, I understood that structured goals are meaningless if I am not open to new opportunities. It made me realize that chance plays a significant role in careers and that using it can be as efficient as planning my actions. </w:t>
      </w:r>
    </w:p>
    <w:p w14:paraId="256E7214" w14:textId="1E4C2C87"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3. The growth mindset and resilience</w:t>
      </w:r>
    </w:p>
    <w:p w14:paraId="5B4E5B86" w14:textId="7B84A799"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One of the most substantial changes was thinking of a growth mindset, according to Dweck. It allowed me to frame any setbacks and barriers as learning opportunities rather than a sign of my lack of abilities. This mindset is important considering the unpredictable job market, where resilience and quick adaptability are the top skills. It also made me understand that learning continuously is not a drawback and career identity is something that changes over time. </w:t>
      </w:r>
    </w:p>
    <w:p w14:paraId="0AF309BC" w14:textId="2CDC1D91"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w:t>
      </w:r>
    </w:p>
    <w:p w14:paraId="3CC96884" w14:textId="230F97D3" w:rsidR="00417C7A" w:rsidRDefault="00417C7A" w:rsidP="650DA006">
      <w:pPr>
        <w:rPr>
          <w:rFonts w:ascii="Aptos" w:eastAsia="Aptos" w:hAnsi="Aptos" w:cs="Aptos"/>
          <w:color w:val="000000" w:themeColor="text1"/>
        </w:rPr>
      </w:pPr>
    </w:p>
    <w:p w14:paraId="132849E1" w14:textId="49C1A9DD" w:rsidR="00417C7A" w:rsidRDefault="00417C7A" w:rsidP="650DA006">
      <w:pPr>
        <w:rPr>
          <w:rFonts w:ascii="Aptos" w:eastAsia="Aptos" w:hAnsi="Aptos" w:cs="Aptos"/>
          <w:color w:val="000000" w:themeColor="text1"/>
        </w:rPr>
      </w:pPr>
    </w:p>
    <w:p w14:paraId="67DED27E" w14:textId="7495D79D"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4. Transferable skills and lifelong learning</w:t>
      </w:r>
    </w:p>
    <w:p w14:paraId="2C31C92B" w14:textId="15CFEE6B"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The lectures only reinforced the use of transferable skills such as communications, problem-solving, and critical, that will be essential for any job. Moreover, lifelong learning is viewed as vital to any task and will allow me to work in various types of organizations. Cottrell states that employability calls for the usage of knowledge and skills across contexts.</w:t>
      </w:r>
    </w:p>
    <w:p w14:paraId="224A61B1" w14:textId="4CEE5434"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5. Challenges and personal insights</w:t>
      </w:r>
    </w:p>
    <w:p w14:paraId="36D71A35" w14:textId="081A6C35"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Although the classes were good in general pursuits, there was also a downside. I noticed that I occasionally found it challenging to manage my time and decide on priorities, especially while juggling homework with a part-time job. Smale (2015) says it is a normal challenge – one which can be circumvented by taking a planned approach and by employing devices like SMART goals. It was also a struggle to not question myself when out networking. But as I recalled these memories, I saw how confidence work and practice did mean something.</w:t>
      </w:r>
    </w:p>
    <w:p w14:paraId="44F07EF2" w14:textId="5DD04A53"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In general, my focus will be that professional development, and learning isn't something we "do" once; we do it all our life as a cycle of reflection, learning, and adjustment.</w:t>
      </w:r>
    </w:p>
    <w:p w14:paraId="56C7924E" w14:textId="51D9D936"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Now What?</w:t>
      </w:r>
    </w:p>
    <w:p w14:paraId="0B33C51B" w14:textId="5AC8EB2B"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On the other hand, in the future I must be ready to use what I have learned (theoretical and models) to help me to act towards my career.</w:t>
      </w:r>
    </w:p>
    <w:p w14:paraId="314D3AC4" w14:textId="47C4CE39"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w:t>
      </w:r>
    </w:p>
    <w:p w14:paraId="15AB374D" w14:textId="497A3E9D"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1. Structured goal setting</w:t>
      </w:r>
    </w:p>
    <w:p w14:paraId="25D7F5A1" w14:textId="25856573"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Smart As a framework for setting my personal and career goals I will set SMART goals (Specific, Measurable, Achievable, Relevant, and Time-bound) (Cottrell, 2019). For instance, I will aim to go to two networking commitments in the next semester (short-term goal) and get an internship in my field within the year (medium-term goal). As a framework, it will help me to be accountable and record progress.</w:t>
      </w:r>
    </w:p>
    <w:p w14:paraId="7A1334CC" w14:textId="1F952EEA"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2. Continuous reflection</w:t>
      </w:r>
    </w:p>
    <w:p w14:paraId="27C5D579" w14:textId="3BF45970"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As an ongoing tool to monitor the experiences in my academic as well as professional life, I will use Rolfe Reflective Cycle (Rolfe, 2001). By regularly asking What? So What? Now What? then I can at least make sure I don't simply pass through experiences but take notes and plan better next time.</w:t>
      </w:r>
    </w:p>
    <w:p w14:paraId="0FC1280B" w14:textId="1A084B8D" w:rsidR="00417C7A" w:rsidRDefault="00417C7A" w:rsidP="650DA006">
      <w:pPr>
        <w:rPr>
          <w:rFonts w:ascii="Aptos" w:eastAsia="Aptos" w:hAnsi="Aptos" w:cs="Aptos"/>
          <w:color w:val="000000" w:themeColor="text1"/>
        </w:rPr>
      </w:pPr>
    </w:p>
    <w:p w14:paraId="15D936BD" w14:textId="700A1B85" w:rsidR="00417C7A" w:rsidRDefault="00417C7A" w:rsidP="650DA006">
      <w:pPr>
        <w:rPr>
          <w:rFonts w:ascii="Aptos" w:eastAsia="Aptos" w:hAnsi="Aptos" w:cs="Aptos"/>
          <w:color w:val="000000" w:themeColor="text1"/>
        </w:rPr>
      </w:pPr>
    </w:p>
    <w:p w14:paraId="2E97EA8A" w14:textId="268BA57E" w:rsidR="00417C7A" w:rsidRDefault="00417C7A" w:rsidP="650DA006">
      <w:pPr>
        <w:rPr>
          <w:rFonts w:ascii="Aptos" w:eastAsia="Aptos" w:hAnsi="Aptos" w:cs="Aptos"/>
          <w:color w:val="000000" w:themeColor="text1"/>
        </w:rPr>
      </w:pPr>
    </w:p>
    <w:p w14:paraId="7A23B7EE" w14:textId="08E95AAC"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3. Embracing adaptability</w:t>
      </w:r>
    </w:p>
    <w:p w14:paraId="402D0261" w14:textId="77C52731"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The lectures drove home that career progression is seldom a straight line (Robertson et al., 2020). So, I will develop adaptability by remaining open to things that are different than what I anticipated. This includes building resilience, which means accepting setbacks as part of development.</w:t>
      </w:r>
    </w:p>
    <w:p w14:paraId="5000CB6C" w14:textId="35F49F5C"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4. Networking and personal branding</w:t>
      </w:r>
    </w:p>
    <w:p w14:paraId="59DD3E09" w14:textId="097F0AE1"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Additionally, I will work on my professional networks (both in person and online). Gallagher (2022) emphasizes that initial job hunting is also about networking, and I will improve my LinkedIn profile, join professional forums, and find a mentor. That way, I can reinforce my personal brand and make myself more visible in the job market. Here i can see the employers and contact them directly. Other way they can also contact me through my profile when they view my CV uploaded. I can expect more opportunities through LinkedIn and can also explore wide markets.</w:t>
      </w:r>
    </w:p>
    <w:p w14:paraId="5A626BBC" w14:textId="561D1D3D"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5. Lifelong learning and mindset</w:t>
      </w:r>
    </w:p>
    <w:p w14:paraId="06BDD870" w14:textId="2D749E39"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I also seek to integrate a growth mindset into my professional development practices (Dweck, 2017)Push Buttoned Learning The push for learning to release learning. That means being open to its challenges, asking for feedback and updating my skills. I will also be working through texts such as The Study Skills Handbook (Cottrell, 2019) to help facilitate ongoing self-development.</w:t>
      </w:r>
    </w:p>
    <w:p w14:paraId="151802C8" w14:textId="4D215305"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"When I look at reflective practice, structured planning, and a willingness to grow, I know that I will be able to get to work towards the things I want in the future."</w:t>
      </w:r>
    </w:p>
    <w:p w14:paraId="099E2C9B" w14:textId="5DAFF4F8"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Conclusion</w:t>
      </w:r>
    </w:p>
    <w:p w14:paraId="6D158C8D" w14:textId="35A1E678"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The application of Rolfe’s Reflective Cycle to the Professional Career Development seminars has helped enrich my awareness of the body of knowledge, and skill set, I will require in my future career. Through the What? stage, I discussed implementing theories, self-assessment, and skill building in my coursework. The So What? stage enabled me to reflect on the significance of these experiences, drawing out themes of self-awareness, resilience and employability Content A reflection-based review PIE stages were revisited on a stage-by-stage basis to critically explore and analyse their impact on the student experience. Finally, in the Now What? stage, I mapped out tools and models (SMART goals, network techniques and growth mindset mindset) to fuel my professional growth.</w:t>
      </w:r>
    </w:p>
    <w:p w14:paraId="08B14B8E" w14:textId="693F72FD"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At the end of the day, I’ve realized that career advancement is an iterative, introspective process, one that calls for adapting to new situations and cultivating a spirit of lifelong learning. Having incorporated reflective practice and evidence-informed models, I feel that I am ready to tackle my professional future.</w:t>
      </w:r>
    </w:p>
    <w:p w14:paraId="0739E26B" w14:textId="5BAFA2B4" w:rsidR="00417C7A" w:rsidRDefault="00417C7A" w:rsidP="650DA006">
      <w:pPr>
        <w:rPr>
          <w:rFonts w:ascii="Aptos" w:eastAsia="Aptos" w:hAnsi="Aptos" w:cs="Aptos"/>
          <w:color w:val="000000" w:themeColor="text1"/>
        </w:rPr>
      </w:pPr>
    </w:p>
    <w:p w14:paraId="3A20F43B" w14:textId="379A13CA"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References</w:t>
      </w:r>
    </w:p>
    <w:p w14:paraId="5693E8BB" w14:textId="52FBE178"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Gysbers, N., Heppner, M., &amp; Johnson, A., (2003) Career counseling: Process, issues, and techniques. 5th edn. London: Macmillan International Higher Education.</w:t>
      </w:r>
    </w:p>
    <w:p w14:paraId="47399404" w14:textId="61386CE5"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w:t>
      </w:r>
    </w:p>
    <w:p w14:paraId="0B07DA0D" w14:textId="5F3829AF"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Cottrell, S. (2021) Skills for success: personal development and employability. 4th edn. London: Red Globe Press.</w:t>
      </w:r>
    </w:p>
    <w:p w14:paraId="1A868555" w14:textId="2E2F3694"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Dweck, C.S. (2017) Mindset: changing the way you think to fulfill your potential. </w:t>
      </w:r>
    </w:p>
    <w:p w14:paraId="61D8AADA" w14:textId="4BC626E1"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London: Robinson.</w:t>
      </w:r>
    </w:p>
    <w:p w14:paraId="6DFEB8A5" w14:textId="56D14973"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 xml:space="preserve"> Gallagher, K. (2022) An Introduction to Study Skills for Business and Management Students. 4th edn. Oxford: Oxford University Press.</w:t>
      </w:r>
    </w:p>
    <w:p w14:paraId="4C73D302" w14:textId="021D8FE0"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Robertson, P.J., Hooley, T. "McCash, P. (Eds.) (2020) The Oxford Encyclopedia of Career Development. New York: Oxford University Press.</w:t>
      </w:r>
    </w:p>
    <w:p w14:paraId="1BB2450E" w14:textId="3E7F082C"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Rolfe, G., Freshwater, D., Jasper, M. (2001) Critical reflection for nursing and the helping professions: A user’s guide. Basingstoke: Palgrave Macmillan.</w:t>
      </w:r>
    </w:p>
    <w:p w14:paraId="713FEE62" w14:textId="6A6E5B3B" w:rsidR="00417C7A" w:rsidRDefault="01BF5424" w:rsidP="650DA006">
      <w:pPr>
        <w:rPr>
          <w:rFonts w:ascii="Aptos" w:eastAsia="Aptos" w:hAnsi="Aptos" w:cs="Aptos"/>
          <w:color w:val="000000" w:themeColor="text1"/>
        </w:rPr>
      </w:pPr>
      <w:r w:rsidRPr="650DA006">
        <w:rPr>
          <w:rFonts w:ascii="Aptos" w:eastAsia="Aptos" w:hAnsi="Aptos" w:cs="Aptos"/>
          <w:color w:val="000000" w:themeColor="text1"/>
        </w:rPr>
        <w:t>Smale, B. (2015) How to succeed at university: an essential guide to academic skills, personal development and employability. 2nd edn. London: SAGE.</w:t>
      </w:r>
    </w:p>
    <w:p w14:paraId="2C078E63" w14:textId="32FCAD58" w:rsidR="00417C7A" w:rsidRDefault="00417C7A"/>
    <w:sectPr w:rsidR="00417C7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244CDF"/>
    <w:rsid w:val="00063A24"/>
    <w:rsid w:val="00367D27"/>
    <w:rsid w:val="00385352"/>
    <w:rsid w:val="00417C7A"/>
    <w:rsid w:val="00454B26"/>
    <w:rsid w:val="00484796"/>
    <w:rsid w:val="006F381A"/>
    <w:rsid w:val="00750EF9"/>
    <w:rsid w:val="00977CE0"/>
    <w:rsid w:val="00992E33"/>
    <w:rsid w:val="00C0740C"/>
    <w:rsid w:val="00C86418"/>
    <w:rsid w:val="00CF1F5E"/>
    <w:rsid w:val="00CF7232"/>
    <w:rsid w:val="00D80192"/>
    <w:rsid w:val="00DE0047"/>
    <w:rsid w:val="00F51A13"/>
    <w:rsid w:val="01BF5424"/>
    <w:rsid w:val="07057A55"/>
    <w:rsid w:val="0D576473"/>
    <w:rsid w:val="105B2290"/>
    <w:rsid w:val="2D18E3C9"/>
    <w:rsid w:val="438E0AAA"/>
    <w:rsid w:val="47EF2741"/>
    <w:rsid w:val="517B3F50"/>
    <w:rsid w:val="52F1B832"/>
    <w:rsid w:val="5F007725"/>
    <w:rsid w:val="650DA006"/>
    <w:rsid w:val="6AFA5DCE"/>
    <w:rsid w:val="6D15C9F9"/>
    <w:rsid w:val="749A3A99"/>
    <w:rsid w:val="77CE697C"/>
    <w:rsid w:val="78244C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44CDF"/>
  <w15:chartTrackingRefBased/>
  <w15:docId w15:val="{8DAA3563-4C8B-5D43-BB38-9C8D72D2D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50DA00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432847@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1582</Words>
  <Characters>9022</Characters>
  <Application>Microsoft Office Word</Application>
  <DocSecurity>0</DocSecurity>
  <Lines>75</Lines>
  <Paragraphs>21</Paragraphs>
  <ScaleCrop>false</ScaleCrop>
  <Company/>
  <LinksUpToDate>false</LinksUpToDate>
  <CharactersWithSpaces>10583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Gersone Balachandar (2432847)</dc:creator>
  <cp:keywords/>
  <dc:description/>
  <cp:lastModifiedBy>Gersone Balachandar (2432847)</cp:lastModifiedBy>
  <cp:revision>2</cp:revision>
  <dcterms:created xsi:type="dcterms:W3CDTF">2025-08-26T21:44:00Z</dcterms:created>
  <dcterms:modified xsi:type="dcterms:W3CDTF">2025-08-26T21:44:00Z</dcterms:modified>
</cp:coreProperties>
</file>