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EE8655" w14:textId="77777777" w:rsidR="00003EBB" w:rsidRPr="00017F91" w:rsidRDefault="00003EBB" w:rsidP="00003EBB">
      <w:pPr>
        <w:jc w:val="center"/>
        <w:rPr>
          <w:rFonts w:cs="Times New Roman"/>
        </w:rPr>
      </w:pPr>
      <w:r w:rsidRPr="00017F91">
        <w:rPr>
          <w:rFonts w:cs="Times New Roman"/>
          <w:noProof/>
          <w:lang w:val="en-US"/>
        </w:rPr>
        <w:drawing>
          <wp:inline distT="0" distB="0" distL="0" distR="0" wp14:anchorId="6E334757" wp14:editId="4044B9AF">
            <wp:extent cx="2149162" cy="857250"/>
            <wp:effectExtent l="0" t="0" r="3810" b="0"/>
            <wp:docPr id="3" name="Picture 3"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University Transcription Servic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57310" cy="860500"/>
                    </a:xfrm>
                    <a:prstGeom prst="rect">
                      <a:avLst/>
                    </a:prstGeom>
                    <a:noFill/>
                    <a:ln>
                      <a:noFill/>
                    </a:ln>
                  </pic:spPr>
                </pic:pic>
              </a:graphicData>
            </a:graphic>
          </wp:inline>
        </w:drawing>
      </w:r>
    </w:p>
    <w:p w14:paraId="73A4677B" w14:textId="77777777" w:rsidR="00003EBB" w:rsidRPr="00017F91" w:rsidRDefault="00003EBB" w:rsidP="00003EBB">
      <w:pPr>
        <w:jc w:val="center"/>
        <w:rPr>
          <w:rFonts w:cs="Times New Roman"/>
          <w:b/>
          <w:sz w:val="28"/>
          <w:szCs w:val="32"/>
        </w:rPr>
      </w:pPr>
      <w:r w:rsidRPr="00017F91">
        <w:rPr>
          <w:rFonts w:cs="Times New Roman"/>
          <w:b/>
          <w:sz w:val="28"/>
          <w:szCs w:val="32"/>
        </w:rPr>
        <w:t>BMIH6007</w:t>
      </w:r>
    </w:p>
    <w:p w14:paraId="0522DC83" w14:textId="77777777" w:rsidR="00003EBB" w:rsidRPr="00017F91" w:rsidRDefault="00003EBB" w:rsidP="00003EBB">
      <w:pPr>
        <w:jc w:val="center"/>
        <w:rPr>
          <w:rFonts w:cs="Times New Roman"/>
          <w:b/>
          <w:sz w:val="28"/>
          <w:szCs w:val="32"/>
        </w:rPr>
      </w:pPr>
      <w:r w:rsidRPr="00017F91">
        <w:rPr>
          <w:rFonts w:cs="Times New Roman"/>
          <w:b/>
          <w:sz w:val="28"/>
          <w:szCs w:val="32"/>
        </w:rPr>
        <w:t>International Meetings Management for the Hotel Industry</w:t>
      </w:r>
    </w:p>
    <w:p w14:paraId="257246C3" w14:textId="77777777" w:rsidR="00003EBB" w:rsidRPr="00017F91" w:rsidRDefault="00003EBB" w:rsidP="00003EBB">
      <w:pPr>
        <w:jc w:val="center"/>
        <w:rPr>
          <w:rFonts w:cs="Times New Roman"/>
          <w:b/>
          <w:sz w:val="28"/>
          <w:szCs w:val="32"/>
        </w:rPr>
      </w:pPr>
      <w:r w:rsidRPr="00017F91">
        <w:rPr>
          <w:rFonts w:cs="Times New Roman"/>
          <w:b/>
          <w:sz w:val="28"/>
          <w:szCs w:val="32"/>
        </w:rPr>
        <w:t>Assignment Title: Planning and Delivering an International Meeting/Event.</w:t>
      </w:r>
    </w:p>
    <w:p w14:paraId="2C117105" w14:textId="77777777" w:rsidR="00003EBB" w:rsidRPr="00017F91" w:rsidRDefault="00003EBB" w:rsidP="00003EBB">
      <w:pPr>
        <w:jc w:val="center"/>
        <w:rPr>
          <w:rFonts w:cs="Times New Roman"/>
          <w:b/>
          <w:sz w:val="28"/>
          <w:szCs w:val="32"/>
        </w:rPr>
      </w:pPr>
      <w:r w:rsidRPr="00017F91">
        <w:rPr>
          <w:rFonts w:cs="Times New Roman"/>
          <w:b/>
          <w:sz w:val="28"/>
          <w:szCs w:val="32"/>
        </w:rPr>
        <w:t>Event Theme: </w:t>
      </w:r>
      <w:r w:rsidRPr="00017F91">
        <w:rPr>
          <w:rFonts w:cs="Times New Roman"/>
          <w:b/>
          <w:bCs/>
          <w:sz w:val="28"/>
        </w:rPr>
        <w:t>Equality, Diversity and Inclusion within Industry</w:t>
      </w:r>
    </w:p>
    <w:p w14:paraId="34299FEA" w14:textId="77777777" w:rsidR="00003EBB" w:rsidRPr="00017F91" w:rsidRDefault="00003EBB" w:rsidP="00003EBB">
      <w:pPr>
        <w:jc w:val="center"/>
        <w:rPr>
          <w:rFonts w:cs="Times New Roman"/>
          <w:b/>
          <w:sz w:val="28"/>
        </w:rPr>
      </w:pPr>
      <w:r w:rsidRPr="00017F91">
        <w:rPr>
          <w:rFonts w:cs="Times New Roman"/>
          <w:b/>
          <w:sz w:val="28"/>
          <w:szCs w:val="28"/>
        </w:rPr>
        <w:t xml:space="preserve">Event Title: </w:t>
      </w:r>
      <w:r w:rsidRPr="00017F91">
        <w:rPr>
          <w:rFonts w:cs="Times New Roman"/>
          <w:b/>
          <w:sz w:val="28"/>
        </w:rPr>
        <w:t>Mother and Baby</w:t>
      </w:r>
    </w:p>
    <w:p w14:paraId="3BE89858" w14:textId="77777777" w:rsidR="00003EBB" w:rsidRPr="00017F91" w:rsidRDefault="00003EBB" w:rsidP="00003EBB">
      <w:pPr>
        <w:jc w:val="center"/>
        <w:rPr>
          <w:rFonts w:cs="Times New Roman"/>
        </w:rPr>
      </w:pPr>
      <w:r w:rsidRPr="00017F91">
        <w:rPr>
          <w:rFonts w:cs="Times New Roman"/>
          <w:b/>
          <w:bCs/>
        </w:rPr>
        <w:t>Name</w:t>
      </w:r>
      <w:r w:rsidRPr="00017F91">
        <w:rPr>
          <w:rFonts w:cs="Times New Roman"/>
        </w:rPr>
        <w:t>: Selina Akhter Seema</w:t>
      </w:r>
    </w:p>
    <w:p w14:paraId="6529349E" w14:textId="77777777" w:rsidR="00003EBB" w:rsidRPr="00017F91" w:rsidRDefault="00003EBB" w:rsidP="00003EBB">
      <w:pPr>
        <w:jc w:val="center"/>
        <w:rPr>
          <w:rFonts w:cs="Times New Roman"/>
        </w:rPr>
      </w:pPr>
      <w:r w:rsidRPr="00017F91">
        <w:rPr>
          <w:rFonts w:cs="Times New Roman"/>
          <w:b/>
          <w:bCs/>
        </w:rPr>
        <w:t>ID</w:t>
      </w:r>
      <w:r w:rsidRPr="00017F91">
        <w:rPr>
          <w:rFonts w:cs="Times New Roman"/>
        </w:rPr>
        <w:t>: 2225106</w:t>
      </w:r>
    </w:p>
    <w:p w14:paraId="78D48AA1" w14:textId="77777777" w:rsidR="00003EBB" w:rsidRPr="00017F91" w:rsidRDefault="00003EBB" w:rsidP="00003EBB">
      <w:pPr>
        <w:jc w:val="center"/>
        <w:rPr>
          <w:rFonts w:cs="Times New Roman"/>
          <w:color w:val="00B050"/>
        </w:rPr>
      </w:pPr>
      <w:r w:rsidRPr="00017F91">
        <w:rPr>
          <w:rFonts w:cs="Times New Roman"/>
          <w:b/>
          <w:bCs/>
        </w:rPr>
        <w:t>Lecturer Name</w:t>
      </w:r>
      <w:r w:rsidRPr="00017F91">
        <w:rPr>
          <w:rFonts w:cs="Times New Roman"/>
          <w:color w:val="000000" w:themeColor="text1"/>
        </w:rPr>
        <w:t>: Chris Wilkin</w:t>
      </w:r>
    </w:p>
    <w:p w14:paraId="0CD73EA6" w14:textId="77777777" w:rsidR="00003EBB" w:rsidRPr="00017F91" w:rsidRDefault="00003EBB" w:rsidP="00003EBB">
      <w:pPr>
        <w:jc w:val="center"/>
        <w:rPr>
          <w:rFonts w:cs="Times New Roman"/>
          <w:b/>
          <w:bCs/>
        </w:rPr>
      </w:pPr>
    </w:p>
    <w:p w14:paraId="388B1908" w14:textId="77777777" w:rsidR="00003EBB" w:rsidRPr="00017F91" w:rsidRDefault="00003EBB" w:rsidP="00003EBB">
      <w:pPr>
        <w:jc w:val="center"/>
        <w:rPr>
          <w:rFonts w:cs="Times New Roman"/>
        </w:rPr>
      </w:pPr>
    </w:p>
    <w:p w14:paraId="4B4C209F" w14:textId="77777777" w:rsidR="00003EBB" w:rsidRPr="00017F91" w:rsidRDefault="00003EBB" w:rsidP="00003EBB">
      <w:pPr>
        <w:spacing w:line="259" w:lineRule="auto"/>
        <w:jc w:val="left"/>
        <w:rPr>
          <w:rFonts w:cs="Times New Roman"/>
        </w:rPr>
      </w:pPr>
      <w:r w:rsidRPr="00017F91">
        <w:rPr>
          <w:rFonts w:cs="Times New Roman"/>
        </w:rPr>
        <w:br w:type="page"/>
      </w:r>
    </w:p>
    <w:p w14:paraId="428C5000" w14:textId="77777777" w:rsidR="00003EBB" w:rsidRPr="00017F91" w:rsidRDefault="00003EBB" w:rsidP="00003EBB">
      <w:pPr>
        <w:pStyle w:val="Heading1"/>
        <w:rPr>
          <w:rFonts w:cs="Times New Roman"/>
        </w:rPr>
      </w:pPr>
      <w:bookmarkStart w:id="0" w:name="_Toc191624103"/>
      <w:r w:rsidRPr="00017F91">
        <w:rPr>
          <w:rFonts w:cs="Times New Roman"/>
        </w:rPr>
        <w:lastRenderedPageBreak/>
        <w:t>Executive Summary</w:t>
      </w:r>
      <w:bookmarkEnd w:id="0"/>
      <w:r w:rsidRPr="00017F91">
        <w:rPr>
          <w:rFonts w:cs="Times New Roman"/>
        </w:rPr>
        <w:t xml:space="preserve"> </w:t>
      </w:r>
    </w:p>
    <w:p w14:paraId="1BE5DA7B" w14:textId="77777777" w:rsidR="00003EBB" w:rsidRPr="00017F91" w:rsidRDefault="00003EBB" w:rsidP="00003EBB">
      <w:pPr>
        <w:rPr>
          <w:rFonts w:cs="Times New Roman"/>
          <w:lang w:eastAsia="en-GB"/>
        </w:rPr>
      </w:pPr>
      <w:r w:rsidRPr="00017F91">
        <w:rPr>
          <w:rFonts w:cs="Times New Roman"/>
          <w:lang w:eastAsia="en-GB"/>
        </w:rPr>
        <w:t xml:space="preserve">A successful global event on "Equality, Diversity, and Inclusion within Industry," concentrating on motherhood and workplace inclusion, demands strategic planning and implementation. The £29,000 conference for 270 will be at the Marriott Hotel Leicester. Keynotes, seminars, and workshops will cover mother rights, workplace involvement, and inclusive policies. The Event Cycle simplifies preparation, execution, and evaluation. HR, lawmakers, and executives will debate mothers’ rights, job flexibility, and mental wellness. Two SMART goals for engagement and impact support corporate maternity involvement. Strategic event management comprises planning, operations, and marketing. IT, branding, food, and venue logistics are assigned. Social media, HR forums, and business relationships are marketed using 7Ps. Ticket and sponsorship sales exceeded the budget by £36,600. Parental inclusion, workplace diversity, and HR/maternity stakeholder digital networking affect the event. SWOT, PESTEL, and SOAR analyses emphasise legal, economic, and competitive factors. The study suggests improving engagement, financial sustainability, and industrial effect. The event will standardise inclusive workplace rules, business maternity programs, and mother workforce awareness. </w:t>
      </w:r>
    </w:p>
    <w:p w14:paraId="5BFB694A" w14:textId="77777777" w:rsidR="00003EBB" w:rsidRPr="00017F91" w:rsidRDefault="00003EBB" w:rsidP="00003EBB">
      <w:pPr>
        <w:spacing w:line="259" w:lineRule="auto"/>
        <w:jc w:val="left"/>
        <w:rPr>
          <w:rFonts w:cs="Times New Roman"/>
          <w:lang w:eastAsia="en-GB"/>
        </w:rPr>
      </w:pPr>
      <w:r w:rsidRPr="00017F91">
        <w:rPr>
          <w:rFonts w:cs="Times New Roman"/>
          <w:lang w:eastAsia="en-GB"/>
        </w:rPr>
        <w:br w:type="page"/>
      </w:r>
    </w:p>
    <w:sdt>
      <w:sdtPr>
        <w:rPr>
          <w:rFonts w:ascii="Times New Roman" w:eastAsiaTheme="minorHAnsi" w:hAnsi="Times New Roman" w:cs="Times New Roman"/>
          <w:color w:val="auto"/>
          <w:sz w:val="24"/>
          <w:szCs w:val="22"/>
          <w:lang w:val="en-GB"/>
        </w:rPr>
        <w:id w:val="1674291700"/>
        <w:docPartObj>
          <w:docPartGallery w:val="Table of Contents"/>
          <w:docPartUnique/>
        </w:docPartObj>
      </w:sdtPr>
      <w:sdtEndPr>
        <w:rPr>
          <w:b/>
          <w:bCs/>
          <w:noProof/>
        </w:rPr>
      </w:sdtEndPr>
      <w:sdtContent>
        <w:p w14:paraId="57031618" w14:textId="77777777" w:rsidR="00003EBB" w:rsidRPr="00017F91" w:rsidRDefault="00003EBB" w:rsidP="00003EBB">
          <w:pPr>
            <w:pStyle w:val="TOCHeading"/>
            <w:rPr>
              <w:rFonts w:ascii="Times New Roman" w:hAnsi="Times New Roman" w:cs="Times New Roman"/>
            </w:rPr>
          </w:pPr>
          <w:r w:rsidRPr="00017F91">
            <w:rPr>
              <w:rFonts w:ascii="Times New Roman" w:hAnsi="Times New Roman" w:cs="Times New Roman"/>
            </w:rPr>
            <w:t>Table of Contents</w:t>
          </w:r>
        </w:p>
        <w:p w14:paraId="2C738B3C" w14:textId="77777777" w:rsidR="00003EBB" w:rsidRPr="00017F91" w:rsidRDefault="00003EBB" w:rsidP="00003EBB">
          <w:pPr>
            <w:pStyle w:val="TOC1"/>
            <w:tabs>
              <w:tab w:val="right" w:leader="dot" w:pos="9350"/>
            </w:tabs>
            <w:rPr>
              <w:rFonts w:eastAsiaTheme="minorEastAsia" w:cs="Times New Roman"/>
              <w:noProof/>
              <w:sz w:val="22"/>
              <w:lang w:eastAsia="en-GB"/>
            </w:rPr>
          </w:pPr>
          <w:r w:rsidRPr="00017F91">
            <w:rPr>
              <w:rFonts w:cs="Times New Roman"/>
            </w:rPr>
            <w:fldChar w:fldCharType="begin"/>
          </w:r>
          <w:r w:rsidRPr="00017F91">
            <w:rPr>
              <w:rFonts w:cs="Times New Roman"/>
            </w:rPr>
            <w:instrText xml:space="preserve"> TOC \o "1-3" \h \z \u </w:instrText>
          </w:r>
          <w:r w:rsidRPr="00017F91">
            <w:rPr>
              <w:rFonts w:cs="Times New Roman"/>
            </w:rPr>
            <w:fldChar w:fldCharType="separate"/>
          </w:r>
          <w:hyperlink w:anchor="_Toc191624103" w:history="1">
            <w:r w:rsidRPr="00017F91">
              <w:rPr>
                <w:rStyle w:val="Hyperlink"/>
                <w:rFonts w:cs="Times New Roman"/>
                <w:noProof/>
              </w:rPr>
              <w:t>Executive Summary</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_Toc191624103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w:t>
            </w:r>
            <w:r w:rsidRPr="00017F91">
              <w:rPr>
                <w:rFonts w:cs="Times New Roman"/>
                <w:noProof/>
                <w:webHidden/>
              </w:rPr>
              <w:fldChar w:fldCharType="end"/>
            </w:r>
          </w:hyperlink>
        </w:p>
        <w:p w14:paraId="67B14194"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4" w:history="1">
            <w:r w:rsidRPr="00017F91">
              <w:rPr>
                <w:rStyle w:val="Hyperlink"/>
                <w:rFonts w:cs="Times New Roman"/>
                <w:noProof/>
                <w:lang w:eastAsia="en-GB"/>
              </w:rPr>
              <w:t>Introduction</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_Toc191624104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4</w:t>
            </w:r>
            <w:r w:rsidRPr="00017F91">
              <w:rPr>
                <w:rFonts w:cs="Times New Roman"/>
                <w:noProof/>
                <w:webHidden/>
              </w:rPr>
              <w:fldChar w:fldCharType="end"/>
            </w:r>
          </w:hyperlink>
        </w:p>
        <w:p w14:paraId="162DC13B"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5" w:history="1">
            <w:r w:rsidRPr="00017F91">
              <w:rPr>
                <w:rStyle w:val="Hyperlink"/>
                <w:rFonts w:cs="Times New Roman"/>
                <w:noProof/>
                <w:lang w:eastAsia="en-GB"/>
              </w:rPr>
              <w:t>The Event Cycle</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_Toc191624105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5</w:t>
            </w:r>
            <w:r w:rsidRPr="00017F91">
              <w:rPr>
                <w:rFonts w:cs="Times New Roman"/>
                <w:noProof/>
                <w:webHidden/>
              </w:rPr>
              <w:fldChar w:fldCharType="end"/>
            </w:r>
          </w:hyperlink>
        </w:p>
        <w:p w14:paraId="745AAE93"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6" w:history="1">
            <w:r w:rsidRPr="00017F91">
              <w:rPr>
                <w:rStyle w:val="Hyperlink"/>
                <w:rFonts w:cs="Times New Roman"/>
                <w:noProof/>
              </w:rPr>
              <w:t>Event Concept</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_Toc191624106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7</w:t>
            </w:r>
            <w:r w:rsidRPr="00017F91">
              <w:rPr>
                <w:rFonts w:cs="Times New Roman"/>
                <w:noProof/>
                <w:webHidden/>
              </w:rPr>
              <w:fldChar w:fldCharType="end"/>
            </w:r>
          </w:hyperlink>
        </w:p>
        <w:p w14:paraId="55E83BCE"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7" w:history="1">
            <w:r w:rsidRPr="00017F91">
              <w:rPr>
                <w:rStyle w:val="Hyperlink"/>
                <w:rFonts w:cs="Times New Roman"/>
                <w:noProof/>
              </w:rPr>
              <w:t>Aim and Objectives of the Event</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_Toc191624107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9</w:t>
            </w:r>
            <w:r w:rsidRPr="00017F91">
              <w:rPr>
                <w:rFonts w:cs="Times New Roman"/>
                <w:noProof/>
                <w:webHidden/>
              </w:rPr>
              <w:fldChar w:fldCharType="end"/>
            </w:r>
          </w:hyperlink>
        </w:p>
        <w:p w14:paraId="494B3829"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8" w:history="1">
            <w:r w:rsidRPr="00017F91">
              <w:rPr>
                <w:rStyle w:val="Hyperlink"/>
                <w:rFonts w:cs="Times New Roman"/>
                <w:noProof/>
              </w:rPr>
              <w:t>Event Management</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_Toc191624108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10</w:t>
            </w:r>
            <w:r w:rsidRPr="00017F91">
              <w:rPr>
                <w:rFonts w:cs="Times New Roman"/>
                <w:noProof/>
                <w:webHidden/>
              </w:rPr>
              <w:fldChar w:fldCharType="end"/>
            </w:r>
          </w:hyperlink>
        </w:p>
        <w:p w14:paraId="65B64D11"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09" w:history="1">
            <w:r w:rsidRPr="00017F91">
              <w:rPr>
                <w:rStyle w:val="Hyperlink"/>
                <w:rFonts w:cs="Times New Roman"/>
                <w:noProof/>
                <w:lang w:eastAsia="en-GB"/>
              </w:rPr>
              <w:t>Event Budget</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_Toc191624109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13</w:t>
            </w:r>
            <w:r w:rsidRPr="00017F91">
              <w:rPr>
                <w:rFonts w:cs="Times New Roman"/>
                <w:noProof/>
                <w:webHidden/>
              </w:rPr>
              <w:fldChar w:fldCharType="end"/>
            </w:r>
          </w:hyperlink>
        </w:p>
        <w:p w14:paraId="1DB76CA7"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10" w:history="1">
            <w:r w:rsidRPr="00017F91">
              <w:rPr>
                <w:rStyle w:val="Hyperlink"/>
                <w:rFonts w:cs="Times New Roman"/>
                <w:noProof/>
              </w:rPr>
              <w:t>Industry Trends, Issues and Impacts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_Toc191624110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14</w:t>
            </w:r>
            <w:r w:rsidRPr="00017F91">
              <w:rPr>
                <w:rFonts w:cs="Times New Roman"/>
                <w:noProof/>
                <w:webHidden/>
              </w:rPr>
              <w:fldChar w:fldCharType="end"/>
            </w:r>
          </w:hyperlink>
        </w:p>
        <w:p w14:paraId="20D01697"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11" w:history="1">
            <w:r w:rsidRPr="00017F91">
              <w:rPr>
                <w:rStyle w:val="Hyperlink"/>
                <w:rFonts w:cs="Times New Roman"/>
                <w:noProof/>
              </w:rPr>
              <w:t>Situational and Cultural Considerations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_Toc191624111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16</w:t>
            </w:r>
            <w:r w:rsidRPr="00017F91">
              <w:rPr>
                <w:rFonts w:cs="Times New Roman"/>
                <w:noProof/>
                <w:webHidden/>
              </w:rPr>
              <w:fldChar w:fldCharType="end"/>
            </w:r>
          </w:hyperlink>
        </w:p>
        <w:p w14:paraId="69FF631D"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12" w:history="1">
            <w:r w:rsidRPr="00017F91">
              <w:rPr>
                <w:rStyle w:val="Hyperlink"/>
                <w:rFonts w:cs="Times New Roman"/>
                <w:noProof/>
                <w:lang w:eastAsia="en-GB"/>
              </w:rPr>
              <w:t>Conclusion and Recommendations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_Toc191624112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18</w:t>
            </w:r>
            <w:r w:rsidRPr="00017F91">
              <w:rPr>
                <w:rFonts w:cs="Times New Roman"/>
                <w:noProof/>
                <w:webHidden/>
              </w:rPr>
              <w:fldChar w:fldCharType="end"/>
            </w:r>
          </w:hyperlink>
        </w:p>
        <w:p w14:paraId="058A3B96"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13" w:history="1">
            <w:r w:rsidRPr="00017F91">
              <w:rPr>
                <w:rStyle w:val="Hyperlink"/>
                <w:rFonts w:cs="Times New Roman"/>
                <w:noProof/>
              </w:rPr>
              <w:t>References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_Toc191624113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19</w:t>
            </w:r>
            <w:r w:rsidRPr="00017F91">
              <w:rPr>
                <w:rFonts w:cs="Times New Roman"/>
                <w:noProof/>
                <w:webHidden/>
              </w:rPr>
              <w:fldChar w:fldCharType="end"/>
            </w:r>
          </w:hyperlink>
        </w:p>
        <w:p w14:paraId="231C9A1F" w14:textId="77777777" w:rsidR="00003EBB" w:rsidRPr="00017F91" w:rsidRDefault="00003EBB" w:rsidP="00003EBB">
          <w:pPr>
            <w:pStyle w:val="TOC1"/>
            <w:tabs>
              <w:tab w:val="right" w:leader="dot" w:pos="9350"/>
            </w:tabs>
            <w:rPr>
              <w:rFonts w:eastAsiaTheme="minorEastAsia" w:cs="Times New Roman"/>
              <w:noProof/>
              <w:sz w:val="22"/>
              <w:lang w:eastAsia="en-GB"/>
            </w:rPr>
          </w:pPr>
          <w:hyperlink w:anchor="_Toc191624114" w:history="1">
            <w:r w:rsidRPr="00017F91">
              <w:rPr>
                <w:rStyle w:val="Hyperlink"/>
                <w:rFonts w:cs="Times New Roman"/>
                <w:noProof/>
              </w:rPr>
              <w:t>Appendix</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_Toc191624114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22</w:t>
            </w:r>
            <w:r w:rsidRPr="00017F91">
              <w:rPr>
                <w:rFonts w:cs="Times New Roman"/>
                <w:noProof/>
                <w:webHidden/>
              </w:rPr>
              <w:fldChar w:fldCharType="end"/>
            </w:r>
          </w:hyperlink>
        </w:p>
        <w:p w14:paraId="1B516CAF" w14:textId="77777777" w:rsidR="00003EBB" w:rsidRPr="00017F91" w:rsidRDefault="00003EBB" w:rsidP="00003EBB">
          <w:pPr>
            <w:pStyle w:val="TOC2"/>
            <w:tabs>
              <w:tab w:val="right" w:leader="dot" w:pos="9350"/>
            </w:tabs>
            <w:rPr>
              <w:rFonts w:eastAsiaTheme="minorEastAsia" w:cs="Times New Roman"/>
              <w:noProof/>
              <w:sz w:val="22"/>
              <w:lang w:eastAsia="en-GB"/>
            </w:rPr>
          </w:pPr>
          <w:hyperlink w:anchor="_Toc191624115" w:history="1">
            <w:r w:rsidRPr="00017F91">
              <w:rPr>
                <w:rStyle w:val="Hyperlink"/>
                <w:rFonts w:cs="Times New Roman"/>
                <w:noProof/>
              </w:rPr>
              <w:t>Marketing 7Ps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_Toc191624115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22</w:t>
            </w:r>
            <w:r w:rsidRPr="00017F91">
              <w:rPr>
                <w:rFonts w:cs="Times New Roman"/>
                <w:noProof/>
                <w:webHidden/>
              </w:rPr>
              <w:fldChar w:fldCharType="end"/>
            </w:r>
          </w:hyperlink>
        </w:p>
        <w:p w14:paraId="1DC32BC0" w14:textId="77777777" w:rsidR="00003EBB" w:rsidRPr="00017F91" w:rsidRDefault="00003EBB" w:rsidP="00003EBB">
          <w:pPr>
            <w:pStyle w:val="TOC2"/>
            <w:tabs>
              <w:tab w:val="right" w:leader="dot" w:pos="9350"/>
            </w:tabs>
            <w:rPr>
              <w:rFonts w:eastAsiaTheme="minorEastAsia" w:cs="Times New Roman"/>
              <w:noProof/>
              <w:sz w:val="22"/>
              <w:lang w:eastAsia="en-GB"/>
            </w:rPr>
          </w:pPr>
          <w:hyperlink w:anchor="_Toc191624116" w:history="1">
            <w:r w:rsidRPr="00017F91">
              <w:rPr>
                <w:rStyle w:val="Hyperlink"/>
                <w:rFonts w:cs="Times New Roman"/>
                <w:noProof/>
              </w:rPr>
              <w:t>PESTLE Analysis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_Toc191624116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22</w:t>
            </w:r>
            <w:r w:rsidRPr="00017F91">
              <w:rPr>
                <w:rFonts w:cs="Times New Roman"/>
                <w:noProof/>
                <w:webHidden/>
              </w:rPr>
              <w:fldChar w:fldCharType="end"/>
            </w:r>
          </w:hyperlink>
        </w:p>
        <w:p w14:paraId="637224BD" w14:textId="77777777" w:rsidR="00003EBB" w:rsidRPr="00017F91" w:rsidRDefault="00003EBB" w:rsidP="00003EBB">
          <w:pPr>
            <w:pStyle w:val="TOC2"/>
            <w:tabs>
              <w:tab w:val="right" w:leader="dot" w:pos="9350"/>
            </w:tabs>
            <w:rPr>
              <w:rFonts w:eastAsiaTheme="minorEastAsia" w:cs="Times New Roman"/>
              <w:noProof/>
              <w:sz w:val="22"/>
              <w:lang w:eastAsia="en-GB"/>
            </w:rPr>
          </w:pPr>
          <w:hyperlink w:anchor="_Toc191624117" w:history="1">
            <w:r w:rsidRPr="00017F91">
              <w:rPr>
                <w:rStyle w:val="Hyperlink"/>
                <w:rFonts w:cs="Times New Roman"/>
                <w:noProof/>
              </w:rPr>
              <w:t>SWOT Analysis</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_Toc191624117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23</w:t>
            </w:r>
            <w:r w:rsidRPr="00017F91">
              <w:rPr>
                <w:rFonts w:cs="Times New Roman"/>
                <w:noProof/>
                <w:webHidden/>
              </w:rPr>
              <w:fldChar w:fldCharType="end"/>
            </w:r>
          </w:hyperlink>
        </w:p>
        <w:p w14:paraId="2CF84525" w14:textId="77777777" w:rsidR="00003EBB" w:rsidRPr="00017F91" w:rsidRDefault="00003EBB" w:rsidP="00003EBB">
          <w:pPr>
            <w:pStyle w:val="TOC2"/>
            <w:tabs>
              <w:tab w:val="right" w:leader="dot" w:pos="9350"/>
            </w:tabs>
            <w:rPr>
              <w:rFonts w:eastAsiaTheme="minorEastAsia" w:cs="Times New Roman"/>
              <w:noProof/>
              <w:sz w:val="22"/>
              <w:lang w:eastAsia="en-GB"/>
            </w:rPr>
          </w:pPr>
          <w:hyperlink w:anchor="_Toc191624118" w:history="1">
            <w:r w:rsidRPr="00017F91">
              <w:rPr>
                <w:rStyle w:val="Hyperlink"/>
                <w:rFonts w:cs="Times New Roman"/>
                <w:noProof/>
              </w:rPr>
              <w:t>Gantt chart</w:t>
            </w:r>
            <w:r w:rsidRPr="00017F91">
              <w:rPr>
                <w:rFonts w:cs="Times New Roman"/>
                <w:noProof/>
                <w:webHidden/>
              </w:rPr>
              <w:tab/>
            </w:r>
            <w:r w:rsidRPr="00017F91">
              <w:rPr>
                <w:rFonts w:cs="Times New Roman"/>
                <w:noProof/>
                <w:webHidden/>
              </w:rPr>
              <w:fldChar w:fldCharType="begin"/>
            </w:r>
            <w:r w:rsidRPr="00017F91">
              <w:rPr>
                <w:rFonts w:cs="Times New Roman"/>
                <w:noProof/>
                <w:webHidden/>
              </w:rPr>
              <w:instrText xml:space="preserve"> PAGEREF _Toc191624118 \h </w:instrText>
            </w:r>
            <w:r w:rsidRPr="00017F91">
              <w:rPr>
                <w:rFonts w:cs="Times New Roman"/>
                <w:noProof/>
                <w:webHidden/>
              </w:rPr>
            </w:r>
            <w:r w:rsidRPr="00017F91">
              <w:rPr>
                <w:rFonts w:cs="Times New Roman"/>
                <w:noProof/>
                <w:webHidden/>
              </w:rPr>
              <w:fldChar w:fldCharType="separate"/>
            </w:r>
            <w:r w:rsidRPr="00017F91">
              <w:rPr>
                <w:rFonts w:cs="Times New Roman"/>
                <w:noProof/>
                <w:webHidden/>
              </w:rPr>
              <w:t>23</w:t>
            </w:r>
            <w:r w:rsidRPr="00017F91">
              <w:rPr>
                <w:rFonts w:cs="Times New Roman"/>
                <w:noProof/>
                <w:webHidden/>
              </w:rPr>
              <w:fldChar w:fldCharType="end"/>
            </w:r>
          </w:hyperlink>
        </w:p>
        <w:p w14:paraId="4B817827" w14:textId="77777777" w:rsidR="00003EBB" w:rsidRPr="00017F91" w:rsidRDefault="00003EBB" w:rsidP="00003EBB">
          <w:pPr>
            <w:rPr>
              <w:rFonts w:cs="Times New Roman"/>
            </w:rPr>
          </w:pPr>
          <w:r w:rsidRPr="00017F91">
            <w:rPr>
              <w:rFonts w:cs="Times New Roman"/>
              <w:b/>
              <w:bCs/>
              <w:noProof/>
            </w:rPr>
            <w:fldChar w:fldCharType="end"/>
          </w:r>
        </w:p>
      </w:sdtContent>
    </w:sdt>
    <w:p w14:paraId="40EB5698" w14:textId="77777777" w:rsidR="00003EBB" w:rsidRPr="00017F91" w:rsidRDefault="00003EBB" w:rsidP="00003EBB">
      <w:pPr>
        <w:spacing w:line="259" w:lineRule="auto"/>
        <w:jc w:val="left"/>
        <w:rPr>
          <w:rFonts w:cs="Times New Roman"/>
          <w:lang w:eastAsia="en-GB"/>
        </w:rPr>
      </w:pPr>
      <w:r w:rsidRPr="00017F91">
        <w:rPr>
          <w:rFonts w:cs="Times New Roman"/>
          <w:lang w:eastAsia="en-GB"/>
        </w:rPr>
        <w:br w:type="page"/>
      </w:r>
    </w:p>
    <w:p w14:paraId="1F65EAAD" w14:textId="77777777" w:rsidR="00003EBB" w:rsidRPr="00017F91" w:rsidRDefault="00003EBB" w:rsidP="00003EBB">
      <w:pPr>
        <w:pStyle w:val="Heading1"/>
        <w:rPr>
          <w:rFonts w:cs="Times New Roman"/>
          <w:lang w:eastAsia="en-GB"/>
        </w:rPr>
      </w:pPr>
      <w:bookmarkStart w:id="1" w:name="_Toc191624104"/>
      <w:r w:rsidRPr="00017F91">
        <w:rPr>
          <w:rFonts w:cs="Times New Roman"/>
          <w:lang w:eastAsia="en-GB"/>
        </w:rPr>
        <w:lastRenderedPageBreak/>
        <w:t>Introduction</w:t>
      </w:r>
      <w:bookmarkEnd w:id="1"/>
      <w:r w:rsidRPr="00017F91">
        <w:rPr>
          <w:rFonts w:cs="Times New Roman"/>
          <w:lang w:eastAsia="en-GB"/>
        </w:rPr>
        <w:t xml:space="preserve"> </w:t>
      </w:r>
    </w:p>
    <w:p w14:paraId="23E8A014" w14:textId="77777777" w:rsidR="00003EBB" w:rsidRPr="00017F91" w:rsidRDefault="00003EBB" w:rsidP="00003EBB">
      <w:pPr>
        <w:rPr>
          <w:rFonts w:eastAsia="Times New Roman" w:cs="Times New Roman"/>
          <w:szCs w:val="24"/>
          <w:lang w:eastAsia="en-GB"/>
        </w:rPr>
      </w:pPr>
      <w:r w:rsidRPr="00017F91">
        <w:rPr>
          <w:rFonts w:cs="Times New Roman"/>
          <w:color w:val="000000" w:themeColor="text1"/>
          <w:lang w:eastAsia="en-GB"/>
        </w:rPr>
        <w:t xml:space="preserve">MICE events foster industry growth, networking, and expertise. The proposed worldwide conference, "Equality, Diversity, and Inclusion within Industry," promotes mother rights, workplace inclusion, and corporate diversity. New and prospective mothers, HR professionals, corporate leaders, and lawmakers discuss maternity leave, workplace flexibility, and employment rights. UK data suggests that 54,000 moms quit due to pregnancy-related prejudice </w:t>
      </w:r>
      <w:r w:rsidRPr="00017F91">
        <w:rPr>
          <w:rFonts w:eastAsia="Times New Roman" w:cs="Times New Roman"/>
          <w:color w:val="000000" w:themeColor="text1"/>
          <w:szCs w:val="24"/>
          <w:lang w:eastAsia="en-GB"/>
        </w:rPr>
        <w:t>(EHRC, 2024)</w:t>
      </w:r>
      <w:r w:rsidRPr="00017F91">
        <w:rPr>
          <w:rFonts w:cs="Times New Roman"/>
          <w:color w:val="000000" w:themeColor="text1"/>
          <w:lang w:eastAsia="en-GB"/>
        </w:rPr>
        <w:t xml:space="preserve">. Parenting and work are also difficult (77%) for working mothers </w:t>
      </w:r>
      <w:r w:rsidRPr="00017F91">
        <w:rPr>
          <w:rFonts w:eastAsia="Times New Roman" w:cs="Times New Roman"/>
          <w:color w:val="000000" w:themeColor="text1"/>
          <w:szCs w:val="24"/>
          <w:lang w:eastAsia="en-GB"/>
        </w:rPr>
        <w:t>(Maternityaction.org.uk, 2023)</w:t>
      </w:r>
      <w:r w:rsidRPr="00017F91">
        <w:rPr>
          <w:rFonts w:cs="Times New Roman"/>
          <w:color w:val="000000" w:themeColor="text1"/>
          <w:lang w:eastAsia="en-GB"/>
        </w:rPr>
        <w:t xml:space="preserve">. Formal presentations and expert-led workshops on these themes require this event. </w:t>
      </w:r>
      <w:r w:rsidRPr="00017F91">
        <w:rPr>
          <w:rFonts w:eastAsia="Times New Roman" w:cs="Times New Roman"/>
          <w:color w:val="000000" w:themeColor="text1"/>
          <w:szCs w:val="24"/>
          <w:lang w:eastAsia="en-GB"/>
        </w:rPr>
        <w:t xml:space="preserve">Assessment 1 examined market demand, financial sustainability, and operational viability for event feasibility. For its accessibility, conference amenities, and 270-person capacity, the Marriott Hotel Leicester was chosen. Keynotes, breakouts, and networking promote deep conversations. HR professionals, policymakers, and business executives benefit from this strategic design and collaboration. The site supports inclusive policy insights events and maternity workplace inclusion aims. </w:t>
      </w:r>
      <w:r w:rsidRPr="00017F91">
        <w:rPr>
          <w:rFonts w:eastAsia="Times New Roman" w:cs="Times New Roman"/>
          <w:color w:val="000000" w:themeColor="text1"/>
          <w:szCs w:val="24"/>
          <w:lang w:eastAsia="en-GB"/>
        </w:rPr>
        <w:br/>
      </w:r>
      <w:r w:rsidRPr="00017F91">
        <w:rPr>
          <w:rFonts w:eastAsia="Times New Roman" w:cs="Times New Roman"/>
          <w:szCs w:val="24"/>
          <w:lang w:eastAsia="en-GB"/>
        </w:rPr>
        <w:br/>
      </w:r>
    </w:p>
    <w:p w14:paraId="2E51DFB5" w14:textId="77777777" w:rsidR="00003EBB" w:rsidRPr="00017F91" w:rsidRDefault="00003EBB" w:rsidP="00003EBB">
      <w:pPr>
        <w:rPr>
          <w:rFonts w:cs="Times New Roman"/>
          <w:lang w:eastAsia="en-GB"/>
        </w:rPr>
      </w:pPr>
    </w:p>
    <w:p w14:paraId="15FFDE53" w14:textId="77777777" w:rsidR="00003EBB" w:rsidRPr="00017F91" w:rsidRDefault="00003EBB" w:rsidP="00003EBB">
      <w:pPr>
        <w:rPr>
          <w:rFonts w:cs="Times New Roman"/>
          <w:lang w:eastAsia="en-GB"/>
        </w:rPr>
      </w:pPr>
    </w:p>
    <w:p w14:paraId="1400D924" w14:textId="77777777" w:rsidR="00003EBB" w:rsidRPr="00017F91" w:rsidRDefault="00003EBB" w:rsidP="00003EBB">
      <w:pPr>
        <w:rPr>
          <w:rFonts w:cs="Times New Roman"/>
          <w:lang w:eastAsia="en-GB"/>
        </w:rPr>
      </w:pPr>
    </w:p>
    <w:p w14:paraId="7F96FC63" w14:textId="77777777" w:rsidR="00003EBB" w:rsidRPr="00017F91" w:rsidRDefault="00003EBB" w:rsidP="00003EBB">
      <w:pPr>
        <w:rPr>
          <w:rFonts w:cs="Times New Roman"/>
          <w:lang w:eastAsia="en-GB"/>
        </w:rPr>
      </w:pPr>
    </w:p>
    <w:p w14:paraId="5E5D58A6" w14:textId="77777777" w:rsidR="00003EBB" w:rsidRPr="00017F91" w:rsidRDefault="00003EBB" w:rsidP="00003EBB">
      <w:pPr>
        <w:rPr>
          <w:rFonts w:cs="Times New Roman"/>
          <w:lang w:eastAsia="en-GB"/>
        </w:rPr>
      </w:pPr>
    </w:p>
    <w:p w14:paraId="3E1ECDB8" w14:textId="77777777" w:rsidR="00003EBB" w:rsidRPr="00017F91" w:rsidRDefault="00003EBB" w:rsidP="00003EBB">
      <w:pPr>
        <w:rPr>
          <w:rFonts w:cs="Times New Roman"/>
          <w:lang w:eastAsia="en-GB"/>
        </w:rPr>
      </w:pPr>
    </w:p>
    <w:p w14:paraId="3EC6D786" w14:textId="77777777" w:rsidR="00003EBB" w:rsidRPr="00017F91" w:rsidRDefault="00003EBB" w:rsidP="00003EBB">
      <w:pPr>
        <w:rPr>
          <w:rFonts w:cs="Times New Roman"/>
          <w:lang w:eastAsia="en-GB"/>
        </w:rPr>
      </w:pPr>
    </w:p>
    <w:p w14:paraId="6D46F4B0" w14:textId="77777777" w:rsidR="00003EBB" w:rsidRPr="00017F91" w:rsidRDefault="00003EBB" w:rsidP="00003EBB">
      <w:pPr>
        <w:rPr>
          <w:rFonts w:cs="Times New Roman"/>
          <w:lang w:eastAsia="en-GB"/>
        </w:rPr>
      </w:pPr>
    </w:p>
    <w:p w14:paraId="5625E8F1" w14:textId="77777777" w:rsidR="00003EBB" w:rsidRPr="00017F91" w:rsidRDefault="00003EBB" w:rsidP="00003EBB">
      <w:pPr>
        <w:rPr>
          <w:rFonts w:cs="Times New Roman"/>
          <w:lang w:eastAsia="en-GB"/>
        </w:rPr>
      </w:pPr>
    </w:p>
    <w:p w14:paraId="076639B3" w14:textId="77777777" w:rsidR="00003EBB" w:rsidRPr="00017F91" w:rsidRDefault="00003EBB" w:rsidP="00003EBB">
      <w:pPr>
        <w:rPr>
          <w:rFonts w:cs="Times New Roman"/>
          <w:lang w:eastAsia="en-GB"/>
        </w:rPr>
      </w:pPr>
    </w:p>
    <w:p w14:paraId="77C03AD3" w14:textId="77777777" w:rsidR="00003EBB" w:rsidRPr="00017F91" w:rsidRDefault="00003EBB" w:rsidP="00003EBB">
      <w:pPr>
        <w:rPr>
          <w:rFonts w:cs="Times New Roman"/>
          <w:lang w:eastAsia="en-GB"/>
        </w:rPr>
      </w:pPr>
    </w:p>
    <w:p w14:paraId="249DB6B3" w14:textId="77777777" w:rsidR="00003EBB" w:rsidRPr="00017F91" w:rsidRDefault="00003EBB" w:rsidP="00003EBB">
      <w:pPr>
        <w:pStyle w:val="Heading1"/>
        <w:rPr>
          <w:rFonts w:cs="Times New Roman"/>
          <w:lang w:eastAsia="en-GB"/>
        </w:rPr>
      </w:pPr>
      <w:bookmarkStart w:id="2" w:name="_Toc191624105"/>
      <w:r w:rsidRPr="00017F91">
        <w:rPr>
          <w:rFonts w:cs="Times New Roman"/>
          <w:lang w:eastAsia="en-GB"/>
        </w:rPr>
        <w:lastRenderedPageBreak/>
        <w:t>The Event Cycle</w:t>
      </w:r>
      <w:bookmarkEnd w:id="2"/>
      <w:r w:rsidRPr="00017F91">
        <w:rPr>
          <w:rFonts w:cs="Times New Roman"/>
          <w:lang w:eastAsia="en-GB"/>
        </w:rPr>
        <w:t xml:space="preserve"> </w:t>
      </w:r>
    </w:p>
    <w:p w14:paraId="5176C938" w14:textId="77777777" w:rsidR="00003EBB" w:rsidRPr="00017F91" w:rsidRDefault="00003EBB" w:rsidP="00003EBB">
      <w:pPr>
        <w:rPr>
          <w:rFonts w:eastAsia="Times New Roman" w:cs="Times New Roman"/>
          <w:color w:val="000000" w:themeColor="text1"/>
          <w:szCs w:val="24"/>
          <w:lang w:eastAsia="en-GB"/>
        </w:rPr>
      </w:pPr>
      <w:r w:rsidRPr="00017F91">
        <w:rPr>
          <w:rFonts w:cs="Times New Roman"/>
          <w:color w:val="000000" w:themeColor="text1"/>
          <w:lang w:eastAsia="en-GB"/>
        </w:rPr>
        <w:t xml:space="preserve">The event cycle plans, executes, and evaluates. Organisation and delivery improve with strategic, operational, and logistical considerations. Planning, implementation, event execution, and evaluation are typical. Each phase is crucial to event success </w:t>
      </w:r>
      <w:r w:rsidRPr="00017F91">
        <w:rPr>
          <w:rFonts w:eastAsia="Times New Roman" w:cs="Times New Roman"/>
          <w:color w:val="000000" w:themeColor="text1"/>
          <w:szCs w:val="24"/>
          <w:lang w:eastAsia="en-GB"/>
        </w:rPr>
        <w:t>(Allen et al., 2022)</w:t>
      </w:r>
      <w:r w:rsidRPr="00017F91">
        <w:rPr>
          <w:rFonts w:cs="Times New Roman"/>
          <w:color w:val="000000" w:themeColor="text1"/>
          <w:lang w:eastAsia="en-GB"/>
        </w:rPr>
        <w:t xml:space="preserve">. The "Mother and Baby (New and To-Be Mother)" event actively supports industry fairness, diversity, and inclusion throughout each cycle phase. </w:t>
      </w:r>
      <w:r w:rsidRPr="00017F91">
        <w:rPr>
          <w:rFonts w:eastAsia="Times New Roman" w:cs="Times New Roman"/>
          <w:color w:val="000000" w:themeColor="text1"/>
          <w:szCs w:val="24"/>
          <w:lang w:eastAsia="en-GB"/>
        </w:rPr>
        <w:t xml:space="preserve">The EMBOK guides event planning and execution. Logistics, marketing, HR, finance, and event planning matter (Liberato et al., 2024). EMBOK ensures consistency and efficiency in event planning, implementation, and evaluation. Stakeholder engagement, risk management, and sustainability are emphasised. EMBOK helps event organisers plan and execute for success and stakeholder satisfaction. </w:t>
      </w:r>
    </w:p>
    <w:p w14:paraId="55123B2A" w14:textId="77777777" w:rsidR="00003EBB" w:rsidRPr="00017F91" w:rsidRDefault="00003EBB" w:rsidP="00003EBB">
      <w:pPr>
        <w:rPr>
          <w:rFonts w:eastAsia="Times New Roman" w:cs="Times New Roman"/>
          <w:szCs w:val="24"/>
          <w:lang w:eastAsia="en-GB"/>
        </w:rPr>
      </w:pPr>
      <w:r w:rsidRPr="00017F91">
        <w:rPr>
          <w:rFonts w:cs="Times New Roman"/>
          <w:b/>
        </w:rPr>
        <w:t>Initiation Phase:</w:t>
      </w:r>
      <w:r w:rsidRPr="00017F91">
        <w:rPr>
          <w:rFonts w:cs="Times New Roman"/>
        </w:rPr>
        <w:t xml:space="preserve"> </w:t>
      </w:r>
      <w:r w:rsidRPr="00017F91">
        <w:rPr>
          <w:rFonts w:cs="Times New Roman"/>
          <w:lang w:eastAsia="en-GB"/>
        </w:rPr>
        <w:t xml:space="preserve">First, determine the event's purpose, feasibility, and goals. Event suitability for industry, stakeholders, and resources is assessed </w:t>
      </w:r>
      <w:r w:rsidRPr="00017F91">
        <w:rPr>
          <w:rFonts w:eastAsia="Times New Roman" w:cs="Times New Roman"/>
          <w:szCs w:val="24"/>
          <w:lang w:eastAsia="en-GB"/>
        </w:rPr>
        <w:t>(</w:t>
      </w:r>
      <w:proofErr w:type="spellStart"/>
      <w:r w:rsidRPr="00017F91">
        <w:rPr>
          <w:rFonts w:eastAsia="Times New Roman" w:cs="Times New Roman"/>
          <w:szCs w:val="24"/>
          <w:lang w:eastAsia="en-GB"/>
        </w:rPr>
        <w:t>Zallio</w:t>
      </w:r>
      <w:proofErr w:type="spellEnd"/>
      <w:r w:rsidRPr="00017F91">
        <w:rPr>
          <w:rFonts w:eastAsia="Times New Roman" w:cs="Times New Roman"/>
          <w:szCs w:val="24"/>
          <w:lang w:eastAsia="en-GB"/>
        </w:rPr>
        <w:t xml:space="preserve"> and Clarkson, 2022)</w:t>
      </w:r>
      <w:r w:rsidRPr="00017F91">
        <w:rPr>
          <w:rFonts w:cs="Times New Roman"/>
          <w:lang w:eastAsia="en-GB"/>
        </w:rPr>
        <w:t xml:space="preserve">. A feasibility study analysed event demand, operational demands, and financial sustainability. Research reveals that industry-wide maternity rights, workplace standards, and working mother support conversations are needed. </w:t>
      </w:r>
      <w:r w:rsidRPr="00017F91">
        <w:rPr>
          <w:rFonts w:eastAsia="Times New Roman" w:cs="Times New Roman"/>
          <w:szCs w:val="24"/>
          <w:lang w:eastAsia="en-GB"/>
        </w:rPr>
        <w:t xml:space="preserve">Parliament.UK (2025) </w:t>
      </w:r>
      <w:r w:rsidRPr="00017F91">
        <w:rPr>
          <w:rFonts w:cs="Times New Roman"/>
          <w:lang w:eastAsia="en-GB"/>
        </w:rPr>
        <w:t xml:space="preserve">says that 75% of mothers with dependent children work, yet many face maternity discrimination and workplace flexibility concerns. Addressing these issues at an industry convention links markets. Funding, venue compatibility, audience demand, and stakeholder involvement were examined in the feasibility study. The Marriott Hotel Leicester's accessibility, capacity, and professional services for 270 guests were our choice. Minimum ticket and sponsorship commitment was £29,000. These components proved it. </w:t>
      </w:r>
    </w:p>
    <w:p w14:paraId="3774A196" w14:textId="77777777" w:rsidR="00003EBB" w:rsidRPr="00017F91" w:rsidRDefault="00003EBB" w:rsidP="00003EBB">
      <w:pPr>
        <w:rPr>
          <w:rFonts w:eastAsia="Times New Roman" w:cs="Times New Roman"/>
          <w:color w:val="000000" w:themeColor="text1"/>
          <w:szCs w:val="24"/>
          <w:lang w:eastAsia="en-GB"/>
        </w:rPr>
      </w:pPr>
      <w:r w:rsidRPr="00017F91">
        <w:rPr>
          <w:rFonts w:cs="Times New Roman"/>
          <w:b/>
          <w:color w:val="000000" w:themeColor="text1"/>
        </w:rPr>
        <w:t>Planning Phase:</w:t>
      </w:r>
      <w:r w:rsidRPr="00017F91">
        <w:rPr>
          <w:rFonts w:cs="Times New Roman"/>
          <w:color w:val="000000" w:themeColor="text1"/>
        </w:rPr>
        <w:t xml:space="preserve"> </w:t>
      </w:r>
      <w:r w:rsidRPr="00017F91">
        <w:rPr>
          <w:rFonts w:cs="Times New Roman"/>
          <w:color w:val="000000" w:themeColor="text1"/>
          <w:lang w:eastAsia="en-GB"/>
        </w:rPr>
        <w:t xml:space="preserve">Planners consider logistics, goals, and resources. Included are risk assessment, speaker confirmation, advertising, budgeting, and supplier selection. EMBOK strategy models coordinate, manage risk, and develop event experiences. Industry, HR, and policy professionals gave keynotes, panels, and workshops </w:t>
      </w:r>
      <w:r w:rsidRPr="00017F91">
        <w:rPr>
          <w:rFonts w:eastAsia="Times New Roman" w:cs="Times New Roman"/>
          <w:color w:val="000000" w:themeColor="text1"/>
          <w:szCs w:val="24"/>
          <w:lang w:eastAsia="en-GB"/>
        </w:rPr>
        <w:t>(Getz and Page, 2019)</w:t>
      </w:r>
      <w:r w:rsidRPr="00017F91">
        <w:rPr>
          <w:rFonts w:cs="Times New Roman"/>
          <w:color w:val="000000" w:themeColor="text1"/>
          <w:lang w:eastAsia="en-GB"/>
        </w:rPr>
        <w:t xml:space="preserve">. Workplace engagement, maternal rights, and childcare laws were discussed. LinkedIn, Instagram, and HR forums were used to market to working mothers, HR professionals, and corporate diversity officials. Speakers and sponsorships mattered. Executives and employment attorneys discussed motherhood rights. Sponsorship was sought from maternity and business brands. Low ticket sales, logistical concerns, and technical issues were considered. </w:t>
      </w:r>
    </w:p>
    <w:p w14:paraId="1067BD7A" w14:textId="77777777" w:rsidR="00003EBB" w:rsidRPr="00017F91" w:rsidRDefault="00003EBB" w:rsidP="00003EBB">
      <w:pPr>
        <w:rPr>
          <w:rFonts w:eastAsia="Times New Roman" w:cs="Times New Roman"/>
          <w:szCs w:val="24"/>
          <w:lang w:eastAsia="en-GB"/>
        </w:rPr>
      </w:pPr>
      <w:r w:rsidRPr="00017F91">
        <w:rPr>
          <w:rFonts w:cs="Times New Roman"/>
          <w:b/>
        </w:rPr>
        <w:lastRenderedPageBreak/>
        <w:t>Implementation Phase:</w:t>
      </w:r>
      <w:r w:rsidRPr="00017F91">
        <w:rPr>
          <w:rFonts w:cs="Times New Roman"/>
        </w:rPr>
        <w:t xml:space="preserve"> </w:t>
      </w:r>
      <w:r w:rsidRPr="00017F91">
        <w:rPr>
          <w:rFonts w:cs="Times New Roman"/>
          <w:lang w:eastAsia="en-GB"/>
        </w:rPr>
        <w:t xml:space="preserve">In this phase marketing, venue, and resource allocation are important. Finish planning before the event. Marketing targets pregnant women and entrepreneurs. Including email marketing, social media ads, and advocacy alliances </w:t>
      </w:r>
      <w:r w:rsidRPr="00017F91">
        <w:rPr>
          <w:rFonts w:eastAsia="Times New Roman" w:cs="Times New Roman"/>
          <w:szCs w:val="24"/>
          <w:lang w:eastAsia="en-GB"/>
        </w:rPr>
        <w:t>(Roth, 2024)</w:t>
      </w:r>
      <w:r w:rsidRPr="00017F91">
        <w:rPr>
          <w:rFonts w:cs="Times New Roman"/>
          <w:lang w:eastAsia="en-GB"/>
        </w:rPr>
        <w:t xml:space="preserve">. Managing sponsorships and tickets boosted revenue. Menus, seats, and audio-visual equipment were coordinated. Event staff were trained to handle attendees and lead discussions. Diverse nursery and wheelchair access were confirmed. Preparing speakers improves panel discussions and presentations. </w:t>
      </w:r>
    </w:p>
    <w:p w14:paraId="76DCBDD2" w14:textId="77777777" w:rsidR="00003EBB" w:rsidRPr="00017F91" w:rsidRDefault="00003EBB" w:rsidP="00003EBB">
      <w:pPr>
        <w:rPr>
          <w:rFonts w:eastAsia="Times New Roman" w:cs="Times New Roman"/>
          <w:szCs w:val="24"/>
          <w:lang w:eastAsia="en-GB"/>
        </w:rPr>
      </w:pPr>
      <w:r w:rsidRPr="00017F91">
        <w:rPr>
          <w:rFonts w:cs="Times New Roman"/>
          <w:b/>
        </w:rPr>
        <w:t>Event Execution Phase:</w:t>
      </w:r>
      <w:r w:rsidRPr="00017F91">
        <w:rPr>
          <w:rFonts w:cs="Times New Roman"/>
        </w:rPr>
        <w:t xml:space="preserve"> </w:t>
      </w:r>
      <w:r w:rsidRPr="00017F91">
        <w:rPr>
          <w:rFonts w:cs="Times New Roman"/>
          <w:lang w:eastAsia="en-GB"/>
        </w:rPr>
        <w:t xml:space="preserve">Events require coordination and real-time management. Marriott Hotel Leicester event day registration booths streamline check-ins. A workplace maternity inclusion speech starts the meeting. Maternity rights, flexible work, and working mother business aid are discussed </w:t>
      </w:r>
      <w:r w:rsidRPr="00017F91">
        <w:rPr>
          <w:rFonts w:eastAsia="Times New Roman" w:cs="Times New Roman"/>
          <w:szCs w:val="24"/>
          <w:lang w:eastAsia="en-GB"/>
        </w:rPr>
        <w:t>(Clark, Mauck and Pruitt, 2021)</w:t>
      </w:r>
      <w:r w:rsidRPr="00017F91">
        <w:rPr>
          <w:rFonts w:cs="Times New Roman"/>
          <w:lang w:eastAsia="en-GB"/>
        </w:rPr>
        <w:t xml:space="preserve">. Workshops teach mothers mental health, legal rights, and career advancement. Write to lawmakers, HR experts, and advocacy groups. Audiences like engaging Q and A. Real-time monitoring of food and technological assistance ensures smooth operations. Tech issues and schedule delays are resolved immediately. </w:t>
      </w:r>
    </w:p>
    <w:p w14:paraId="0D6B0C97" w14:textId="77777777" w:rsidR="00003EBB" w:rsidRPr="00017F91" w:rsidRDefault="00003EBB" w:rsidP="00003EBB">
      <w:pPr>
        <w:rPr>
          <w:rFonts w:cs="Times New Roman"/>
          <w:lang w:eastAsia="en-GB"/>
        </w:rPr>
      </w:pPr>
      <w:r w:rsidRPr="00017F91">
        <w:rPr>
          <w:rFonts w:cs="Times New Roman"/>
          <w:b/>
        </w:rPr>
        <w:t>Post-Event Evaluation Phase:</w:t>
      </w:r>
      <w:r w:rsidRPr="00017F91">
        <w:rPr>
          <w:rFonts w:cs="Times New Roman"/>
        </w:rPr>
        <w:t xml:space="preserve"> </w:t>
      </w:r>
      <w:r w:rsidRPr="00017F91">
        <w:rPr>
          <w:rFonts w:cs="Times New Roman"/>
          <w:lang w:eastAsia="en-GB"/>
        </w:rPr>
        <w:t xml:space="preserve">Financial performance, strategic impact, and participant feedback determine event success. Surveys of attendees, speakers, and sponsors evaluate events. Ticket sales, sponsorships, and social media engagement assess financial and promotional performance. A post-event report emphasises accomplishments, challenges, and improvements </w:t>
      </w:r>
      <w:r w:rsidRPr="00017F91">
        <w:rPr>
          <w:rFonts w:eastAsia="Times New Roman" w:cs="Times New Roman"/>
          <w:szCs w:val="24"/>
          <w:lang w:eastAsia="en-GB"/>
        </w:rPr>
        <w:t>(Liberato et al., 2024)</w:t>
      </w:r>
      <w:r w:rsidRPr="00017F91">
        <w:rPr>
          <w:rFonts w:cs="Times New Roman"/>
          <w:lang w:eastAsia="en-GB"/>
        </w:rPr>
        <w:t xml:space="preserve">. A stakeholder debrief covers strengths and weaknesses. Feedback enhances later occurrences. Financial summary tracks budget compliance and ROI. </w:t>
      </w:r>
    </w:p>
    <w:p w14:paraId="5ECEB487" w14:textId="77777777" w:rsidR="00003EBB" w:rsidRPr="00017F91" w:rsidRDefault="00003EBB" w:rsidP="00003EBB">
      <w:pPr>
        <w:rPr>
          <w:rFonts w:eastAsia="Times New Roman" w:cs="Times New Roman"/>
          <w:szCs w:val="24"/>
          <w:lang w:eastAsia="en-GB"/>
        </w:rPr>
      </w:pPr>
      <w:r w:rsidRPr="00017F91">
        <w:rPr>
          <w:rFonts w:eastAsia="Times New Roman" w:cs="Times New Roman"/>
          <w:noProof/>
          <w:szCs w:val="24"/>
          <w:lang w:eastAsia="en-GB"/>
        </w:rPr>
        <w:drawing>
          <wp:inline distT="0" distB="0" distL="0" distR="0" wp14:anchorId="279449C4" wp14:editId="7EDE99D9">
            <wp:extent cx="5848350" cy="2114550"/>
            <wp:effectExtent l="38100" t="0" r="1905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3AF0774F"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Figure 1: The event cycle</w:t>
      </w:r>
    </w:p>
    <w:p w14:paraId="361DEA7D"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Source: (Roth, 2024)</w:t>
      </w:r>
    </w:p>
    <w:p w14:paraId="34B9A09E" w14:textId="77777777" w:rsidR="00003EBB" w:rsidRPr="00017F91" w:rsidRDefault="00003EBB" w:rsidP="00003EBB">
      <w:pPr>
        <w:pStyle w:val="Heading1"/>
        <w:rPr>
          <w:rFonts w:cs="Times New Roman"/>
        </w:rPr>
      </w:pPr>
      <w:bookmarkStart w:id="3" w:name="_Toc191624106"/>
      <w:r w:rsidRPr="00017F91">
        <w:rPr>
          <w:rFonts w:cs="Times New Roman"/>
        </w:rPr>
        <w:lastRenderedPageBreak/>
        <w:t>Event Concept</w:t>
      </w:r>
      <w:bookmarkEnd w:id="3"/>
    </w:p>
    <w:p w14:paraId="505393C1" w14:textId="77777777" w:rsidR="00003EBB" w:rsidRPr="00017F91" w:rsidRDefault="00003EBB" w:rsidP="00003EBB">
      <w:pPr>
        <w:rPr>
          <w:rFonts w:cs="Times New Roman"/>
          <w:b/>
        </w:rPr>
      </w:pPr>
      <w:r w:rsidRPr="00017F91">
        <w:rPr>
          <w:rFonts w:cs="Times New Roman"/>
          <w:b/>
        </w:rPr>
        <w:t>Itinerary</w:t>
      </w:r>
    </w:p>
    <w:tbl>
      <w:tblPr>
        <w:tblStyle w:val="GridTable4-Accent6"/>
        <w:tblW w:w="5000" w:type="pct"/>
        <w:tblLook w:val="04A0" w:firstRow="1" w:lastRow="0" w:firstColumn="1" w:lastColumn="0" w:noHBand="0" w:noVBand="1"/>
      </w:tblPr>
      <w:tblGrid>
        <w:gridCol w:w="1013"/>
        <w:gridCol w:w="2226"/>
        <w:gridCol w:w="2294"/>
        <w:gridCol w:w="3817"/>
      </w:tblGrid>
      <w:tr w:rsidR="00003EBB" w:rsidRPr="00017F91" w14:paraId="4A38A0CD" w14:textId="77777777" w:rsidTr="00EE5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31584275" w14:textId="77777777" w:rsidR="00003EBB" w:rsidRPr="00017F91" w:rsidRDefault="00003EBB" w:rsidP="00EE58AC">
            <w:pPr>
              <w:rPr>
                <w:rFonts w:cs="Times New Roman"/>
                <w:color w:val="auto"/>
              </w:rPr>
            </w:pPr>
            <w:r w:rsidRPr="00017F91">
              <w:rPr>
                <w:rFonts w:cs="Times New Roman"/>
                <w:color w:val="auto"/>
              </w:rPr>
              <w:t>Time</w:t>
            </w:r>
          </w:p>
        </w:tc>
        <w:tc>
          <w:tcPr>
            <w:tcW w:w="1172" w:type="pct"/>
            <w:hideMark/>
          </w:tcPr>
          <w:p w14:paraId="21FA5933"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Session</w:t>
            </w:r>
          </w:p>
        </w:tc>
        <w:tc>
          <w:tcPr>
            <w:tcW w:w="1207" w:type="pct"/>
            <w:hideMark/>
          </w:tcPr>
          <w:p w14:paraId="1C3CB313"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Speaker(s)</w:t>
            </w:r>
          </w:p>
        </w:tc>
        <w:tc>
          <w:tcPr>
            <w:tcW w:w="2008" w:type="pct"/>
            <w:hideMark/>
          </w:tcPr>
          <w:p w14:paraId="5FAEA68F"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Description</w:t>
            </w:r>
          </w:p>
        </w:tc>
      </w:tr>
      <w:tr w:rsidR="00003EBB" w:rsidRPr="00017F91" w14:paraId="4DC36442"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797DC50A" w14:textId="77777777" w:rsidR="00003EBB" w:rsidRPr="00017F91" w:rsidRDefault="00003EBB" w:rsidP="00EE58AC">
            <w:pPr>
              <w:rPr>
                <w:rFonts w:cs="Times New Roman"/>
              </w:rPr>
            </w:pPr>
            <w:r w:rsidRPr="00017F91">
              <w:rPr>
                <w:rFonts w:cs="Times New Roman"/>
              </w:rPr>
              <w:t>09:00-09:30</w:t>
            </w:r>
          </w:p>
        </w:tc>
        <w:tc>
          <w:tcPr>
            <w:tcW w:w="1172" w:type="pct"/>
            <w:hideMark/>
          </w:tcPr>
          <w:p w14:paraId="68FD1867"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Registration and Networking</w:t>
            </w:r>
          </w:p>
        </w:tc>
        <w:tc>
          <w:tcPr>
            <w:tcW w:w="1207" w:type="pct"/>
            <w:hideMark/>
          </w:tcPr>
          <w:p w14:paraId="509E065A"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Event Staff</w:t>
            </w:r>
          </w:p>
        </w:tc>
        <w:tc>
          <w:tcPr>
            <w:tcW w:w="2008" w:type="pct"/>
            <w:hideMark/>
          </w:tcPr>
          <w:p w14:paraId="596689DA"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Attendees check in and receive event materials</w:t>
            </w:r>
          </w:p>
        </w:tc>
      </w:tr>
      <w:tr w:rsidR="00003EBB" w:rsidRPr="00017F91" w14:paraId="5C739497" w14:textId="77777777" w:rsidTr="00EE58AC">
        <w:tc>
          <w:tcPr>
            <w:cnfStyle w:val="001000000000" w:firstRow="0" w:lastRow="0" w:firstColumn="1" w:lastColumn="0" w:oddVBand="0" w:evenVBand="0" w:oddHBand="0" w:evenHBand="0" w:firstRowFirstColumn="0" w:firstRowLastColumn="0" w:lastRowFirstColumn="0" w:lastRowLastColumn="0"/>
            <w:tcW w:w="533" w:type="pct"/>
            <w:hideMark/>
          </w:tcPr>
          <w:p w14:paraId="5BEA1FAD" w14:textId="77777777" w:rsidR="00003EBB" w:rsidRPr="00017F91" w:rsidRDefault="00003EBB" w:rsidP="00EE58AC">
            <w:pPr>
              <w:rPr>
                <w:rFonts w:cs="Times New Roman"/>
              </w:rPr>
            </w:pPr>
            <w:r w:rsidRPr="00017F91">
              <w:rPr>
                <w:rFonts w:cs="Times New Roman"/>
              </w:rPr>
              <w:t>09:30-10:00</w:t>
            </w:r>
          </w:p>
        </w:tc>
        <w:tc>
          <w:tcPr>
            <w:tcW w:w="1172" w:type="pct"/>
            <w:hideMark/>
          </w:tcPr>
          <w:p w14:paraId="3FCE18AC"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Opening Remarks</w:t>
            </w:r>
          </w:p>
        </w:tc>
        <w:tc>
          <w:tcPr>
            <w:tcW w:w="1207" w:type="pct"/>
            <w:hideMark/>
          </w:tcPr>
          <w:p w14:paraId="60955CBE"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Keynote Speaker</w:t>
            </w:r>
          </w:p>
        </w:tc>
        <w:tc>
          <w:tcPr>
            <w:tcW w:w="2008" w:type="pct"/>
            <w:hideMark/>
          </w:tcPr>
          <w:p w14:paraId="5D13D231"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Overview of Maternity Inclusion Trends</w:t>
            </w:r>
          </w:p>
        </w:tc>
      </w:tr>
      <w:tr w:rsidR="00003EBB" w:rsidRPr="00017F91" w14:paraId="1D8EE3AE"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5918492F" w14:textId="77777777" w:rsidR="00003EBB" w:rsidRPr="00017F91" w:rsidRDefault="00003EBB" w:rsidP="00EE58AC">
            <w:pPr>
              <w:rPr>
                <w:rFonts w:cs="Times New Roman"/>
              </w:rPr>
            </w:pPr>
            <w:r w:rsidRPr="00017F91">
              <w:rPr>
                <w:rFonts w:cs="Times New Roman"/>
              </w:rPr>
              <w:t>10:00-11:00</w:t>
            </w:r>
          </w:p>
        </w:tc>
        <w:tc>
          <w:tcPr>
            <w:tcW w:w="1172" w:type="pct"/>
            <w:hideMark/>
          </w:tcPr>
          <w:p w14:paraId="13BC723C"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Panel Discussion</w:t>
            </w:r>
          </w:p>
        </w:tc>
        <w:tc>
          <w:tcPr>
            <w:tcW w:w="1207" w:type="pct"/>
            <w:hideMark/>
          </w:tcPr>
          <w:p w14:paraId="3F771953"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HR Experts and Policymakers</w:t>
            </w:r>
          </w:p>
        </w:tc>
        <w:tc>
          <w:tcPr>
            <w:tcW w:w="2008" w:type="pct"/>
            <w:hideMark/>
          </w:tcPr>
          <w:p w14:paraId="57136177"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Maternity rights and corporate inclusion policies</w:t>
            </w:r>
          </w:p>
        </w:tc>
      </w:tr>
      <w:tr w:rsidR="00003EBB" w:rsidRPr="00017F91" w14:paraId="09887427" w14:textId="77777777" w:rsidTr="00EE58AC">
        <w:tc>
          <w:tcPr>
            <w:cnfStyle w:val="001000000000" w:firstRow="0" w:lastRow="0" w:firstColumn="1" w:lastColumn="0" w:oddVBand="0" w:evenVBand="0" w:oddHBand="0" w:evenHBand="0" w:firstRowFirstColumn="0" w:firstRowLastColumn="0" w:lastRowFirstColumn="0" w:lastRowLastColumn="0"/>
            <w:tcW w:w="533" w:type="pct"/>
            <w:hideMark/>
          </w:tcPr>
          <w:p w14:paraId="0DC14EB3" w14:textId="77777777" w:rsidR="00003EBB" w:rsidRPr="00017F91" w:rsidRDefault="00003EBB" w:rsidP="00EE58AC">
            <w:pPr>
              <w:rPr>
                <w:rFonts w:cs="Times New Roman"/>
              </w:rPr>
            </w:pPr>
            <w:r w:rsidRPr="00017F91">
              <w:rPr>
                <w:rFonts w:cs="Times New Roman"/>
              </w:rPr>
              <w:t>11:15-12:15</w:t>
            </w:r>
          </w:p>
        </w:tc>
        <w:tc>
          <w:tcPr>
            <w:tcW w:w="1172" w:type="pct"/>
            <w:hideMark/>
          </w:tcPr>
          <w:p w14:paraId="4BF4DD41"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Workshop</w:t>
            </w:r>
          </w:p>
        </w:tc>
        <w:tc>
          <w:tcPr>
            <w:tcW w:w="1207" w:type="pct"/>
            <w:hideMark/>
          </w:tcPr>
          <w:p w14:paraId="0BD8D13F"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Employment Law Specialist</w:t>
            </w:r>
          </w:p>
        </w:tc>
        <w:tc>
          <w:tcPr>
            <w:tcW w:w="2008" w:type="pct"/>
            <w:hideMark/>
          </w:tcPr>
          <w:p w14:paraId="17E00E12"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Legal frameworks and maternity discrimination cases</w:t>
            </w:r>
          </w:p>
        </w:tc>
      </w:tr>
      <w:tr w:rsidR="00003EBB" w:rsidRPr="00017F91" w14:paraId="08932368"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52DCA4B4" w14:textId="77777777" w:rsidR="00003EBB" w:rsidRPr="00017F91" w:rsidRDefault="00003EBB" w:rsidP="00EE58AC">
            <w:pPr>
              <w:rPr>
                <w:rFonts w:cs="Times New Roman"/>
              </w:rPr>
            </w:pPr>
            <w:r w:rsidRPr="00017F91">
              <w:rPr>
                <w:rFonts w:cs="Times New Roman"/>
              </w:rPr>
              <w:t>12:30-13:30</w:t>
            </w:r>
          </w:p>
        </w:tc>
        <w:tc>
          <w:tcPr>
            <w:tcW w:w="1172" w:type="pct"/>
            <w:hideMark/>
          </w:tcPr>
          <w:p w14:paraId="75A7717E"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Lunch and Networking</w:t>
            </w:r>
          </w:p>
        </w:tc>
        <w:tc>
          <w:tcPr>
            <w:tcW w:w="1207" w:type="pct"/>
            <w:hideMark/>
          </w:tcPr>
          <w:p w14:paraId="33B9E264"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Attendees</w:t>
            </w:r>
          </w:p>
        </w:tc>
        <w:tc>
          <w:tcPr>
            <w:tcW w:w="2008" w:type="pct"/>
            <w:hideMark/>
          </w:tcPr>
          <w:p w14:paraId="7D2ED44A"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 xml:space="preserve">Informal discussions and industry networking </w:t>
            </w:r>
            <w:r w:rsidRPr="00017F91">
              <w:rPr>
                <w:rFonts w:eastAsia="Times New Roman" w:cs="Times New Roman"/>
                <w:szCs w:val="24"/>
                <w:lang w:eastAsia="en-GB"/>
              </w:rPr>
              <w:t>(</w:t>
            </w:r>
            <w:proofErr w:type="spellStart"/>
            <w:r w:rsidRPr="00017F91">
              <w:rPr>
                <w:rFonts w:eastAsia="Times New Roman" w:cs="Times New Roman"/>
                <w:szCs w:val="24"/>
                <w:lang w:eastAsia="en-GB"/>
              </w:rPr>
              <w:t>Zallio</w:t>
            </w:r>
            <w:proofErr w:type="spellEnd"/>
            <w:r w:rsidRPr="00017F91">
              <w:rPr>
                <w:rFonts w:eastAsia="Times New Roman" w:cs="Times New Roman"/>
                <w:szCs w:val="24"/>
                <w:lang w:eastAsia="en-GB"/>
              </w:rPr>
              <w:t xml:space="preserve"> and Clarkson, 2022).</w:t>
            </w:r>
          </w:p>
        </w:tc>
      </w:tr>
      <w:tr w:rsidR="00003EBB" w:rsidRPr="00017F91" w14:paraId="45FCE1BA" w14:textId="77777777" w:rsidTr="00EE58AC">
        <w:tc>
          <w:tcPr>
            <w:cnfStyle w:val="001000000000" w:firstRow="0" w:lastRow="0" w:firstColumn="1" w:lastColumn="0" w:oddVBand="0" w:evenVBand="0" w:oddHBand="0" w:evenHBand="0" w:firstRowFirstColumn="0" w:firstRowLastColumn="0" w:lastRowFirstColumn="0" w:lastRowLastColumn="0"/>
            <w:tcW w:w="533" w:type="pct"/>
            <w:hideMark/>
          </w:tcPr>
          <w:p w14:paraId="0FC1FE76" w14:textId="77777777" w:rsidR="00003EBB" w:rsidRPr="00017F91" w:rsidRDefault="00003EBB" w:rsidP="00EE58AC">
            <w:pPr>
              <w:rPr>
                <w:rFonts w:cs="Times New Roman"/>
              </w:rPr>
            </w:pPr>
            <w:r w:rsidRPr="00017F91">
              <w:rPr>
                <w:rFonts w:cs="Times New Roman"/>
              </w:rPr>
              <w:t>13:30-14:30</w:t>
            </w:r>
          </w:p>
        </w:tc>
        <w:tc>
          <w:tcPr>
            <w:tcW w:w="1172" w:type="pct"/>
            <w:hideMark/>
          </w:tcPr>
          <w:p w14:paraId="204BB8C1"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Corporate Case Study</w:t>
            </w:r>
          </w:p>
        </w:tc>
        <w:tc>
          <w:tcPr>
            <w:tcW w:w="1207" w:type="pct"/>
            <w:hideMark/>
          </w:tcPr>
          <w:p w14:paraId="13FB8D52"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Corporate Diversity Leader</w:t>
            </w:r>
          </w:p>
        </w:tc>
        <w:tc>
          <w:tcPr>
            <w:tcW w:w="2008" w:type="pct"/>
            <w:hideMark/>
          </w:tcPr>
          <w:p w14:paraId="34694806"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Successful Maternity Inclusion strategies in firms</w:t>
            </w:r>
          </w:p>
        </w:tc>
      </w:tr>
      <w:tr w:rsidR="00003EBB" w:rsidRPr="00017F91" w14:paraId="19BA797F"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116C645B" w14:textId="77777777" w:rsidR="00003EBB" w:rsidRPr="00017F91" w:rsidRDefault="00003EBB" w:rsidP="00EE58AC">
            <w:pPr>
              <w:rPr>
                <w:rFonts w:cs="Times New Roman"/>
              </w:rPr>
            </w:pPr>
            <w:r w:rsidRPr="00017F91">
              <w:rPr>
                <w:rFonts w:cs="Times New Roman"/>
              </w:rPr>
              <w:t>14:45-15:45</w:t>
            </w:r>
          </w:p>
        </w:tc>
        <w:tc>
          <w:tcPr>
            <w:tcW w:w="1172" w:type="pct"/>
            <w:hideMark/>
          </w:tcPr>
          <w:p w14:paraId="0652AAFD"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Mental Health and Well-being</w:t>
            </w:r>
          </w:p>
        </w:tc>
        <w:tc>
          <w:tcPr>
            <w:tcW w:w="1207" w:type="pct"/>
            <w:hideMark/>
          </w:tcPr>
          <w:p w14:paraId="2C765AAB"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Psychologists and HR Leaders</w:t>
            </w:r>
          </w:p>
        </w:tc>
        <w:tc>
          <w:tcPr>
            <w:tcW w:w="2008" w:type="pct"/>
            <w:hideMark/>
          </w:tcPr>
          <w:p w14:paraId="538112C9"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Balancing work, mental health, and childcare</w:t>
            </w:r>
          </w:p>
        </w:tc>
      </w:tr>
      <w:tr w:rsidR="00003EBB" w:rsidRPr="00017F91" w14:paraId="1AB9FF60" w14:textId="77777777" w:rsidTr="00EE58AC">
        <w:tc>
          <w:tcPr>
            <w:cnfStyle w:val="001000000000" w:firstRow="0" w:lastRow="0" w:firstColumn="1" w:lastColumn="0" w:oddVBand="0" w:evenVBand="0" w:oddHBand="0" w:evenHBand="0" w:firstRowFirstColumn="0" w:firstRowLastColumn="0" w:lastRowFirstColumn="0" w:lastRowLastColumn="0"/>
            <w:tcW w:w="533" w:type="pct"/>
            <w:hideMark/>
          </w:tcPr>
          <w:p w14:paraId="21D3B3C3" w14:textId="77777777" w:rsidR="00003EBB" w:rsidRPr="00017F91" w:rsidRDefault="00003EBB" w:rsidP="00EE58AC">
            <w:pPr>
              <w:rPr>
                <w:rFonts w:cs="Times New Roman"/>
              </w:rPr>
            </w:pPr>
            <w:r w:rsidRPr="00017F91">
              <w:rPr>
                <w:rFonts w:cs="Times New Roman"/>
              </w:rPr>
              <w:t>16:00-16:45</w:t>
            </w:r>
          </w:p>
        </w:tc>
        <w:tc>
          <w:tcPr>
            <w:tcW w:w="1172" w:type="pct"/>
            <w:hideMark/>
          </w:tcPr>
          <w:p w14:paraId="51A40346"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Future Strategies</w:t>
            </w:r>
          </w:p>
        </w:tc>
        <w:tc>
          <w:tcPr>
            <w:tcW w:w="1207" w:type="pct"/>
            <w:hideMark/>
          </w:tcPr>
          <w:p w14:paraId="1C1E808E"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Business Leaders and NGOs</w:t>
            </w:r>
          </w:p>
        </w:tc>
        <w:tc>
          <w:tcPr>
            <w:tcW w:w="2008" w:type="pct"/>
            <w:hideMark/>
          </w:tcPr>
          <w:p w14:paraId="59367F2E"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Building an inclusive workforce for mothers</w:t>
            </w:r>
          </w:p>
        </w:tc>
      </w:tr>
      <w:tr w:rsidR="00003EBB" w:rsidRPr="00017F91" w14:paraId="352DBF32"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3" w:type="pct"/>
            <w:hideMark/>
          </w:tcPr>
          <w:p w14:paraId="6C86BC6C" w14:textId="77777777" w:rsidR="00003EBB" w:rsidRPr="00017F91" w:rsidRDefault="00003EBB" w:rsidP="00EE58AC">
            <w:pPr>
              <w:rPr>
                <w:rFonts w:cs="Times New Roman"/>
              </w:rPr>
            </w:pPr>
            <w:r w:rsidRPr="00017F91">
              <w:rPr>
                <w:rFonts w:cs="Times New Roman"/>
              </w:rPr>
              <w:t>16:45-17:00</w:t>
            </w:r>
          </w:p>
        </w:tc>
        <w:tc>
          <w:tcPr>
            <w:tcW w:w="1172" w:type="pct"/>
            <w:hideMark/>
          </w:tcPr>
          <w:p w14:paraId="07F75E12"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Closing Remarks</w:t>
            </w:r>
          </w:p>
        </w:tc>
        <w:tc>
          <w:tcPr>
            <w:tcW w:w="1207" w:type="pct"/>
            <w:hideMark/>
          </w:tcPr>
          <w:p w14:paraId="37E07C21"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Event Chairperson</w:t>
            </w:r>
          </w:p>
        </w:tc>
        <w:tc>
          <w:tcPr>
            <w:tcW w:w="2008" w:type="pct"/>
            <w:hideMark/>
          </w:tcPr>
          <w:p w14:paraId="3A06E28B"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Summary and key takeaways</w:t>
            </w:r>
          </w:p>
        </w:tc>
      </w:tr>
    </w:tbl>
    <w:p w14:paraId="370CACB1" w14:textId="77777777" w:rsidR="00003EBB" w:rsidRPr="00017F91" w:rsidRDefault="00003EBB" w:rsidP="00003EBB">
      <w:pPr>
        <w:rPr>
          <w:rFonts w:eastAsia="Times New Roman" w:cs="Times New Roman"/>
          <w:szCs w:val="24"/>
          <w:lang w:eastAsia="en-GB"/>
        </w:rPr>
      </w:pPr>
      <w:r w:rsidRPr="00017F91">
        <w:rPr>
          <w:rFonts w:cs="Times New Roman"/>
        </w:rPr>
        <w:br/>
      </w:r>
      <w:r w:rsidRPr="00017F91">
        <w:rPr>
          <w:rFonts w:cs="Times New Roman"/>
          <w:lang w:eastAsia="en-GB"/>
        </w:rPr>
        <w:t xml:space="preserve">Program subjects include maternal inclusion, workplace standards, and employee well-being. Registration and Networking (09:00-09:30) allows attendees to check in, obtain materials, and socialise </w:t>
      </w:r>
      <w:r w:rsidRPr="00017F91">
        <w:rPr>
          <w:rFonts w:eastAsia="Times New Roman" w:cs="Times New Roman"/>
          <w:szCs w:val="24"/>
          <w:lang w:eastAsia="en-GB"/>
        </w:rPr>
        <w:t>(</w:t>
      </w:r>
      <w:proofErr w:type="spellStart"/>
      <w:r w:rsidRPr="00017F91">
        <w:rPr>
          <w:rFonts w:eastAsia="Times New Roman" w:cs="Times New Roman"/>
          <w:szCs w:val="24"/>
          <w:lang w:eastAsia="en-GB"/>
        </w:rPr>
        <w:t>Dashper</w:t>
      </w:r>
      <w:proofErr w:type="spellEnd"/>
      <w:r w:rsidRPr="00017F91">
        <w:rPr>
          <w:rFonts w:eastAsia="Times New Roman" w:cs="Times New Roman"/>
          <w:szCs w:val="24"/>
          <w:lang w:eastAsia="en-GB"/>
        </w:rPr>
        <w:t xml:space="preserve"> and Finkel, 2020)</w:t>
      </w:r>
      <w:r w:rsidRPr="00017F91">
        <w:rPr>
          <w:rFonts w:cs="Times New Roman"/>
          <w:lang w:eastAsia="en-GB"/>
        </w:rPr>
        <w:t xml:space="preserve">. In his opening (09:30-10:00), the keynote speaker discussed maternity inclusiveness. HR experts and legislators address maternity rights and corporate policies in the Panel Discussion (10:00-11:00). After a break, an Employment Law Workshop (11:15-12:15) discusses maternity discrimination. Casual lunch and networking (12:30-13:30). After a Corporate Case Study (13:30-14:30) on industry leaders' successful maternity efforts, </w:t>
      </w:r>
      <w:r w:rsidRPr="00017F91">
        <w:rPr>
          <w:rFonts w:cs="Times New Roman"/>
          <w:lang w:eastAsia="en-GB"/>
        </w:rPr>
        <w:lastRenderedPageBreak/>
        <w:t xml:space="preserve">psychologists and HR executives give a Mental Health and Well-being (14:45-15:45) workshop on work-life balance Long-term workforce inclusion is discussed with corporate leaders and NGOs in Future Strategies (16:00-16:45) </w:t>
      </w:r>
      <w:r w:rsidRPr="00017F91">
        <w:rPr>
          <w:rFonts w:eastAsia="Times New Roman" w:cs="Times New Roman"/>
          <w:szCs w:val="24"/>
          <w:lang w:eastAsia="en-GB"/>
        </w:rPr>
        <w:t>(</w:t>
      </w:r>
      <w:proofErr w:type="spellStart"/>
      <w:r w:rsidRPr="00017F91">
        <w:rPr>
          <w:rFonts w:eastAsia="Times New Roman" w:cs="Times New Roman"/>
          <w:szCs w:val="24"/>
          <w:lang w:eastAsia="en-GB"/>
        </w:rPr>
        <w:t>Alananzeh</w:t>
      </w:r>
      <w:proofErr w:type="spellEnd"/>
      <w:r w:rsidRPr="00017F91">
        <w:rPr>
          <w:rFonts w:eastAsia="Times New Roman" w:cs="Times New Roman"/>
          <w:szCs w:val="24"/>
          <w:lang w:eastAsia="en-GB"/>
        </w:rPr>
        <w:t xml:space="preserve">, </w:t>
      </w:r>
      <w:proofErr w:type="spellStart"/>
      <w:r w:rsidRPr="00017F91">
        <w:rPr>
          <w:rFonts w:eastAsia="Times New Roman" w:cs="Times New Roman"/>
          <w:szCs w:val="24"/>
          <w:lang w:eastAsia="en-GB"/>
        </w:rPr>
        <w:t>Masadeh</w:t>
      </w:r>
      <w:proofErr w:type="spellEnd"/>
      <w:r w:rsidRPr="00017F91">
        <w:rPr>
          <w:rFonts w:eastAsia="Times New Roman" w:cs="Times New Roman"/>
          <w:szCs w:val="24"/>
          <w:lang w:eastAsia="en-GB"/>
        </w:rPr>
        <w:t xml:space="preserve"> and </w:t>
      </w:r>
      <w:proofErr w:type="spellStart"/>
      <w:r w:rsidRPr="00017F91">
        <w:rPr>
          <w:rFonts w:eastAsia="Times New Roman" w:cs="Times New Roman"/>
          <w:szCs w:val="24"/>
          <w:lang w:eastAsia="en-GB"/>
        </w:rPr>
        <w:t>Bazazo</w:t>
      </w:r>
      <w:proofErr w:type="spellEnd"/>
      <w:r w:rsidRPr="00017F91">
        <w:rPr>
          <w:rFonts w:eastAsia="Times New Roman" w:cs="Times New Roman"/>
          <w:szCs w:val="24"/>
          <w:lang w:eastAsia="en-GB"/>
        </w:rPr>
        <w:t>, 2023)</w:t>
      </w:r>
      <w:r w:rsidRPr="00017F91">
        <w:rPr>
          <w:rFonts w:cs="Times New Roman"/>
          <w:lang w:eastAsia="en-GB"/>
        </w:rPr>
        <w:t xml:space="preserve">. The chairwoman highlights critical findings and reaffirms maternity inclusion in closure (16:45-17:00). </w:t>
      </w:r>
      <w:r w:rsidRPr="00017F91">
        <w:rPr>
          <w:rFonts w:cs="Times New Roman"/>
        </w:rPr>
        <w:t xml:space="preserve">For balance, this agenda addresses legal, business, and human workplace maternity inclusion. </w:t>
      </w:r>
    </w:p>
    <w:p w14:paraId="7C49DFBC" w14:textId="77777777" w:rsidR="00003EBB" w:rsidRPr="00017F91" w:rsidRDefault="00003EBB" w:rsidP="00003EBB">
      <w:pPr>
        <w:rPr>
          <w:rFonts w:cs="Times New Roman"/>
        </w:rPr>
      </w:pPr>
    </w:p>
    <w:p w14:paraId="39191C8B" w14:textId="77777777" w:rsidR="00003EBB" w:rsidRPr="00017F91" w:rsidRDefault="00003EBB" w:rsidP="00003EBB">
      <w:pPr>
        <w:rPr>
          <w:rFonts w:cs="Times New Roman"/>
        </w:rPr>
      </w:pPr>
    </w:p>
    <w:p w14:paraId="1368D40B" w14:textId="77777777" w:rsidR="00003EBB" w:rsidRPr="00017F91" w:rsidRDefault="00003EBB" w:rsidP="00003EBB">
      <w:pPr>
        <w:rPr>
          <w:rFonts w:cs="Times New Roman"/>
        </w:rPr>
      </w:pPr>
    </w:p>
    <w:p w14:paraId="379B71C7" w14:textId="77777777" w:rsidR="00003EBB" w:rsidRPr="00017F91" w:rsidRDefault="00003EBB" w:rsidP="00003EBB">
      <w:pPr>
        <w:rPr>
          <w:rFonts w:cs="Times New Roman"/>
        </w:rPr>
      </w:pPr>
    </w:p>
    <w:p w14:paraId="6168B994" w14:textId="77777777" w:rsidR="00003EBB" w:rsidRPr="00017F91" w:rsidRDefault="00003EBB" w:rsidP="00003EBB">
      <w:pPr>
        <w:rPr>
          <w:rFonts w:cs="Times New Roman"/>
        </w:rPr>
      </w:pPr>
    </w:p>
    <w:p w14:paraId="09A45E40" w14:textId="77777777" w:rsidR="00003EBB" w:rsidRPr="00017F91" w:rsidRDefault="00003EBB" w:rsidP="00003EBB">
      <w:pPr>
        <w:rPr>
          <w:rFonts w:cs="Times New Roman"/>
        </w:rPr>
      </w:pPr>
    </w:p>
    <w:p w14:paraId="01C07DEB" w14:textId="77777777" w:rsidR="00003EBB" w:rsidRPr="00017F91" w:rsidRDefault="00003EBB" w:rsidP="00003EBB">
      <w:pPr>
        <w:rPr>
          <w:rFonts w:cs="Times New Roman"/>
        </w:rPr>
      </w:pPr>
    </w:p>
    <w:p w14:paraId="50AB4A7B" w14:textId="77777777" w:rsidR="00003EBB" w:rsidRPr="00017F91" w:rsidRDefault="00003EBB" w:rsidP="00003EBB">
      <w:pPr>
        <w:rPr>
          <w:rFonts w:cs="Times New Roman"/>
        </w:rPr>
      </w:pPr>
    </w:p>
    <w:p w14:paraId="56552DAC" w14:textId="77777777" w:rsidR="00003EBB" w:rsidRPr="00017F91" w:rsidRDefault="00003EBB" w:rsidP="00003EBB">
      <w:pPr>
        <w:rPr>
          <w:rFonts w:cs="Times New Roman"/>
        </w:rPr>
      </w:pPr>
    </w:p>
    <w:p w14:paraId="1CC5F9ED" w14:textId="77777777" w:rsidR="00003EBB" w:rsidRPr="00017F91" w:rsidRDefault="00003EBB" w:rsidP="00003EBB">
      <w:pPr>
        <w:rPr>
          <w:rFonts w:cs="Times New Roman"/>
        </w:rPr>
      </w:pPr>
    </w:p>
    <w:p w14:paraId="7211B5C9" w14:textId="77777777" w:rsidR="00003EBB" w:rsidRPr="00017F91" w:rsidRDefault="00003EBB" w:rsidP="00003EBB">
      <w:pPr>
        <w:rPr>
          <w:rFonts w:cs="Times New Roman"/>
        </w:rPr>
      </w:pPr>
    </w:p>
    <w:p w14:paraId="2C77E52B" w14:textId="77777777" w:rsidR="00003EBB" w:rsidRPr="00017F91" w:rsidRDefault="00003EBB" w:rsidP="00003EBB">
      <w:pPr>
        <w:rPr>
          <w:rFonts w:cs="Times New Roman"/>
        </w:rPr>
      </w:pPr>
    </w:p>
    <w:p w14:paraId="0E9F73EC" w14:textId="77777777" w:rsidR="00003EBB" w:rsidRPr="00017F91" w:rsidRDefault="00003EBB" w:rsidP="00003EBB">
      <w:pPr>
        <w:rPr>
          <w:rFonts w:cs="Times New Roman"/>
        </w:rPr>
      </w:pPr>
    </w:p>
    <w:p w14:paraId="162EDB49" w14:textId="77777777" w:rsidR="00003EBB" w:rsidRPr="00017F91" w:rsidRDefault="00003EBB" w:rsidP="00003EBB">
      <w:pPr>
        <w:rPr>
          <w:rFonts w:cs="Times New Roman"/>
        </w:rPr>
      </w:pPr>
    </w:p>
    <w:p w14:paraId="1E9F3BFD" w14:textId="77777777" w:rsidR="00003EBB" w:rsidRPr="00017F91" w:rsidRDefault="00003EBB" w:rsidP="00003EBB">
      <w:pPr>
        <w:rPr>
          <w:rFonts w:cs="Times New Roman"/>
        </w:rPr>
      </w:pPr>
    </w:p>
    <w:p w14:paraId="5DCD22CA" w14:textId="77777777" w:rsidR="00003EBB" w:rsidRPr="00017F91" w:rsidRDefault="00003EBB" w:rsidP="00003EBB">
      <w:pPr>
        <w:rPr>
          <w:rFonts w:cs="Times New Roman"/>
        </w:rPr>
      </w:pPr>
    </w:p>
    <w:p w14:paraId="21BC7CF8" w14:textId="77777777" w:rsidR="00003EBB" w:rsidRPr="00017F91" w:rsidRDefault="00003EBB" w:rsidP="00003EBB">
      <w:pPr>
        <w:rPr>
          <w:rFonts w:cs="Times New Roman"/>
        </w:rPr>
      </w:pPr>
    </w:p>
    <w:p w14:paraId="57130AE9" w14:textId="77777777" w:rsidR="00003EBB" w:rsidRPr="00017F91" w:rsidRDefault="00003EBB" w:rsidP="00003EBB">
      <w:pPr>
        <w:rPr>
          <w:rFonts w:cs="Times New Roman"/>
        </w:rPr>
      </w:pPr>
    </w:p>
    <w:p w14:paraId="10967E2A" w14:textId="77777777" w:rsidR="00003EBB" w:rsidRPr="00017F91" w:rsidRDefault="00003EBB" w:rsidP="00003EBB">
      <w:pPr>
        <w:rPr>
          <w:rFonts w:cs="Times New Roman"/>
        </w:rPr>
      </w:pPr>
    </w:p>
    <w:p w14:paraId="7872CBD9" w14:textId="77777777" w:rsidR="00003EBB" w:rsidRPr="00017F91" w:rsidRDefault="00003EBB" w:rsidP="00003EBB">
      <w:pPr>
        <w:pStyle w:val="Heading1"/>
        <w:rPr>
          <w:rFonts w:cs="Times New Roman"/>
        </w:rPr>
      </w:pPr>
      <w:bookmarkStart w:id="4" w:name="_Toc191624107"/>
      <w:r w:rsidRPr="00017F91">
        <w:rPr>
          <w:rFonts w:cs="Times New Roman"/>
        </w:rPr>
        <w:lastRenderedPageBreak/>
        <w:t>Aim and Objectives of the Event</w:t>
      </w:r>
      <w:bookmarkEnd w:id="4"/>
    </w:p>
    <w:p w14:paraId="670345AE" w14:textId="77777777" w:rsidR="00003EBB" w:rsidRPr="00017F91" w:rsidRDefault="00003EBB" w:rsidP="00003EBB">
      <w:pPr>
        <w:rPr>
          <w:rFonts w:cs="Times New Roman"/>
          <w:b/>
        </w:rPr>
      </w:pPr>
      <w:r w:rsidRPr="00017F91">
        <w:rPr>
          <w:rFonts w:cs="Times New Roman"/>
          <w:b/>
        </w:rPr>
        <w:t>Aim</w:t>
      </w:r>
    </w:p>
    <w:p w14:paraId="03951C2D" w14:textId="77777777" w:rsidR="00003EBB" w:rsidRPr="00017F91" w:rsidRDefault="00003EBB" w:rsidP="00003EBB">
      <w:pPr>
        <w:pStyle w:val="ListParagraph"/>
        <w:numPr>
          <w:ilvl w:val="0"/>
          <w:numId w:val="1"/>
        </w:numPr>
        <w:rPr>
          <w:rFonts w:cs="Times New Roman"/>
        </w:rPr>
      </w:pPr>
      <w:r w:rsidRPr="00017F91">
        <w:rPr>
          <w:rFonts w:cs="Times New Roman"/>
        </w:rPr>
        <w:t>The aim is to promote corporate maternity inclusion by fostering discussions on workplace policies, employment rights, and well-being strategies.</w:t>
      </w:r>
    </w:p>
    <w:p w14:paraId="0A669669" w14:textId="77777777" w:rsidR="00003EBB" w:rsidRPr="00017F91" w:rsidRDefault="00003EBB" w:rsidP="00003EBB">
      <w:pPr>
        <w:rPr>
          <w:rFonts w:cs="Times New Roman"/>
          <w:b/>
        </w:rPr>
      </w:pPr>
      <w:r w:rsidRPr="00017F91">
        <w:rPr>
          <w:rFonts w:cs="Times New Roman"/>
          <w:b/>
        </w:rPr>
        <w:t>SMART Objectives</w:t>
      </w:r>
    </w:p>
    <w:tbl>
      <w:tblPr>
        <w:tblStyle w:val="GridTable4-Accent1"/>
        <w:tblW w:w="5000" w:type="pct"/>
        <w:tblLook w:val="04A0" w:firstRow="1" w:lastRow="0" w:firstColumn="1" w:lastColumn="0" w:noHBand="0" w:noVBand="1"/>
      </w:tblPr>
      <w:tblGrid>
        <w:gridCol w:w="1490"/>
        <w:gridCol w:w="1670"/>
        <w:gridCol w:w="1735"/>
        <w:gridCol w:w="1810"/>
        <w:gridCol w:w="1388"/>
        <w:gridCol w:w="1257"/>
      </w:tblGrid>
      <w:tr w:rsidR="00003EBB" w:rsidRPr="00017F91" w14:paraId="67E124A5" w14:textId="77777777" w:rsidTr="00EE5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7" w:type="pct"/>
            <w:vMerge w:val="restart"/>
          </w:tcPr>
          <w:p w14:paraId="1CA4E621" w14:textId="77777777" w:rsidR="00003EBB" w:rsidRPr="00017F91" w:rsidRDefault="00003EBB" w:rsidP="00EE58AC">
            <w:pPr>
              <w:rPr>
                <w:rFonts w:cs="Times New Roman"/>
                <w:color w:val="auto"/>
              </w:rPr>
            </w:pPr>
            <w:r w:rsidRPr="00017F91">
              <w:rPr>
                <w:rFonts w:cs="Times New Roman"/>
                <w:color w:val="auto"/>
              </w:rPr>
              <w:t>Objectives</w:t>
            </w:r>
          </w:p>
        </w:tc>
        <w:tc>
          <w:tcPr>
            <w:tcW w:w="4203" w:type="pct"/>
            <w:gridSpan w:val="5"/>
          </w:tcPr>
          <w:p w14:paraId="7D1D4B5D" w14:textId="77777777" w:rsidR="00003EBB" w:rsidRPr="00017F91" w:rsidRDefault="00003EBB" w:rsidP="00EE58AC">
            <w:pPr>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SMART</w:t>
            </w:r>
          </w:p>
        </w:tc>
      </w:tr>
      <w:tr w:rsidR="00003EBB" w:rsidRPr="00017F91" w14:paraId="650AA3ED"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7" w:type="pct"/>
            <w:vMerge/>
            <w:hideMark/>
          </w:tcPr>
          <w:p w14:paraId="4347C381" w14:textId="77777777" w:rsidR="00003EBB" w:rsidRPr="00017F91" w:rsidRDefault="00003EBB" w:rsidP="00EE58AC">
            <w:pPr>
              <w:rPr>
                <w:rFonts w:cs="Times New Roman"/>
              </w:rPr>
            </w:pPr>
          </w:p>
        </w:tc>
        <w:tc>
          <w:tcPr>
            <w:tcW w:w="893" w:type="pct"/>
            <w:hideMark/>
          </w:tcPr>
          <w:p w14:paraId="3324057B"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Specific</w:t>
            </w:r>
          </w:p>
        </w:tc>
        <w:tc>
          <w:tcPr>
            <w:tcW w:w="928" w:type="pct"/>
            <w:hideMark/>
          </w:tcPr>
          <w:p w14:paraId="07F2FC74"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Measurable</w:t>
            </w:r>
          </w:p>
        </w:tc>
        <w:tc>
          <w:tcPr>
            <w:tcW w:w="968" w:type="pct"/>
            <w:hideMark/>
          </w:tcPr>
          <w:p w14:paraId="0FCBAD89"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Achievable</w:t>
            </w:r>
          </w:p>
        </w:tc>
        <w:tc>
          <w:tcPr>
            <w:tcW w:w="742" w:type="pct"/>
            <w:hideMark/>
          </w:tcPr>
          <w:p w14:paraId="13CD0783"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Relevant</w:t>
            </w:r>
          </w:p>
        </w:tc>
        <w:tc>
          <w:tcPr>
            <w:tcW w:w="672" w:type="pct"/>
            <w:hideMark/>
          </w:tcPr>
          <w:p w14:paraId="3BA5DC8B"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Time-bound</w:t>
            </w:r>
          </w:p>
        </w:tc>
      </w:tr>
      <w:tr w:rsidR="00003EBB" w:rsidRPr="00017F91" w14:paraId="508C4082" w14:textId="77777777" w:rsidTr="00EE58AC">
        <w:tc>
          <w:tcPr>
            <w:cnfStyle w:val="001000000000" w:firstRow="0" w:lastRow="0" w:firstColumn="1" w:lastColumn="0" w:oddVBand="0" w:evenVBand="0" w:oddHBand="0" w:evenHBand="0" w:firstRowFirstColumn="0" w:firstRowLastColumn="0" w:lastRowFirstColumn="0" w:lastRowLastColumn="0"/>
            <w:tcW w:w="797" w:type="pct"/>
            <w:hideMark/>
          </w:tcPr>
          <w:p w14:paraId="643F965C" w14:textId="77777777" w:rsidR="00003EBB" w:rsidRPr="00017F91" w:rsidRDefault="00003EBB" w:rsidP="00EE58AC">
            <w:pPr>
              <w:rPr>
                <w:rFonts w:cs="Times New Roman"/>
                <w:b w:val="0"/>
              </w:rPr>
            </w:pPr>
            <w:r w:rsidRPr="00017F91">
              <w:rPr>
                <w:rFonts w:cs="Times New Roman"/>
                <w:b w:val="0"/>
              </w:rPr>
              <w:t>1. Increase awareness of maternity rights</w:t>
            </w:r>
          </w:p>
        </w:tc>
        <w:tc>
          <w:tcPr>
            <w:tcW w:w="893" w:type="pct"/>
            <w:hideMark/>
          </w:tcPr>
          <w:p w14:paraId="76782A66"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Conduct 3 workshops covering employment law</w:t>
            </w:r>
          </w:p>
        </w:tc>
        <w:tc>
          <w:tcPr>
            <w:tcW w:w="928" w:type="pct"/>
            <w:hideMark/>
          </w:tcPr>
          <w:p w14:paraId="7AFF893B"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Measure participation via registration and feedback forms</w:t>
            </w:r>
          </w:p>
        </w:tc>
        <w:tc>
          <w:tcPr>
            <w:tcW w:w="968" w:type="pct"/>
            <w:hideMark/>
          </w:tcPr>
          <w:p w14:paraId="38409824"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Secure experienced legal professionals for delivery</w:t>
            </w:r>
          </w:p>
        </w:tc>
        <w:tc>
          <w:tcPr>
            <w:tcW w:w="742" w:type="pct"/>
            <w:hideMark/>
          </w:tcPr>
          <w:p w14:paraId="211972B9"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Aligns with industry focus on workplace inclusion</w:t>
            </w:r>
          </w:p>
        </w:tc>
        <w:tc>
          <w:tcPr>
            <w:tcW w:w="672" w:type="pct"/>
            <w:hideMark/>
          </w:tcPr>
          <w:p w14:paraId="6852EE48" w14:textId="77777777" w:rsidR="00003EBB" w:rsidRPr="00017F91" w:rsidRDefault="00003EBB" w:rsidP="00EE58AC">
            <w:p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Achieved within the event duration</w:t>
            </w:r>
          </w:p>
        </w:tc>
      </w:tr>
      <w:tr w:rsidR="00003EBB" w:rsidRPr="00017F91" w14:paraId="3D6D32CD"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7" w:type="pct"/>
            <w:hideMark/>
          </w:tcPr>
          <w:p w14:paraId="2F939AD6" w14:textId="77777777" w:rsidR="00003EBB" w:rsidRPr="00017F91" w:rsidRDefault="00003EBB" w:rsidP="00EE58AC">
            <w:pPr>
              <w:rPr>
                <w:rFonts w:cs="Times New Roman"/>
                <w:b w:val="0"/>
              </w:rPr>
            </w:pPr>
            <w:r w:rsidRPr="00017F91">
              <w:rPr>
                <w:rFonts w:cs="Times New Roman"/>
                <w:b w:val="0"/>
              </w:rPr>
              <w:t>2. Foster networking and corporate engagement</w:t>
            </w:r>
          </w:p>
        </w:tc>
        <w:tc>
          <w:tcPr>
            <w:tcW w:w="893" w:type="pct"/>
            <w:hideMark/>
          </w:tcPr>
          <w:p w14:paraId="4CA7D4E4"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Facilitate 2 networking sessions with HR and business leaders</w:t>
            </w:r>
          </w:p>
        </w:tc>
        <w:tc>
          <w:tcPr>
            <w:tcW w:w="928" w:type="pct"/>
            <w:hideMark/>
          </w:tcPr>
          <w:p w14:paraId="5D9EFDCD"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Track business collaboration inquiries and partnership interest</w:t>
            </w:r>
          </w:p>
        </w:tc>
        <w:tc>
          <w:tcPr>
            <w:tcW w:w="968" w:type="pct"/>
            <w:hideMark/>
          </w:tcPr>
          <w:p w14:paraId="377B8C8C"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Provide structured networking activities with key industry stakeholders</w:t>
            </w:r>
          </w:p>
        </w:tc>
        <w:tc>
          <w:tcPr>
            <w:tcW w:w="742" w:type="pct"/>
            <w:hideMark/>
          </w:tcPr>
          <w:p w14:paraId="19CB9FFE"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Supports long-term corporate maternity inclusion</w:t>
            </w:r>
          </w:p>
        </w:tc>
        <w:tc>
          <w:tcPr>
            <w:tcW w:w="672" w:type="pct"/>
            <w:hideMark/>
          </w:tcPr>
          <w:p w14:paraId="33C5918A" w14:textId="77777777" w:rsidR="00003EBB" w:rsidRPr="00017F91" w:rsidRDefault="00003EBB" w:rsidP="00EE58AC">
            <w:p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Measured post-event through follow-ups</w:t>
            </w:r>
          </w:p>
        </w:tc>
      </w:tr>
    </w:tbl>
    <w:p w14:paraId="2142A9E2" w14:textId="77777777" w:rsidR="00003EBB" w:rsidRPr="00017F91" w:rsidRDefault="00003EBB" w:rsidP="00003EBB">
      <w:pPr>
        <w:rPr>
          <w:rFonts w:cs="Times New Roman"/>
        </w:rPr>
      </w:pPr>
      <w:r w:rsidRPr="00017F91">
        <w:rPr>
          <w:rFonts w:cs="Times New Roman"/>
        </w:rPr>
        <w:br/>
      </w:r>
    </w:p>
    <w:p w14:paraId="157BFA8D" w14:textId="77777777" w:rsidR="00003EBB" w:rsidRPr="00017F91" w:rsidRDefault="00003EBB" w:rsidP="00003EBB">
      <w:pPr>
        <w:rPr>
          <w:rFonts w:cs="Times New Roman"/>
        </w:rPr>
      </w:pPr>
    </w:p>
    <w:p w14:paraId="5047B695" w14:textId="77777777" w:rsidR="00003EBB" w:rsidRPr="00017F91" w:rsidRDefault="00003EBB" w:rsidP="00003EBB">
      <w:pPr>
        <w:rPr>
          <w:rFonts w:cs="Times New Roman"/>
        </w:rPr>
      </w:pPr>
    </w:p>
    <w:p w14:paraId="6A345748" w14:textId="77777777" w:rsidR="00003EBB" w:rsidRPr="00017F91" w:rsidRDefault="00003EBB" w:rsidP="00003EBB">
      <w:pPr>
        <w:rPr>
          <w:rFonts w:cs="Times New Roman"/>
        </w:rPr>
      </w:pPr>
    </w:p>
    <w:p w14:paraId="7505473C" w14:textId="77777777" w:rsidR="00003EBB" w:rsidRPr="00017F91" w:rsidRDefault="00003EBB" w:rsidP="00003EBB">
      <w:pPr>
        <w:rPr>
          <w:rFonts w:cs="Times New Roman"/>
        </w:rPr>
      </w:pPr>
    </w:p>
    <w:p w14:paraId="668AC015" w14:textId="77777777" w:rsidR="00003EBB" w:rsidRPr="00017F91" w:rsidRDefault="00003EBB" w:rsidP="00003EBB">
      <w:pPr>
        <w:rPr>
          <w:rFonts w:cs="Times New Roman"/>
        </w:rPr>
      </w:pPr>
    </w:p>
    <w:p w14:paraId="73F7C60F" w14:textId="77777777" w:rsidR="00003EBB" w:rsidRPr="00017F91" w:rsidRDefault="00003EBB" w:rsidP="00003EBB">
      <w:pPr>
        <w:rPr>
          <w:rFonts w:cs="Times New Roman"/>
        </w:rPr>
      </w:pPr>
    </w:p>
    <w:p w14:paraId="037624E4" w14:textId="77777777" w:rsidR="00003EBB" w:rsidRPr="00017F91" w:rsidRDefault="00003EBB" w:rsidP="00003EBB">
      <w:pPr>
        <w:pStyle w:val="Heading1"/>
        <w:rPr>
          <w:rFonts w:cs="Times New Roman"/>
        </w:rPr>
      </w:pPr>
      <w:bookmarkStart w:id="5" w:name="_Toc191624108"/>
      <w:r w:rsidRPr="00017F91">
        <w:rPr>
          <w:rFonts w:cs="Times New Roman"/>
        </w:rPr>
        <w:lastRenderedPageBreak/>
        <w:t>Event Management</w:t>
      </w:r>
      <w:bookmarkEnd w:id="5"/>
      <w:r w:rsidRPr="00017F91">
        <w:rPr>
          <w:rFonts w:cs="Times New Roman"/>
        </w:rPr>
        <w:t xml:space="preserve"> </w:t>
      </w:r>
    </w:p>
    <w:p w14:paraId="6671E09E" w14:textId="77777777" w:rsidR="00003EBB" w:rsidRPr="00017F91" w:rsidRDefault="00003EBB" w:rsidP="00003EBB">
      <w:pPr>
        <w:rPr>
          <w:rFonts w:cs="Times New Roman"/>
          <w:b/>
          <w:lang w:eastAsia="en-GB"/>
        </w:rPr>
      </w:pPr>
      <w:r w:rsidRPr="00017F91">
        <w:rPr>
          <w:rFonts w:cs="Times New Roman"/>
          <w:b/>
        </w:rPr>
        <w:t>Operational Skills and Resources</w:t>
      </w:r>
    </w:p>
    <w:p w14:paraId="39C30A88" w14:textId="77777777" w:rsidR="00003EBB" w:rsidRPr="00017F91" w:rsidRDefault="00003EBB" w:rsidP="00003EBB">
      <w:pPr>
        <w:rPr>
          <w:rFonts w:eastAsia="Times New Roman" w:cs="Times New Roman"/>
          <w:szCs w:val="24"/>
          <w:lang w:eastAsia="en-GB"/>
        </w:rPr>
      </w:pPr>
      <w:r w:rsidRPr="00017F91">
        <w:rPr>
          <w:rFonts w:cs="Times New Roman"/>
          <w:b/>
        </w:rPr>
        <w:t>Venue selection:</w:t>
      </w:r>
      <w:r w:rsidRPr="00017F91">
        <w:rPr>
          <w:rFonts w:cs="Times New Roman"/>
        </w:rPr>
        <w:t xml:space="preserve"> </w:t>
      </w:r>
      <w:r w:rsidRPr="00017F91">
        <w:rPr>
          <w:rFonts w:cs="Times New Roman"/>
          <w:lang w:eastAsia="en-GB"/>
        </w:rPr>
        <w:t xml:space="preserve">Successful events require many operational skills and resources to entertain. Venues must be accessible, spacious, and mother-and-infant-friendly </w:t>
      </w:r>
      <w:r w:rsidRPr="00017F91">
        <w:rPr>
          <w:rFonts w:eastAsia="Times New Roman" w:cs="Times New Roman"/>
          <w:szCs w:val="24"/>
          <w:lang w:eastAsia="en-GB"/>
        </w:rPr>
        <w:t>(Walters, 2018)</w:t>
      </w:r>
      <w:r w:rsidRPr="00017F91">
        <w:rPr>
          <w:rFonts w:cs="Times New Roman"/>
          <w:lang w:eastAsia="en-GB"/>
        </w:rPr>
        <w:t xml:space="preserve">. Attendance requires nursing stations, baby-changing rooms, stroller-friendly halls, and comfy seats. Take transit and parking into account. </w:t>
      </w:r>
    </w:p>
    <w:p w14:paraId="0A77C3EC" w14:textId="77777777" w:rsidR="00003EBB" w:rsidRPr="00017F91" w:rsidRDefault="00003EBB" w:rsidP="00003EBB">
      <w:pPr>
        <w:rPr>
          <w:rFonts w:eastAsia="Times New Roman" w:cs="Times New Roman"/>
          <w:szCs w:val="24"/>
          <w:lang w:eastAsia="en-GB"/>
        </w:rPr>
      </w:pPr>
      <w:r w:rsidRPr="00017F91">
        <w:rPr>
          <w:rFonts w:cs="Times New Roman"/>
          <w:b/>
        </w:rPr>
        <w:t>Logistics management:</w:t>
      </w:r>
      <w:r w:rsidRPr="00017F91">
        <w:rPr>
          <w:rFonts w:cs="Times New Roman"/>
        </w:rPr>
        <w:t xml:space="preserve"> </w:t>
      </w:r>
      <w:r w:rsidRPr="00017F91">
        <w:rPr>
          <w:rFonts w:cs="Times New Roman"/>
          <w:lang w:eastAsia="en-GB"/>
        </w:rPr>
        <w:t xml:space="preserve">Speaker and panel discussions need seats, stage design, and audio-visual logistics. Microphones, projectors, and digital displays work together for pleasant sessions </w:t>
      </w:r>
      <w:r w:rsidRPr="00017F91">
        <w:rPr>
          <w:rFonts w:eastAsia="Times New Roman" w:cs="Times New Roman"/>
          <w:szCs w:val="24"/>
          <w:lang w:eastAsia="en-GB"/>
        </w:rPr>
        <w:t>(</w:t>
      </w:r>
      <w:proofErr w:type="spellStart"/>
      <w:r w:rsidRPr="00017F91">
        <w:rPr>
          <w:rFonts w:eastAsia="Times New Roman" w:cs="Times New Roman"/>
          <w:szCs w:val="24"/>
          <w:lang w:eastAsia="en-GB"/>
        </w:rPr>
        <w:t>Alananzeh</w:t>
      </w:r>
      <w:proofErr w:type="spellEnd"/>
      <w:r w:rsidRPr="00017F91">
        <w:rPr>
          <w:rFonts w:eastAsia="Times New Roman" w:cs="Times New Roman"/>
          <w:szCs w:val="24"/>
          <w:lang w:eastAsia="en-GB"/>
        </w:rPr>
        <w:t>, 2022)</w:t>
      </w:r>
      <w:r w:rsidRPr="00017F91">
        <w:rPr>
          <w:rFonts w:cs="Times New Roman"/>
          <w:lang w:eastAsia="en-GB"/>
        </w:rPr>
        <w:t xml:space="preserve">. Health and safety require first aid stations, trained medical staff, and an emergency plan. Event seating and drink stations must be maternity-friendly. </w:t>
      </w:r>
    </w:p>
    <w:p w14:paraId="2FA3F746" w14:textId="77777777" w:rsidR="00003EBB" w:rsidRPr="00017F91" w:rsidRDefault="00003EBB" w:rsidP="00003EBB">
      <w:pPr>
        <w:rPr>
          <w:rFonts w:cs="Times New Roman"/>
          <w:lang w:eastAsia="en-GB"/>
        </w:rPr>
      </w:pPr>
      <w:r w:rsidRPr="00017F91">
        <w:rPr>
          <w:rFonts w:cs="Times New Roman"/>
          <w:b/>
        </w:rPr>
        <w:t>Catering services:</w:t>
      </w:r>
      <w:r w:rsidRPr="00017F91">
        <w:rPr>
          <w:rFonts w:cs="Times New Roman"/>
        </w:rPr>
        <w:t xml:space="preserve"> </w:t>
      </w:r>
      <w:r w:rsidRPr="00017F91">
        <w:rPr>
          <w:rFonts w:cs="Times New Roman"/>
          <w:lang w:eastAsia="en-GB"/>
        </w:rPr>
        <w:t xml:space="preserve">Need to cater to pregnant and breastfeeding moms. Offer allergy-friendly and dietary-compliant food and drinks. Caterers ensure food quality, safety, and portioning. Cleaning is crucial during food preparation and delivery. </w:t>
      </w:r>
    </w:p>
    <w:p w14:paraId="4051F74B" w14:textId="77777777" w:rsidR="00003EBB" w:rsidRPr="00017F91" w:rsidRDefault="00003EBB" w:rsidP="00003EBB">
      <w:pPr>
        <w:rPr>
          <w:rFonts w:cs="Times New Roman"/>
          <w:lang w:eastAsia="en-GB"/>
        </w:rPr>
      </w:pPr>
      <w:r w:rsidRPr="00017F91">
        <w:rPr>
          <w:rFonts w:cs="Times New Roman"/>
          <w:b/>
        </w:rPr>
        <w:t>Security personnel:</w:t>
      </w:r>
      <w:r w:rsidRPr="00017F91">
        <w:rPr>
          <w:rFonts w:cs="Times New Roman"/>
        </w:rPr>
        <w:t xml:space="preserve"> </w:t>
      </w:r>
      <w:r w:rsidRPr="00017F91">
        <w:rPr>
          <w:rFonts w:cs="Times New Roman"/>
          <w:lang w:eastAsia="en-GB"/>
        </w:rPr>
        <w:t xml:space="preserve">Security must maintain order. Duties include crowd management, access, exits, and evacuation. Participants are registered and event materials are delivered by volunteers </w:t>
      </w:r>
      <w:r w:rsidRPr="00017F91">
        <w:rPr>
          <w:rFonts w:eastAsia="Times New Roman" w:cs="Times New Roman"/>
          <w:szCs w:val="24"/>
          <w:lang w:eastAsia="en-GB"/>
        </w:rPr>
        <w:t>(Aharon et al., 2021)</w:t>
      </w:r>
      <w:r w:rsidRPr="00017F91">
        <w:rPr>
          <w:rFonts w:cs="Times New Roman"/>
          <w:lang w:eastAsia="en-GB"/>
        </w:rPr>
        <w:t xml:space="preserve">. Effective volunteer recruitment and training prepares them to support attendees. </w:t>
      </w:r>
    </w:p>
    <w:p w14:paraId="2388E14C" w14:textId="77777777" w:rsidR="00003EBB" w:rsidRPr="00017F91" w:rsidRDefault="00003EBB" w:rsidP="00003EBB">
      <w:pPr>
        <w:rPr>
          <w:rFonts w:eastAsia="Times New Roman" w:cs="Times New Roman"/>
          <w:szCs w:val="24"/>
          <w:lang w:eastAsia="en-GB"/>
        </w:rPr>
      </w:pPr>
      <w:r w:rsidRPr="00017F91">
        <w:rPr>
          <w:rFonts w:eastAsia="Times New Roman" w:cs="Times New Roman"/>
          <w:noProof/>
          <w:szCs w:val="24"/>
          <w:lang w:eastAsia="en-GB"/>
        </w:rPr>
        <w:drawing>
          <wp:inline distT="0" distB="0" distL="0" distR="0" wp14:anchorId="3CC11C22" wp14:editId="57611965">
            <wp:extent cx="5867400" cy="2171700"/>
            <wp:effectExtent l="0" t="0" r="1905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537ED69" w14:textId="77777777" w:rsidR="00003EBB" w:rsidRPr="00017F91" w:rsidRDefault="00003EBB" w:rsidP="00003EBB">
      <w:pPr>
        <w:jc w:val="center"/>
        <w:rPr>
          <w:rFonts w:cs="Times New Roman"/>
          <w:lang w:eastAsia="en-GB"/>
        </w:rPr>
      </w:pPr>
      <w:r w:rsidRPr="00017F91">
        <w:rPr>
          <w:rFonts w:eastAsia="Times New Roman" w:cs="Times New Roman"/>
          <w:szCs w:val="24"/>
          <w:lang w:eastAsia="en-GB"/>
        </w:rPr>
        <w:t xml:space="preserve">Figure 2: </w:t>
      </w:r>
      <w:r w:rsidRPr="00017F91">
        <w:rPr>
          <w:rFonts w:cs="Times New Roman"/>
        </w:rPr>
        <w:t>Operational Skills and Resources</w:t>
      </w:r>
    </w:p>
    <w:p w14:paraId="5D9BB5F3"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Source: (Walters, 2018)</w:t>
      </w:r>
    </w:p>
    <w:p w14:paraId="39A01F31" w14:textId="77777777" w:rsidR="00003EBB" w:rsidRPr="00017F91" w:rsidRDefault="00003EBB" w:rsidP="00003EBB">
      <w:pPr>
        <w:rPr>
          <w:rFonts w:cs="Times New Roman"/>
          <w:b/>
          <w:lang w:eastAsia="en-GB"/>
        </w:rPr>
      </w:pPr>
      <w:r w:rsidRPr="00017F91">
        <w:rPr>
          <w:rFonts w:cs="Times New Roman"/>
          <w:b/>
        </w:rPr>
        <w:lastRenderedPageBreak/>
        <w:t>Planning Skills and Resources</w:t>
      </w:r>
    </w:p>
    <w:p w14:paraId="4ED97490" w14:textId="77777777" w:rsidR="00003EBB" w:rsidRPr="00017F91" w:rsidRDefault="00003EBB" w:rsidP="00003EBB">
      <w:pPr>
        <w:rPr>
          <w:rFonts w:eastAsia="Times New Roman" w:cs="Times New Roman"/>
          <w:szCs w:val="24"/>
          <w:lang w:eastAsia="en-GB"/>
        </w:rPr>
      </w:pPr>
      <w:r w:rsidRPr="00017F91">
        <w:rPr>
          <w:rFonts w:cs="Times New Roman"/>
          <w:b/>
        </w:rPr>
        <w:t>Project management:</w:t>
      </w:r>
      <w:r w:rsidRPr="00017F91">
        <w:rPr>
          <w:rFonts w:cs="Times New Roman"/>
        </w:rPr>
        <w:t xml:space="preserve">  </w:t>
      </w:r>
      <w:r w:rsidRPr="00017F91">
        <w:rPr>
          <w:rFonts w:cs="Times New Roman"/>
          <w:lang w:eastAsia="en-GB"/>
        </w:rPr>
        <w:t xml:space="preserve">Event objectives and execution must be planned. Project managers determine event scope, schedules, resources, and tasks </w:t>
      </w:r>
      <w:r w:rsidRPr="00017F91">
        <w:rPr>
          <w:rFonts w:eastAsia="Times New Roman" w:cs="Times New Roman"/>
          <w:szCs w:val="24"/>
          <w:lang w:eastAsia="en-GB"/>
        </w:rPr>
        <w:t>(</w:t>
      </w:r>
      <w:proofErr w:type="spellStart"/>
      <w:r w:rsidRPr="00017F91">
        <w:rPr>
          <w:rFonts w:eastAsia="Times New Roman" w:cs="Times New Roman"/>
          <w:szCs w:val="24"/>
          <w:lang w:eastAsia="en-GB"/>
        </w:rPr>
        <w:t>Ntounis</w:t>
      </w:r>
      <w:proofErr w:type="spellEnd"/>
      <w:r w:rsidRPr="00017F91">
        <w:rPr>
          <w:rFonts w:eastAsia="Times New Roman" w:cs="Times New Roman"/>
          <w:szCs w:val="24"/>
          <w:lang w:eastAsia="en-GB"/>
        </w:rPr>
        <w:t xml:space="preserve"> et al., 2021)</w:t>
      </w:r>
      <w:r w:rsidRPr="00017F91">
        <w:rPr>
          <w:rFonts w:cs="Times New Roman"/>
          <w:lang w:eastAsia="en-GB"/>
        </w:rPr>
        <w:t xml:space="preserve">. Good preparation prevents delays and keeps schedules. </w:t>
      </w:r>
    </w:p>
    <w:p w14:paraId="0759A962" w14:textId="77777777" w:rsidR="00003EBB" w:rsidRPr="00017F91" w:rsidRDefault="00003EBB" w:rsidP="00003EBB">
      <w:pPr>
        <w:rPr>
          <w:rFonts w:cs="Times New Roman"/>
          <w:lang w:eastAsia="en-GB"/>
        </w:rPr>
      </w:pPr>
      <w:r w:rsidRPr="00017F91">
        <w:rPr>
          <w:rFonts w:cs="Times New Roman"/>
          <w:b/>
        </w:rPr>
        <w:t>Budget management:</w:t>
      </w:r>
      <w:r w:rsidRPr="00017F91">
        <w:rPr>
          <w:rFonts w:cs="Times New Roman"/>
        </w:rPr>
        <w:t xml:space="preserve"> </w:t>
      </w:r>
      <w:r w:rsidRPr="00017F91">
        <w:rPr>
          <w:rFonts w:cs="Times New Roman"/>
          <w:lang w:eastAsia="en-GB"/>
        </w:rPr>
        <w:t xml:space="preserve">Budgeting optimises monetary allocation. Budget for venue, speaker, catering, security, promotion, and other costs. Cost-effective decisions maximise event quality and money. Organisers may benefit from sponsorships and partnerships. </w:t>
      </w:r>
    </w:p>
    <w:p w14:paraId="15C3CBC0" w14:textId="77777777" w:rsidR="00003EBB" w:rsidRPr="00017F91" w:rsidRDefault="00003EBB" w:rsidP="00003EBB">
      <w:pPr>
        <w:rPr>
          <w:rFonts w:eastAsia="Times New Roman" w:cs="Times New Roman"/>
          <w:szCs w:val="24"/>
          <w:lang w:eastAsia="en-GB"/>
        </w:rPr>
      </w:pPr>
      <w:r w:rsidRPr="00017F91">
        <w:rPr>
          <w:rFonts w:cs="Times New Roman"/>
          <w:b/>
        </w:rPr>
        <w:t>Stakeholder coordination:</w:t>
      </w:r>
      <w:r w:rsidRPr="00017F91">
        <w:rPr>
          <w:rFonts w:cs="Times New Roman"/>
        </w:rPr>
        <w:t xml:space="preserve"> </w:t>
      </w:r>
      <w:r w:rsidRPr="00017F91">
        <w:rPr>
          <w:rFonts w:cs="Times New Roman"/>
          <w:lang w:eastAsia="en-GB"/>
        </w:rPr>
        <w:t xml:space="preserve">Sponsors, lecturers, healthcare professionals, and industry experts legitimise the event </w:t>
      </w:r>
      <w:r w:rsidRPr="00017F91">
        <w:rPr>
          <w:rFonts w:eastAsia="Times New Roman" w:cs="Times New Roman"/>
          <w:szCs w:val="24"/>
          <w:lang w:eastAsia="en-GB"/>
        </w:rPr>
        <w:t>(</w:t>
      </w:r>
      <w:proofErr w:type="spellStart"/>
      <w:r w:rsidRPr="00017F91">
        <w:rPr>
          <w:rFonts w:eastAsia="Times New Roman" w:cs="Times New Roman"/>
          <w:szCs w:val="24"/>
          <w:lang w:eastAsia="en-GB"/>
        </w:rPr>
        <w:t>Kravariti</w:t>
      </w:r>
      <w:proofErr w:type="spellEnd"/>
      <w:r w:rsidRPr="00017F91">
        <w:rPr>
          <w:rFonts w:eastAsia="Times New Roman" w:cs="Times New Roman"/>
          <w:szCs w:val="24"/>
          <w:lang w:eastAsia="en-GB"/>
        </w:rPr>
        <w:t xml:space="preserve"> et al., 2021)</w:t>
      </w:r>
      <w:r w:rsidRPr="00017F91">
        <w:rPr>
          <w:rFonts w:cs="Times New Roman"/>
          <w:lang w:eastAsia="en-GB"/>
        </w:rPr>
        <w:t xml:space="preserve">. Celebrities enhance attendance and ensure meaningful maternity conversations. Meetings and briefings align stakeholder duties. </w:t>
      </w:r>
    </w:p>
    <w:p w14:paraId="136C529B" w14:textId="77777777" w:rsidR="00003EBB" w:rsidRPr="00017F91" w:rsidRDefault="00003EBB" w:rsidP="00003EBB">
      <w:pPr>
        <w:rPr>
          <w:rFonts w:cs="Times New Roman"/>
          <w:lang w:eastAsia="en-GB"/>
        </w:rPr>
      </w:pPr>
      <w:r w:rsidRPr="00017F91">
        <w:rPr>
          <w:rFonts w:cs="Times New Roman"/>
          <w:b/>
        </w:rPr>
        <w:t>Program scheduling:</w:t>
      </w:r>
      <w:r w:rsidRPr="00017F91">
        <w:rPr>
          <w:rFonts w:cs="Times New Roman"/>
        </w:rPr>
        <w:t xml:space="preserve"> </w:t>
      </w:r>
      <w:r w:rsidRPr="00017F91">
        <w:rPr>
          <w:rFonts w:cs="Times New Roman"/>
          <w:lang w:eastAsia="en-GB"/>
        </w:rPr>
        <w:t xml:space="preserve">Program scheduling is essential for event planning. The agenda should include keynotes, panels, interactive workshops, and networking. Time is needed to avoid session overlaps and seamless transitions. Mothers and babies need breaks. </w:t>
      </w:r>
    </w:p>
    <w:p w14:paraId="3DA9AD38" w14:textId="77777777" w:rsidR="00003EBB" w:rsidRPr="00017F91" w:rsidRDefault="00003EBB" w:rsidP="00003EBB">
      <w:pPr>
        <w:rPr>
          <w:rFonts w:eastAsia="Times New Roman" w:cs="Times New Roman"/>
          <w:szCs w:val="24"/>
          <w:lang w:eastAsia="en-GB"/>
        </w:rPr>
      </w:pPr>
      <w:r w:rsidRPr="00017F91">
        <w:rPr>
          <w:rFonts w:cs="Times New Roman"/>
          <w:b/>
        </w:rPr>
        <w:t>Risk management and legal considerations:</w:t>
      </w:r>
      <w:r w:rsidRPr="00017F91">
        <w:rPr>
          <w:rFonts w:cs="Times New Roman"/>
        </w:rPr>
        <w:t xml:space="preserve"> </w:t>
      </w:r>
      <w:r w:rsidRPr="00017F91">
        <w:rPr>
          <w:rFonts w:cs="Times New Roman"/>
          <w:lang w:eastAsia="en-GB"/>
        </w:rPr>
        <w:t xml:space="preserve">Manage risk to avoid disruptions. Plans should address weather, technical issues, and speaker cancellations </w:t>
      </w:r>
      <w:r w:rsidRPr="00017F91">
        <w:rPr>
          <w:rFonts w:eastAsia="Times New Roman" w:cs="Times New Roman"/>
          <w:szCs w:val="24"/>
          <w:lang w:eastAsia="en-GB"/>
        </w:rPr>
        <w:t>(Kaushal and Srivastava, 2020)</w:t>
      </w:r>
      <w:r w:rsidRPr="00017F91">
        <w:rPr>
          <w:rFonts w:cs="Times New Roman"/>
          <w:lang w:eastAsia="en-GB"/>
        </w:rPr>
        <w:t xml:space="preserve">. Second speakers or venues keep the event going. Event planning needs legal and regulatory compliance. Venue policies, health and safety, and data protection make events legal. Consider liability insurance. </w:t>
      </w:r>
    </w:p>
    <w:p w14:paraId="31671DED" w14:textId="77777777" w:rsidR="00003EBB" w:rsidRPr="00017F91" w:rsidRDefault="00003EBB" w:rsidP="00003EBB">
      <w:pPr>
        <w:rPr>
          <w:rFonts w:cs="Times New Roman"/>
          <w:b/>
          <w:lang w:eastAsia="en-GB"/>
        </w:rPr>
      </w:pPr>
      <w:r w:rsidRPr="00017F91">
        <w:rPr>
          <w:rFonts w:cs="Times New Roman"/>
          <w:b/>
        </w:rPr>
        <w:t>Marketing Activities</w:t>
      </w:r>
    </w:p>
    <w:p w14:paraId="5BF3EC1B" w14:textId="77777777" w:rsidR="00003EBB" w:rsidRPr="00017F91" w:rsidRDefault="00003EBB" w:rsidP="00003EBB">
      <w:pPr>
        <w:rPr>
          <w:rFonts w:cs="Times New Roman"/>
          <w:lang w:eastAsia="en-GB"/>
        </w:rPr>
      </w:pPr>
      <w:r w:rsidRPr="00017F91">
        <w:rPr>
          <w:rFonts w:cs="Times New Roman"/>
          <w:lang w:eastAsia="en-GB"/>
        </w:rPr>
        <w:t xml:space="preserve">Promoting the event to boost attendance and stakeholder engagement is important. Effective event promotion requires communication. Internet, print, and email content must emphasise event value. Differentiating events involves branding. Advertising, social media, and signage boost event professionalism </w:t>
      </w:r>
      <w:r w:rsidRPr="00017F91">
        <w:rPr>
          <w:rFonts w:eastAsia="Times New Roman" w:cs="Times New Roman"/>
          <w:szCs w:val="24"/>
          <w:lang w:eastAsia="en-GB"/>
        </w:rPr>
        <w:t>(Morrison, 2022)</w:t>
      </w:r>
      <w:r w:rsidRPr="00017F91">
        <w:rPr>
          <w:rFonts w:cs="Times New Roman"/>
          <w:lang w:eastAsia="en-GB"/>
        </w:rPr>
        <w:t xml:space="preserve">. Logos, colour palettes, and typography should complement the event for brand consistency. Segmenting audiences by demographics. Target pregnant women, doctors, business sponsors, and maternity advocacy groups. Social media, influencers, and community outreach promote events. PR increases credibility and media coverage. Press announcements, invitations, and maternity magazines promote the event. Including journalists and executives increase attendance and publicity </w:t>
      </w:r>
      <w:r w:rsidRPr="00017F91">
        <w:rPr>
          <w:rFonts w:eastAsia="Times New Roman" w:cs="Times New Roman"/>
          <w:szCs w:val="24"/>
          <w:lang w:eastAsia="en-GB"/>
        </w:rPr>
        <w:t>(</w:t>
      </w:r>
      <w:proofErr w:type="spellStart"/>
      <w:r w:rsidRPr="00017F91">
        <w:rPr>
          <w:rFonts w:eastAsia="Times New Roman" w:cs="Times New Roman"/>
          <w:szCs w:val="24"/>
          <w:lang w:eastAsia="en-GB"/>
        </w:rPr>
        <w:t>Canhoto</w:t>
      </w:r>
      <w:proofErr w:type="spellEnd"/>
      <w:r w:rsidRPr="00017F91">
        <w:rPr>
          <w:rFonts w:eastAsia="Times New Roman" w:cs="Times New Roman"/>
          <w:szCs w:val="24"/>
          <w:lang w:eastAsia="en-GB"/>
        </w:rPr>
        <w:t xml:space="preserve"> and Wei, 2021)</w:t>
      </w:r>
      <w:r w:rsidRPr="00017F91">
        <w:rPr>
          <w:rFonts w:cs="Times New Roman"/>
          <w:lang w:eastAsia="en-GB"/>
        </w:rPr>
        <w:t xml:space="preserve">. Find and negotiate money </w:t>
      </w:r>
      <w:r w:rsidRPr="00017F91">
        <w:rPr>
          <w:rFonts w:cs="Times New Roman"/>
          <w:lang w:eastAsia="en-GB"/>
        </w:rPr>
        <w:lastRenderedPageBreak/>
        <w:t xml:space="preserve">and in-kind sponsorships. Working with maternity, healthcare, and childcare institutions improves event offerings and cuts costs. Successful sponsor networking requires persuasion and value-driven pitches. Market research and data analysis define audience demographics, marketing approach, and event success. Attendance, evaluations, and social media demonstrate event progress. Event marketing uses Marketing 7Ps (Product, Price, Place, Promotion, People, Process, and Physical Evidence) </w:t>
      </w:r>
      <w:r w:rsidRPr="00017F91">
        <w:rPr>
          <w:rFonts w:eastAsia="Times New Roman" w:cs="Times New Roman"/>
          <w:szCs w:val="24"/>
          <w:lang w:eastAsia="en-GB"/>
        </w:rPr>
        <w:t>(Koc and Ayyildiz, 2021)</w:t>
      </w:r>
      <w:r w:rsidRPr="00017F91">
        <w:rPr>
          <w:rFonts w:cs="Times New Roman"/>
          <w:lang w:eastAsia="en-GB"/>
        </w:rPr>
        <w:t>. The appendix lists these factors. A thorough approach to operations, planning, and marketing can help the mother and baby event achieve its goals, give a valuable experience, and prepare for future events.</w:t>
      </w:r>
    </w:p>
    <w:p w14:paraId="37B5ADF0" w14:textId="77777777" w:rsidR="00003EBB" w:rsidRPr="00017F91" w:rsidRDefault="00003EBB" w:rsidP="00003EBB">
      <w:pPr>
        <w:jc w:val="center"/>
        <w:rPr>
          <w:rFonts w:eastAsia="Times New Roman" w:cs="Times New Roman"/>
          <w:szCs w:val="24"/>
          <w:lang w:eastAsia="en-GB"/>
        </w:rPr>
      </w:pPr>
      <w:r w:rsidRPr="00017F91">
        <w:rPr>
          <w:rFonts w:cs="Times New Roman"/>
          <w:noProof/>
          <w:lang w:eastAsia="en-GB"/>
        </w:rPr>
        <w:drawing>
          <wp:inline distT="0" distB="0" distL="0" distR="0" wp14:anchorId="431817C0" wp14:editId="0E53F559">
            <wp:extent cx="5095875" cy="2800350"/>
            <wp:effectExtent l="0" t="0" r="9525" b="0"/>
            <wp:docPr id="5" name="Picture 5" descr="The 7 Ps of Marketing | Caunce O'Ha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7 Ps of Marketing | Caunce O'Hara"/>
                    <pic:cNvPicPr>
                      <a:picLocks noChangeAspect="1" noChangeArrowheads="1"/>
                    </pic:cNvPicPr>
                  </pic:nvPicPr>
                  <pic:blipFill rotWithShape="1">
                    <a:blip r:embed="rId16">
                      <a:extLst>
                        <a:ext uri="{28A0092B-C50C-407E-A947-70E740481C1C}">
                          <a14:useLocalDpi xmlns:a14="http://schemas.microsoft.com/office/drawing/2010/main" val="0"/>
                        </a:ext>
                      </a:extLst>
                    </a:blip>
                    <a:srcRect l="4167" r="6666"/>
                    <a:stretch/>
                  </pic:blipFill>
                  <pic:spPr bwMode="auto">
                    <a:xfrm>
                      <a:off x="0" y="0"/>
                      <a:ext cx="5095875" cy="2800350"/>
                    </a:xfrm>
                    <a:prstGeom prst="rect">
                      <a:avLst/>
                    </a:prstGeom>
                    <a:noFill/>
                    <a:ln>
                      <a:noFill/>
                    </a:ln>
                    <a:extLst>
                      <a:ext uri="{53640926-AAD7-44D8-BBD7-CCE9431645EC}">
                        <a14:shadowObscured xmlns:a14="http://schemas.microsoft.com/office/drawing/2010/main"/>
                      </a:ext>
                    </a:extLst>
                  </pic:spPr>
                </pic:pic>
              </a:graphicData>
            </a:graphic>
          </wp:inline>
        </w:drawing>
      </w:r>
    </w:p>
    <w:p w14:paraId="4FDE99C4"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 xml:space="preserve">Figure 3: 7Ps of Marketing </w:t>
      </w:r>
    </w:p>
    <w:p w14:paraId="29BDDC48"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Source: (Morrison, 2022)</w:t>
      </w:r>
    </w:p>
    <w:p w14:paraId="73B87518" w14:textId="77777777" w:rsidR="00003EBB" w:rsidRPr="00017F91" w:rsidRDefault="00003EBB" w:rsidP="00003EBB">
      <w:pPr>
        <w:rPr>
          <w:rFonts w:cs="Times New Roman"/>
          <w:lang w:eastAsia="en-GB"/>
        </w:rPr>
      </w:pPr>
    </w:p>
    <w:p w14:paraId="067109BE" w14:textId="77777777" w:rsidR="00003EBB" w:rsidRPr="00017F91" w:rsidRDefault="00003EBB" w:rsidP="00003EBB">
      <w:pPr>
        <w:rPr>
          <w:rFonts w:cs="Times New Roman"/>
          <w:lang w:eastAsia="en-GB"/>
        </w:rPr>
      </w:pPr>
    </w:p>
    <w:p w14:paraId="398F606B" w14:textId="77777777" w:rsidR="00003EBB" w:rsidRPr="00017F91" w:rsidRDefault="00003EBB" w:rsidP="00003EBB">
      <w:pPr>
        <w:rPr>
          <w:rFonts w:cs="Times New Roman"/>
          <w:lang w:eastAsia="en-GB"/>
        </w:rPr>
      </w:pPr>
    </w:p>
    <w:p w14:paraId="4C72AAA8" w14:textId="77777777" w:rsidR="00003EBB" w:rsidRPr="00017F91" w:rsidRDefault="00003EBB" w:rsidP="00003EBB">
      <w:pPr>
        <w:rPr>
          <w:rFonts w:cs="Times New Roman"/>
          <w:lang w:eastAsia="en-GB"/>
        </w:rPr>
      </w:pPr>
    </w:p>
    <w:p w14:paraId="6609DB4D" w14:textId="77777777" w:rsidR="00003EBB" w:rsidRPr="00017F91" w:rsidRDefault="00003EBB" w:rsidP="00003EBB">
      <w:pPr>
        <w:rPr>
          <w:rFonts w:cs="Times New Roman"/>
          <w:lang w:eastAsia="en-GB"/>
        </w:rPr>
      </w:pPr>
    </w:p>
    <w:p w14:paraId="232F04DF" w14:textId="77777777" w:rsidR="00003EBB" w:rsidRPr="00017F91" w:rsidRDefault="00003EBB" w:rsidP="00003EBB">
      <w:pPr>
        <w:rPr>
          <w:rFonts w:cs="Times New Roman"/>
          <w:lang w:eastAsia="en-GB"/>
        </w:rPr>
      </w:pPr>
    </w:p>
    <w:p w14:paraId="5DDAA811" w14:textId="77777777" w:rsidR="00003EBB" w:rsidRPr="00017F91" w:rsidRDefault="00003EBB" w:rsidP="00003EBB">
      <w:pPr>
        <w:pStyle w:val="Heading1"/>
        <w:rPr>
          <w:rFonts w:cs="Times New Roman"/>
          <w:lang w:eastAsia="en-GB"/>
        </w:rPr>
      </w:pPr>
      <w:bookmarkStart w:id="6" w:name="_Toc191624109"/>
      <w:r w:rsidRPr="00017F91">
        <w:rPr>
          <w:rFonts w:cs="Times New Roman"/>
          <w:lang w:eastAsia="en-GB"/>
        </w:rPr>
        <w:lastRenderedPageBreak/>
        <w:t>Event Budget</w:t>
      </w:r>
      <w:bookmarkEnd w:id="6"/>
      <w:r w:rsidRPr="00017F91">
        <w:rPr>
          <w:rFonts w:cs="Times New Roman"/>
          <w:lang w:eastAsia="en-GB"/>
        </w:rPr>
        <w:t xml:space="preserve"> </w:t>
      </w:r>
    </w:p>
    <w:p w14:paraId="286E71D7" w14:textId="77777777" w:rsidR="00003EBB" w:rsidRPr="00017F91" w:rsidRDefault="00003EBB" w:rsidP="00003EBB">
      <w:pPr>
        <w:rPr>
          <w:rFonts w:eastAsia="Times New Roman" w:cs="Times New Roman"/>
          <w:szCs w:val="24"/>
          <w:lang w:eastAsia="en-GB"/>
        </w:rPr>
      </w:pPr>
      <w:r w:rsidRPr="00017F91">
        <w:rPr>
          <w:rFonts w:cs="Times New Roman"/>
          <w:lang w:eastAsia="en-GB"/>
        </w:rPr>
        <w:t xml:space="preserve">Effective budgeting will ensure the success of this project. £29,000 is projected for the global "Equality, Diversity, and Inclusion within Industry" conference. Venue hire (£7,000), catering (£6,500), speaker fees (£5,000), event staffing (£3,500), AV, lighting, and IT technical help (£2,500), and miscellaneous expenses (£1,500) are key charges Tickets and sponsorships raise £36,600. In addition to £15,000 in corporate and NGO sponsorships, £80 ticket sales for 270 attendees will generate £21,600. Profit should be £7,600. Business sponsorships, government subsidies, and ticket sales will fund the event. Partnerships with maternity products and HR consultancies boost sponsorship, event revenue, and industry reach </w:t>
      </w:r>
      <w:r w:rsidRPr="00017F91">
        <w:rPr>
          <w:rFonts w:eastAsia="Times New Roman" w:cs="Times New Roman"/>
          <w:szCs w:val="24"/>
          <w:lang w:eastAsia="en-GB"/>
        </w:rPr>
        <w:t>(Getz and Page, 2019)</w:t>
      </w:r>
      <w:r w:rsidRPr="00017F91">
        <w:rPr>
          <w:rFonts w:cs="Times New Roman"/>
          <w:lang w:eastAsia="en-GB"/>
        </w:rPr>
        <w:t xml:space="preserve">. This robust financial basis will ensure the event's success and long-term influence on corporate maternal inclusion programs. </w:t>
      </w:r>
    </w:p>
    <w:p w14:paraId="3011FA88" w14:textId="77777777" w:rsidR="00003EBB" w:rsidRPr="00017F91" w:rsidRDefault="00003EBB" w:rsidP="00003EBB">
      <w:pPr>
        <w:rPr>
          <w:rFonts w:cs="Times New Roman"/>
        </w:rPr>
      </w:pPr>
      <w:r w:rsidRPr="002D16A0">
        <w:rPr>
          <w:rFonts w:cs="Times New Roman"/>
          <w:noProof/>
          <w:lang w:eastAsia="en-GB"/>
        </w:rPr>
        <w:drawing>
          <wp:inline distT="0" distB="0" distL="0" distR="0" wp14:anchorId="45F80D95" wp14:editId="582DD416">
            <wp:extent cx="5943600" cy="3824605"/>
            <wp:effectExtent l="0" t="0" r="0" b="4445"/>
            <wp:docPr id="1739332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332430" name=""/>
                    <pic:cNvPicPr/>
                  </pic:nvPicPr>
                  <pic:blipFill>
                    <a:blip r:embed="rId17"/>
                    <a:stretch>
                      <a:fillRect/>
                    </a:stretch>
                  </pic:blipFill>
                  <pic:spPr>
                    <a:xfrm>
                      <a:off x="0" y="0"/>
                      <a:ext cx="5943600" cy="3824605"/>
                    </a:xfrm>
                    <a:prstGeom prst="rect">
                      <a:avLst/>
                    </a:prstGeom>
                  </pic:spPr>
                </pic:pic>
              </a:graphicData>
            </a:graphic>
          </wp:inline>
        </w:drawing>
      </w:r>
      <w:r w:rsidRPr="00017F91">
        <w:rPr>
          <w:rFonts w:cs="Times New Roman"/>
          <w:lang w:eastAsia="en-GB"/>
        </w:rPr>
        <w:br/>
      </w:r>
    </w:p>
    <w:p w14:paraId="3CC4FA70" w14:textId="77777777" w:rsidR="00003EBB" w:rsidRPr="00017F91" w:rsidRDefault="00003EBB" w:rsidP="00003EBB">
      <w:pPr>
        <w:rPr>
          <w:rFonts w:cs="Times New Roman"/>
        </w:rPr>
      </w:pPr>
    </w:p>
    <w:p w14:paraId="6BC87C04" w14:textId="77777777" w:rsidR="00003EBB" w:rsidRPr="00017F91" w:rsidRDefault="00003EBB" w:rsidP="00003EBB">
      <w:pPr>
        <w:rPr>
          <w:rFonts w:cs="Times New Roman"/>
        </w:rPr>
      </w:pPr>
    </w:p>
    <w:p w14:paraId="054AA3C9" w14:textId="77777777" w:rsidR="00003EBB" w:rsidRPr="00017F91" w:rsidRDefault="00003EBB" w:rsidP="00003EBB">
      <w:pPr>
        <w:pStyle w:val="Heading1"/>
        <w:rPr>
          <w:rFonts w:cs="Times New Roman"/>
        </w:rPr>
      </w:pPr>
      <w:bookmarkStart w:id="7" w:name="_Toc191624110"/>
      <w:r w:rsidRPr="00017F91">
        <w:rPr>
          <w:rFonts w:cs="Times New Roman"/>
        </w:rPr>
        <w:lastRenderedPageBreak/>
        <w:t>Industry Trends, Issues and Impacts</w:t>
      </w:r>
      <w:bookmarkEnd w:id="7"/>
    </w:p>
    <w:p w14:paraId="1B7A1317" w14:textId="77777777" w:rsidR="00003EBB" w:rsidRPr="00017F91" w:rsidRDefault="00003EBB" w:rsidP="00003EBB">
      <w:pPr>
        <w:rPr>
          <w:rFonts w:eastAsia="Times New Roman" w:cs="Times New Roman"/>
          <w:szCs w:val="24"/>
          <w:lang w:eastAsia="en-GB"/>
        </w:rPr>
      </w:pPr>
      <w:r w:rsidRPr="00017F91">
        <w:rPr>
          <w:rFonts w:cs="Times New Roman"/>
          <w:b/>
        </w:rPr>
        <w:t>Growing Maternity Workplace Advocacy</w:t>
      </w:r>
      <w:r w:rsidRPr="00017F91">
        <w:rPr>
          <w:rFonts w:cs="Times New Roman"/>
          <w:b/>
          <w:lang w:eastAsia="en-GB"/>
        </w:rPr>
        <w:t>:</w:t>
      </w:r>
      <w:r w:rsidRPr="00017F91">
        <w:rPr>
          <w:rFonts w:cs="Times New Roman"/>
          <w:lang w:eastAsia="en-GB"/>
        </w:rPr>
        <w:t xml:space="preserve"> Maternity and workplace inclusion markets emphasise diversity and inclusion policies. Diversity policies at 62% of companies show a growing commitment to mother-friendly workplaces </w:t>
      </w:r>
      <w:r w:rsidRPr="00017F91">
        <w:rPr>
          <w:rFonts w:eastAsia="Times New Roman" w:cs="Times New Roman"/>
          <w:szCs w:val="24"/>
          <w:lang w:eastAsia="en-GB"/>
        </w:rPr>
        <w:t>(Jan, 2023)</w:t>
      </w:r>
      <w:r w:rsidRPr="00017F91">
        <w:rPr>
          <w:rFonts w:cs="Times New Roman"/>
          <w:lang w:eastAsia="en-GB"/>
        </w:rPr>
        <w:t xml:space="preserve">. This trend stimulates maternity leave, job flexibility, and parental support policy debates at the proposed international convention. Events that affect corporate strategy in this area stress such policies since they benefit employees and promote company culture and retention. </w:t>
      </w:r>
    </w:p>
    <w:p w14:paraId="353B0E41" w14:textId="77777777" w:rsidR="00003EBB" w:rsidRPr="00017F91" w:rsidRDefault="00003EBB" w:rsidP="00003EBB">
      <w:pPr>
        <w:rPr>
          <w:rFonts w:eastAsia="Times New Roman" w:cs="Times New Roman"/>
          <w:szCs w:val="24"/>
          <w:lang w:eastAsia="en-GB"/>
        </w:rPr>
      </w:pPr>
      <w:r w:rsidRPr="00017F91">
        <w:rPr>
          <w:rFonts w:cs="Times New Roman"/>
          <w:b/>
        </w:rPr>
        <w:t>Demand for Flexible Work Arrangements</w:t>
      </w:r>
      <w:r w:rsidRPr="00017F91">
        <w:rPr>
          <w:rFonts w:cs="Times New Roman"/>
          <w:b/>
          <w:lang w:eastAsia="en-GB"/>
        </w:rPr>
        <w:t>:</w:t>
      </w:r>
      <w:r w:rsidRPr="00017F91">
        <w:rPr>
          <w:rFonts w:cs="Times New Roman"/>
          <w:lang w:eastAsia="en-GB"/>
        </w:rPr>
        <w:t xml:space="preserve"> Workplace flexibility and variety are key shifts. Recent hybrid work offerings by 41% more companies’ exhibit work-life balance awareness </w:t>
      </w:r>
      <w:r w:rsidRPr="00017F91">
        <w:rPr>
          <w:rFonts w:eastAsia="Times New Roman" w:cs="Times New Roman"/>
          <w:szCs w:val="24"/>
          <w:lang w:eastAsia="en-GB"/>
        </w:rPr>
        <w:t>(ASS, 2024)</w:t>
      </w:r>
      <w:r w:rsidRPr="00017F91">
        <w:rPr>
          <w:rFonts w:cs="Times New Roman"/>
          <w:lang w:eastAsia="en-GB"/>
        </w:rPr>
        <w:t xml:space="preserve">. Flexible work options help mothers enhance their professions while having kids. Maternity inclusion events may discuss these issues and how employers can accommodate pregnant women. Flexible work arrangements can raise employee satisfaction and productivity as the hybrid model grows. Event themes match flexible work. </w:t>
      </w:r>
    </w:p>
    <w:p w14:paraId="359EB698" w14:textId="77777777" w:rsidR="00003EBB" w:rsidRPr="00017F91" w:rsidRDefault="00003EBB" w:rsidP="00003EBB">
      <w:pPr>
        <w:rPr>
          <w:rFonts w:eastAsia="Times New Roman" w:cs="Times New Roman"/>
          <w:szCs w:val="24"/>
          <w:lang w:eastAsia="en-GB"/>
        </w:rPr>
      </w:pPr>
      <w:r w:rsidRPr="00017F91">
        <w:rPr>
          <w:rFonts w:cs="Times New Roman"/>
          <w:b/>
        </w:rPr>
        <w:t>Rising Corporate Accountability</w:t>
      </w:r>
      <w:r w:rsidRPr="00017F91">
        <w:rPr>
          <w:rFonts w:cs="Times New Roman"/>
          <w:b/>
          <w:lang w:eastAsia="en-GB"/>
        </w:rPr>
        <w:t>:</w:t>
      </w:r>
      <w:r w:rsidRPr="00017F91">
        <w:rPr>
          <w:rFonts w:cs="Times New Roman"/>
          <w:lang w:eastAsia="en-GB"/>
        </w:rPr>
        <w:t xml:space="preserve"> Inclusive firms are more accountable. 87% of workers prefer inclusive workplaces, with many requesting active maternity and parental leave help </w:t>
      </w:r>
      <w:r w:rsidRPr="00017F91">
        <w:rPr>
          <w:rFonts w:eastAsia="Times New Roman" w:cs="Times New Roman"/>
          <w:szCs w:val="24"/>
          <w:lang w:eastAsia="en-GB"/>
        </w:rPr>
        <w:t>(Diversitylink.co.uk, 2023)</w:t>
      </w:r>
      <w:r w:rsidRPr="00017F91">
        <w:rPr>
          <w:rFonts w:cs="Times New Roman"/>
          <w:lang w:eastAsia="en-GB"/>
        </w:rPr>
        <w:t xml:space="preserve">. Employees increasingly hold companies accountable for visible and effective fair treatment, including maternity issues. Needing help meeting these expectations harms maternity-inclusive event performance. HR leaders and policymakers will be motivated to improve corporate accountability for pregnant and new mothers. </w:t>
      </w:r>
    </w:p>
    <w:p w14:paraId="24CFBD09" w14:textId="77777777" w:rsidR="00003EBB" w:rsidRPr="00017F91" w:rsidRDefault="00003EBB" w:rsidP="00003EBB">
      <w:pPr>
        <w:rPr>
          <w:rFonts w:eastAsia="Times New Roman" w:cs="Times New Roman"/>
          <w:szCs w:val="24"/>
          <w:lang w:eastAsia="en-GB"/>
        </w:rPr>
      </w:pPr>
      <w:r w:rsidRPr="00017F91">
        <w:rPr>
          <w:rFonts w:cs="Times New Roman"/>
          <w:b/>
        </w:rPr>
        <w:t>Legal Pressures on Maternity Discrimination</w:t>
      </w:r>
      <w:r w:rsidRPr="00017F91">
        <w:rPr>
          <w:rFonts w:cs="Times New Roman"/>
          <w:b/>
          <w:lang w:eastAsia="en-GB"/>
        </w:rPr>
        <w:t>:</w:t>
      </w:r>
      <w:r w:rsidRPr="00017F91">
        <w:rPr>
          <w:rFonts w:cs="Times New Roman"/>
          <w:lang w:eastAsia="en-GB"/>
        </w:rPr>
        <w:t xml:space="preserve"> With 16,000 claims annually, workplace maternity discrimination persists </w:t>
      </w:r>
      <w:r w:rsidRPr="00017F91">
        <w:rPr>
          <w:rFonts w:eastAsia="Times New Roman" w:cs="Times New Roman"/>
          <w:szCs w:val="24"/>
          <w:lang w:eastAsia="en-GB"/>
        </w:rPr>
        <w:t>(</w:t>
      </w:r>
      <w:proofErr w:type="spellStart"/>
      <w:r w:rsidRPr="00017F91">
        <w:rPr>
          <w:rFonts w:eastAsia="Times New Roman" w:cs="Times New Roman"/>
          <w:szCs w:val="24"/>
          <w:lang w:eastAsia="en-GB"/>
        </w:rPr>
        <w:t>Makortoff</w:t>
      </w:r>
      <w:proofErr w:type="spellEnd"/>
      <w:r w:rsidRPr="00017F91">
        <w:rPr>
          <w:rFonts w:eastAsia="Times New Roman" w:cs="Times New Roman"/>
          <w:szCs w:val="24"/>
          <w:lang w:eastAsia="en-GB"/>
        </w:rPr>
        <w:t>, 2024)</w:t>
      </w:r>
      <w:r w:rsidRPr="00017F91">
        <w:rPr>
          <w:rFonts w:cs="Times New Roman"/>
          <w:lang w:eastAsia="en-GB"/>
        </w:rPr>
        <w:t xml:space="preserve">. Mandatory workplace inclusiveness and motherhood rights education. The session examines maternity discrimination's legal consequences and how organisations might respond. Employment lawyers may discuss working mothers. As discrimination claims rise, companies must raise legal understanding to encourage inclusive, compliant settings. </w:t>
      </w:r>
    </w:p>
    <w:p w14:paraId="5093D79D" w14:textId="77777777" w:rsidR="00003EBB" w:rsidRPr="00017F91" w:rsidRDefault="00003EBB" w:rsidP="00003EBB">
      <w:pPr>
        <w:rPr>
          <w:rFonts w:eastAsia="Times New Roman" w:cs="Times New Roman"/>
          <w:szCs w:val="24"/>
          <w:lang w:eastAsia="en-GB"/>
        </w:rPr>
      </w:pPr>
      <w:r w:rsidRPr="00017F91">
        <w:rPr>
          <w:rFonts w:cs="Times New Roman"/>
          <w:b/>
        </w:rPr>
        <w:t>Digital Transformation in HR Policies</w:t>
      </w:r>
      <w:r w:rsidRPr="00017F91">
        <w:rPr>
          <w:rFonts w:cs="Times New Roman"/>
          <w:b/>
          <w:lang w:eastAsia="en-GB"/>
        </w:rPr>
        <w:t>:</w:t>
      </w:r>
      <w:r w:rsidRPr="00017F91">
        <w:rPr>
          <w:rFonts w:cs="Times New Roman"/>
          <w:lang w:eastAsia="en-GB"/>
        </w:rPr>
        <w:t xml:space="preserve"> HR digital processes affect maternity inclusion. AI helps companies make maternity and paternity leave decisions swiftly, personally, and fairly </w:t>
      </w:r>
      <w:r w:rsidRPr="00017F91">
        <w:rPr>
          <w:rFonts w:eastAsia="Times New Roman" w:cs="Times New Roman"/>
          <w:szCs w:val="24"/>
          <w:lang w:eastAsia="en-GB"/>
        </w:rPr>
        <w:t>(</w:t>
      </w:r>
      <w:proofErr w:type="spellStart"/>
      <w:r w:rsidRPr="00017F91">
        <w:rPr>
          <w:rFonts w:eastAsia="Times New Roman" w:cs="Times New Roman"/>
          <w:szCs w:val="24"/>
          <w:lang w:eastAsia="en-GB"/>
        </w:rPr>
        <w:t>Zallio</w:t>
      </w:r>
      <w:proofErr w:type="spellEnd"/>
      <w:r w:rsidRPr="00017F91">
        <w:rPr>
          <w:rFonts w:eastAsia="Times New Roman" w:cs="Times New Roman"/>
          <w:szCs w:val="24"/>
          <w:lang w:eastAsia="en-GB"/>
        </w:rPr>
        <w:t xml:space="preserve"> and Clarkson, 2022)</w:t>
      </w:r>
      <w:r w:rsidRPr="00017F91">
        <w:rPr>
          <w:rFonts w:cs="Times New Roman"/>
          <w:lang w:eastAsia="en-GB"/>
        </w:rPr>
        <w:t xml:space="preserve">. By automating eligibility, leave, and pay tracking, these systems reduce </w:t>
      </w:r>
      <w:r w:rsidRPr="00017F91">
        <w:rPr>
          <w:rFonts w:cs="Times New Roman"/>
          <w:lang w:eastAsia="en-GB"/>
        </w:rPr>
        <w:lastRenderedPageBreak/>
        <w:t xml:space="preserve">administrative errors. HR digital transformation and maternity policy improvement are event topics. AI can improve HR operations like maternity leave management as technology progresses. </w:t>
      </w:r>
    </w:p>
    <w:p w14:paraId="52C3779A" w14:textId="77777777" w:rsidR="00003EBB" w:rsidRPr="00017F91" w:rsidRDefault="00003EBB" w:rsidP="00003EBB">
      <w:pPr>
        <w:rPr>
          <w:rFonts w:eastAsia="Times New Roman" w:cs="Times New Roman"/>
          <w:szCs w:val="24"/>
          <w:lang w:eastAsia="en-GB"/>
        </w:rPr>
      </w:pPr>
      <w:r w:rsidRPr="00017F91">
        <w:rPr>
          <w:rFonts w:cs="Times New Roman"/>
          <w:b/>
        </w:rPr>
        <w:t>Mental Health Awareness Expansion</w:t>
      </w:r>
      <w:r w:rsidRPr="00017F91">
        <w:rPr>
          <w:rFonts w:cs="Times New Roman"/>
          <w:b/>
          <w:lang w:eastAsia="en-GB"/>
        </w:rPr>
        <w:t>:</w:t>
      </w:r>
      <w:r w:rsidRPr="00017F91">
        <w:rPr>
          <w:rFonts w:cs="Times New Roman"/>
          <w:lang w:eastAsia="en-GB"/>
        </w:rPr>
        <w:t xml:space="preserve"> HR professionals emphasise employee well-being, especially new and expecting moms' mental health (74%). Companies are aiding their employees' emotional well-being, especially during the parental transition, because professional stress, mental health, and pregnancy are linked </w:t>
      </w:r>
      <w:r w:rsidRPr="00017F91">
        <w:rPr>
          <w:rFonts w:eastAsia="Times New Roman" w:cs="Times New Roman"/>
          <w:szCs w:val="24"/>
          <w:lang w:eastAsia="en-GB"/>
        </w:rPr>
        <w:t>(Roth, 2024).</w:t>
      </w:r>
      <w:r w:rsidRPr="00017F91">
        <w:rPr>
          <w:rFonts w:cs="Times New Roman"/>
          <w:lang w:eastAsia="en-GB"/>
        </w:rPr>
        <w:t xml:space="preserve"> Mental health, childcare, and work-life balance will solve these problems. The session will demonstrate how mental health may help employers support new parents' physical and emotional needs. Workplace mental health programs minimise stress and </w:t>
      </w:r>
      <w:r w:rsidRPr="00017F91">
        <w:rPr>
          <w:rFonts w:cs="Times New Roman"/>
        </w:rPr>
        <w:t xml:space="preserve">improve happiness. </w:t>
      </w:r>
    </w:p>
    <w:p w14:paraId="2FD0396B" w14:textId="77777777" w:rsidR="00003EBB" w:rsidRPr="00017F91" w:rsidRDefault="00003EBB" w:rsidP="00003EBB">
      <w:pPr>
        <w:rPr>
          <w:rFonts w:cs="Times New Roman"/>
        </w:rPr>
      </w:pPr>
    </w:p>
    <w:p w14:paraId="62379BFB" w14:textId="77777777" w:rsidR="00003EBB" w:rsidRPr="00017F91" w:rsidRDefault="00003EBB" w:rsidP="00003EBB">
      <w:pPr>
        <w:rPr>
          <w:rFonts w:cs="Times New Roman"/>
        </w:rPr>
      </w:pPr>
    </w:p>
    <w:p w14:paraId="0A67CB6C" w14:textId="77777777" w:rsidR="00003EBB" w:rsidRPr="00017F91" w:rsidRDefault="00003EBB" w:rsidP="00003EBB">
      <w:pPr>
        <w:rPr>
          <w:rFonts w:cs="Times New Roman"/>
        </w:rPr>
      </w:pPr>
    </w:p>
    <w:p w14:paraId="4AF39C8A" w14:textId="77777777" w:rsidR="00003EBB" w:rsidRPr="00017F91" w:rsidRDefault="00003EBB" w:rsidP="00003EBB">
      <w:pPr>
        <w:rPr>
          <w:rFonts w:cs="Times New Roman"/>
        </w:rPr>
      </w:pPr>
    </w:p>
    <w:p w14:paraId="7EC93DB6" w14:textId="77777777" w:rsidR="00003EBB" w:rsidRPr="00017F91" w:rsidRDefault="00003EBB" w:rsidP="00003EBB">
      <w:pPr>
        <w:rPr>
          <w:rFonts w:cs="Times New Roman"/>
        </w:rPr>
      </w:pPr>
    </w:p>
    <w:p w14:paraId="09515852" w14:textId="77777777" w:rsidR="00003EBB" w:rsidRPr="00017F91" w:rsidRDefault="00003EBB" w:rsidP="00003EBB">
      <w:pPr>
        <w:rPr>
          <w:rFonts w:cs="Times New Roman"/>
        </w:rPr>
      </w:pPr>
    </w:p>
    <w:p w14:paraId="10B5F62B" w14:textId="77777777" w:rsidR="00003EBB" w:rsidRPr="00017F91" w:rsidRDefault="00003EBB" w:rsidP="00003EBB">
      <w:pPr>
        <w:rPr>
          <w:rFonts w:cs="Times New Roman"/>
        </w:rPr>
      </w:pPr>
    </w:p>
    <w:p w14:paraId="2FB181D3" w14:textId="77777777" w:rsidR="00003EBB" w:rsidRPr="00017F91" w:rsidRDefault="00003EBB" w:rsidP="00003EBB">
      <w:pPr>
        <w:rPr>
          <w:rFonts w:cs="Times New Roman"/>
        </w:rPr>
      </w:pPr>
    </w:p>
    <w:p w14:paraId="47CE49F4" w14:textId="77777777" w:rsidR="00003EBB" w:rsidRPr="00017F91" w:rsidRDefault="00003EBB" w:rsidP="00003EBB">
      <w:pPr>
        <w:rPr>
          <w:rFonts w:cs="Times New Roman"/>
        </w:rPr>
      </w:pPr>
    </w:p>
    <w:p w14:paraId="4FF7E85C" w14:textId="77777777" w:rsidR="00003EBB" w:rsidRPr="00017F91" w:rsidRDefault="00003EBB" w:rsidP="00003EBB">
      <w:pPr>
        <w:rPr>
          <w:rFonts w:cs="Times New Roman"/>
        </w:rPr>
      </w:pPr>
    </w:p>
    <w:p w14:paraId="7499FFA3" w14:textId="77777777" w:rsidR="00003EBB" w:rsidRPr="00017F91" w:rsidRDefault="00003EBB" w:rsidP="00003EBB">
      <w:pPr>
        <w:rPr>
          <w:rFonts w:cs="Times New Roman"/>
        </w:rPr>
      </w:pPr>
    </w:p>
    <w:p w14:paraId="52F117D6" w14:textId="77777777" w:rsidR="00003EBB" w:rsidRPr="00017F91" w:rsidRDefault="00003EBB" w:rsidP="00003EBB">
      <w:pPr>
        <w:rPr>
          <w:rFonts w:cs="Times New Roman"/>
        </w:rPr>
      </w:pPr>
    </w:p>
    <w:p w14:paraId="062C3DE5" w14:textId="77777777" w:rsidR="00003EBB" w:rsidRPr="00017F91" w:rsidRDefault="00003EBB" w:rsidP="00003EBB">
      <w:pPr>
        <w:rPr>
          <w:rFonts w:cs="Times New Roman"/>
        </w:rPr>
      </w:pPr>
    </w:p>
    <w:p w14:paraId="6A4F22CD" w14:textId="77777777" w:rsidR="00003EBB" w:rsidRPr="00017F91" w:rsidRDefault="00003EBB" w:rsidP="00003EBB">
      <w:pPr>
        <w:rPr>
          <w:rFonts w:cs="Times New Roman"/>
        </w:rPr>
      </w:pPr>
    </w:p>
    <w:p w14:paraId="78F6FD8B" w14:textId="77777777" w:rsidR="00003EBB" w:rsidRPr="00017F91" w:rsidRDefault="00003EBB" w:rsidP="00003EBB">
      <w:pPr>
        <w:rPr>
          <w:rFonts w:cs="Times New Roman"/>
        </w:rPr>
      </w:pPr>
    </w:p>
    <w:p w14:paraId="3669ACFE" w14:textId="77777777" w:rsidR="00003EBB" w:rsidRPr="00017F91" w:rsidRDefault="00003EBB" w:rsidP="00003EBB">
      <w:pPr>
        <w:rPr>
          <w:rFonts w:cs="Times New Roman"/>
        </w:rPr>
      </w:pPr>
    </w:p>
    <w:p w14:paraId="0F1E4A8B" w14:textId="77777777" w:rsidR="00003EBB" w:rsidRPr="00017F91" w:rsidRDefault="00003EBB" w:rsidP="00003EBB">
      <w:pPr>
        <w:pStyle w:val="Heading1"/>
        <w:rPr>
          <w:rFonts w:cs="Times New Roman"/>
        </w:rPr>
      </w:pPr>
      <w:bookmarkStart w:id="8" w:name="_Toc191624111"/>
      <w:r w:rsidRPr="00017F91">
        <w:rPr>
          <w:rFonts w:cs="Times New Roman"/>
        </w:rPr>
        <w:lastRenderedPageBreak/>
        <w:t>Situational and Cultural Considerations</w:t>
      </w:r>
      <w:bookmarkEnd w:id="8"/>
    </w:p>
    <w:p w14:paraId="181E67CD" w14:textId="77777777" w:rsidR="00003EBB" w:rsidRPr="00017F91" w:rsidRDefault="00003EBB" w:rsidP="00003EBB">
      <w:pPr>
        <w:rPr>
          <w:rFonts w:cs="Times New Roman"/>
          <w:lang w:eastAsia="en-GB"/>
        </w:rPr>
      </w:pPr>
      <w:r w:rsidRPr="00017F91">
        <w:rPr>
          <w:rFonts w:cs="Times New Roman"/>
          <w:lang w:eastAsia="en-GB"/>
        </w:rPr>
        <w:t xml:space="preserve">Situational and cultural factors boost parenthood and workplace inclusion. These impact event format, attendance, and impact. Event planners must assess SWOT, PESTEL, and SOAR cultural and situational elements. Comparing industrial rivals' advantages contextualises these challenges. </w:t>
      </w:r>
    </w:p>
    <w:p w14:paraId="6180EAE1" w14:textId="77777777" w:rsidR="00003EBB" w:rsidRPr="00017F91" w:rsidRDefault="00003EBB" w:rsidP="00003EBB">
      <w:pPr>
        <w:rPr>
          <w:rFonts w:eastAsia="Times New Roman" w:cs="Times New Roman"/>
          <w:szCs w:val="24"/>
          <w:lang w:eastAsia="en-GB"/>
        </w:rPr>
      </w:pPr>
      <w:r w:rsidRPr="00017F91">
        <w:rPr>
          <w:rFonts w:cs="Times New Roman"/>
          <w:b/>
        </w:rPr>
        <w:t>Economic Climate and Affordability</w:t>
      </w:r>
      <w:r w:rsidRPr="00017F91">
        <w:rPr>
          <w:rFonts w:cs="Times New Roman"/>
          <w:b/>
          <w:lang w:eastAsia="en-GB"/>
        </w:rPr>
        <w:t>:</w:t>
      </w:r>
      <w:r w:rsidRPr="00017F91">
        <w:rPr>
          <w:rFonts w:cs="Times New Roman"/>
          <w:lang w:eastAsia="en-GB"/>
        </w:rPr>
        <w:t xml:space="preserve"> The economy influences planning and attendance costs. Economic instability may limit event funding, and attendees may not spend on non-essentials. Economic information improves pricing, sponsorship, and personalisation </w:t>
      </w:r>
      <w:r w:rsidRPr="00017F91">
        <w:rPr>
          <w:rFonts w:eastAsia="Times New Roman" w:cs="Times New Roman"/>
          <w:szCs w:val="24"/>
          <w:lang w:eastAsia="en-GB"/>
        </w:rPr>
        <w:t>(</w:t>
      </w:r>
      <w:proofErr w:type="spellStart"/>
      <w:r w:rsidRPr="00017F91">
        <w:rPr>
          <w:rFonts w:eastAsia="Times New Roman" w:cs="Times New Roman"/>
          <w:szCs w:val="24"/>
          <w:lang w:eastAsia="en-GB"/>
        </w:rPr>
        <w:t>Ntounis</w:t>
      </w:r>
      <w:proofErr w:type="spellEnd"/>
      <w:r w:rsidRPr="00017F91">
        <w:rPr>
          <w:rFonts w:eastAsia="Times New Roman" w:cs="Times New Roman"/>
          <w:szCs w:val="24"/>
          <w:lang w:eastAsia="en-GB"/>
        </w:rPr>
        <w:t xml:space="preserve"> </w:t>
      </w:r>
      <w:r w:rsidRPr="00FC1906">
        <w:rPr>
          <w:rFonts w:eastAsia="Times New Roman" w:cs="Times New Roman"/>
          <w:i/>
          <w:iCs/>
          <w:szCs w:val="24"/>
          <w:lang w:eastAsia="en-GB"/>
        </w:rPr>
        <w:t>et al</w:t>
      </w:r>
      <w:r w:rsidRPr="00017F91">
        <w:rPr>
          <w:rFonts w:eastAsia="Times New Roman" w:cs="Times New Roman"/>
          <w:szCs w:val="24"/>
          <w:lang w:eastAsia="en-GB"/>
        </w:rPr>
        <w:t>., 2021)</w:t>
      </w:r>
      <w:r w:rsidRPr="00017F91">
        <w:rPr>
          <w:rFonts w:cs="Times New Roman"/>
          <w:lang w:eastAsia="en-GB"/>
        </w:rPr>
        <w:t xml:space="preserve">. Tiered ticket pricing and early bird discounts help competitors like the Maternity and Parenting Conference attract clients. Match event costs to participants' budgets by considering economy and value. PESTEL economics impacts event sponsorship, ticket sales, and success. </w:t>
      </w:r>
    </w:p>
    <w:p w14:paraId="29BF978D" w14:textId="77777777" w:rsidR="00003EBB" w:rsidRPr="00017F91" w:rsidRDefault="00003EBB" w:rsidP="00003EBB">
      <w:pPr>
        <w:rPr>
          <w:rFonts w:cs="Times New Roman"/>
          <w:lang w:eastAsia="en-GB"/>
        </w:rPr>
      </w:pPr>
      <w:r w:rsidRPr="00017F91">
        <w:rPr>
          <w:rFonts w:cs="Times New Roman"/>
          <w:b/>
        </w:rPr>
        <w:t xml:space="preserve">Workplace Diversity and Inclusion Policies:  </w:t>
      </w:r>
      <w:r w:rsidRPr="00017F91">
        <w:rPr>
          <w:rFonts w:cs="Times New Roman"/>
          <w:lang w:eastAsia="en-GB"/>
        </w:rPr>
        <w:t xml:space="preserve">Workplace diversity and inclusion help pregnant and new mothers. With 62% of companies promoting inclusivity, diversity policies are rising. This tendency draws maternity policy enhancement firms to conferences. Equitable workplaces help the Diversity and Inclusion Summit compete </w:t>
      </w:r>
      <w:r w:rsidRPr="00017F91">
        <w:rPr>
          <w:rFonts w:eastAsia="Times New Roman" w:cs="Times New Roman"/>
          <w:szCs w:val="24"/>
          <w:lang w:eastAsia="en-GB"/>
        </w:rPr>
        <w:t>(Morrison, 2022)</w:t>
      </w:r>
      <w:r w:rsidRPr="00017F91">
        <w:rPr>
          <w:rFonts w:cs="Times New Roman"/>
          <w:lang w:eastAsia="en-GB"/>
        </w:rPr>
        <w:t xml:space="preserve">. Addressing policies at this event can help organisations improve diversity. SWOT analysis strengths reveal the event can capitalise on diversity efforts' growing demand. </w:t>
      </w:r>
    </w:p>
    <w:p w14:paraId="3625BF96" w14:textId="77777777" w:rsidR="00003EBB" w:rsidRPr="00017F91" w:rsidRDefault="00003EBB" w:rsidP="00003EBB">
      <w:pPr>
        <w:jc w:val="center"/>
        <w:rPr>
          <w:rFonts w:eastAsia="Times New Roman" w:cs="Times New Roman"/>
          <w:szCs w:val="24"/>
          <w:lang w:eastAsia="en-GB"/>
        </w:rPr>
      </w:pPr>
      <w:r w:rsidRPr="00017F91">
        <w:rPr>
          <w:rFonts w:cs="Times New Roman"/>
          <w:noProof/>
          <w:lang w:eastAsia="en-GB"/>
        </w:rPr>
        <w:drawing>
          <wp:inline distT="0" distB="0" distL="0" distR="0" wp14:anchorId="712E2A5A" wp14:editId="131BC126">
            <wp:extent cx="4533265" cy="2476198"/>
            <wp:effectExtent l="0" t="0" r="635" b="635"/>
            <wp:docPr id="6" name="Picture 6" descr="3 Easy Steps to Create a SWOT Analysis - B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 Easy Steps to Create a SWOT Analysis - BNI"/>
                    <pic:cNvPicPr>
                      <a:picLocks noChangeAspect="1" noChangeArrowheads="1"/>
                    </pic:cNvPicPr>
                  </pic:nvPicPr>
                  <pic:blipFill rotWithShape="1">
                    <a:blip r:embed="rId18">
                      <a:extLst>
                        <a:ext uri="{28A0092B-C50C-407E-A947-70E740481C1C}">
                          <a14:useLocalDpi xmlns:a14="http://schemas.microsoft.com/office/drawing/2010/main" val="0"/>
                        </a:ext>
                      </a:extLst>
                    </a:blip>
                    <a:srcRect l="6570" t="8749" r="5919" b="9937"/>
                    <a:stretch/>
                  </pic:blipFill>
                  <pic:spPr bwMode="auto">
                    <a:xfrm>
                      <a:off x="0" y="0"/>
                      <a:ext cx="4545364" cy="2482807"/>
                    </a:xfrm>
                    <a:prstGeom prst="rect">
                      <a:avLst/>
                    </a:prstGeom>
                    <a:noFill/>
                    <a:ln>
                      <a:noFill/>
                    </a:ln>
                    <a:extLst>
                      <a:ext uri="{53640926-AAD7-44D8-BBD7-CCE9431645EC}">
                        <a14:shadowObscured xmlns:a14="http://schemas.microsoft.com/office/drawing/2010/main"/>
                      </a:ext>
                    </a:extLst>
                  </pic:spPr>
                </pic:pic>
              </a:graphicData>
            </a:graphic>
          </wp:inline>
        </w:drawing>
      </w:r>
    </w:p>
    <w:p w14:paraId="61339C48"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 xml:space="preserve">Figure 4: SWOT </w:t>
      </w:r>
    </w:p>
    <w:p w14:paraId="13FF583E" w14:textId="77777777" w:rsidR="00003EBB" w:rsidRPr="00017F91" w:rsidRDefault="00003EBB" w:rsidP="00003EBB">
      <w:pPr>
        <w:jc w:val="center"/>
        <w:rPr>
          <w:rFonts w:eastAsia="Times New Roman" w:cs="Times New Roman"/>
          <w:szCs w:val="24"/>
          <w:lang w:eastAsia="en-GB"/>
        </w:rPr>
      </w:pPr>
      <w:r w:rsidRPr="00017F91">
        <w:rPr>
          <w:rFonts w:eastAsia="Times New Roman" w:cs="Times New Roman"/>
          <w:szCs w:val="24"/>
          <w:lang w:eastAsia="en-GB"/>
        </w:rPr>
        <w:t>Source: (</w:t>
      </w:r>
      <w:proofErr w:type="spellStart"/>
      <w:r w:rsidRPr="00017F91">
        <w:rPr>
          <w:rFonts w:eastAsia="Times New Roman" w:cs="Times New Roman"/>
          <w:szCs w:val="24"/>
          <w:lang w:eastAsia="en-GB"/>
        </w:rPr>
        <w:t>Makortoff</w:t>
      </w:r>
      <w:proofErr w:type="spellEnd"/>
      <w:r w:rsidRPr="00017F91">
        <w:rPr>
          <w:rFonts w:eastAsia="Times New Roman" w:cs="Times New Roman"/>
          <w:szCs w:val="24"/>
          <w:lang w:eastAsia="en-GB"/>
        </w:rPr>
        <w:t>, 2024)</w:t>
      </w:r>
    </w:p>
    <w:p w14:paraId="45E8ED15" w14:textId="77777777" w:rsidR="00003EBB" w:rsidRPr="00017F91" w:rsidRDefault="00003EBB" w:rsidP="00003EBB">
      <w:pPr>
        <w:rPr>
          <w:rFonts w:eastAsia="Times New Roman" w:cs="Times New Roman"/>
          <w:szCs w:val="24"/>
          <w:lang w:eastAsia="en-GB"/>
        </w:rPr>
      </w:pPr>
      <w:r w:rsidRPr="00017F91">
        <w:rPr>
          <w:rFonts w:cs="Times New Roman"/>
          <w:b/>
        </w:rPr>
        <w:lastRenderedPageBreak/>
        <w:t>Technological Advancements in HR:</w:t>
      </w:r>
      <w:r w:rsidRPr="00017F91">
        <w:rPr>
          <w:rFonts w:cs="Times New Roman"/>
        </w:rPr>
        <w:t xml:space="preserve"> </w:t>
      </w:r>
      <w:r w:rsidRPr="00017F91">
        <w:rPr>
          <w:rFonts w:cs="Times New Roman"/>
          <w:lang w:eastAsia="en-GB"/>
        </w:rPr>
        <w:t xml:space="preserve">Technology is transforming HR maternal and parental leave policy. AI-driven parental leave planning has transformed workplace pregnancy support. Competitions like the Future of Work Conference promote AI and HR to attract creative businesses </w:t>
      </w:r>
      <w:r w:rsidRPr="00017F91">
        <w:rPr>
          <w:rFonts w:eastAsia="Times New Roman" w:cs="Times New Roman"/>
          <w:szCs w:val="24"/>
          <w:lang w:eastAsia="en-GB"/>
        </w:rPr>
        <w:t>(</w:t>
      </w:r>
      <w:proofErr w:type="spellStart"/>
      <w:r w:rsidRPr="00017F91">
        <w:rPr>
          <w:rFonts w:eastAsia="Times New Roman" w:cs="Times New Roman"/>
          <w:szCs w:val="24"/>
          <w:lang w:eastAsia="en-GB"/>
        </w:rPr>
        <w:t>Makortoff</w:t>
      </w:r>
      <w:proofErr w:type="spellEnd"/>
      <w:r w:rsidRPr="00017F91">
        <w:rPr>
          <w:rFonts w:eastAsia="Times New Roman" w:cs="Times New Roman"/>
          <w:szCs w:val="24"/>
          <w:lang w:eastAsia="en-GB"/>
        </w:rPr>
        <w:t>, 2024)</w:t>
      </w:r>
      <w:r w:rsidRPr="00017F91">
        <w:rPr>
          <w:rFonts w:cs="Times New Roman"/>
          <w:lang w:eastAsia="en-GB"/>
        </w:rPr>
        <w:t xml:space="preserve">. Tech-savvy HR professionals seeking event solutions may consider automatic leave systems. A fast-changing landscape necessitates technology-aligned PESTEL analysis for event competitiveness. </w:t>
      </w:r>
    </w:p>
    <w:p w14:paraId="13DC1F11" w14:textId="77777777" w:rsidR="00003EBB" w:rsidRPr="00017F91" w:rsidRDefault="00003EBB" w:rsidP="00003EBB">
      <w:pPr>
        <w:rPr>
          <w:rFonts w:eastAsia="Times New Roman" w:cs="Times New Roman"/>
          <w:szCs w:val="24"/>
          <w:lang w:eastAsia="en-GB"/>
        </w:rPr>
      </w:pPr>
      <w:r w:rsidRPr="00017F91">
        <w:rPr>
          <w:rFonts w:cs="Times New Roman"/>
          <w:b/>
        </w:rPr>
        <w:t>Cultural Attitudes towards Maternity Leave and Gender Roles:</w:t>
      </w:r>
      <w:r w:rsidRPr="00017F91">
        <w:rPr>
          <w:rFonts w:cs="Times New Roman"/>
        </w:rPr>
        <w:t xml:space="preserve"> </w:t>
      </w:r>
      <w:r w:rsidRPr="00017F91">
        <w:rPr>
          <w:rFonts w:cs="Times New Roman"/>
          <w:lang w:eastAsia="en-GB"/>
        </w:rPr>
        <w:t xml:space="preserve">Cultural attitudes on maternity leave and gender roles affect workplace practices. Not all societies guarantee maternity leave. Cultural variations should inform event material. Sweden's strong maternity leave law may offer best practices. The Global Maternity Rights Forum and competitors analyse cultural differences in maternity laws and offer global perspectives </w:t>
      </w:r>
      <w:r w:rsidRPr="00017F91">
        <w:rPr>
          <w:rFonts w:eastAsia="Times New Roman" w:cs="Times New Roman"/>
          <w:szCs w:val="24"/>
          <w:lang w:eastAsia="en-GB"/>
        </w:rPr>
        <w:t>(Liberato et al., 2024)</w:t>
      </w:r>
      <w:r w:rsidRPr="00017F91">
        <w:rPr>
          <w:rFonts w:cs="Times New Roman"/>
          <w:lang w:eastAsia="en-GB"/>
        </w:rPr>
        <w:t xml:space="preserve">. SOAR uses cultural sensitivity to increase event appeal by offering global maternity policy insights. </w:t>
      </w:r>
    </w:p>
    <w:p w14:paraId="7EA079E2" w14:textId="77777777" w:rsidR="00003EBB" w:rsidRPr="00017F91" w:rsidRDefault="00003EBB" w:rsidP="00003EBB">
      <w:pPr>
        <w:rPr>
          <w:rFonts w:eastAsia="Times New Roman" w:cs="Times New Roman"/>
          <w:szCs w:val="24"/>
          <w:lang w:eastAsia="en-GB"/>
        </w:rPr>
      </w:pPr>
      <w:r w:rsidRPr="00017F91">
        <w:rPr>
          <w:rFonts w:cs="Times New Roman"/>
          <w:b/>
        </w:rPr>
        <w:t>Legal Landscape and Compliance:</w:t>
      </w:r>
      <w:r w:rsidRPr="00017F91">
        <w:rPr>
          <w:rFonts w:cs="Times New Roman"/>
        </w:rPr>
        <w:t xml:space="preserve"> </w:t>
      </w:r>
      <w:r w:rsidRPr="00017F91">
        <w:rPr>
          <w:rFonts w:cs="Times New Roman"/>
          <w:lang w:eastAsia="en-GB"/>
        </w:rPr>
        <w:t xml:space="preserve">As laws change, businesses face growing pressure to comply with pregnancy discrimination restrictions (PESTEL-Legal). About 16,000 UK pregnancy discrimination claims are filed annually </w:t>
      </w:r>
      <w:r w:rsidRPr="00017F91">
        <w:rPr>
          <w:rFonts w:eastAsia="Times New Roman" w:cs="Times New Roman"/>
          <w:szCs w:val="24"/>
          <w:lang w:eastAsia="en-GB"/>
        </w:rPr>
        <w:t>(</w:t>
      </w:r>
      <w:proofErr w:type="spellStart"/>
      <w:r w:rsidRPr="00017F91">
        <w:rPr>
          <w:rFonts w:eastAsia="Times New Roman" w:cs="Times New Roman"/>
          <w:szCs w:val="24"/>
          <w:lang w:eastAsia="en-GB"/>
        </w:rPr>
        <w:t>Kravariti</w:t>
      </w:r>
      <w:proofErr w:type="spellEnd"/>
      <w:r w:rsidRPr="00017F91">
        <w:rPr>
          <w:rFonts w:eastAsia="Times New Roman" w:cs="Times New Roman"/>
          <w:szCs w:val="24"/>
          <w:lang w:eastAsia="en-GB"/>
        </w:rPr>
        <w:t xml:space="preserve"> </w:t>
      </w:r>
      <w:r w:rsidRPr="00FC1906">
        <w:rPr>
          <w:rFonts w:eastAsia="Times New Roman" w:cs="Times New Roman"/>
          <w:i/>
          <w:iCs/>
          <w:szCs w:val="24"/>
          <w:lang w:eastAsia="en-GB"/>
        </w:rPr>
        <w:t>et al</w:t>
      </w:r>
      <w:r w:rsidRPr="00017F91">
        <w:rPr>
          <w:rFonts w:eastAsia="Times New Roman" w:cs="Times New Roman"/>
          <w:szCs w:val="24"/>
          <w:lang w:eastAsia="en-GB"/>
        </w:rPr>
        <w:t>., 2021)</w:t>
      </w:r>
      <w:r w:rsidRPr="00017F91">
        <w:rPr>
          <w:rFonts w:cs="Times New Roman"/>
          <w:lang w:eastAsia="en-GB"/>
        </w:rPr>
        <w:t xml:space="preserve">. Because legal counsel and compliance attract attendees, maternal inclusion events must grasp the law. Legal experts debate maternity legislation reforms at events like the Workplace Equality Summit, giving employers advice on how to address these challenges. This issue impacts how companies react to legal hazards and employment laws, according to the legal PESTEL study. </w:t>
      </w:r>
    </w:p>
    <w:p w14:paraId="6D70C178" w14:textId="77777777" w:rsidR="00003EBB" w:rsidRPr="00017F91" w:rsidRDefault="00003EBB" w:rsidP="00003EBB">
      <w:pPr>
        <w:rPr>
          <w:rFonts w:cs="Times New Roman"/>
          <w:lang w:eastAsia="en-GB"/>
        </w:rPr>
      </w:pPr>
      <w:r w:rsidRPr="00017F91">
        <w:rPr>
          <w:rFonts w:cs="Times New Roman"/>
          <w:b/>
        </w:rPr>
        <w:t>Mental Health and Well-Being for New and Expecting Mothers:</w:t>
      </w:r>
      <w:r w:rsidRPr="00017F91">
        <w:rPr>
          <w:rFonts w:cs="Times New Roman"/>
        </w:rPr>
        <w:t xml:space="preserve"> The </w:t>
      </w:r>
      <w:r w:rsidRPr="00017F91">
        <w:rPr>
          <w:rFonts w:cs="Times New Roman"/>
          <w:lang w:eastAsia="en-GB"/>
        </w:rPr>
        <w:t xml:space="preserve">Festival encourages mental health awareness, especially for pregnant women. 74% of HR leaders encourage workplace well-being, thus businesses value mental health </w:t>
      </w:r>
      <w:r w:rsidRPr="00017F91">
        <w:rPr>
          <w:rFonts w:eastAsia="Times New Roman" w:cs="Times New Roman"/>
          <w:szCs w:val="24"/>
          <w:lang w:eastAsia="en-GB"/>
        </w:rPr>
        <w:t>(Koc and Ayyildiz, 2021)</w:t>
      </w:r>
      <w:r w:rsidRPr="00017F91">
        <w:rPr>
          <w:rFonts w:cs="Times New Roman"/>
          <w:lang w:eastAsia="en-GB"/>
        </w:rPr>
        <w:t xml:space="preserve">. Parenting and Mental Health Symposiums are competitive gatherings where mental health specialists discuss these topics. An expanding workforce at the anticipated event would require mental health and new mother support. The SWOT analysis suggests support for new mother's mental health and workplace to differentiate the occasion. </w:t>
      </w:r>
    </w:p>
    <w:p w14:paraId="19BB07DD" w14:textId="77777777" w:rsidR="00003EBB" w:rsidRPr="00017F91" w:rsidRDefault="00003EBB" w:rsidP="00003EBB">
      <w:pPr>
        <w:rPr>
          <w:rFonts w:cs="Times New Roman"/>
          <w:lang w:eastAsia="en-GB"/>
        </w:rPr>
      </w:pPr>
    </w:p>
    <w:p w14:paraId="37297916" w14:textId="77777777" w:rsidR="00003EBB" w:rsidRPr="00017F91" w:rsidRDefault="00003EBB" w:rsidP="00003EBB">
      <w:pPr>
        <w:rPr>
          <w:rFonts w:cs="Times New Roman"/>
          <w:lang w:eastAsia="en-GB"/>
        </w:rPr>
      </w:pPr>
    </w:p>
    <w:p w14:paraId="4D1705A0" w14:textId="77777777" w:rsidR="00003EBB" w:rsidRPr="00017F91" w:rsidRDefault="00003EBB" w:rsidP="00003EBB">
      <w:pPr>
        <w:rPr>
          <w:rFonts w:eastAsia="Times New Roman" w:cs="Times New Roman"/>
          <w:szCs w:val="24"/>
          <w:lang w:eastAsia="en-GB"/>
        </w:rPr>
      </w:pPr>
    </w:p>
    <w:p w14:paraId="073FB3A7" w14:textId="77777777" w:rsidR="00003EBB" w:rsidRPr="00017F91" w:rsidRDefault="00003EBB" w:rsidP="00003EBB">
      <w:pPr>
        <w:pStyle w:val="Heading1"/>
        <w:rPr>
          <w:rFonts w:cs="Times New Roman"/>
          <w:lang w:eastAsia="en-GB"/>
        </w:rPr>
      </w:pPr>
      <w:bookmarkStart w:id="9" w:name="_Toc191624112"/>
      <w:r w:rsidRPr="00017F91">
        <w:rPr>
          <w:rFonts w:cs="Times New Roman"/>
          <w:lang w:eastAsia="en-GB"/>
        </w:rPr>
        <w:lastRenderedPageBreak/>
        <w:t>Conclusion and Recommendations</w:t>
      </w:r>
      <w:bookmarkEnd w:id="9"/>
      <w:r w:rsidRPr="00017F91">
        <w:rPr>
          <w:rFonts w:cs="Times New Roman"/>
          <w:lang w:eastAsia="en-GB"/>
        </w:rPr>
        <w:t xml:space="preserve"> </w:t>
      </w:r>
    </w:p>
    <w:p w14:paraId="31DBD00E" w14:textId="77777777" w:rsidR="00003EBB" w:rsidRPr="00017F91" w:rsidRDefault="00003EBB" w:rsidP="00003EBB">
      <w:pPr>
        <w:rPr>
          <w:rFonts w:cs="Times New Roman"/>
          <w:lang w:eastAsia="en-GB"/>
        </w:rPr>
      </w:pPr>
      <w:r w:rsidRPr="00017F91">
        <w:rPr>
          <w:rFonts w:cs="Times New Roman"/>
          <w:lang w:eastAsia="en-GB"/>
        </w:rPr>
        <w:t xml:space="preserve">Strategic preparation and execution are needed for event feasibility and industry alignment. Sustainable finances, efficient operations, and savvy marketing can enhance attendance and amaze the industry. These methods will help the event achieve its immediate goals and encourage maternal workplace inclusion. Event reach and efficacy can be improved in numerous ways. Start with business to fund and influence events. Second, live Q&amp;A, interactive platforms, and virtual lectures will engage remote guests. Recorded seminars, industry reports, and post-event workshops promote learning and networking. The occasion may encourage employers to prioritise new and expecting mothers. Event tactics may change the sector and make workplaces more pleasant. </w:t>
      </w:r>
    </w:p>
    <w:p w14:paraId="58C98060" w14:textId="77777777" w:rsidR="00003EBB" w:rsidRPr="00017F91" w:rsidRDefault="00003EBB" w:rsidP="00003EBB">
      <w:pPr>
        <w:rPr>
          <w:rFonts w:cs="Times New Roman"/>
          <w:lang w:eastAsia="en-GB"/>
        </w:rPr>
      </w:pPr>
    </w:p>
    <w:p w14:paraId="454ED42B" w14:textId="77777777" w:rsidR="00003EBB" w:rsidRPr="00017F91" w:rsidRDefault="00003EBB" w:rsidP="00003EBB">
      <w:pPr>
        <w:rPr>
          <w:rFonts w:cs="Times New Roman"/>
          <w:lang w:eastAsia="en-GB"/>
        </w:rPr>
      </w:pPr>
    </w:p>
    <w:p w14:paraId="7C2E41AC" w14:textId="77777777" w:rsidR="00003EBB" w:rsidRPr="00017F91" w:rsidRDefault="00003EBB" w:rsidP="00003EBB">
      <w:pPr>
        <w:rPr>
          <w:rFonts w:cs="Times New Roman"/>
          <w:lang w:eastAsia="en-GB"/>
        </w:rPr>
      </w:pPr>
    </w:p>
    <w:p w14:paraId="159A4B57" w14:textId="77777777" w:rsidR="00003EBB" w:rsidRPr="00017F91" w:rsidRDefault="00003EBB" w:rsidP="00003EBB">
      <w:pPr>
        <w:rPr>
          <w:rFonts w:cs="Times New Roman"/>
          <w:lang w:eastAsia="en-GB"/>
        </w:rPr>
      </w:pPr>
    </w:p>
    <w:p w14:paraId="5B48F2CA" w14:textId="77777777" w:rsidR="00003EBB" w:rsidRPr="00017F91" w:rsidRDefault="00003EBB" w:rsidP="00003EBB">
      <w:pPr>
        <w:rPr>
          <w:rFonts w:cs="Times New Roman"/>
          <w:lang w:eastAsia="en-GB"/>
        </w:rPr>
      </w:pPr>
    </w:p>
    <w:p w14:paraId="18971357" w14:textId="77777777" w:rsidR="00003EBB" w:rsidRPr="00017F91" w:rsidRDefault="00003EBB" w:rsidP="00003EBB">
      <w:pPr>
        <w:rPr>
          <w:rFonts w:cs="Times New Roman"/>
          <w:lang w:eastAsia="en-GB"/>
        </w:rPr>
      </w:pPr>
    </w:p>
    <w:p w14:paraId="76CDAFEB" w14:textId="77777777" w:rsidR="00003EBB" w:rsidRPr="00017F91" w:rsidRDefault="00003EBB" w:rsidP="00003EBB">
      <w:pPr>
        <w:rPr>
          <w:rFonts w:cs="Times New Roman"/>
          <w:lang w:eastAsia="en-GB"/>
        </w:rPr>
      </w:pPr>
    </w:p>
    <w:p w14:paraId="4BE2B6DE" w14:textId="77777777" w:rsidR="00003EBB" w:rsidRPr="00017F91" w:rsidRDefault="00003EBB" w:rsidP="00003EBB">
      <w:pPr>
        <w:rPr>
          <w:rFonts w:cs="Times New Roman"/>
          <w:lang w:eastAsia="en-GB"/>
        </w:rPr>
      </w:pPr>
    </w:p>
    <w:p w14:paraId="538E3D16" w14:textId="77777777" w:rsidR="00003EBB" w:rsidRPr="00017F91" w:rsidRDefault="00003EBB" w:rsidP="00003EBB">
      <w:pPr>
        <w:rPr>
          <w:rFonts w:cs="Times New Roman"/>
          <w:lang w:eastAsia="en-GB"/>
        </w:rPr>
      </w:pPr>
    </w:p>
    <w:p w14:paraId="12CA580D" w14:textId="77777777" w:rsidR="00003EBB" w:rsidRPr="00017F91" w:rsidRDefault="00003EBB" w:rsidP="00003EBB">
      <w:pPr>
        <w:rPr>
          <w:rFonts w:cs="Times New Roman"/>
          <w:lang w:eastAsia="en-GB"/>
        </w:rPr>
      </w:pPr>
    </w:p>
    <w:p w14:paraId="77A0A324" w14:textId="77777777" w:rsidR="00003EBB" w:rsidRPr="00017F91" w:rsidRDefault="00003EBB" w:rsidP="00003EBB">
      <w:pPr>
        <w:rPr>
          <w:rFonts w:cs="Times New Roman"/>
          <w:lang w:eastAsia="en-GB"/>
        </w:rPr>
      </w:pPr>
    </w:p>
    <w:p w14:paraId="689F93A9" w14:textId="77777777" w:rsidR="00003EBB" w:rsidRPr="00017F91" w:rsidRDefault="00003EBB" w:rsidP="00003EBB">
      <w:pPr>
        <w:rPr>
          <w:rFonts w:cs="Times New Roman"/>
          <w:lang w:eastAsia="en-GB"/>
        </w:rPr>
      </w:pPr>
    </w:p>
    <w:p w14:paraId="4CF0B6B3" w14:textId="77777777" w:rsidR="00003EBB" w:rsidRPr="00017F91" w:rsidRDefault="00003EBB" w:rsidP="00003EBB">
      <w:pPr>
        <w:rPr>
          <w:rFonts w:cs="Times New Roman"/>
          <w:lang w:eastAsia="en-GB"/>
        </w:rPr>
      </w:pPr>
    </w:p>
    <w:p w14:paraId="499DD7FB" w14:textId="77777777" w:rsidR="00003EBB" w:rsidRPr="00017F91" w:rsidRDefault="00003EBB" w:rsidP="00003EBB">
      <w:pPr>
        <w:rPr>
          <w:rFonts w:cs="Times New Roman"/>
          <w:lang w:eastAsia="en-GB"/>
        </w:rPr>
      </w:pPr>
    </w:p>
    <w:p w14:paraId="477381B0" w14:textId="77777777" w:rsidR="00003EBB" w:rsidRPr="00017F91" w:rsidRDefault="00003EBB" w:rsidP="00003EBB">
      <w:pPr>
        <w:pStyle w:val="Heading1"/>
        <w:rPr>
          <w:rFonts w:cs="Times New Roman"/>
        </w:rPr>
      </w:pPr>
      <w:bookmarkStart w:id="10" w:name="_Toc191624113"/>
      <w:r w:rsidRPr="00017F91">
        <w:rPr>
          <w:rFonts w:cs="Times New Roman"/>
        </w:rPr>
        <w:lastRenderedPageBreak/>
        <w:t>References</w:t>
      </w:r>
      <w:bookmarkEnd w:id="10"/>
    </w:p>
    <w:p w14:paraId="35431E0C" w14:textId="77777777" w:rsidR="00003EBB" w:rsidRPr="00017F91" w:rsidRDefault="00003EBB" w:rsidP="00003EBB">
      <w:pPr>
        <w:pStyle w:val="NormalWeb"/>
        <w:spacing w:before="0" w:beforeAutospacing="0" w:after="240" w:afterAutospacing="0" w:line="360" w:lineRule="auto"/>
        <w:jc w:val="both"/>
      </w:pPr>
      <w:r w:rsidRPr="00017F91">
        <w:t xml:space="preserve">Aharon, D.Y., Jacobi, A., Cohen, E., Tzur, J. and Qadan, M. (2021). COVID-19, government measures and hospitality industry performance. </w:t>
      </w:r>
      <w:r w:rsidRPr="00017F91">
        <w:rPr>
          <w:i/>
          <w:iCs/>
        </w:rPr>
        <w:t>PLOS ONE</w:t>
      </w:r>
      <w:r w:rsidRPr="00017F91">
        <w:t xml:space="preserve">, [online] 16(8), p.e0255819. </w:t>
      </w:r>
      <w:proofErr w:type="spellStart"/>
      <w:r w:rsidRPr="00017F91">
        <w:t>doi:https</w:t>
      </w:r>
      <w:proofErr w:type="spellEnd"/>
      <w:r w:rsidRPr="00017F91">
        <w:t>://doi.org/10.1371/journal.pone.0255819.</w:t>
      </w:r>
    </w:p>
    <w:p w14:paraId="6AE4756B" w14:textId="77777777" w:rsidR="00003EBB" w:rsidRPr="00017F91" w:rsidRDefault="00003EBB" w:rsidP="00003EBB">
      <w:pPr>
        <w:pStyle w:val="NormalWeb"/>
        <w:spacing w:before="0" w:beforeAutospacing="0" w:after="240" w:afterAutospacing="0" w:line="360" w:lineRule="auto"/>
        <w:jc w:val="both"/>
      </w:pPr>
      <w:proofErr w:type="spellStart"/>
      <w:r w:rsidRPr="00017F91">
        <w:t>Alananzeh</w:t>
      </w:r>
      <w:proofErr w:type="spellEnd"/>
      <w:r w:rsidRPr="00017F91">
        <w:t xml:space="preserve">, O. (2022). Drivers and Challenges for Future Events and their Impact on Hotel Industry. </w:t>
      </w:r>
      <w:r w:rsidRPr="00017F91">
        <w:rPr>
          <w:i/>
          <w:iCs/>
        </w:rPr>
        <w:t>African Journal of Hospitality, Tourism and Leisure</w:t>
      </w:r>
      <w:r w:rsidRPr="00017F91">
        <w:t xml:space="preserve">, [online] 11(3), pp.1273–1287. </w:t>
      </w:r>
      <w:proofErr w:type="spellStart"/>
      <w:r w:rsidRPr="00017F91">
        <w:t>doi:https</w:t>
      </w:r>
      <w:proofErr w:type="spellEnd"/>
      <w:r w:rsidRPr="00017F91">
        <w:t>://doi.org/10.46222/ajhtl.19770720.290.</w:t>
      </w:r>
    </w:p>
    <w:p w14:paraId="59797983" w14:textId="77777777" w:rsidR="00003EBB" w:rsidRPr="00017F91" w:rsidRDefault="00003EBB" w:rsidP="00003EBB">
      <w:pPr>
        <w:pStyle w:val="NormalWeb"/>
        <w:spacing w:before="0" w:beforeAutospacing="0" w:after="240" w:afterAutospacing="0" w:line="360" w:lineRule="auto"/>
        <w:jc w:val="both"/>
      </w:pPr>
      <w:proofErr w:type="spellStart"/>
      <w:r w:rsidRPr="00017F91">
        <w:t>Alananzeh</w:t>
      </w:r>
      <w:proofErr w:type="spellEnd"/>
      <w:r w:rsidRPr="00017F91">
        <w:t xml:space="preserve">, O.A., </w:t>
      </w:r>
      <w:proofErr w:type="spellStart"/>
      <w:r w:rsidRPr="00017F91">
        <w:t>Masadeh</w:t>
      </w:r>
      <w:proofErr w:type="spellEnd"/>
      <w:r w:rsidRPr="00017F91">
        <w:t xml:space="preserve"> and </w:t>
      </w:r>
      <w:proofErr w:type="spellStart"/>
      <w:r w:rsidRPr="00017F91">
        <w:t>Bazazo</w:t>
      </w:r>
      <w:proofErr w:type="spellEnd"/>
      <w:r w:rsidRPr="00017F91">
        <w:t xml:space="preserve">, I.K. (2023). Ebb and Flow Theory in Tourism, Hospitality, and Event Management. </w:t>
      </w:r>
      <w:r w:rsidRPr="00017F91">
        <w:rPr>
          <w:i/>
          <w:iCs/>
        </w:rPr>
        <w:t>Studies in computational intelligence</w:t>
      </w:r>
      <w:r w:rsidRPr="00017F91">
        <w:t xml:space="preserve">, pp.2379–2389. </w:t>
      </w:r>
      <w:proofErr w:type="spellStart"/>
      <w:r w:rsidRPr="00017F91">
        <w:t>doi:https</w:t>
      </w:r>
      <w:proofErr w:type="spellEnd"/>
      <w:r w:rsidRPr="00017F91">
        <w:t>://doi.org/10.1007/978-3-031-12382-5_130.</w:t>
      </w:r>
    </w:p>
    <w:p w14:paraId="2437894F" w14:textId="77777777" w:rsidR="00003EBB" w:rsidRPr="00017F91" w:rsidRDefault="00003EBB" w:rsidP="00003EBB">
      <w:pPr>
        <w:pStyle w:val="NormalWeb"/>
        <w:spacing w:before="0" w:beforeAutospacing="0" w:after="240" w:afterAutospacing="0" w:line="360" w:lineRule="auto"/>
        <w:jc w:val="both"/>
      </w:pPr>
      <w:r w:rsidRPr="00017F91">
        <w:t xml:space="preserve">Allen, J., O’Toole, W., Harris, R. and McDonnell, I. (2022). </w:t>
      </w:r>
      <w:r w:rsidRPr="00017F91">
        <w:rPr>
          <w:i/>
          <w:iCs/>
        </w:rPr>
        <w:t>Festival &amp; special event management</w:t>
      </w:r>
      <w:r w:rsidRPr="00017F91">
        <w:t>. Milton, Qld: John Wiley &amp; Sons Australia, Ltd.</w:t>
      </w:r>
    </w:p>
    <w:p w14:paraId="019B52B3" w14:textId="77777777" w:rsidR="00003EBB" w:rsidRPr="00017F91" w:rsidRDefault="00003EBB" w:rsidP="00003EBB">
      <w:pPr>
        <w:pStyle w:val="NormalWeb"/>
        <w:spacing w:before="0" w:beforeAutospacing="0" w:after="240" w:afterAutospacing="0" w:line="360" w:lineRule="auto"/>
        <w:jc w:val="both"/>
      </w:pPr>
      <w:r w:rsidRPr="00017F91">
        <w:t xml:space="preserve">ASS (2024). </w:t>
      </w:r>
      <w:r w:rsidRPr="00017F91">
        <w:rPr>
          <w:i/>
          <w:iCs/>
        </w:rPr>
        <w:t>EDI and event organisation – Academy of Social Sciences</w:t>
      </w:r>
      <w:r w:rsidRPr="00017F91">
        <w:t>. [online] Academy of Social Sciences. Available at: https://acss.org.uk/esrc-project-equality-diversity-inclusion/edi-good-practice-for-organising-events/ [Accessed 16 Feb. 2025].</w:t>
      </w:r>
    </w:p>
    <w:p w14:paraId="3EC05CF1" w14:textId="77777777" w:rsidR="00003EBB" w:rsidRPr="00017F91" w:rsidRDefault="00003EBB" w:rsidP="00003EBB">
      <w:pPr>
        <w:pStyle w:val="NormalWeb"/>
        <w:spacing w:before="0" w:beforeAutospacing="0" w:after="240" w:afterAutospacing="0" w:line="360" w:lineRule="auto"/>
        <w:jc w:val="both"/>
      </w:pPr>
      <w:proofErr w:type="spellStart"/>
      <w:r w:rsidRPr="00017F91">
        <w:t>Canhoto</w:t>
      </w:r>
      <w:proofErr w:type="spellEnd"/>
      <w:r w:rsidRPr="00017F91">
        <w:t xml:space="preserve">, A.I. and Wei, L. (2021). Stakeholders of the world, unite!: Hospitality in the time of COVID-19. </w:t>
      </w:r>
      <w:r w:rsidRPr="00017F91">
        <w:rPr>
          <w:i/>
          <w:iCs/>
        </w:rPr>
        <w:t>International Journal of Hospitality Management</w:t>
      </w:r>
      <w:r w:rsidRPr="00017F91">
        <w:t xml:space="preserve">, [online] 95, p.102922. </w:t>
      </w:r>
      <w:proofErr w:type="spellStart"/>
      <w:r w:rsidRPr="00017F91">
        <w:t>doi:https</w:t>
      </w:r>
      <w:proofErr w:type="spellEnd"/>
      <w:r w:rsidRPr="00017F91">
        <w:t>://doi.org/10.1016/j.ijhm.2021.102922.</w:t>
      </w:r>
    </w:p>
    <w:p w14:paraId="74BA6111" w14:textId="77777777" w:rsidR="00003EBB" w:rsidRPr="00017F91" w:rsidRDefault="00003EBB" w:rsidP="00003EBB">
      <w:pPr>
        <w:pStyle w:val="NormalWeb"/>
        <w:spacing w:before="0" w:beforeAutospacing="0" w:after="240" w:afterAutospacing="0" w:line="360" w:lineRule="auto"/>
        <w:jc w:val="both"/>
      </w:pPr>
      <w:r w:rsidRPr="00017F91">
        <w:t xml:space="preserve">Clark, J., Mauck, N. and Pruitt, S.W. (2021). The financial impact of COVID-19: Evidence from an event study of global hospitality firms. </w:t>
      </w:r>
      <w:r w:rsidRPr="00017F91">
        <w:rPr>
          <w:i/>
          <w:iCs/>
        </w:rPr>
        <w:t>Research in International Business and Finance</w:t>
      </w:r>
      <w:r w:rsidRPr="00017F91">
        <w:t xml:space="preserve">, 58. </w:t>
      </w:r>
      <w:proofErr w:type="spellStart"/>
      <w:r w:rsidRPr="00017F91">
        <w:t>doi:https</w:t>
      </w:r>
      <w:proofErr w:type="spellEnd"/>
      <w:r w:rsidRPr="00017F91">
        <w:t>://doi.org/10.1016/j.ribaf.2021.101452.</w:t>
      </w:r>
    </w:p>
    <w:p w14:paraId="2D2AB479" w14:textId="77777777" w:rsidR="00003EBB" w:rsidRPr="00017F91" w:rsidRDefault="00003EBB" w:rsidP="00003EBB">
      <w:pPr>
        <w:pStyle w:val="NormalWeb"/>
        <w:spacing w:before="0" w:beforeAutospacing="0" w:after="240" w:afterAutospacing="0" w:line="360" w:lineRule="auto"/>
        <w:jc w:val="both"/>
      </w:pPr>
      <w:proofErr w:type="spellStart"/>
      <w:r w:rsidRPr="00017F91">
        <w:t>Dashper</w:t>
      </w:r>
      <w:proofErr w:type="spellEnd"/>
      <w:r w:rsidRPr="00017F91">
        <w:t xml:space="preserve">, K. and Finkel, R. (2020). ‘Doing gender’ in critical event studies: a dual agenda for research. </w:t>
      </w:r>
      <w:r w:rsidRPr="00017F91">
        <w:rPr>
          <w:i/>
          <w:iCs/>
        </w:rPr>
        <w:t>International Journal of Event and Festival Management</w:t>
      </w:r>
      <w:r w:rsidRPr="00017F91">
        <w:t xml:space="preserve">, 12(1), pp.70–84. </w:t>
      </w:r>
      <w:proofErr w:type="spellStart"/>
      <w:r w:rsidRPr="00017F91">
        <w:t>doi:https</w:t>
      </w:r>
      <w:proofErr w:type="spellEnd"/>
      <w:r w:rsidRPr="00017F91">
        <w:t>://doi.org/10.1108/ijefm-03-2020-0014.</w:t>
      </w:r>
    </w:p>
    <w:p w14:paraId="5A5A63FE" w14:textId="77777777" w:rsidR="00003EBB" w:rsidRPr="00017F91" w:rsidRDefault="00003EBB" w:rsidP="00003EBB">
      <w:pPr>
        <w:pStyle w:val="NormalWeb"/>
        <w:spacing w:before="0" w:beforeAutospacing="0" w:after="240" w:afterAutospacing="0" w:line="360" w:lineRule="auto"/>
        <w:jc w:val="both"/>
      </w:pPr>
      <w:r w:rsidRPr="00017F91">
        <w:t xml:space="preserve">Diversitylink.co.uk (2023). </w:t>
      </w:r>
      <w:r w:rsidRPr="00017F91">
        <w:rPr>
          <w:i/>
          <w:iCs/>
        </w:rPr>
        <w:t>Equality And Diversity To Be Examined In The Events Industry</w:t>
      </w:r>
      <w:r w:rsidRPr="00017F91">
        <w:t xml:space="preserve">. [online] www.diversitylink.co.uk. Available at: </w:t>
      </w:r>
      <w:r w:rsidRPr="00017F91">
        <w:lastRenderedPageBreak/>
        <w:t>https://www.diversitylink.co.uk/resources/equality-and-diversity-to-be-examined-in-the-events-industry [Accessed 16 Feb. 2025].</w:t>
      </w:r>
    </w:p>
    <w:p w14:paraId="58BADF8A" w14:textId="77777777" w:rsidR="00003EBB" w:rsidRPr="00017F91" w:rsidRDefault="00003EBB" w:rsidP="00003EBB">
      <w:pPr>
        <w:pStyle w:val="NormalWeb"/>
        <w:spacing w:before="0" w:beforeAutospacing="0" w:after="240" w:afterAutospacing="0" w:line="360" w:lineRule="auto"/>
        <w:jc w:val="both"/>
      </w:pPr>
      <w:r w:rsidRPr="00017F91">
        <w:t xml:space="preserve">EHRC (2024). </w:t>
      </w:r>
      <w:r w:rsidRPr="00017F91">
        <w:rPr>
          <w:i/>
          <w:iCs/>
        </w:rPr>
        <w:t>Pregnancy and maternity discrimination research findings | EHRC</w:t>
      </w:r>
      <w:r w:rsidRPr="00017F91">
        <w:t>. [online] www.equalityhumanrights.com. Available at: https://www.equalityhumanrights.com/guidance/business/pregnancy-and-maternity-discrimination-research-findings [Accessed 16 Feb. 2025].</w:t>
      </w:r>
    </w:p>
    <w:p w14:paraId="141E89ED" w14:textId="77777777" w:rsidR="00003EBB" w:rsidRPr="00017F91" w:rsidRDefault="00003EBB" w:rsidP="00003EBB">
      <w:pPr>
        <w:pStyle w:val="NormalWeb"/>
        <w:spacing w:before="0" w:beforeAutospacing="0" w:after="240" w:afterAutospacing="0" w:line="360" w:lineRule="auto"/>
        <w:jc w:val="both"/>
      </w:pPr>
      <w:r w:rsidRPr="00017F91">
        <w:t xml:space="preserve">Getz, D. and Page, S.J. (2019). </w:t>
      </w:r>
      <w:r w:rsidRPr="00017F91">
        <w:rPr>
          <w:i/>
          <w:iCs/>
        </w:rPr>
        <w:t>Event Studies : theory, Research and Policy for Planned Events</w:t>
      </w:r>
      <w:r w:rsidRPr="00017F91">
        <w:t>. 4th ed. London: Routledge.</w:t>
      </w:r>
    </w:p>
    <w:p w14:paraId="729E05F0" w14:textId="77777777" w:rsidR="00003EBB" w:rsidRPr="00017F91" w:rsidRDefault="00003EBB" w:rsidP="00003EBB">
      <w:pPr>
        <w:pStyle w:val="NormalWeb"/>
        <w:spacing w:before="0" w:beforeAutospacing="0" w:after="240" w:afterAutospacing="0" w:line="360" w:lineRule="auto"/>
        <w:jc w:val="both"/>
      </w:pPr>
      <w:r w:rsidRPr="00017F91">
        <w:t xml:space="preserve">Jan, P. (2023). </w:t>
      </w:r>
      <w:r w:rsidRPr="00017F91">
        <w:rPr>
          <w:i/>
          <w:iCs/>
        </w:rPr>
        <w:t>Challenging the UK events industry on diversity, inclusion and equity</w:t>
      </w:r>
      <w:r w:rsidRPr="00017F91">
        <w:t>. [online] Autumn Live. Available at: https://autumnlive.co.uk/diversity-inclusion-equity/ [Accessed 16 Feb. 2025].</w:t>
      </w:r>
    </w:p>
    <w:p w14:paraId="3356B4E9" w14:textId="77777777" w:rsidR="00003EBB" w:rsidRPr="00017F91" w:rsidRDefault="00003EBB" w:rsidP="00003EBB">
      <w:pPr>
        <w:pStyle w:val="NormalWeb"/>
        <w:spacing w:before="0" w:beforeAutospacing="0" w:after="240" w:afterAutospacing="0" w:line="360" w:lineRule="auto"/>
        <w:jc w:val="both"/>
      </w:pPr>
      <w:r w:rsidRPr="00017F91">
        <w:t xml:space="preserve">Juke </w:t>
      </w:r>
      <w:proofErr w:type="spellStart"/>
      <w:r w:rsidRPr="00017F91">
        <w:t>Sjukriana</w:t>
      </w:r>
      <w:proofErr w:type="spellEnd"/>
      <w:r w:rsidRPr="00017F91">
        <w:t xml:space="preserve">, Mohd Hafiz </w:t>
      </w:r>
      <w:proofErr w:type="spellStart"/>
      <w:r w:rsidRPr="00017F91">
        <w:t>Hanafiah</w:t>
      </w:r>
      <w:proofErr w:type="spellEnd"/>
      <w:r w:rsidRPr="00017F91">
        <w:t xml:space="preserve">, Muhammad Aliff </w:t>
      </w:r>
      <w:proofErr w:type="spellStart"/>
      <w:r w:rsidRPr="00017F91">
        <w:t>Asyraff</w:t>
      </w:r>
      <w:proofErr w:type="spellEnd"/>
      <w:r w:rsidRPr="00017F91">
        <w:t xml:space="preserve"> and Galih </w:t>
      </w:r>
      <w:proofErr w:type="spellStart"/>
      <w:r w:rsidRPr="00017F91">
        <w:t>Kusumah</w:t>
      </w:r>
      <w:proofErr w:type="spellEnd"/>
      <w:r w:rsidRPr="00017F91">
        <w:t xml:space="preserve"> (2024). Unveiling the landscape of event technology adoption in hospitality and tourism industry: insights from a systematic literature review. </w:t>
      </w:r>
      <w:r w:rsidRPr="00017F91">
        <w:rPr>
          <w:i/>
          <w:iCs/>
        </w:rPr>
        <w:t>International Journal of Event and Festival Management</w:t>
      </w:r>
      <w:r w:rsidRPr="00017F91">
        <w:t xml:space="preserve">. </w:t>
      </w:r>
      <w:proofErr w:type="spellStart"/>
      <w:r w:rsidRPr="00017F91">
        <w:t>doi:https</w:t>
      </w:r>
      <w:proofErr w:type="spellEnd"/>
      <w:r w:rsidRPr="00017F91">
        <w:t>://doi.org/10.1108/ijefm-06-2024-0077.</w:t>
      </w:r>
    </w:p>
    <w:p w14:paraId="206717B4" w14:textId="77777777" w:rsidR="00003EBB" w:rsidRPr="00017F91" w:rsidRDefault="00003EBB" w:rsidP="00003EBB">
      <w:pPr>
        <w:pStyle w:val="NormalWeb"/>
        <w:spacing w:before="0" w:beforeAutospacing="0" w:after="240" w:afterAutospacing="0" w:line="360" w:lineRule="auto"/>
        <w:jc w:val="both"/>
      </w:pPr>
      <w:r w:rsidRPr="00017F91">
        <w:t xml:space="preserve">Kaushal, V. and Srivastava, S. (2020). Hospitality and Tourism Industry amid COVID-19 Pandemic: Perspectives on Challenges and Learnings from India. </w:t>
      </w:r>
      <w:r w:rsidRPr="00017F91">
        <w:rPr>
          <w:i/>
          <w:iCs/>
        </w:rPr>
        <w:t>International Journal of Hospitality Management</w:t>
      </w:r>
      <w:r w:rsidRPr="00017F91">
        <w:t xml:space="preserve">, [online] 92(1), p.102707. </w:t>
      </w:r>
      <w:proofErr w:type="spellStart"/>
      <w:r w:rsidRPr="00017F91">
        <w:t>doi:https</w:t>
      </w:r>
      <w:proofErr w:type="spellEnd"/>
      <w:r w:rsidRPr="00017F91">
        <w:t>://doi.org/10.1016/j.ijhm.2020.102707.</w:t>
      </w:r>
    </w:p>
    <w:p w14:paraId="2E050BB0" w14:textId="77777777" w:rsidR="00003EBB" w:rsidRPr="00017F91" w:rsidRDefault="00003EBB" w:rsidP="00003EBB">
      <w:pPr>
        <w:pStyle w:val="NormalWeb"/>
        <w:spacing w:before="0" w:beforeAutospacing="0" w:after="240" w:afterAutospacing="0" w:line="360" w:lineRule="auto"/>
        <w:jc w:val="both"/>
      </w:pPr>
      <w:r w:rsidRPr="00017F91">
        <w:t xml:space="preserve">Koc, E. and Ayyildiz, A.Y. (2021). Culture’s Influence on the Design and Delivery of the Marketing Mix Elements in Tourism and Hospitality. </w:t>
      </w:r>
      <w:r w:rsidRPr="00017F91">
        <w:rPr>
          <w:i/>
          <w:iCs/>
        </w:rPr>
        <w:t>Sustainability</w:t>
      </w:r>
      <w:r w:rsidRPr="00017F91">
        <w:t xml:space="preserve">, [online] 13(21), p.11630. </w:t>
      </w:r>
      <w:proofErr w:type="spellStart"/>
      <w:r w:rsidRPr="00017F91">
        <w:t>doi:https</w:t>
      </w:r>
      <w:proofErr w:type="spellEnd"/>
      <w:r w:rsidRPr="00017F91">
        <w:t>://doi.org/10.3390/su132111630.</w:t>
      </w:r>
    </w:p>
    <w:p w14:paraId="129E3ABA" w14:textId="77777777" w:rsidR="00003EBB" w:rsidRPr="00017F91" w:rsidRDefault="00003EBB" w:rsidP="00003EBB">
      <w:pPr>
        <w:pStyle w:val="NormalWeb"/>
        <w:spacing w:before="0" w:beforeAutospacing="0" w:after="240" w:afterAutospacing="0" w:line="360" w:lineRule="auto"/>
        <w:jc w:val="both"/>
      </w:pPr>
      <w:proofErr w:type="spellStart"/>
      <w:r w:rsidRPr="00017F91">
        <w:t>Kravariti</w:t>
      </w:r>
      <w:proofErr w:type="spellEnd"/>
      <w:r w:rsidRPr="00017F91">
        <w:t xml:space="preserve">, F., </w:t>
      </w:r>
      <w:proofErr w:type="spellStart"/>
      <w:r w:rsidRPr="00017F91">
        <w:t>Voutsina</w:t>
      </w:r>
      <w:proofErr w:type="spellEnd"/>
      <w:r w:rsidRPr="00017F91">
        <w:t xml:space="preserve">, K., </w:t>
      </w:r>
      <w:proofErr w:type="spellStart"/>
      <w:r w:rsidRPr="00017F91">
        <w:t>Tasoulis</w:t>
      </w:r>
      <w:proofErr w:type="spellEnd"/>
      <w:r w:rsidRPr="00017F91">
        <w:t xml:space="preserve">, K., Dibia, C. and Johnston, K. (2021). Talent management in hospitality and tourism: a systematic literature review and research agenda. </w:t>
      </w:r>
      <w:r w:rsidRPr="00017F91">
        <w:rPr>
          <w:i/>
          <w:iCs/>
        </w:rPr>
        <w:t>International Journal of Contemporary Hospitality Management</w:t>
      </w:r>
      <w:r w:rsidRPr="00017F91">
        <w:t xml:space="preserve">, 34(1), pp.321–360. </w:t>
      </w:r>
      <w:proofErr w:type="spellStart"/>
      <w:r w:rsidRPr="00017F91">
        <w:t>doi:https</w:t>
      </w:r>
      <w:proofErr w:type="spellEnd"/>
      <w:r w:rsidRPr="00017F91">
        <w:t>://doi.org/10.1108/ijchm-03-2021-0365.</w:t>
      </w:r>
    </w:p>
    <w:p w14:paraId="5B3FB89A" w14:textId="77777777" w:rsidR="00003EBB" w:rsidRPr="00017F91" w:rsidRDefault="00003EBB" w:rsidP="00003EBB">
      <w:pPr>
        <w:pStyle w:val="NormalWeb"/>
        <w:spacing w:before="0" w:beforeAutospacing="0" w:after="240" w:afterAutospacing="0" w:line="360" w:lineRule="auto"/>
        <w:jc w:val="both"/>
      </w:pPr>
      <w:r w:rsidRPr="00017F91">
        <w:lastRenderedPageBreak/>
        <w:t xml:space="preserve">Liberato, D., Costa, E., Barradas, I., Liberato, P. and Ribeiro, J. (2024). Hospitality Marketing Strategies in Urban Events. </w:t>
      </w:r>
      <w:r w:rsidRPr="00017F91">
        <w:rPr>
          <w:i/>
          <w:iCs/>
        </w:rPr>
        <w:t>Smart Innovation, Systems and Technologies</w:t>
      </w:r>
      <w:r w:rsidRPr="00017F91">
        <w:t xml:space="preserve">, pp.751–767. </w:t>
      </w:r>
      <w:proofErr w:type="spellStart"/>
      <w:r w:rsidRPr="00017F91">
        <w:t>doi:https</w:t>
      </w:r>
      <w:proofErr w:type="spellEnd"/>
      <w:r w:rsidRPr="00017F91">
        <w:t>://doi.org/10.1007/978-981-97-1552-7_51.</w:t>
      </w:r>
    </w:p>
    <w:p w14:paraId="3699CD47" w14:textId="77777777" w:rsidR="00003EBB" w:rsidRPr="00017F91" w:rsidRDefault="00003EBB" w:rsidP="00003EBB">
      <w:pPr>
        <w:pStyle w:val="NormalWeb"/>
        <w:spacing w:before="0" w:beforeAutospacing="0" w:after="240" w:afterAutospacing="0" w:line="360" w:lineRule="auto"/>
        <w:jc w:val="both"/>
      </w:pPr>
      <w:proofErr w:type="spellStart"/>
      <w:r w:rsidRPr="00017F91">
        <w:t>Makortoff</w:t>
      </w:r>
      <w:proofErr w:type="spellEnd"/>
      <w:r w:rsidRPr="00017F91">
        <w:t xml:space="preserve">, K. (2024). </w:t>
      </w:r>
      <w:r w:rsidRPr="00017F91">
        <w:rPr>
          <w:i/>
          <w:iCs/>
        </w:rPr>
        <w:t>‘Danger zone’: the warnings designed to protect women at UK business events</w:t>
      </w:r>
      <w:r w:rsidRPr="00017F91">
        <w:t>. [online] the Guardian. Available at: https://www.theguardian.com/world/2024/apr/02/danger-zone-the-warnings-designed-to-protect-women-at-uk-business-events [Accessed 16 Feb. 2025].</w:t>
      </w:r>
    </w:p>
    <w:p w14:paraId="4564F4C2" w14:textId="77777777" w:rsidR="00003EBB" w:rsidRPr="00017F91" w:rsidRDefault="00003EBB" w:rsidP="00003EBB">
      <w:pPr>
        <w:pStyle w:val="NormalWeb"/>
        <w:spacing w:before="0" w:beforeAutospacing="0" w:after="240" w:afterAutospacing="0" w:line="360" w:lineRule="auto"/>
        <w:jc w:val="both"/>
      </w:pPr>
      <w:r w:rsidRPr="00017F91">
        <w:t xml:space="preserve">Maternityaction.org.uk (2023). </w:t>
      </w:r>
      <w:r w:rsidRPr="00017F91">
        <w:rPr>
          <w:i/>
          <w:iCs/>
        </w:rPr>
        <w:t>Pregnancy discrimination - Maternity Action</w:t>
      </w:r>
      <w:r w:rsidRPr="00017F91">
        <w:t>. [online] Maternity Action. Available at: https://maternityaction.org.uk/advice/pregnancy-discrimination/ [Accessed 16 Feb. 2025].</w:t>
      </w:r>
    </w:p>
    <w:p w14:paraId="4D0E99C2" w14:textId="77777777" w:rsidR="00003EBB" w:rsidRPr="00017F91" w:rsidRDefault="00003EBB" w:rsidP="00003EBB">
      <w:pPr>
        <w:pStyle w:val="NormalWeb"/>
        <w:spacing w:before="0" w:beforeAutospacing="0" w:after="240" w:afterAutospacing="0" w:line="360" w:lineRule="auto"/>
        <w:jc w:val="both"/>
      </w:pPr>
      <w:r w:rsidRPr="00017F91">
        <w:t xml:space="preserve">Morrison, A.M. (2022). </w:t>
      </w:r>
      <w:r w:rsidRPr="00017F91">
        <w:rPr>
          <w:i/>
          <w:iCs/>
        </w:rPr>
        <w:t>Hospitality and travel marketing</w:t>
      </w:r>
      <w:r w:rsidRPr="00017F91">
        <w:t>. Clifton Park, N.Y.: Delmar ; [London.</w:t>
      </w:r>
    </w:p>
    <w:p w14:paraId="442D74CD" w14:textId="77777777" w:rsidR="00003EBB" w:rsidRPr="00017F91" w:rsidRDefault="00003EBB" w:rsidP="00003EBB">
      <w:pPr>
        <w:pStyle w:val="NormalWeb"/>
        <w:spacing w:before="0" w:beforeAutospacing="0" w:after="240" w:afterAutospacing="0" w:line="360" w:lineRule="auto"/>
        <w:jc w:val="both"/>
      </w:pPr>
      <w:proofErr w:type="spellStart"/>
      <w:r w:rsidRPr="00017F91">
        <w:t>Ntounis</w:t>
      </w:r>
      <w:proofErr w:type="spellEnd"/>
      <w:r w:rsidRPr="00017F91">
        <w:t xml:space="preserve">, N., Parker, C., Skinner, H., Steadman, C. and </w:t>
      </w:r>
      <w:proofErr w:type="spellStart"/>
      <w:r w:rsidRPr="00017F91">
        <w:t>Warnaby</w:t>
      </w:r>
      <w:proofErr w:type="spellEnd"/>
      <w:r w:rsidRPr="00017F91">
        <w:t xml:space="preserve">, G. (2021). Tourism and hospitality industry resilience during the covid-19 pandemic: Evidence from </w:t>
      </w:r>
      <w:proofErr w:type="spellStart"/>
      <w:r w:rsidRPr="00017F91">
        <w:t>england</w:t>
      </w:r>
      <w:proofErr w:type="spellEnd"/>
      <w:r w:rsidRPr="00017F91">
        <w:t xml:space="preserve">. </w:t>
      </w:r>
      <w:r w:rsidRPr="00017F91">
        <w:rPr>
          <w:i/>
          <w:iCs/>
        </w:rPr>
        <w:t>Current Issues in Tourism</w:t>
      </w:r>
      <w:r w:rsidRPr="00017F91">
        <w:t xml:space="preserve">, 25(1), pp.1–14. </w:t>
      </w:r>
      <w:proofErr w:type="spellStart"/>
      <w:r w:rsidRPr="00017F91">
        <w:t>doi:https</w:t>
      </w:r>
      <w:proofErr w:type="spellEnd"/>
      <w:r w:rsidRPr="00017F91">
        <w:t>://doi.org/10.1080/13683500.2021.1883556.</w:t>
      </w:r>
    </w:p>
    <w:p w14:paraId="1EE6C7B3" w14:textId="77777777" w:rsidR="00003EBB" w:rsidRPr="00017F91" w:rsidRDefault="00003EBB" w:rsidP="00003EBB">
      <w:pPr>
        <w:pStyle w:val="NormalWeb"/>
        <w:spacing w:before="0" w:beforeAutospacing="0" w:after="240" w:afterAutospacing="0" w:line="360" w:lineRule="auto"/>
        <w:jc w:val="both"/>
      </w:pPr>
      <w:r w:rsidRPr="00017F91">
        <w:t xml:space="preserve">Parliament.UK (2025). </w:t>
      </w:r>
      <w:r w:rsidRPr="00017F91">
        <w:rPr>
          <w:i/>
          <w:iCs/>
        </w:rPr>
        <w:t xml:space="preserve">Draft Carer’s Leave Regulations 2024 Draft </w:t>
      </w:r>
      <w:proofErr w:type="spellStart"/>
      <w:r w:rsidRPr="00017F91">
        <w:rPr>
          <w:i/>
          <w:iCs/>
        </w:rPr>
        <w:t>Maternit</w:t>
      </w:r>
      <w:proofErr w:type="spellEnd"/>
      <w:r w:rsidRPr="00017F91">
        <w:rPr>
          <w:i/>
          <w:iCs/>
        </w:rPr>
        <w:t xml:space="preserve"> - Hansard - UK Parliament</w:t>
      </w:r>
      <w:r w:rsidRPr="00017F91">
        <w:t>. [online] Parliament.uk. Available at: https://hansard.parliament.uk/Commons/2024-02-21/debates/58955460-ff30-4158-b503-5f846dd1d849/DraftCarerSLeaveRegulations2024DraftMaternityLeaveAdoptionLeaveAndSharedParentalLeave(Amendment)Regulations2024 [Accessed 1</w:t>
      </w:r>
      <w:r>
        <w:t>5</w:t>
      </w:r>
      <w:r w:rsidRPr="00017F91">
        <w:t xml:space="preserve"> Feb. 2025].</w:t>
      </w:r>
    </w:p>
    <w:p w14:paraId="1687CEBC" w14:textId="77777777" w:rsidR="00003EBB" w:rsidRPr="00017F91" w:rsidRDefault="00003EBB" w:rsidP="00003EBB">
      <w:pPr>
        <w:pStyle w:val="NormalWeb"/>
        <w:spacing w:before="0" w:beforeAutospacing="0" w:after="240" w:afterAutospacing="0" w:line="360" w:lineRule="auto"/>
        <w:jc w:val="both"/>
      </w:pPr>
      <w:r w:rsidRPr="00017F91">
        <w:t xml:space="preserve">Roth, J. (2024). </w:t>
      </w:r>
      <w:r w:rsidRPr="00017F91">
        <w:rPr>
          <w:i/>
          <w:iCs/>
        </w:rPr>
        <w:t>Interpreting Event-Studies from Recent Difference-in-Differences Methods</w:t>
      </w:r>
      <w:r w:rsidRPr="00017F91">
        <w:t>. [online] arXiv.org. Available at: https://arxiv.org/abs/2401.12309 [Accessed 1</w:t>
      </w:r>
      <w:r>
        <w:t>4</w:t>
      </w:r>
      <w:r w:rsidRPr="00017F91">
        <w:t xml:space="preserve"> Feb. 2025].</w:t>
      </w:r>
    </w:p>
    <w:p w14:paraId="7312B851" w14:textId="77777777" w:rsidR="00003EBB" w:rsidRPr="00017F91" w:rsidRDefault="00003EBB" w:rsidP="00003EBB">
      <w:pPr>
        <w:pStyle w:val="NormalWeb"/>
        <w:spacing w:before="0" w:beforeAutospacing="0" w:after="240" w:afterAutospacing="0" w:line="360" w:lineRule="auto"/>
        <w:jc w:val="both"/>
      </w:pPr>
      <w:r w:rsidRPr="00017F91">
        <w:t xml:space="preserve">Walters, T. (2018). DELIVERING EMPLOYABLE EVENT STUDIES GRADUATES: STUDENT PERSPECTIVES ON THE BENEFITS OF EXPERIENTIAL LEARNING. </w:t>
      </w:r>
      <w:r w:rsidRPr="00017F91">
        <w:rPr>
          <w:i/>
          <w:iCs/>
        </w:rPr>
        <w:t>Event Management</w:t>
      </w:r>
      <w:r w:rsidRPr="00017F91">
        <w:t xml:space="preserve">. </w:t>
      </w:r>
      <w:proofErr w:type="spellStart"/>
      <w:r w:rsidRPr="00017F91">
        <w:t>doi:https</w:t>
      </w:r>
      <w:proofErr w:type="spellEnd"/>
      <w:r w:rsidRPr="00017F91">
        <w:t>://doi.org/10.3727/152599518x15299559637653.</w:t>
      </w:r>
    </w:p>
    <w:p w14:paraId="3035FA35" w14:textId="77777777" w:rsidR="00003EBB" w:rsidRPr="00017F91" w:rsidRDefault="00003EBB" w:rsidP="00003EBB">
      <w:pPr>
        <w:pStyle w:val="NormalWeb"/>
        <w:spacing w:before="0" w:beforeAutospacing="0" w:after="240" w:afterAutospacing="0" w:line="360" w:lineRule="auto"/>
        <w:jc w:val="both"/>
      </w:pPr>
      <w:proofErr w:type="spellStart"/>
      <w:r w:rsidRPr="00017F91">
        <w:t>Zallio</w:t>
      </w:r>
      <w:proofErr w:type="spellEnd"/>
      <w:r w:rsidRPr="00017F91">
        <w:t xml:space="preserve">, M. and Clarkson, P. (2022). Designing the Metaverse: A study on Inclusion, Diversity, Equity, Accessibility and Safety for digital immersive environments. </w:t>
      </w:r>
      <w:r w:rsidRPr="00017F91">
        <w:rPr>
          <w:i/>
          <w:iCs/>
        </w:rPr>
        <w:t>Telematics and Informatics</w:t>
      </w:r>
      <w:r w:rsidRPr="00017F91">
        <w:t xml:space="preserve">, [online] 75(2), p.101909. </w:t>
      </w:r>
      <w:proofErr w:type="spellStart"/>
      <w:r w:rsidRPr="00017F91">
        <w:t>doi:https</w:t>
      </w:r>
      <w:proofErr w:type="spellEnd"/>
      <w:r w:rsidRPr="00017F91">
        <w:t>://doi.org/10.1016/j.tele.2022.101909.</w:t>
      </w:r>
    </w:p>
    <w:p w14:paraId="21CC839F" w14:textId="77777777" w:rsidR="00003EBB" w:rsidRPr="00017F91" w:rsidRDefault="00003EBB" w:rsidP="00003EBB">
      <w:pPr>
        <w:pStyle w:val="Heading1"/>
        <w:rPr>
          <w:rFonts w:cs="Times New Roman"/>
        </w:rPr>
      </w:pPr>
      <w:bookmarkStart w:id="11" w:name="_Toc191624114"/>
      <w:r w:rsidRPr="00017F91">
        <w:rPr>
          <w:rFonts w:cs="Times New Roman"/>
        </w:rPr>
        <w:lastRenderedPageBreak/>
        <w:t>Appendix</w:t>
      </w:r>
      <w:bookmarkEnd w:id="11"/>
      <w:r w:rsidRPr="00017F91">
        <w:rPr>
          <w:rFonts w:cs="Times New Roman"/>
        </w:rPr>
        <w:t xml:space="preserve"> </w:t>
      </w:r>
    </w:p>
    <w:p w14:paraId="3DE21F5D" w14:textId="77777777" w:rsidR="00003EBB" w:rsidRPr="00017F91" w:rsidRDefault="00003EBB" w:rsidP="00003EBB">
      <w:pPr>
        <w:pStyle w:val="Heading2"/>
        <w:rPr>
          <w:rFonts w:cs="Times New Roman"/>
        </w:rPr>
      </w:pPr>
      <w:bookmarkStart w:id="12" w:name="_Toc191624115"/>
      <w:r w:rsidRPr="00017F91">
        <w:rPr>
          <w:rFonts w:cs="Times New Roman"/>
        </w:rPr>
        <w:t>Marketing 7Ps</w:t>
      </w:r>
      <w:bookmarkEnd w:id="12"/>
    </w:p>
    <w:tbl>
      <w:tblPr>
        <w:tblStyle w:val="GridTable4-Accent6"/>
        <w:tblW w:w="5000" w:type="pct"/>
        <w:tblLook w:val="04A0" w:firstRow="1" w:lastRow="0" w:firstColumn="1" w:lastColumn="0" w:noHBand="0" w:noVBand="1"/>
      </w:tblPr>
      <w:tblGrid>
        <w:gridCol w:w="1801"/>
        <w:gridCol w:w="7549"/>
      </w:tblGrid>
      <w:tr w:rsidR="00003EBB" w:rsidRPr="00017F91" w14:paraId="2CF72DD6" w14:textId="77777777" w:rsidTr="00EE5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4" w:type="pct"/>
            <w:hideMark/>
          </w:tcPr>
          <w:p w14:paraId="26D9F9E5" w14:textId="77777777" w:rsidR="00003EBB" w:rsidRPr="00017F91" w:rsidRDefault="00003EBB" w:rsidP="00EE58AC">
            <w:pPr>
              <w:rPr>
                <w:rFonts w:cs="Times New Roman"/>
                <w:color w:val="auto"/>
              </w:rPr>
            </w:pPr>
            <w:r w:rsidRPr="00017F91">
              <w:rPr>
                <w:rFonts w:cs="Times New Roman"/>
                <w:color w:val="auto"/>
              </w:rPr>
              <w:t>Ps</w:t>
            </w:r>
          </w:p>
        </w:tc>
        <w:tc>
          <w:tcPr>
            <w:tcW w:w="3998" w:type="pct"/>
            <w:hideMark/>
          </w:tcPr>
          <w:p w14:paraId="13548822"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Description</w:t>
            </w:r>
          </w:p>
        </w:tc>
      </w:tr>
      <w:tr w:rsidR="00003EBB" w:rsidRPr="00017F91" w14:paraId="7761CE84"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4" w:type="pct"/>
            <w:hideMark/>
          </w:tcPr>
          <w:p w14:paraId="21A62809" w14:textId="77777777" w:rsidR="00003EBB" w:rsidRPr="00017F91" w:rsidRDefault="00003EBB" w:rsidP="00EE58AC">
            <w:pPr>
              <w:rPr>
                <w:rFonts w:cs="Times New Roman"/>
              </w:rPr>
            </w:pPr>
            <w:r w:rsidRPr="00017F91">
              <w:rPr>
                <w:rFonts w:cs="Times New Roman"/>
              </w:rPr>
              <w:t>Product</w:t>
            </w:r>
          </w:p>
        </w:tc>
        <w:tc>
          <w:tcPr>
            <w:tcW w:w="3998" w:type="pct"/>
            <w:hideMark/>
          </w:tcPr>
          <w:p w14:paraId="7E5AAB12"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Industry-focused discussions on maternity inclusion.</w:t>
            </w:r>
          </w:p>
        </w:tc>
      </w:tr>
      <w:tr w:rsidR="00003EBB" w:rsidRPr="00017F91" w14:paraId="50BE2B89" w14:textId="77777777" w:rsidTr="00EE58AC">
        <w:tc>
          <w:tcPr>
            <w:cnfStyle w:val="001000000000" w:firstRow="0" w:lastRow="0" w:firstColumn="1" w:lastColumn="0" w:oddVBand="0" w:evenVBand="0" w:oddHBand="0" w:evenHBand="0" w:firstRowFirstColumn="0" w:firstRowLastColumn="0" w:lastRowFirstColumn="0" w:lastRowLastColumn="0"/>
            <w:tcW w:w="954" w:type="pct"/>
            <w:hideMark/>
          </w:tcPr>
          <w:p w14:paraId="7E3C9D41" w14:textId="77777777" w:rsidR="00003EBB" w:rsidRPr="00017F91" w:rsidRDefault="00003EBB" w:rsidP="00EE58AC">
            <w:pPr>
              <w:rPr>
                <w:rFonts w:cs="Times New Roman"/>
              </w:rPr>
            </w:pPr>
            <w:r w:rsidRPr="00017F91">
              <w:rPr>
                <w:rFonts w:cs="Times New Roman"/>
              </w:rPr>
              <w:t>Price</w:t>
            </w:r>
          </w:p>
        </w:tc>
        <w:tc>
          <w:tcPr>
            <w:tcW w:w="3998" w:type="pct"/>
            <w:hideMark/>
          </w:tcPr>
          <w:p w14:paraId="7669B7D4"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17F91">
              <w:rPr>
                <w:rFonts w:cs="Times New Roman"/>
              </w:rPr>
              <w:t xml:space="preserve">The ticket price is set at £80 for accessibility and profitability </w:t>
            </w:r>
            <w:r w:rsidRPr="00017F91">
              <w:rPr>
                <w:rFonts w:eastAsia="Times New Roman" w:cs="Times New Roman"/>
                <w:szCs w:val="24"/>
                <w:lang w:eastAsia="en-GB"/>
              </w:rPr>
              <w:t>(Koc and Ayyildiz, 2021)</w:t>
            </w:r>
            <w:r w:rsidRPr="00017F91">
              <w:rPr>
                <w:rFonts w:cs="Times New Roman"/>
              </w:rPr>
              <w:t>.</w:t>
            </w:r>
          </w:p>
        </w:tc>
      </w:tr>
      <w:tr w:rsidR="00003EBB" w:rsidRPr="00017F91" w14:paraId="7A382E9E"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4" w:type="pct"/>
            <w:hideMark/>
          </w:tcPr>
          <w:p w14:paraId="2A9919C9" w14:textId="77777777" w:rsidR="00003EBB" w:rsidRPr="00017F91" w:rsidRDefault="00003EBB" w:rsidP="00EE58AC">
            <w:pPr>
              <w:rPr>
                <w:rFonts w:cs="Times New Roman"/>
              </w:rPr>
            </w:pPr>
            <w:r w:rsidRPr="00017F91">
              <w:rPr>
                <w:rFonts w:cs="Times New Roman"/>
              </w:rPr>
              <w:t>Place</w:t>
            </w:r>
          </w:p>
        </w:tc>
        <w:tc>
          <w:tcPr>
            <w:tcW w:w="3998" w:type="pct"/>
            <w:hideMark/>
          </w:tcPr>
          <w:p w14:paraId="4E7F06E4"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Hosted at Marriott Hotel Leicester, ensuring accessibility.</w:t>
            </w:r>
          </w:p>
        </w:tc>
      </w:tr>
      <w:tr w:rsidR="00003EBB" w:rsidRPr="00017F91" w14:paraId="35B3E5FE" w14:textId="77777777" w:rsidTr="00EE58AC">
        <w:tc>
          <w:tcPr>
            <w:cnfStyle w:val="001000000000" w:firstRow="0" w:lastRow="0" w:firstColumn="1" w:lastColumn="0" w:oddVBand="0" w:evenVBand="0" w:oddHBand="0" w:evenHBand="0" w:firstRowFirstColumn="0" w:firstRowLastColumn="0" w:lastRowFirstColumn="0" w:lastRowLastColumn="0"/>
            <w:tcW w:w="954" w:type="pct"/>
            <w:hideMark/>
          </w:tcPr>
          <w:p w14:paraId="586162C6" w14:textId="77777777" w:rsidR="00003EBB" w:rsidRPr="00017F91" w:rsidRDefault="00003EBB" w:rsidP="00EE58AC">
            <w:pPr>
              <w:rPr>
                <w:rFonts w:cs="Times New Roman"/>
              </w:rPr>
            </w:pPr>
            <w:r w:rsidRPr="00017F91">
              <w:rPr>
                <w:rFonts w:cs="Times New Roman"/>
              </w:rPr>
              <w:t>Promotion</w:t>
            </w:r>
          </w:p>
        </w:tc>
        <w:tc>
          <w:tcPr>
            <w:tcW w:w="3998" w:type="pct"/>
            <w:hideMark/>
          </w:tcPr>
          <w:p w14:paraId="2B173E0B"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Targeted marketing via LinkedIn, HR forums, and maternity advocacy groups.</w:t>
            </w:r>
          </w:p>
        </w:tc>
      </w:tr>
      <w:tr w:rsidR="00003EBB" w:rsidRPr="00017F91" w14:paraId="64F1629A"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4" w:type="pct"/>
            <w:hideMark/>
          </w:tcPr>
          <w:p w14:paraId="518B0B60" w14:textId="77777777" w:rsidR="00003EBB" w:rsidRPr="00017F91" w:rsidRDefault="00003EBB" w:rsidP="00EE58AC">
            <w:pPr>
              <w:rPr>
                <w:rFonts w:cs="Times New Roman"/>
              </w:rPr>
            </w:pPr>
            <w:r w:rsidRPr="00017F91">
              <w:rPr>
                <w:rFonts w:cs="Times New Roman"/>
              </w:rPr>
              <w:t>People</w:t>
            </w:r>
          </w:p>
        </w:tc>
        <w:tc>
          <w:tcPr>
            <w:tcW w:w="3998" w:type="pct"/>
            <w:hideMark/>
          </w:tcPr>
          <w:p w14:paraId="5E40545D"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17F91">
              <w:rPr>
                <w:rFonts w:cs="Times New Roman"/>
              </w:rPr>
              <w:t xml:space="preserve">Expert speakers, HR leaders, and policymakers </w:t>
            </w:r>
            <w:r w:rsidRPr="00017F91">
              <w:rPr>
                <w:rFonts w:eastAsia="Times New Roman" w:cs="Times New Roman"/>
                <w:szCs w:val="24"/>
                <w:lang w:eastAsia="en-GB"/>
              </w:rPr>
              <w:t>(Jan, 2023)</w:t>
            </w:r>
            <w:r w:rsidRPr="00017F91">
              <w:rPr>
                <w:rFonts w:cs="Times New Roman"/>
              </w:rPr>
              <w:t>.</w:t>
            </w:r>
          </w:p>
        </w:tc>
      </w:tr>
      <w:tr w:rsidR="00003EBB" w:rsidRPr="00017F91" w14:paraId="69E0787F" w14:textId="77777777" w:rsidTr="00EE58AC">
        <w:tc>
          <w:tcPr>
            <w:cnfStyle w:val="001000000000" w:firstRow="0" w:lastRow="0" w:firstColumn="1" w:lastColumn="0" w:oddVBand="0" w:evenVBand="0" w:oddHBand="0" w:evenHBand="0" w:firstRowFirstColumn="0" w:firstRowLastColumn="0" w:lastRowFirstColumn="0" w:lastRowLastColumn="0"/>
            <w:tcW w:w="954" w:type="pct"/>
            <w:hideMark/>
          </w:tcPr>
          <w:p w14:paraId="1B60A097" w14:textId="77777777" w:rsidR="00003EBB" w:rsidRPr="00017F91" w:rsidRDefault="00003EBB" w:rsidP="00EE58AC">
            <w:pPr>
              <w:rPr>
                <w:rFonts w:cs="Times New Roman"/>
              </w:rPr>
            </w:pPr>
            <w:r w:rsidRPr="00017F91">
              <w:rPr>
                <w:rFonts w:cs="Times New Roman"/>
              </w:rPr>
              <w:t>Process</w:t>
            </w:r>
          </w:p>
        </w:tc>
        <w:tc>
          <w:tcPr>
            <w:tcW w:w="3998" w:type="pct"/>
            <w:hideMark/>
          </w:tcPr>
          <w:p w14:paraId="64FD70E2"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Structured registration, event coordination, and feedback collection.</w:t>
            </w:r>
          </w:p>
        </w:tc>
      </w:tr>
      <w:tr w:rsidR="00003EBB" w:rsidRPr="00017F91" w14:paraId="0947C81F"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4" w:type="pct"/>
            <w:hideMark/>
          </w:tcPr>
          <w:p w14:paraId="637B9DA4" w14:textId="77777777" w:rsidR="00003EBB" w:rsidRPr="00017F91" w:rsidRDefault="00003EBB" w:rsidP="00EE58AC">
            <w:pPr>
              <w:rPr>
                <w:rFonts w:cs="Times New Roman"/>
              </w:rPr>
            </w:pPr>
            <w:r w:rsidRPr="00017F91">
              <w:rPr>
                <w:rFonts w:cs="Times New Roman"/>
              </w:rPr>
              <w:t>Physical Evidence</w:t>
            </w:r>
          </w:p>
        </w:tc>
        <w:tc>
          <w:tcPr>
            <w:tcW w:w="3998" w:type="pct"/>
            <w:hideMark/>
          </w:tcPr>
          <w:p w14:paraId="185B7FF0"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Event branding, signage, and digital materials.</w:t>
            </w:r>
          </w:p>
        </w:tc>
      </w:tr>
    </w:tbl>
    <w:p w14:paraId="21D50E00" w14:textId="77777777" w:rsidR="00003EBB" w:rsidRPr="00017F91" w:rsidRDefault="00003EBB" w:rsidP="00003EBB">
      <w:pPr>
        <w:rPr>
          <w:rFonts w:cs="Times New Roman"/>
        </w:rPr>
      </w:pPr>
    </w:p>
    <w:p w14:paraId="0586ED72" w14:textId="77777777" w:rsidR="00003EBB" w:rsidRPr="00017F91" w:rsidRDefault="00003EBB" w:rsidP="00003EBB">
      <w:pPr>
        <w:pStyle w:val="Heading2"/>
        <w:rPr>
          <w:rFonts w:cs="Times New Roman"/>
        </w:rPr>
      </w:pPr>
      <w:bookmarkStart w:id="13" w:name="_Toc191624116"/>
      <w:r w:rsidRPr="00017F91">
        <w:rPr>
          <w:rFonts w:cs="Times New Roman"/>
        </w:rPr>
        <w:t>PESTLE Analysis</w:t>
      </w:r>
      <w:bookmarkEnd w:id="13"/>
    </w:p>
    <w:tbl>
      <w:tblPr>
        <w:tblStyle w:val="GridTable4-Accent1"/>
        <w:tblW w:w="5000" w:type="pct"/>
        <w:tblLook w:val="04A0" w:firstRow="1" w:lastRow="0" w:firstColumn="1" w:lastColumn="0" w:noHBand="0" w:noVBand="1"/>
      </w:tblPr>
      <w:tblGrid>
        <w:gridCol w:w="1831"/>
        <w:gridCol w:w="7519"/>
      </w:tblGrid>
      <w:tr w:rsidR="00003EBB" w:rsidRPr="00017F91" w14:paraId="35DADC50" w14:textId="77777777" w:rsidTr="00EE5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9" w:type="pct"/>
            <w:hideMark/>
          </w:tcPr>
          <w:p w14:paraId="244FE0EB" w14:textId="77777777" w:rsidR="00003EBB" w:rsidRPr="00017F91" w:rsidRDefault="00003EBB" w:rsidP="00EE58AC">
            <w:pPr>
              <w:rPr>
                <w:rFonts w:cs="Times New Roman"/>
                <w:color w:val="auto"/>
              </w:rPr>
            </w:pPr>
            <w:r w:rsidRPr="00017F91">
              <w:rPr>
                <w:rFonts w:cs="Times New Roman"/>
                <w:color w:val="auto"/>
              </w:rPr>
              <w:t>Factor</w:t>
            </w:r>
          </w:p>
        </w:tc>
        <w:tc>
          <w:tcPr>
            <w:tcW w:w="4021" w:type="pct"/>
            <w:hideMark/>
          </w:tcPr>
          <w:p w14:paraId="27745B2F"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Description</w:t>
            </w:r>
          </w:p>
        </w:tc>
      </w:tr>
      <w:tr w:rsidR="00003EBB" w:rsidRPr="00017F91" w14:paraId="64FA1F4C"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9" w:type="pct"/>
            <w:hideMark/>
          </w:tcPr>
          <w:p w14:paraId="2842B26B" w14:textId="77777777" w:rsidR="00003EBB" w:rsidRPr="00017F91" w:rsidRDefault="00003EBB" w:rsidP="00EE58AC">
            <w:pPr>
              <w:rPr>
                <w:rFonts w:cs="Times New Roman"/>
              </w:rPr>
            </w:pPr>
            <w:r w:rsidRPr="00017F91">
              <w:rPr>
                <w:rFonts w:cs="Times New Roman"/>
              </w:rPr>
              <w:t>Political</w:t>
            </w:r>
          </w:p>
        </w:tc>
        <w:tc>
          <w:tcPr>
            <w:tcW w:w="4021" w:type="pct"/>
            <w:hideMark/>
          </w:tcPr>
          <w:p w14:paraId="21C3860B"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Legal frameworks around maternity rights and workplace inclusion.</w:t>
            </w:r>
          </w:p>
        </w:tc>
      </w:tr>
      <w:tr w:rsidR="00003EBB" w:rsidRPr="00017F91" w14:paraId="126C8972" w14:textId="77777777" w:rsidTr="00EE58AC">
        <w:tc>
          <w:tcPr>
            <w:cnfStyle w:val="001000000000" w:firstRow="0" w:lastRow="0" w:firstColumn="1" w:lastColumn="0" w:oddVBand="0" w:evenVBand="0" w:oddHBand="0" w:evenHBand="0" w:firstRowFirstColumn="0" w:firstRowLastColumn="0" w:lastRowFirstColumn="0" w:lastRowLastColumn="0"/>
            <w:tcW w:w="979" w:type="pct"/>
            <w:hideMark/>
          </w:tcPr>
          <w:p w14:paraId="6A8F9580" w14:textId="77777777" w:rsidR="00003EBB" w:rsidRPr="00017F91" w:rsidRDefault="00003EBB" w:rsidP="00EE58AC">
            <w:pPr>
              <w:rPr>
                <w:rFonts w:cs="Times New Roman"/>
              </w:rPr>
            </w:pPr>
            <w:r w:rsidRPr="00017F91">
              <w:rPr>
                <w:rFonts w:cs="Times New Roman"/>
              </w:rPr>
              <w:t>Economic</w:t>
            </w:r>
          </w:p>
        </w:tc>
        <w:tc>
          <w:tcPr>
            <w:tcW w:w="4021" w:type="pct"/>
            <w:hideMark/>
          </w:tcPr>
          <w:p w14:paraId="2167491C"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17F91">
              <w:rPr>
                <w:rFonts w:cs="Times New Roman"/>
              </w:rPr>
              <w:t xml:space="preserve">Budget allocation ensures financial sustainability and profitability </w:t>
            </w:r>
            <w:r w:rsidRPr="00017F91">
              <w:rPr>
                <w:rFonts w:eastAsia="Times New Roman" w:cs="Times New Roman"/>
                <w:szCs w:val="24"/>
                <w:lang w:eastAsia="en-GB"/>
              </w:rPr>
              <w:t>(</w:t>
            </w:r>
            <w:proofErr w:type="spellStart"/>
            <w:r w:rsidRPr="00017F91">
              <w:rPr>
                <w:rFonts w:eastAsia="Times New Roman" w:cs="Times New Roman"/>
                <w:szCs w:val="24"/>
                <w:lang w:eastAsia="en-GB"/>
              </w:rPr>
              <w:t>Dashper</w:t>
            </w:r>
            <w:proofErr w:type="spellEnd"/>
            <w:r w:rsidRPr="00017F91">
              <w:rPr>
                <w:rFonts w:eastAsia="Times New Roman" w:cs="Times New Roman"/>
                <w:szCs w:val="24"/>
                <w:lang w:eastAsia="en-GB"/>
              </w:rPr>
              <w:t xml:space="preserve"> and Finkel, 2020)</w:t>
            </w:r>
            <w:r w:rsidRPr="00017F91">
              <w:rPr>
                <w:rFonts w:cs="Times New Roman"/>
              </w:rPr>
              <w:t>.</w:t>
            </w:r>
          </w:p>
        </w:tc>
      </w:tr>
      <w:tr w:rsidR="00003EBB" w:rsidRPr="00017F91" w14:paraId="5FF3C42D"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9" w:type="pct"/>
            <w:hideMark/>
          </w:tcPr>
          <w:p w14:paraId="68E19ED2" w14:textId="77777777" w:rsidR="00003EBB" w:rsidRPr="00017F91" w:rsidRDefault="00003EBB" w:rsidP="00EE58AC">
            <w:pPr>
              <w:rPr>
                <w:rFonts w:cs="Times New Roman"/>
              </w:rPr>
            </w:pPr>
            <w:r w:rsidRPr="00017F91">
              <w:rPr>
                <w:rFonts w:cs="Times New Roman"/>
              </w:rPr>
              <w:t>Social</w:t>
            </w:r>
          </w:p>
        </w:tc>
        <w:tc>
          <w:tcPr>
            <w:tcW w:w="4021" w:type="pct"/>
            <w:hideMark/>
          </w:tcPr>
          <w:p w14:paraId="3296D846"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Rising demand for inclusive maternity policies and flexible work.</w:t>
            </w:r>
          </w:p>
        </w:tc>
      </w:tr>
      <w:tr w:rsidR="00003EBB" w:rsidRPr="00017F91" w14:paraId="599ED1F0" w14:textId="77777777" w:rsidTr="00EE58AC">
        <w:tc>
          <w:tcPr>
            <w:cnfStyle w:val="001000000000" w:firstRow="0" w:lastRow="0" w:firstColumn="1" w:lastColumn="0" w:oddVBand="0" w:evenVBand="0" w:oddHBand="0" w:evenHBand="0" w:firstRowFirstColumn="0" w:firstRowLastColumn="0" w:lastRowFirstColumn="0" w:lastRowLastColumn="0"/>
            <w:tcW w:w="979" w:type="pct"/>
            <w:hideMark/>
          </w:tcPr>
          <w:p w14:paraId="25B9EEE1" w14:textId="77777777" w:rsidR="00003EBB" w:rsidRPr="00017F91" w:rsidRDefault="00003EBB" w:rsidP="00EE58AC">
            <w:pPr>
              <w:rPr>
                <w:rFonts w:cs="Times New Roman"/>
              </w:rPr>
            </w:pPr>
            <w:r w:rsidRPr="00017F91">
              <w:rPr>
                <w:rFonts w:cs="Times New Roman"/>
              </w:rPr>
              <w:t>Technological</w:t>
            </w:r>
          </w:p>
        </w:tc>
        <w:tc>
          <w:tcPr>
            <w:tcW w:w="4021" w:type="pct"/>
            <w:hideMark/>
          </w:tcPr>
          <w:p w14:paraId="690E033B"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Digital tools for HR and maternity leave management.</w:t>
            </w:r>
          </w:p>
        </w:tc>
      </w:tr>
      <w:tr w:rsidR="00003EBB" w:rsidRPr="00017F91" w14:paraId="25E43F20"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9" w:type="pct"/>
            <w:hideMark/>
          </w:tcPr>
          <w:p w14:paraId="3CE8C66B" w14:textId="77777777" w:rsidR="00003EBB" w:rsidRPr="00017F91" w:rsidRDefault="00003EBB" w:rsidP="00EE58AC">
            <w:pPr>
              <w:rPr>
                <w:rFonts w:cs="Times New Roman"/>
              </w:rPr>
            </w:pPr>
            <w:r w:rsidRPr="00017F91">
              <w:rPr>
                <w:rFonts w:cs="Times New Roman"/>
              </w:rPr>
              <w:t>Legal</w:t>
            </w:r>
          </w:p>
        </w:tc>
        <w:tc>
          <w:tcPr>
            <w:tcW w:w="4021" w:type="pct"/>
            <w:hideMark/>
          </w:tcPr>
          <w:p w14:paraId="4910D5BB"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17F91">
              <w:rPr>
                <w:rFonts w:cs="Times New Roman"/>
              </w:rPr>
              <w:t xml:space="preserve">Pressures related to maternity discrimination claims and rights </w:t>
            </w:r>
            <w:r w:rsidRPr="00017F91">
              <w:rPr>
                <w:rFonts w:eastAsia="Times New Roman" w:cs="Times New Roman"/>
                <w:szCs w:val="24"/>
                <w:lang w:eastAsia="en-GB"/>
              </w:rPr>
              <w:t>(Clark, Mauck and Pruitt, 2021)</w:t>
            </w:r>
            <w:r w:rsidRPr="00017F91">
              <w:rPr>
                <w:rFonts w:cs="Times New Roman"/>
              </w:rPr>
              <w:t>.</w:t>
            </w:r>
          </w:p>
        </w:tc>
      </w:tr>
      <w:tr w:rsidR="00003EBB" w:rsidRPr="00017F91" w14:paraId="48E04B02" w14:textId="77777777" w:rsidTr="00EE58AC">
        <w:tc>
          <w:tcPr>
            <w:cnfStyle w:val="001000000000" w:firstRow="0" w:lastRow="0" w:firstColumn="1" w:lastColumn="0" w:oddVBand="0" w:evenVBand="0" w:oddHBand="0" w:evenHBand="0" w:firstRowFirstColumn="0" w:firstRowLastColumn="0" w:lastRowFirstColumn="0" w:lastRowLastColumn="0"/>
            <w:tcW w:w="979" w:type="pct"/>
            <w:hideMark/>
          </w:tcPr>
          <w:p w14:paraId="40568072" w14:textId="77777777" w:rsidR="00003EBB" w:rsidRPr="00017F91" w:rsidRDefault="00003EBB" w:rsidP="00EE58AC">
            <w:pPr>
              <w:rPr>
                <w:rFonts w:cs="Times New Roman"/>
              </w:rPr>
            </w:pPr>
            <w:r w:rsidRPr="00017F91">
              <w:rPr>
                <w:rFonts w:cs="Times New Roman"/>
              </w:rPr>
              <w:t>Environmental</w:t>
            </w:r>
          </w:p>
        </w:tc>
        <w:tc>
          <w:tcPr>
            <w:tcW w:w="4021" w:type="pct"/>
            <w:hideMark/>
          </w:tcPr>
          <w:p w14:paraId="518A7CBD"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Use of sustainable event practices and eco-friendly materials.</w:t>
            </w:r>
          </w:p>
        </w:tc>
      </w:tr>
    </w:tbl>
    <w:p w14:paraId="5FAA583A" w14:textId="77777777" w:rsidR="00003EBB" w:rsidRPr="00017F91" w:rsidRDefault="00003EBB" w:rsidP="00003EBB">
      <w:pPr>
        <w:rPr>
          <w:rFonts w:cs="Times New Roman"/>
        </w:rPr>
      </w:pPr>
    </w:p>
    <w:p w14:paraId="2507945F" w14:textId="77777777" w:rsidR="00003EBB" w:rsidRPr="00017F91" w:rsidRDefault="00003EBB" w:rsidP="00003EBB">
      <w:pPr>
        <w:rPr>
          <w:rFonts w:cs="Times New Roman"/>
        </w:rPr>
      </w:pPr>
    </w:p>
    <w:p w14:paraId="2ED3B82F" w14:textId="77777777" w:rsidR="00003EBB" w:rsidRPr="00017F91" w:rsidRDefault="00003EBB" w:rsidP="00003EBB">
      <w:pPr>
        <w:rPr>
          <w:rFonts w:cs="Times New Roman"/>
        </w:rPr>
      </w:pPr>
    </w:p>
    <w:p w14:paraId="0B4DBB58" w14:textId="77777777" w:rsidR="00003EBB" w:rsidRPr="00017F91" w:rsidRDefault="00003EBB" w:rsidP="00003EBB">
      <w:pPr>
        <w:pStyle w:val="Heading2"/>
        <w:rPr>
          <w:rFonts w:cs="Times New Roman"/>
        </w:rPr>
      </w:pPr>
      <w:bookmarkStart w:id="14" w:name="_Toc191624117"/>
      <w:r w:rsidRPr="00017F91">
        <w:rPr>
          <w:rFonts w:cs="Times New Roman"/>
        </w:rPr>
        <w:lastRenderedPageBreak/>
        <w:t>SWOT Analysis</w:t>
      </w:r>
      <w:bookmarkEnd w:id="14"/>
    </w:p>
    <w:tbl>
      <w:tblPr>
        <w:tblStyle w:val="GridTable4-Accent3"/>
        <w:tblW w:w="5000" w:type="pct"/>
        <w:tblLook w:val="04A0" w:firstRow="1" w:lastRow="0" w:firstColumn="1" w:lastColumn="0" w:noHBand="0" w:noVBand="1"/>
      </w:tblPr>
      <w:tblGrid>
        <w:gridCol w:w="1657"/>
        <w:gridCol w:w="7693"/>
      </w:tblGrid>
      <w:tr w:rsidR="00003EBB" w:rsidRPr="00017F91" w14:paraId="31E427EA" w14:textId="77777777" w:rsidTr="00EE5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pct"/>
            <w:hideMark/>
          </w:tcPr>
          <w:p w14:paraId="4018D165" w14:textId="77777777" w:rsidR="00003EBB" w:rsidRPr="00017F91" w:rsidRDefault="00003EBB" w:rsidP="00EE58AC">
            <w:pPr>
              <w:rPr>
                <w:rFonts w:cs="Times New Roman"/>
                <w:color w:val="auto"/>
              </w:rPr>
            </w:pPr>
            <w:r w:rsidRPr="00017F91">
              <w:rPr>
                <w:rFonts w:cs="Times New Roman"/>
                <w:color w:val="auto"/>
              </w:rPr>
              <w:t>Factor</w:t>
            </w:r>
          </w:p>
        </w:tc>
        <w:tc>
          <w:tcPr>
            <w:tcW w:w="4166" w:type="pct"/>
            <w:hideMark/>
          </w:tcPr>
          <w:p w14:paraId="1325F2E6" w14:textId="77777777" w:rsidR="00003EBB" w:rsidRPr="00017F91" w:rsidRDefault="00003EBB" w:rsidP="00EE58AC">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017F91">
              <w:rPr>
                <w:rFonts w:cs="Times New Roman"/>
                <w:color w:val="auto"/>
              </w:rPr>
              <w:t>Description</w:t>
            </w:r>
          </w:p>
        </w:tc>
      </w:tr>
      <w:tr w:rsidR="00003EBB" w:rsidRPr="00017F91" w14:paraId="74C6D7DA"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pct"/>
            <w:hideMark/>
          </w:tcPr>
          <w:p w14:paraId="18DC04FE" w14:textId="77777777" w:rsidR="00003EBB" w:rsidRPr="00017F91" w:rsidRDefault="00003EBB" w:rsidP="00EE58AC">
            <w:pPr>
              <w:rPr>
                <w:rFonts w:cs="Times New Roman"/>
              </w:rPr>
            </w:pPr>
            <w:r w:rsidRPr="00017F91">
              <w:rPr>
                <w:rFonts w:cs="Times New Roman"/>
              </w:rPr>
              <w:t>Strengths</w:t>
            </w:r>
          </w:p>
        </w:tc>
        <w:tc>
          <w:tcPr>
            <w:tcW w:w="4166" w:type="pct"/>
            <w:hideMark/>
          </w:tcPr>
          <w:p w14:paraId="4BB8349A"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Strong corporate partnerships and industry expertise.</w:t>
            </w:r>
          </w:p>
        </w:tc>
      </w:tr>
      <w:tr w:rsidR="00003EBB" w:rsidRPr="00017F91" w14:paraId="51C79CD2" w14:textId="77777777" w:rsidTr="00EE58AC">
        <w:tc>
          <w:tcPr>
            <w:cnfStyle w:val="001000000000" w:firstRow="0" w:lastRow="0" w:firstColumn="1" w:lastColumn="0" w:oddVBand="0" w:evenVBand="0" w:oddHBand="0" w:evenHBand="0" w:firstRowFirstColumn="0" w:firstRowLastColumn="0" w:lastRowFirstColumn="0" w:lastRowLastColumn="0"/>
            <w:tcW w:w="834" w:type="pct"/>
            <w:hideMark/>
          </w:tcPr>
          <w:p w14:paraId="0B53B338" w14:textId="77777777" w:rsidR="00003EBB" w:rsidRPr="00017F91" w:rsidRDefault="00003EBB" w:rsidP="00EE58AC">
            <w:pPr>
              <w:rPr>
                <w:rFonts w:cs="Times New Roman"/>
              </w:rPr>
            </w:pPr>
            <w:r w:rsidRPr="00017F91">
              <w:rPr>
                <w:rFonts w:cs="Times New Roman"/>
              </w:rPr>
              <w:t>Weaknesses</w:t>
            </w:r>
          </w:p>
        </w:tc>
        <w:tc>
          <w:tcPr>
            <w:tcW w:w="4166" w:type="pct"/>
            <w:hideMark/>
          </w:tcPr>
          <w:p w14:paraId="250F29E9"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17F91">
              <w:rPr>
                <w:rFonts w:cs="Times New Roman"/>
              </w:rPr>
              <w:t xml:space="preserve">Potential challenges in aligning all stakeholders' expectations </w:t>
            </w:r>
            <w:r w:rsidRPr="00017F91">
              <w:rPr>
                <w:rFonts w:eastAsia="Times New Roman" w:cs="Times New Roman"/>
                <w:szCs w:val="24"/>
                <w:lang w:eastAsia="en-GB"/>
              </w:rPr>
              <w:t>(</w:t>
            </w:r>
            <w:proofErr w:type="spellStart"/>
            <w:r w:rsidRPr="00017F91">
              <w:rPr>
                <w:rFonts w:eastAsia="Times New Roman" w:cs="Times New Roman"/>
                <w:szCs w:val="24"/>
                <w:lang w:eastAsia="en-GB"/>
              </w:rPr>
              <w:t>Canhoto</w:t>
            </w:r>
            <w:proofErr w:type="spellEnd"/>
            <w:r w:rsidRPr="00017F91">
              <w:rPr>
                <w:rFonts w:eastAsia="Times New Roman" w:cs="Times New Roman"/>
                <w:szCs w:val="24"/>
                <w:lang w:eastAsia="en-GB"/>
              </w:rPr>
              <w:t xml:space="preserve"> and Wei, 2021)</w:t>
            </w:r>
            <w:r w:rsidRPr="00017F91">
              <w:rPr>
                <w:rFonts w:cs="Times New Roman"/>
              </w:rPr>
              <w:t>.</w:t>
            </w:r>
          </w:p>
        </w:tc>
      </w:tr>
      <w:tr w:rsidR="00003EBB" w:rsidRPr="00017F91" w14:paraId="3F4F78C1" w14:textId="77777777" w:rsidTr="00EE5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4" w:type="pct"/>
            <w:hideMark/>
          </w:tcPr>
          <w:p w14:paraId="71D80192" w14:textId="77777777" w:rsidR="00003EBB" w:rsidRPr="00017F91" w:rsidRDefault="00003EBB" w:rsidP="00EE58AC">
            <w:pPr>
              <w:rPr>
                <w:rFonts w:cs="Times New Roman"/>
              </w:rPr>
            </w:pPr>
            <w:r w:rsidRPr="00017F91">
              <w:rPr>
                <w:rFonts w:cs="Times New Roman"/>
              </w:rPr>
              <w:t>Opportunities</w:t>
            </w:r>
          </w:p>
        </w:tc>
        <w:tc>
          <w:tcPr>
            <w:tcW w:w="4166" w:type="pct"/>
            <w:hideMark/>
          </w:tcPr>
          <w:p w14:paraId="06C143B7" w14:textId="77777777" w:rsidR="00003EBB" w:rsidRPr="00017F91" w:rsidRDefault="00003EBB" w:rsidP="00003EBB">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rPr>
            </w:pPr>
            <w:r w:rsidRPr="00017F91">
              <w:rPr>
                <w:rFonts w:cs="Times New Roman"/>
              </w:rPr>
              <w:t>Growing interest in corporate maternity inclusivity and flexible work models.</w:t>
            </w:r>
          </w:p>
        </w:tc>
      </w:tr>
      <w:tr w:rsidR="00003EBB" w:rsidRPr="00017F91" w14:paraId="7EC07B40" w14:textId="77777777" w:rsidTr="00EE58AC">
        <w:tc>
          <w:tcPr>
            <w:cnfStyle w:val="001000000000" w:firstRow="0" w:lastRow="0" w:firstColumn="1" w:lastColumn="0" w:oddVBand="0" w:evenVBand="0" w:oddHBand="0" w:evenHBand="0" w:firstRowFirstColumn="0" w:firstRowLastColumn="0" w:lastRowFirstColumn="0" w:lastRowLastColumn="0"/>
            <w:tcW w:w="834" w:type="pct"/>
            <w:hideMark/>
          </w:tcPr>
          <w:p w14:paraId="66D86392" w14:textId="77777777" w:rsidR="00003EBB" w:rsidRPr="00017F91" w:rsidRDefault="00003EBB" w:rsidP="00EE58AC">
            <w:pPr>
              <w:rPr>
                <w:rFonts w:cs="Times New Roman"/>
              </w:rPr>
            </w:pPr>
            <w:r w:rsidRPr="00017F91">
              <w:rPr>
                <w:rFonts w:cs="Times New Roman"/>
              </w:rPr>
              <w:t>Threats</w:t>
            </w:r>
          </w:p>
        </w:tc>
        <w:tc>
          <w:tcPr>
            <w:tcW w:w="4166" w:type="pct"/>
            <w:hideMark/>
          </w:tcPr>
          <w:p w14:paraId="1670C19E" w14:textId="77777777" w:rsidR="00003EBB" w:rsidRPr="00017F91" w:rsidRDefault="00003EBB" w:rsidP="00003EBB">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Times New Roman"/>
              </w:rPr>
            </w:pPr>
            <w:r w:rsidRPr="00017F91">
              <w:rPr>
                <w:rFonts w:cs="Times New Roman"/>
              </w:rPr>
              <w:t>Legal scrutiny around maternity leave and workplace equality.</w:t>
            </w:r>
          </w:p>
        </w:tc>
      </w:tr>
    </w:tbl>
    <w:p w14:paraId="39453093" w14:textId="77777777" w:rsidR="00003EBB" w:rsidRPr="00017F91" w:rsidRDefault="00003EBB" w:rsidP="00003EBB">
      <w:pPr>
        <w:rPr>
          <w:rFonts w:cs="Times New Roman"/>
        </w:rPr>
      </w:pPr>
    </w:p>
    <w:p w14:paraId="2E6547A7" w14:textId="77777777" w:rsidR="00003EBB" w:rsidRPr="00017F91" w:rsidRDefault="00003EBB" w:rsidP="00003EBB">
      <w:pPr>
        <w:pStyle w:val="Heading2"/>
        <w:rPr>
          <w:rFonts w:cs="Times New Roman"/>
          <w:color w:val="00B050"/>
        </w:rPr>
      </w:pPr>
      <w:bookmarkStart w:id="15" w:name="_Toc191624118"/>
      <w:r w:rsidRPr="00017F91">
        <w:rPr>
          <w:rFonts w:cs="Times New Roman"/>
          <w:color w:val="00B050"/>
        </w:rPr>
        <w:t>Gantt chart</w:t>
      </w:r>
      <w:bookmarkEnd w:id="15"/>
    </w:p>
    <w:tbl>
      <w:tblPr>
        <w:tblStyle w:val="TableGrid"/>
        <w:tblW w:w="5000" w:type="pct"/>
        <w:tblLook w:val="04A0" w:firstRow="1" w:lastRow="0" w:firstColumn="1" w:lastColumn="0" w:noHBand="0" w:noVBand="1"/>
      </w:tblPr>
      <w:tblGrid>
        <w:gridCol w:w="3487"/>
        <w:gridCol w:w="1190"/>
        <w:gridCol w:w="910"/>
        <w:gridCol w:w="763"/>
        <w:gridCol w:w="683"/>
        <w:gridCol w:w="710"/>
        <w:gridCol w:w="657"/>
        <w:gridCol w:w="950"/>
      </w:tblGrid>
      <w:tr w:rsidR="00003EBB" w:rsidRPr="00017F91" w14:paraId="452C5340" w14:textId="77777777" w:rsidTr="00EE58AC">
        <w:tc>
          <w:tcPr>
            <w:tcW w:w="2182" w:type="pct"/>
            <w:hideMark/>
          </w:tcPr>
          <w:p w14:paraId="7E7A99BF" w14:textId="77777777" w:rsidR="00003EBB" w:rsidRPr="00017F91" w:rsidRDefault="00003EBB" w:rsidP="00EE58AC">
            <w:pPr>
              <w:rPr>
                <w:rFonts w:cs="Times New Roman"/>
                <w:b/>
              </w:rPr>
            </w:pPr>
            <w:r w:rsidRPr="00017F91">
              <w:rPr>
                <w:rFonts w:cs="Times New Roman"/>
                <w:b/>
              </w:rPr>
              <w:t>Tasks</w:t>
            </w:r>
          </w:p>
        </w:tc>
        <w:tc>
          <w:tcPr>
            <w:tcW w:w="567" w:type="pct"/>
            <w:hideMark/>
          </w:tcPr>
          <w:p w14:paraId="40692A8D" w14:textId="77777777" w:rsidR="00003EBB" w:rsidRPr="00017F91" w:rsidRDefault="00003EBB" w:rsidP="00EE58AC">
            <w:pPr>
              <w:rPr>
                <w:rFonts w:cs="Times New Roman"/>
                <w:b/>
              </w:rPr>
            </w:pPr>
            <w:r w:rsidRPr="00017F91">
              <w:rPr>
                <w:rFonts w:cs="Times New Roman"/>
                <w:b/>
              </w:rPr>
              <w:t>February</w:t>
            </w:r>
          </w:p>
        </w:tc>
        <w:tc>
          <w:tcPr>
            <w:tcW w:w="416" w:type="pct"/>
            <w:hideMark/>
          </w:tcPr>
          <w:p w14:paraId="1D9227EF" w14:textId="77777777" w:rsidR="00003EBB" w:rsidRPr="00017F91" w:rsidRDefault="00003EBB" w:rsidP="00EE58AC">
            <w:pPr>
              <w:rPr>
                <w:rFonts w:cs="Times New Roman"/>
                <w:b/>
              </w:rPr>
            </w:pPr>
            <w:r w:rsidRPr="00017F91">
              <w:rPr>
                <w:rFonts w:cs="Times New Roman"/>
                <w:b/>
              </w:rPr>
              <w:t>March</w:t>
            </w:r>
          </w:p>
        </w:tc>
        <w:tc>
          <w:tcPr>
            <w:tcW w:w="340" w:type="pct"/>
            <w:hideMark/>
          </w:tcPr>
          <w:p w14:paraId="0B12C4F5" w14:textId="77777777" w:rsidR="00003EBB" w:rsidRPr="00017F91" w:rsidRDefault="00003EBB" w:rsidP="00EE58AC">
            <w:pPr>
              <w:rPr>
                <w:rFonts w:cs="Times New Roman"/>
                <w:b/>
              </w:rPr>
            </w:pPr>
            <w:r w:rsidRPr="00017F91">
              <w:rPr>
                <w:rFonts w:cs="Times New Roman"/>
                <w:b/>
              </w:rPr>
              <w:t>April</w:t>
            </w:r>
          </w:p>
        </w:tc>
        <w:tc>
          <w:tcPr>
            <w:tcW w:w="297" w:type="pct"/>
            <w:hideMark/>
          </w:tcPr>
          <w:p w14:paraId="6A1AA944" w14:textId="77777777" w:rsidR="00003EBB" w:rsidRPr="00017F91" w:rsidRDefault="00003EBB" w:rsidP="00EE58AC">
            <w:pPr>
              <w:rPr>
                <w:rFonts w:cs="Times New Roman"/>
                <w:b/>
              </w:rPr>
            </w:pPr>
            <w:r w:rsidRPr="00017F91">
              <w:rPr>
                <w:rFonts w:cs="Times New Roman"/>
                <w:b/>
              </w:rPr>
              <w:t>May</w:t>
            </w:r>
          </w:p>
        </w:tc>
        <w:tc>
          <w:tcPr>
            <w:tcW w:w="297" w:type="pct"/>
            <w:hideMark/>
          </w:tcPr>
          <w:p w14:paraId="1BDC93BC" w14:textId="77777777" w:rsidR="00003EBB" w:rsidRPr="00017F91" w:rsidRDefault="00003EBB" w:rsidP="00EE58AC">
            <w:pPr>
              <w:rPr>
                <w:rFonts w:cs="Times New Roman"/>
                <w:b/>
              </w:rPr>
            </w:pPr>
            <w:r w:rsidRPr="00017F91">
              <w:rPr>
                <w:rFonts w:cs="Times New Roman"/>
                <w:b/>
              </w:rPr>
              <w:t>June</w:t>
            </w:r>
          </w:p>
        </w:tc>
        <w:tc>
          <w:tcPr>
            <w:tcW w:w="273" w:type="pct"/>
            <w:hideMark/>
          </w:tcPr>
          <w:p w14:paraId="781C5AB3" w14:textId="77777777" w:rsidR="00003EBB" w:rsidRPr="00017F91" w:rsidRDefault="00003EBB" w:rsidP="00EE58AC">
            <w:pPr>
              <w:rPr>
                <w:rFonts w:cs="Times New Roman"/>
                <w:b/>
              </w:rPr>
            </w:pPr>
            <w:r w:rsidRPr="00017F91">
              <w:rPr>
                <w:rFonts w:cs="Times New Roman"/>
                <w:b/>
              </w:rPr>
              <w:t>July</w:t>
            </w:r>
          </w:p>
        </w:tc>
        <w:tc>
          <w:tcPr>
            <w:tcW w:w="458" w:type="pct"/>
            <w:hideMark/>
          </w:tcPr>
          <w:p w14:paraId="72D08933" w14:textId="77777777" w:rsidR="00003EBB" w:rsidRPr="00017F91" w:rsidRDefault="00003EBB" w:rsidP="00EE58AC">
            <w:pPr>
              <w:rPr>
                <w:rFonts w:cs="Times New Roman"/>
                <w:b/>
              </w:rPr>
            </w:pPr>
            <w:r w:rsidRPr="00017F91">
              <w:rPr>
                <w:rFonts w:cs="Times New Roman"/>
                <w:b/>
              </w:rPr>
              <w:t>August</w:t>
            </w:r>
          </w:p>
        </w:tc>
      </w:tr>
      <w:tr w:rsidR="00003EBB" w:rsidRPr="00017F91" w14:paraId="60A74FA9" w14:textId="77777777" w:rsidTr="00EE58AC">
        <w:tc>
          <w:tcPr>
            <w:tcW w:w="2182" w:type="pct"/>
            <w:hideMark/>
          </w:tcPr>
          <w:p w14:paraId="5082A37A" w14:textId="77777777" w:rsidR="00003EBB" w:rsidRPr="00017F91" w:rsidRDefault="00003EBB" w:rsidP="00EE58AC">
            <w:pPr>
              <w:rPr>
                <w:rFonts w:cs="Times New Roman"/>
              </w:rPr>
            </w:pPr>
            <w:r w:rsidRPr="00017F91">
              <w:rPr>
                <w:rFonts w:cs="Times New Roman"/>
              </w:rPr>
              <w:t>Event Concept and Planning</w:t>
            </w:r>
          </w:p>
        </w:tc>
        <w:tc>
          <w:tcPr>
            <w:tcW w:w="567" w:type="pct"/>
            <w:hideMark/>
          </w:tcPr>
          <w:p w14:paraId="3EC6685F" w14:textId="77777777" w:rsidR="00003EBB" w:rsidRPr="00017F91" w:rsidRDefault="00003EBB" w:rsidP="00EE58AC">
            <w:pPr>
              <w:rPr>
                <w:rFonts w:cs="Times New Roman"/>
              </w:rPr>
            </w:pPr>
            <w:r w:rsidRPr="00017F91">
              <w:rPr>
                <w:rFonts w:cs="Times New Roman"/>
              </w:rPr>
              <w:t>X</w:t>
            </w:r>
          </w:p>
        </w:tc>
        <w:tc>
          <w:tcPr>
            <w:tcW w:w="416" w:type="pct"/>
            <w:hideMark/>
          </w:tcPr>
          <w:p w14:paraId="5C9ED150" w14:textId="77777777" w:rsidR="00003EBB" w:rsidRPr="00017F91" w:rsidRDefault="00003EBB" w:rsidP="00EE58AC">
            <w:pPr>
              <w:rPr>
                <w:rFonts w:cs="Times New Roman"/>
              </w:rPr>
            </w:pPr>
            <w:r w:rsidRPr="00017F91">
              <w:rPr>
                <w:rFonts w:cs="Times New Roman"/>
              </w:rPr>
              <w:t>X</w:t>
            </w:r>
          </w:p>
        </w:tc>
        <w:tc>
          <w:tcPr>
            <w:tcW w:w="340" w:type="pct"/>
            <w:hideMark/>
          </w:tcPr>
          <w:p w14:paraId="53D0CADE" w14:textId="77777777" w:rsidR="00003EBB" w:rsidRPr="00017F91" w:rsidRDefault="00003EBB" w:rsidP="00EE58AC">
            <w:pPr>
              <w:rPr>
                <w:rFonts w:cs="Times New Roman"/>
              </w:rPr>
            </w:pPr>
          </w:p>
        </w:tc>
        <w:tc>
          <w:tcPr>
            <w:tcW w:w="297" w:type="pct"/>
            <w:hideMark/>
          </w:tcPr>
          <w:p w14:paraId="0C039A91" w14:textId="77777777" w:rsidR="00003EBB" w:rsidRPr="00017F91" w:rsidRDefault="00003EBB" w:rsidP="00EE58AC">
            <w:pPr>
              <w:rPr>
                <w:rFonts w:cs="Times New Roman"/>
              </w:rPr>
            </w:pPr>
          </w:p>
        </w:tc>
        <w:tc>
          <w:tcPr>
            <w:tcW w:w="297" w:type="pct"/>
            <w:hideMark/>
          </w:tcPr>
          <w:p w14:paraId="014D6015" w14:textId="77777777" w:rsidR="00003EBB" w:rsidRPr="00017F91" w:rsidRDefault="00003EBB" w:rsidP="00EE58AC">
            <w:pPr>
              <w:rPr>
                <w:rFonts w:cs="Times New Roman"/>
              </w:rPr>
            </w:pPr>
          </w:p>
        </w:tc>
        <w:tc>
          <w:tcPr>
            <w:tcW w:w="273" w:type="pct"/>
            <w:hideMark/>
          </w:tcPr>
          <w:p w14:paraId="106BA9F9" w14:textId="77777777" w:rsidR="00003EBB" w:rsidRPr="00017F91" w:rsidRDefault="00003EBB" w:rsidP="00EE58AC">
            <w:pPr>
              <w:rPr>
                <w:rFonts w:cs="Times New Roman"/>
              </w:rPr>
            </w:pPr>
          </w:p>
        </w:tc>
        <w:tc>
          <w:tcPr>
            <w:tcW w:w="458" w:type="pct"/>
            <w:hideMark/>
          </w:tcPr>
          <w:p w14:paraId="0D646C9C" w14:textId="77777777" w:rsidR="00003EBB" w:rsidRPr="00017F91" w:rsidRDefault="00003EBB" w:rsidP="00EE58AC">
            <w:pPr>
              <w:rPr>
                <w:rFonts w:cs="Times New Roman"/>
              </w:rPr>
            </w:pPr>
          </w:p>
        </w:tc>
      </w:tr>
      <w:tr w:rsidR="00003EBB" w:rsidRPr="00017F91" w14:paraId="7BF399F3" w14:textId="77777777" w:rsidTr="00EE58AC">
        <w:tc>
          <w:tcPr>
            <w:tcW w:w="2182" w:type="pct"/>
            <w:hideMark/>
          </w:tcPr>
          <w:p w14:paraId="0DA7E452" w14:textId="77777777" w:rsidR="00003EBB" w:rsidRPr="00017F91" w:rsidRDefault="00003EBB" w:rsidP="00EE58AC">
            <w:pPr>
              <w:rPr>
                <w:rFonts w:cs="Times New Roman"/>
              </w:rPr>
            </w:pPr>
            <w:r w:rsidRPr="00017F91">
              <w:rPr>
                <w:rFonts w:cs="Times New Roman"/>
              </w:rPr>
              <w:t>Venue Selection</w:t>
            </w:r>
          </w:p>
        </w:tc>
        <w:tc>
          <w:tcPr>
            <w:tcW w:w="567" w:type="pct"/>
            <w:hideMark/>
          </w:tcPr>
          <w:p w14:paraId="7CEED861" w14:textId="77777777" w:rsidR="00003EBB" w:rsidRPr="00017F91" w:rsidRDefault="00003EBB" w:rsidP="00EE58AC">
            <w:pPr>
              <w:rPr>
                <w:rFonts w:cs="Times New Roman"/>
              </w:rPr>
            </w:pPr>
            <w:r w:rsidRPr="00017F91">
              <w:rPr>
                <w:rFonts w:cs="Times New Roman"/>
              </w:rPr>
              <w:t>X</w:t>
            </w:r>
          </w:p>
        </w:tc>
        <w:tc>
          <w:tcPr>
            <w:tcW w:w="416" w:type="pct"/>
            <w:hideMark/>
          </w:tcPr>
          <w:p w14:paraId="71F00316" w14:textId="77777777" w:rsidR="00003EBB" w:rsidRPr="00017F91" w:rsidRDefault="00003EBB" w:rsidP="00EE58AC">
            <w:pPr>
              <w:rPr>
                <w:rFonts w:cs="Times New Roman"/>
              </w:rPr>
            </w:pPr>
            <w:r w:rsidRPr="00017F91">
              <w:rPr>
                <w:rFonts w:cs="Times New Roman"/>
              </w:rPr>
              <w:t>X</w:t>
            </w:r>
          </w:p>
        </w:tc>
        <w:tc>
          <w:tcPr>
            <w:tcW w:w="340" w:type="pct"/>
            <w:hideMark/>
          </w:tcPr>
          <w:p w14:paraId="1FB35AF4" w14:textId="77777777" w:rsidR="00003EBB" w:rsidRPr="00017F91" w:rsidRDefault="00003EBB" w:rsidP="00EE58AC">
            <w:pPr>
              <w:rPr>
                <w:rFonts w:cs="Times New Roman"/>
              </w:rPr>
            </w:pPr>
          </w:p>
        </w:tc>
        <w:tc>
          <w:tcPr>
            <w:tcW w:w="297" w:type="pct"/>
            <w:hideMark/>
          </w:tcPr>
          <w:p w14:paraId="3EB51523" w14:textId="77777777" w:rsidR="00003EBB" w:rsidRPr="00017F91" w:rsidRDefault="00003EBB" w:rsidP="00EE58AC">
            <w:pPr>
              <w:rPr>
                <w:rFonts w:cs="Times New Roman"/>
              </w:rPr>
            </w:pPr>
          </w:p>
        </w:tc>
        <w:tc>
          <w:tcPr>
            <w:tcW w:w="297" w:type="pct"/>
            <w:hideMark/>
          </w:tcPr>
          <w:p w14:paraId="43F8B908" w14:textId="77777777" w:rsidR="00003EBB" w:rsidRPr="00017F91" w:rsidRDefault="00003EBB" w:rsidP="00EE58AC">
            <w:pPr>
              <w:rPr>
                <w:rFonts w:cs="Times New Roman"/>
              </w:rPr>
            </w:pPr>
          </w:p>
        </w:tc>
        <w:tc>
          <w:tcPr>
            <w:tcW w:w="273" w:type="pct"/>
            <w:hideMark/>
          </w:tcPr>
          <w:p w14:paraId="37DF2F2A" w14:textId="77777777" w:rsidR="00003EBB" w:rsidRPr="00017F91" w:rsidRDefault="00003EBB" w:rsidP="00EE58AC">
            <w:pPr>
              <w:rPr>
                <w:rFonts w:cs="Times New Roman"/>
              </w:rPr>
            </w:pPr>
          </w:p>
        </w:tc>
        <w:tc>
          <w:tcPr>
            <w:tcW w:w="458" w:type="pct"/>
            <w:hideMark/>
          </w:tcPr>
          <w:p w14:paraId="08212E23" w14:textId="77777777" w:rsidR="00003EBB" w:rsidRPr="00017F91" w:rsidRDefault="00003EBB" w:rsidP="00EE58AC">
            <w:pPr>
              <w:rPr>
                <w:rFonts w:cs="Times New Roman"/>
              </w:rPr>
            </w:pPr>
          </w:p>
        </w:tc>
      </w:tr>
      <w:tr w:rsidR="00003EBB" w:rsidRPr="00017F91" w14:paraId="0AADCA5A" w14:textId="77777777" w:rsidTr="00EE58AC">
        <w:tc>
          <w:tcPr>
            <w:tcW w:w="2182" w:type="pct"/>
            <w:hideMark/>
          </w:tcPr>
          <w:p w14:paraId="4B660A0B" w14:textId="77777777" w:rsidR="00003EBB" w:rsidRPr="00017F91" w:rsidRDefault="00003EBB" w:rsidP="00EE58AC">
            <w:pPr>
              <w:rPr>
                <w:rFonts w:cs="Times New Roman"/>
              </w:rPr>
            </w:pPr>
            <w:r w:rsidRPr="00017F91">
              <w:rPr>
                <w:rFonts w:cs="Times New Roman"/>
              </w:rPr>
              <w:t>Budgeting and Financial Planning</w:t>
            </w:r>
          </w:p>
        </w:tc>
        <w:tc>
          <w:tcPr>
            <w:tcW w:w="567" w:type="pct"/>
            <w:hideMark/>
          </w:tcPr>
          <w:p w14:paraId="249C311F" w14:textId="77777777" w:rsidR="00003EBB" w:rsidRPr="00017F91" w:rsidRDefault="00003EBB" w:rsidP="00EE58AC">
            <w:pPr>
              <w:rPr>
                <w:rFonts w:cs="Times New Roman"/>
              </w:rPr>
            </w:pPr>
            <w:r w:rsidRPr="00017F91">
              <w:rPr>
                <w:rFonts w:cs="Times New Roman"/>
              </w:rPr>
              <w:t>X</w:t>
            </w:r>
          </w:p>
        </w:tc>
        <w:tc>
          <w:tcPr>
            <w:tcW w:w="416" w:type="pct"/>
            <w:hideMark/>
          </w:tcPr>
          <w:p w14:paraId="17154609" w14:textId="77777777" w:rsidR="00003EBB" w:rsidRPr="00017F91" w:rsidRDefault="00003EBB" w:rsidP="00EE58AC">
            <w:pPr>
              <w:rPr>
                <w:rFonts w:cs="Times New Roman"/>
              </w:rPr>
            </w:pPr>
            <w:r w:rsidRPr="00017F91">
              <w:rPr>
                <w:rFonts w:cs="Times New Roman"/>
              </w:rPr>
              <w:t>X</w:t>
            </w:r>
          </w:p>
        </w:tc>
        <w:tc>
          <w:tcPr>
            <w:tcW w:w="340" w:type="pct"/>
            <w:hideMark/>
          </w:tcPr>
          <w:p w14:paraId="262C7D98" w14:textId="77777777" w:rsidR="00003EBB" w:rsidRPr="00017F91" w:rsidRDefault="00003EBB" w:rsidP="00EE58AC">
            <w:pPr>
              <w:rPr>
                <w:rFonts w:cs="Times New Roman"/>
              </w:rPr>
            </w:pPr>
          </w:p>
        </w:tc>
        <w:tc>
          <w:tcPr>
            <w:tcW w:w="297" w:type="pct"/>
            <w:hideMark/>
          </w:tcPr>
          <w:p w14:paraId="13DAFE26" w14:textId="77777777" w:rsidR="00003EBB" w:rsidRPr="00017F91" w:rsidRDefault="00003EBB" w:rsidP="00EE58AC">
            <w:pPr>
              <w:rPr>
                <w:rFonts w:cs="Times New Roman"/>
              </w:rPr>
            </w:pPr>
          </w:p>
        </w:tc>
        <w:tc>
          <w:tcPr>
            <w:tcW w:w="297" w:type="pct"/>
            <w:hideMark/>
          </w:tcPr>
          <w:p w14:paraId="5354A7AF" w14:textId="77777777" w:rsidR="00003EBB" w:rsidRPr="00017F91" w:rsidRDefault="00003EBB" w:rsidP="00EE58AC">
            <w:pPr>
              <w:rPr>
                <w:rFonts w:cs="Times New Roman"/>
              </w:rPr>
            </w:pPr>
          </w:p>
        </w:tc>
        <w:tc>
          <w:tcPr>
            <w:tcW w:w="273" w:type="pct"/>
            <w:hideMark/>
          </w:tcPr>
          <w:p w14:paraId="71B1C108" w14:textId="77777777" w:rsidR="00003EBB" w:rsidRPr="00017F91" w:rsidRDefault="00003EBB" w:rsidP="00EE58AC">
            <w:pPr>
              <w:rPr>
                <w:rFonts w:cs="Times New Roman"/>
              </w:rPr>
            </w:pPr>
          </w:p>
        </w:tc>
        <w:tc>
          <w:tcPr>
            <w:tcW w:w="458" w:type="pct"/>
            <w:hideMark/>
          </w:tcPr>
          <w:p w14:paraId="4B4755A7" w14:textId="77777777" w:rsidR="00003EBB" w:rsidRPr="00017F91" w:rsidRDefault="00003EBB" w:rsidP="00EE58AC">
            <w:pPr>
              <w:rPr>
                <w:rFonts w:cs="Times New Roman"/>
              </w:rPr>
            </w:pPr>
          </w:p>
        </w:tc>
      </w:tr>
      <w:tr w:rsidR="00003EBB" w:rsidRPr="00017F91" w14:paraId="7B41413F" w14:textId="77777777" w:rsidTr="00EE58AC">
        <w:tc>
          <w:tcPr>
            <w:tcW w:w="2182" w:type="pct"/>
            <w:hideMark/>
          </w:tcPr>
          <w:p w14:paraId="48389AA3" w14:textId="77777777" w:rsidR="00003EBB" w:rsidRPr="00017F91" w:rsidRDefault="00003EBB" w:rsidP="00EE58AC">
            <w:pPr>
              <w:rPr>
                <w:rFonts w:cs="Times New Roman"/>
              </w:rPr>
            </w:pPr>
            <w:r w:rsidRPr="00017F91">
              <w:rPr>
                <w:rFonts w:cs="Times New Roman"/>
              </w:rPr>
              <w:t xml:space="preserve">Speaker and </w:t>
            </w:r>
            <w:proofErr w:type="spellStart"/>
            <w:r w:rsidRPr="00017F91">
              <w:rPr>
                <w:rFonts w:cs="Times New Roman"/>
              </w:rPr>
              <w:t>Panellist</w:t>
            </w:r>
            <w:proofErr w:type="spellEnd"/>
            <w:r w:rsidRPr="00017F91">
              <w:rPr>
                <w:rFonts w:cs="Times New Roman"/>
              </w:rPr>
              <w:t xml:space="preserve"> Coordination</w:t>
            </w:r>
          </w:p>
        </w:tc>
        <w:tc>
          <w:tcPr>
            <w:tcW w:w="567" w:type="pct"/>
            <w:hideMark/>
          </w:tcPr>
          <w:p w14:paraId="3E91450B" w14:textId="77777777" w:rsidR="00003EBB" w:rsidRPr="00017F91" w:rsidRDefault="00003EBB" w:rsidP="00EE58AC">
            <w:pPr>
              <w:rPr>
                <w:rFonts w:cs="Times New Roman"/>
              </w:rPr>
            </w:pPr>
          </w:p>
        </w:tc>
        <w:tc>
          <w:tcPr>
            <w:tcW w:w="416" w:type="pct"/>
            <w:hideMark/>
          </w:tcPr>
          <w:p w14:paraId="66128B10" w14:textId="77777777" w:rsidR="00003EBB" w:rsidRPr="00017F91" w:rsidRDefault="00003EBB" w:rsidP="00EE58AC">
            <w:pPr>
              <w:rPr>
                <w:rFonts w:cs="Times New Roman"/>
              </w:rPr>
            </w:pPr>
            <w:r w:rsidRPr="00017F91">
              <w:rPr>
                <w:rFonts w:cs="Times New Roman"/>
              </w:rPr>
              <w:t>X</w:t>
            </w:r>
          </w:p>
        </w:tc>
        <w:tc>
          <w:tcPr>
            <w:tcW w:w="340" w:type="pct"/>
            <w:hideMark/>
          </w:tcPr>
          <w:p w14:paraId="706DDD5F" w14:textId="77777777" w:rsidR="00003EBB" w:rsidRPr="00017F91" w:rsidRDefault="00003EBB" w:rsidP="00EE58AC">
            <w:pPr>
              <w:rPr>
                <w:rFonts w:cs="Times New Roman"/>
              </w:rPr>
            </w:pPr>
            <w:r w:rsidRPr="00017F91">
              <w:rPr>
                <w:rFonts w:cs="Times New Roman"/>
              </w:rPr>
              <w:t>X</w:t>
            </w:r>
          </w:p>
        </w:tc>
        <w:tc>
          <w:tcPr>
            <w:tcW w:w="297" w:type="pct"/>
            <w:hideMark/>
          </w:tcPr>
          <w:p w14:paraId="41D26951" w14:textId="77777777" w:rsidR="00003EBB" w:rsidRPr="00017F91" w:rsidRDefault="00003EBB" w:rsidP="00EE58AC">
            <w:pPr>
              <w:rPr>
                <w:rFonts w:cs="Times New Roman"/>
              </w:rPr>
            </w:pPr>
          </w:p>
        </w:tc>
        <w:tc>
          <w:tcPr>
            <w:tcW w:w="297" w:type="pct"/>
            <w:hideMark/>
          </w:tcPr>
          <w:p w14:paraId="401F202B" w14:textId="77777777" w:rsidR="00003EBB" w:rsidRPr="00017F91" w:rsidRDefault="00003EBB" w:rsidP="00EE58AC">
            <w:pPr>
              <w:rPr>
                <w:rFonts w:cs="Times New Roman"/>
              </w:rPr>
            </w:pPr>
          </w:p>
        </w:tc>
        <w:tc>
          <w:tcPr>
            <w:tcW w:w="273" w:type="pct"/>
            <w:hideMark/>
          </w:tcPr>
          <w:p w14:paraId="0521E000" w14:textId="77777777" w:rsidR="00003EBB" w:rsidRPr="00017F91" w:rsidRDefault="00003EBB" w:rsidP="00EE58AC">
            <w:pPr>
              <w:rPr>
                <w:rFonts w:cs="Times New Roman"/>
              </w:rPr>
            </w:pPr>
          </w:p>
        </w:tc>
        <w:tc>
          <w:tcPr>
            <w:tcW w:w="458" w:type="pct"/>
            <w:hideMark/>
          </w:tcPr>
          <w:p w14:paraId="7F9B1353" w14:textId="77777777" w:rsidR="00003EBB" w:rsidRPr="00017F91" w:rsidRDefault="00003EBB" w:rsidP="00EE58AC">
            <w:pPr>
              <w:rPr>
                <w:rFonts w:cs="Times New Roman"/>
              </w:rPr>
            </w:pPr>
          </w:p>
        </w:tc>
      </w:tr>
      <w:tr w:rsidR="00003EBB" w:rsidRPr="00017F91" w14:paraId="29D410CA" w14:textId="77777777" w:rsidTr="00EE58AC">
        <w:tc>
          <w:tcPr>
            <w:tcW w:w="2182" w:type="pct"/>
            <w:hideMark/>
          </w:tcPr>
          <w:p w14:paraId="117115E2" w14:textId="77777777" w:rsidR="00003EBB" w:rsidRPr="00017F91" w:rsidRDefault="00003EBB" w:rsidP="00EE58AC">
            <w:pPr>
              <w:rPr>
                <w:rFonts w:cs="Times New Roman"/>
              </w:rPr>
            </w:pPr>
            <w:r w:rsidRPr="00017F91">
              <w:rPr>
                <w:rFonts w:cs="Times New Roman"/>
              </w:rPr>
              <w:t>Marketing and Promotion</w:t>
            </w:r>
          </w:p>
        </w:tc>
        <w:tc>
          <w:tcPr>
            <w:tcW w:w="567" w:type="pct"/>
            <w:hideMark/>
          </w:tcPr>
          <w:p w14:paraId="3A614CA7" w14:textId="77777777" w:rsidR="00003EBB" w:rsidRPr="00017F91" w:rsidRDefault="00003EBB" w:rsidP="00EE58AC">
            <w:pPr>
              <w:rPr>
                <w:rFonts w:cs="Times New Roman"/>
              </w:rPr>
            </w:pPr>
          </w:p>
        </w:tc>
        <w:tc>
          <w:tcPr>
            <w:tcW w:w="416" w:type="pct"/>
            <w:hideMark/>
          </w:tcPr>
          <w:p w14:paraId="41C67C6F" w14:textId="77777777" w:rsidR="00003EBB" w:rsidRPr="00017F91" w:rsidRDefault="00003EBB" w:rsidP="00EE58AC">
            <w:pPr>
              <w:rPr>
                <w:rFonts w:cs="Times New Roman"/>
              </w:rPr>
            </w:pPr>
            <w:r w:rsidRPr="00017F91">
              <w:rPr>
                <w:rFonts w:cs="Times New Roman"/>
              </w:rPr>
              <w:t>X</w:t>
            </w:r>
          </w:p>
        </w:tc>
        <w:tc>
          <w:tcPr>
            <w:tcW w:w="340" w:type="pct"/>
            <w:hideMark/>
          </w:tcPr>
          <w:p w14:paraId="76A07906" w14:textId="77777777" w:rsidR="00003EBB" w:rsidRPr="00017F91" w:rsidRDefault="00003EBB" w:rsidP="00EE58AC">
            <w:pPr>
              <w:rPr>
                <w:rFonts w:cs="Times New Roman"/>
              </w:rPr>
            </w:pPr>
            <w:r w:rsidRPr="00017F91">
              <w:rPr>
                <w:rFonts w:cs="Times New Roman"/>
              </w:rPr>
              <w:t>X</w:t>
            </w:r>
          </w:p>
        </w:tc>
        <w:tc>
          <w:tcPr>
            <w:tcW w:w="297" w:type="pct"/>
            <w:hideMark/>
          </w:tcPr>
          <w:p w14:paraId="054FDF0F" w14:textId="77777777" w:rsidR="00003EBB" w:rsidRPr="00017F91" w:rsidRDefault="00003EBB" w:rsidP="00EE58AC">
            <w:pPr>
              <w:rPr>
                <w:rFonts w:cs="Times New Roman"/>
              </w:rPr>
            </w:pPr>
            <w:r w:rsidRPr="00017F91">
              <w:rPr>
                <w:rFonts w:cs="Times New Roman"/>
              </w:rPr>
              <w:t>X</w:t>
            </w:r>
          </w:p>
        </w:tc>
        <w:tc>
          <w:tcPr>
            <w:tcW w:w="297" w:type="pct"/>
            <w:hideMark/>
          </w:tcPr>
          <w:p w14:paraId="642CE9EF" w14:textId="77777777" w:rsidR="00003EBB" w:rsidRPr="00017F91" w:rsidRDefault="00003EBB" w:rsidP="00EE58AC">
            <w:pPr>
              <w:rPr>
                <w:rFonts w:cs="Times New Roman"/>
              </w:rPr>
            </w:pPr>
            <w:r w:rsidRPr="00017F91">
              <w:rPr>
                <w:rFonts w:cs="Times New Roman"/>
              </w:rPr>
              <w:t>X</w:t>
            </w:r>
          </w:p>
        </w:tc>
        <w:tc>
          <w:tcPr>
            <w:tcW w:w="273" w:type="pct"/>
            <w:hideMark/>
          </w:tcPr>
          <w:p w14:paraId="2A176B77" w14:textId="77777777" w:rsidR="00003EBB" w:rsidRPr="00017F91" w:rsidRDefault="00003EBB" w:rsidP="00EE58AC">
            <w:pPr>
              <w:rPr>
                <w:rFonts w:cs="Times New Roman"/>
              </w:rPr>
            </w:pPr>
          </w:p>
        </w:tc>
        <w:tc>
          <w:tcPr>
            <w:tcW w:w="458" w:type="pct"/>
            <w:hideMark/>
          </w:tcPr>
          <w:p w14:paraId="5F826E73" w14:textId="77777777" w:rsidR="00003EBB" w:rsidRPr="00017F91" w:rsidRDefault="00003EBB" w:rsidP="00EE58AC">
            <w:pPr>
              <w:rPr>
                <w:rFonts w:cs="Times New Roman"/>
              </w:rPr>
            </w:pPr>
          </w:p>
        </w:tc>
      </w:tr>
      <w:tr w:rsidR="00003EBB" w:rsidRPr="00017F91" w14:paraId="13623DD5" w14:textId="77777777" w:rsidTr="00EE58AC">
        <w:tc>
          <w:tcPr>
            <w:tcW w:w="2182" w:type="pct"/>
            <w:hideMark/>
          </w:tcPr>
          <w:p w14:paraId="4794D526" w14:textId="77777777" w:rsidR="00003EBB" w:rsidRPr="00017F91" w:rsidRDefault="00003EBB" w:rsidP="00EE58AC">
            <w:pPr>
              <w:rPr>
                <w:rFonts w:cs="Times New Roman"/>
              </w:rPr>
            </w:pPr>
            <w:r w:rsidRPr="00017F91">
              <w:rPr>
                <w:rFonts w:cs="Times New Roman"/>
              </w:rPr>
              <w:t>Registration Setup and Management</w:t>
            </w:r>
          </w:p>
        </w:tc>
        <w:tc>
          <w:tcPr>
            <w:tcW w:w="567" w:type="pct"/>
            <w:hideMark/>
          </w:tcPr>
          <w:p w14:paraId="33C1DC63" w14:textId="77777777" w:rsidR="00003EBB" w:rsidRPr="00017F91" w:rsidRDefault="00003EBB" w:rsidP="00EE58AC">
            <w:pPr>
              <w:rPr>
                <w:rFonts w:cs="Times New Roman"/>
              </w:rPr>
            </w:pPr>
          </w:p>
        </w:tc>
        <w:tc>
          <w:tcPr>
            <w:tcW w:w="416" w:type="pct"/>
            <w:hideMark/>
          </w:tcPr>
          <w:p w14:paraId="2F3083AE" w14:textId="77777777" w:rsidR="00003EBB" w:rsidRPr="00017F91" w:rsidRDefault="00003EBB" w:rsidP="00EE58AC">
            <w:pPr>
              <w:rPr>
                <w:rFonts w:cs="Times New Roman"/>
              </w:rPr>
            </w:pPr>
          </w:p>
        </w:tc>
        <w:tc>
          <w:tcPr>
            <w:tcW w:w="340" w:type="pct"/>
            <w:hideMark/>
          </w:tcPr>
          <w:p w14:paraId="73386926" w14:textId="77777777" w:rsidR="00003EBB" w:rsidRPr="00017F91" w:rsidRDefault="00003EBB" w:rsidP="00EE58AC">
            <w:pPr>
              <w:rPr>
                <w:rFonts w:cs="Times New Roman"/>
              </w:rPr>
            </w:pPr>
            <w:r w:rsidRPr="00017F91">
              <w:rPr>
                <w:rFonts w:cs="Times New Roman"/>
              </w:rPr>
              <w:t>X</w:t>
            </w:r>
          </w:p>
        </w:tc>
        <w:tc>
          <w:tcPr>
            <w:tcW w:w="297" w:type="pct"/>
            <w:hideMark/>
          </w:tcPr>
          <w:p w14:paraId="5626C6D2" w14:textId="77777777" w:rsidR="00003EBB" w:rsidRPr="00017F91" w:rsidRDefault="00003EBB" w:rsidP="00EE58AC">
            <w:pPr>
              <w:rPr>
                <w:rFonts w:cs="Times New Roman"/>
              </w:rPr>
            </w:pPr>
            <w:r w:rsidRPr="00017F91">
              <w:rPr>
                <w:rFonts w:cs="Times New Roman"/>
              </w:rPr>
              <w:t>X</w:t>
            </w:r>
          </w:p>
        </w:tc>
        <w:tc>
          <w:tcPr>
            <w:tcW w:w="297" w:type="pct"/>
            <w:hideMark/>
          </w:tcPr>
          <w:p w14:paraId="28A65569" w14:textId="77777777" w:rsidR="00003EBB" w:rsidRPr="00017F91" w:rsidRDefault="00003EBB" w:rsidP="00EE58AC">
            <w:pPr>
              <w:rPr>
                <w:rFonts w:cs="Times New Roman"/>
              </w:rPr>
            </w:pPr>
            <w:r w:rsidRPr="00017F91">
              <w:rPr>
                <w:rFonts w:cs="Times New Roman"/>
              </w:rPr>
              <w:t>X</w:t>
            </w:r>
          </w:p>
        </w:tc>
        <w:tc>
          <w:tcPr>
            <w:tcW w:w="273" w:type="pct"/>
            <w:hideMark/>
          </w:tcPr>
          <w:p w14:paraId="10275EEF" w14:textId="77777777" w:rsidR="00003EBB" w:rsidRPr="00017F91" w:rsidRDefault="00003EBB" w:rsidP="00EE58AC">
            <w:pPr>
              <w:rPr>
                <w:rFonts w:cs="Times New Roman"/>
              </w:rPr>
            </w:pPr>
          </w:p>
        </w:tc>
        <w:tc>
          <w:tcPr>
            <w:tcW w:w="458" w:type="pct"/>
            <w:hideMark/>
          </w:tcPr>
          <w:p w14:paraId="5171BCBB" w14:textId="77777777" w:rsidR="00003EBB" w:rsidRPr="00017F91" w:rsidRDefault="00003EBB" w:rsidP="00EE58AC">
            <w:pPr>
              <w:rPr>
                <w:rFonts w:cs="Times New Roman"/>
              </w:rPr>
            </w:pPr>
          </w:p>
        </w:tc>
      </w:tr>
      <w:tr w:rsidR="00003EBB" w:rsidRPr="00017F91" w14:paraId="7CF8C2ED" w14:textId="77777777" w:rsidTr="00EE58AC">
        <w:tc>
          <w:tcPr>
            <w:tcW w:w="2182" w:type="pct"/>
            <w:hideMark/>
          </w:tcPr>
          <w:p w14:paraId="3AEADD6F" w14:textId="77777777" w:rsidR="00003EBB" w:rsidRPr="00017F91" w:rsidRDefault="00003EBB" w:rsidP="00EE58AC">
            <w:pPr>
              <w:rPr>
                <w:rFonts w:cs="Times New Roman"/>
              </w:rPr>
            </w:pPr>
            <w:r w:rsidRPr="00017F91">
              <w:rPr>
                <w:rFonts w:cs="Times New Roman"/>
              </w:rPr>
              <w:t>Technical Setup and Testing</w:t>
            </w:r>
          </w:p>
        </w:tc>
        <w:tc>
          <w:tcPr>
            <w:tcW w:w="567" w:type="pct"/>
            <w:hideMark/>
          </w:tcPr>
          <w:p w14:paraId="5F3DC8FC" w14:textId="77777777" w:rsidR="00003EBB" w:rsidRPr="00017F91" w:rsidRDefault="00003EBB" w:rsidP="00EE58AC">
            <w:pPr>
              <w:rPr>
                <w:rFonts w:cs="Times New Roman"/>
              </w:rPr>
            </w:pPr>
          </w:p>
        </w:tc>
        <w:tc>
          <w:tcPr>
            <w:tcW w:w="416" w:type="pct"/>
            <w:hideMark/>
          </w:tcPr>
          <w:p w14:paraId="60544755" w14:textId="77777777" w:rsidR="00003EBB" w:rsidRPr="00017F91" w:rsidRDefault="00003EBB" w:rsidP="00EE58AC">
            <w:pPr>
              <w:rPr>
                <w:rFonts w:cs="Times New Roman"/>
              </w:rPr>
            </w:pPr>
          </w:p>
        </w:tc>
        <w:tc>
          <w:tcPr>
            <w:tcW w:w="340" w:type="pct"/>
            <w:hideMark/>
          </w:tcPr>
          <w:p w14:paraId="1C417547" w14:textId="77777777" w:rsidR="00003EBB" w:rsidRPr="00017F91" w:rsidRDefault="00003EBB" w:rsidP="00EE58AC">
            <w:pPr>
              <w:rPr>
                <w:rFonts w:cs="Times New Roman"/>
              </w:rPr>
            </w:pPr>
          </w:p>
        </w:tc>
        <w:tc>
          <w:tcPr>
            <w:tcW w:w="297" w:type="pct"/>
            <w:hideMark/>
          </w:tcPr>
          <w:p w14:paraId="163CDFC4" w14:textId="77777777" w:rsidR="00003EBB" w:rsidRPr="00017F91" w:rsidRDefault="00003EBB" w:rsidP="00EE58AC">
            <w:pPr>
              <w:rPr>
                <w:rFonts w:cs="Times New Roman"/>
              </w:rPr>
            </w:pPr>
            <w:r w:rsidRPr="00017F91">
              <w:rPr>
                <w:rFonts w:cs="Times New Roman"/>
              </w:rPr>
              <w:t>X</w:t>
            </w:r>
          </w:p>
        </w:tc>
        <w:tc>
          <w:tcPr>
            <w:tcW w:w="297" w:type="pct"/>
            <w:hideMark/>
          </w:tcPr>
          <w:p w14:paraId="386113CE" w14:textId="77777777" w:rsidR="00003EBB" w:rsidRPr="00017F91" w:rsidRDefault="00003EBB" w:rsidP="00EE58AC">
            <w:pPr>
              <w:rPr>
                <w:rFonts w:cs="Times New Roman"/>
              </w:rPr>
            </w:pPr>
            <w:r w:rsidRPr="00017F91">
              <w:rPr>
                <w:rFonts w:cs="Times New Roman"/>
              </w:rPr>
              <w:t>X</w:t>
            </w:r>
          </w:p>
        </w:tc>
        <w:tc>
          <w:tcPr>
            <w:tcW w:w="273" w:type="pct"/>
            <w:hideMark/>
          </w:tcPr>
          <w:p w14:paraId="7F41A91D" w14:textId="77777777" w:rsidR="00003EBB" w:rsidRPr="00017F91" w:rsidRDefault="00003EBB" w:rsidP="00EE58AC">
            <w:pPr>
              <w:rPr>
                <w:rFonts w:cs="Times New Roman"/>
              </w:rPr>
            </w:pPr>
            <w:r w:rsidRPr="00017F91">
              <w:rPr>
                <w:rFonts w:cs="Times New Roman"/>
              </w:rPr>
              <w:t>X</w:t>
            </w:r>
          </w:p>
        </w:tc>
        <w:tc>
          <w:tcPr>
            <w:tcW w:w="458" w:type="pct"/>
            <w:hideMark/>
          </w:tcPr>
          <w:p w14:paraId="1501B13A" w14:textId="77777777" w:rsidR="00003EBB" w:rsidRPr="00017F91" w:rsidRDefault="00003EBB" w:rsidP="00EE58AC">
            <w:pPr>
              <w:rPr>
                <w:rFonts w:cs="Times New Roman"/>
              </w:rPr>
            </w:pPr>
          </w:p>
        </w:tc>
      </w:tr>
      <w:tr w:rsidR="00003EBB" w:rsidRPr="00017F91" w14:paraId="4D3010DA" w14:textId="77777777" w:rsidTr="00EE58AC">
        <w:tc>
          <w:tcPr>
            <w:tcW w:w="2182" w:type="pct"/>
            <w:hideMark/>
          </w:tcPr>
          <w:p w14:paraId="6E5AFB86" w14:textId="77777777" w:rsidR="00003EBB" w:rsidRPr="00017F91" w:rsidRDefault="00003EBB" w:rsidP="00EE58AC">
            <w:pPr>
              <w:rPr>
                <w:rFonts w:cs="Times New Roman"/>
              </w:rPr>
            </w:pPr>
            <w:r w:rsidRPr="00017F91">
              <w:rPr>
                <w:rFonts w:cs="Times New Roman"/>
              </w:rPr>
              <w:t>Event Execution</w:t>
            </w:r>
          </w:p>
        </w:tc>
        <w:tc>
          <w:tcPr>
            <w:tcW w:w="567" w:type="pct"/>
            <w:hideMark/>
          </w:tcPr>
          <w:p w14:paraId="33704695" w14:textId="77777777" w:rsidR="00003EBB" w:rsidRPr="00017F91" w:rsidRDefault="00003EBB" w:rsidP="00EE58AC">
            <w:pPr>
              <w:rPr>
                <w:rFonts w:cs="Times New Roman"/>
              </w:rPr>
            </w:pPr>
          </w:p>
        </w:tc>
        <w:tc>
          <w:tcPr>
            <w:tcW w:w="416" w:type="pct"/>
            <w:hideMark/>
          </w:tcPr>
          <w:p w14:paraId="75508231" w14:textId="77777777" w:rsidR="00003EBB" w:rsidRPr="00017F91" w:rsidRDefault="00003EBB" w:rsidP="00EE58AC">
            <w:pPr>
              <w:rPr>
                <w:rFonts w:cs="Times New Roman"/>
              </w:rPr>
            </w:pPr>
          </w:p>
        </w:tc>
        <w:tc>
          <w:tcPr>
            <w:tcW w:w="340" w:type="pct"/>
            <w:hideMark/>
          </w:tcPr>
          <w:p w14:paraId="2C9F7741" w14:textId="77777777" w:rsidR="00003EBB" w:rsidRPr="00017F91" w:rsidRDefault="00003EBB" w:rsidP="00EE58AC">
            <w:pPr>
              <w:rPr>
                <w:rFonts w:cs="Times New Roman"/>
              </w:rPr>
            </w:pPr>
          </w:p>
        </w:tc>
        <w:tc>
          <w:tcPr>
            <w:tcW w:w="297" w:type="pct"/>
            <w:hideMark/>
          </w:tcPr>
          <w:p w14:paraId="7CAED05A" w14:textId="77777777" w:rsidR="00003EBB" w:rsidRPr="00017F91" w:rsidRDefault="00003EBB" w:rsidP="00EE58AC">
            <w:pPr>
              <w:rPr>
                <w:rFonts w:cs="Times New Roman"/>
              </w:rPr>
            </w:pPr>
          </w:p>
        </w:tc>
        <w:tc>
          <w:tcPr>
            <w:tcW w:w="297" w:type="pct"/>
            <w:hideMark/>
          </w:tcPr>
          <w:p w14:paraId="597C016F" w14:textId="77777777" w:rsidR="00003EBB" w:rsidRPr="00017F91" w:rsidRDefault="00003EBB" w:rsidP="00EE58AC">
            <w:pPr>
              <w:rPr>
                <w:rFonts w:cs="Times New Roman"/>
              </w:rPr>
            </w:pPr>
            <w:r w:rsidRPr="00017F91">
              <w:rPr>
                <w:rFonts w:cs="Times New Roman"/>
              </w:rPr>
              <w:t>X</w:t>
            </w:r>
          </w:p>
        </w:tc>
        <w:tc>
          <w:tcPr>
            <w:tcW w:w="273" w:type="pct"/>
            <w:hideMark/>
          </w:tcPr>
          <w:p w14:paraId="054FD92B" w14:textId="77777777" w:rsidR="00003EBB" w:rsidRPr="00017F91" w:rsidRDefault="00003EBB" w:rsidP="00EE58AC">
            <w:pPr>
              <w:rPr>
                <w:rFonts w:cs="Times New Roman"/>
              </w:rPr>
            </w:pPr>
            <w:r w:rsidRPr="00017F91">
              <w:rPr>
                <w:rFonts w:cs="Times New Roman"/>
              </w:rPr>
              <w:t>X</w:t>
            </w:r>
          </w:p>
        </w:tc>
        <w:tc>
          <w:tcPr>
            <w:tcW w:w="458" w:type="pct"/>
            <w:hideMark/>
          </w:tcPr>
          <w:p w14:paraId="634AF1EE" w14:textId="77777777" w:rsidR="00003EBB" w:rsidRPr="00017F91" w:rsidRDefault="00003EBB" w:rsidP="00EE58AC">
            <w:pPr>
              <w:rPr>
                <w:rFonts w:cs="Times New Roman"/>
              </w:rPr>
            </w:pPr>
          </w:p>
        </w:tc>
      </w:tr>
      <w:tr w:rsidR="00003EBB" w:rsidRPr="00017F91" w14:paraId="6EC4B46B" w14:textId="77777777" w:rsidTr="00EE58AC">
        <w:tc>
          <w:tcPr>
            <w:tcW w:w="2182" w:type="pct"/>
            <w:hideMark/>
          </w:tcPr>
          <w:p w14:paraId="4803496C" w14:textId="77777777" w:rsidR="00003EBB" w:rsidRPr="00017F91" w:rsidRDefault="00003EBB" w:rsidP="00EE58AC">
            <w:pPr>
              <w:rPr>
                <w:rFonts w:cs="Times New Roman"/>
              </w:rPr>
            </w:pPr>
            <w:r w:rsidRPr="00017F91">
              <w:rPr>
                <w:rFonts w:cs="Times New Roman"/>
              </w:rPr>
              <w:t>Post-Event Evaluation and Reporting</w:t>
            </w:r>
          </w:p>
        </w:tc>
        <w:tc>
          <w:tcPr>
            <w:tcW w:w="567" w:type="pct"/>
            <w:hideMark/>
          </w:tcPr>
          <w:p w14:paraId="41247FFD" w14:textId="77777777" w:rsidR="00003EBB" w:rsidRPr="00017F91" w:rsidRDefault="00003EBB" w:rsidP="00EE58AC">
            <w:pPr>
              <w:rPr>
                <w:rFonts w:cs="Times New Roman"/>
              </w:rPr>
            </w:pPr>
          </w:p>
        </w:tc>
        <w:tc>
          <w:tcPr>
            <w:tcW w:w="416" w:type="pct"/>
            <w:hideMark/>
          </w:tcPr>
          <w:p w14:paraId="304ED8E4" w14:textId="77777777" w:rsidR="00003EBB" w:rsidRPr="00017F91" w:rsidRDefault="00003EBB" w:rsidP="00EE58AC">
            <w:pPr>
              <w:rPr>
                <w:rFonts w:cs="Times New Roman"/>
              </w:rPr>
            </w:pPr>
          </w:p>
        </w:tc>
        <w:tc>
          <w:tcPr>
            <w:tcW w:w="340" w:type="pct"/>
            <w:hideMark/>
          </w:tcPr>
          <w:p w14:paraId="5BE35D59" w14:textId="77777777" w:rsidR="00003EBB" w:rsidRPr="00017F91" w:rsidRDefault="00003EBB" w:rsidP="00EE58AC">
            <w:pPr>
              <w:rPr>
                <w:rFonts w:cs="Times New Roman"/>
              </w:rPr>
            </w:pPr>
          </w:p>
        </w:tc>
        <w:tc>
          <w:tcPr>
            <w:tcW w:w="297" w:type="pct"/>
            <w:hideMark/>
          </w:tcPr>
          <w:p w14:paraId="3C80F3DA" w14:textId="77777777" w:rsidR="00003EBB" w:rsidRPr="00017F91" w:rsidRDefault="00003EBB" w:rsidP="00EE58AC">
            <w:pPr>
              <w:rPr>
                <w:rFonts w:cs="Times New Roman"/>
              </w:rPr>
            </w:pPr>
          </w:p>
        </w:tc>
        <w:tc>
          <w:tcPr>
            <w:tcW w:w="297" w:type="pct"/>
            <w:hideMark/>
          </w:tcPr>
          <w:p w14:paraId="3A17C7D7" w14:textId="77777777" w:rsidR="00003EBB" w:rsidRPr="00017F91" w:rsidRDefault="00003EBB" w:rsidP="00EE58AC">
            <w:pPr>
              <w:rPr>
                <w:rFonts w:cs="Times New Roman"/>
              </w:rPr>
            </w:pPr>
          </w:p>
        </w:tc>
        <w:tc>
          <w:tcPr>
            <w:tcW w:w="273" w:type="pct"/>
            <w:hideMark/>
          </w:tcPr>
          <w:p w14:paraId="3D5A4E2F" w14:textId="77777777" w:rsidR="00003EBB" w:rsidRPr="00017F91" w:rsidRDefault="00003EBB" w:rsidP="00EE58AC">
            <w:pPr>
              <w:rPr>
                <w:rFonts w:cs="Times New Roman"/>
              </w:rPr>
            </w:pPr>
            <w:r w:rsidRPr="00017F91">
              <w:rPr>
                <w:rFonts w:cs="Times New Roman"/>
              </w:rPr>
              <w:t>X</w:t>
            </w:r>
          </w:p>
        </w:tc>
        <w:tc>
          <w:tcPr>
            <w:tcW w:w="458" w:type="pct"/>
            <w:hideMark/>
          </w:tcPr>
          <w:p w14:paraId="4C763B10" w14:textId="77777777" w:rsidR="00003EBB" w:rsidRPr="00017F91" w:rsidRDefault="00003EBB" w:rsidP="00EE58AC">
            <w:pPr>
              <w:rPr>
                <w:rFonts w:cs="Times New Roman"/>
              </w:rPr>
            </w:pPr>
            <w:r w:rsidRPr="00017F91">
              <w:rPr>
                <w:rFonts w:cs="Times New Roman"/>
              </w:rPr>
              <w:t>X</w:t>
            </w:r>
          </w:p>
        </w:tc>
      </w:tr>
    </w:tbl>
    <w:p w14:paraId="0B4A6463" w14:textId="77777777" w:rsidR="00003EBB" w:rsidRPr="00017F91" w:rsidRDefault="00003EBB" w:rsidP="00003EBB">
      <w:pPr>
        <w:rPr>
          <w:rFonts w:cs="Times New Roman"/>
        </w:rPr>
      </w:pPr>
    </w:p>
    <w:p w14:paraId="6E131C58" w14:textId="13F6FDF9" w:rsidR="00003EBB" w:rsidRPr="00017F91" w:rsidRDefault="00003EBB" w:rsidP="00003EBB">
      <w:pPr>
        <w:rPr>
          <w:rFonts w:cs="Times New Roman"/>
        </w:rPr>
      </w:pPr>
      <w:r w:rsidRPr="00017F91">
        <w:rPr>
          <w:rFonts w:cs="Times New Roman"/>
        </w:rPr>
        <w:br/>
      </w:r>
      <w:r w:rsidRPr="00017F91">
        <w:rPr>
          <w:rFonts w:cs="Times New Roman"/>
        </w:rPr>
        <w:br/>
      </w:r>
    </w:p>
    <w:p w14:paraId="4834EBE5" w14:textId="64D7D131" w:rsidR="00C42F34" w:rsidRPr="00003EBB" w:rsidRDefault="00C42F34" w:rsidP="00003EBB"/>
    <w:sectPr w:rsidR="00C42F34" w:rsidRPr="00003EBB" w:rsidSect="00003EBB">
      <w:footerReference w:type="default" r:id="rId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4222590"/>
      <w:docPartObj>
        <w:docPartGallery w:val="Page Numbers (Bottom of Page)"/>
        <w:docPartUnique/>
      </w:docPartObj>
    </w:sdtPr>
    <w:sdtEndPr>
      <w:rPr>
        <w:noProof/>
      </w:rPr>
    </w:sdtEndPr>
    <w:sdtContent>
      <w:p w14:paraId="2ACD8B6C" w14:textId="77777777" w:rsidR="00080A30" w:rsidRDefault="00080A3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A6A860D" w14:textId="77777777" w:rsidR="00080A30" w:rsidRDefault="00080A3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47B2C"/>
    <w:multiLevelType w:val="hybridMultilevel"/>
    <w:tmpl w:val="B47223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515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B45"/>
    <w:rsid w:val="00003EBB"/>
    <w:rsid w:val="00080A30"/>
    <w:rsid w:val="00183272"/>
    <w:rsid w:val="003038AE"/>
    <w:rsid w:val="004832B2"/>
    <w:rsid w:val="004A06FD"/>
    <w:rsid w:val="0082521F"/>
    <w:rsid w:val="00C37743"/>
    <w:rsid w:val="00C42F34"/>
    <w:rsid w:val="00EC244C"/>
    <w:rsid w:val="00ED1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DAE31"/>
  <w15:chartTrackingRefBased/>
  <w15:docId w15:val="{9A8287A2-3146-422F-9E29-DA7F983A7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EBB"/>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ED1B4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D1B4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1B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1B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1B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1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B4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D1B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D1B4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1B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1B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1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B45"/>
    <w:rPr>
      <w:rFonts w:eastAsiaTheme="majorEastAsia" w:cstheme="majorBidi"/>
      <w:color w:val="272727" w:themeColor="text1" w:themeTint="D8"/>
    </w:rPr>
  </w:style>
  <w:style w:type="paragraph" w:styleId="Title">
    <w:name w:val="Title"/>
    <w:basedOn w:val="Normal"/>
    <w:next w:val="Normal"/>
    <w:link w:val="TitleChar"/>
    <w:uiPriority w:val="10"/>
    <w:qFormat/>
    <w:rsid w:val="00ED1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B45"/>
    <w:pPr>
      <w:spacing w:before="160"/>
      <w:jc w:val="center"/>
    </w:pPr>
    <w:rPr>
      <w:i/>
      <w:iCs/>
      <w:color w:val="404040" w:themeColor="text1" w:themeTint="BF"/>
    </w:rPr>
  </w:style>
  <w:style w:type="character" w:customStyle="1" w:styleId="QuoteChar">
    <w:name w:val="Quote Char"/>
    <w:basedOn w:val="DefaultParagraphFont"/>
    <w:link w:val="Quote"/>
    <w:uiPriority w:val="29"/>
    <w:rsid w:val="00ED1B45"/>
    <w:rPr>
      <w:i/>
      <w:iCs/>
      <w:color w:val="404040" w:themeColor="text1" w:themeTint="BF"/>
    </w:rPr>
  </w:style>
  <w:style w:type="paragraph" w:styleId="ListParagraph">
    <w:name w:val="List Paragraph"/>
    <w:basedOn w:val="Normal"/>
    <w:uiPriority w:val="34"/>
    <w:qFormat/>
    <w:rsid w:val="00ED1B45"/>
    <w:pPr>
      <w:ind w:left="720"/>
      <w:contextualSpacing/>
    </w:pPr>
  </w:style>
  <w:style w:type="character" w:styleId="IntenseEmphasis">
    <w:name w:val="Intense Emphasis"/>
    <w:basedOn w:val="DefaultParagraphFont"/>
    <w:uiPriority w:val="21"/>
    <w:qFormat/>
    <w:rsid w:val="00ED1B45"/>
    <w:rPr>
      <w:i/>
      <w:iCs/>
      <w:color w:val="2F5496" w:themeColor="accent1" w:themeShade="BF"/>
    </w:rPr>
  </w:style>
  <w:style w:type="paragraph" w:styleId="IntenseQuote">
    <w:name w:val="Intense Quote"/>
    <w:basedOn w:val="Normal"/>
    <w:next w:val="Normal"/>
    <w:link w:val="IntenseQuoteChar"/>
    <w:uiPriority w:val="30"/>
    <w:qFormat/>
    <w:rsid w:val="00ED1B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1B45"/>
    <w:rPr>
      <w:i/>
      <w:iCs/>
      <w:color w:val="2F5496" w:themeColor="accent1" w:themeShade="BF"/>
    </w:rPr>
  </w:style>
  <w:style w:type="character" w:styleId="IntenseReference">
    <w:name w:val="Intense Reference"/>
    <w:basedOn w:val="DefaultParagraphFont"/>
    <w:uiPriority w:val="32"/>
    <w:qFormat/>
    <w:rsid w:val="00ED1B45"/>
    <w:rPr>
      <w:b/>
      <w:bCs/>
      <w:smallCaps/>
      <w:color w:val="2F5496" w:themeColor="accent1" w:themeShade="BF"/>
      <w:spacing w:val="5"/>
    </w:rPr>
  </w:style>
  <w:style w:type="table" w:styleId="GridTable4-Accent6">
    <w:name w:val="Grid Table 4 Accent 6"/>
    <w:basedOn w:val="TableNormal"/>
    <w:uiPriority w:val="49"/>
    <w:rsid w:val="00003EBB"/>
    <w:pPr>
      <w:spacing w:after="0" w:line="240" w:lineRule="auto"/>
    </w:pPr>
    <w:rPr>
      <w:kern w:val="0"/>
      <w:lang w:val="en-US"/>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semiHidden/>
    <w:unhideWhenUsed/>
    <w:rsid w:val="00003EBB"/>
    <w:pPr>
      <w:spacing w:before="100" w:beforeAutospacing="1" w:after="100" w:afterAutospacing="1" w:line="240" w:lineRule="auto"/>
      <w:jc w:val="left"/>
    </w:pPr>
    <w:rPr>
      <w:rFonts w:eastAsia="Times New Roman" w:cs="Times New Roman"/>
      <w:szCs w:val="24"/>
      <w:lang w:eastAsia="en-GB"/>
    </w:rPr>
  </w:style>
  <w:style w:type="table" w:styleId="GridTable4-Accent1">
    <w:name w:val="Grid Table 4 Accent 1"/>
    <w:basedOn w:val="TableNormal"/>
    <w:uiPriority w:val="49"/>
    <w:rsid w:val="00003EBB"/>
    <w:pPr>
      <w:spacing w:after="0" w:line="240" w:lineRule="auto"/>
    </w:pPr>
    <w:rPr>
      <w:kern w:val="0"/>
      <w:lang w:val="en-US"/>
      <w14:ligatures w14:val="none"/>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leGrid">
    <w:name w:val="Table Grid"/>
    <w:basedOn w:val="TableNormal"/>
    <w:uiPriority w:val="39"/>
    <w:rsid w:val="00003EBB"/>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003E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3EBB"/>
    <w:rPr>
      <w:rFonts w:ascii="Times New Roman" w:hAnsi="Times New Roman"/>
      <w:kern w:val="0"/>
      <w:sz w:val="24"/>
      <w14:ligatures w14:val="none"/>
    </w:rPr>
  </w:style>
  <w:style w:type="table" w:styleId="GridTable4-Accent3">
    <w:name w:val="Grid Table 4 Accent 3"/>
    <w:basedOn w:val="TableNormal"/>
    <w:uiPriority w:val="49"/>
    <w:rsid w:val="00003EBB"/>
    <w:pPr>
      <w:spacing w:after="0" w:line="240" w:lineRule="auto"/>
    </w:pPr>
    <w:rPr>
      <w:kern w:val="0"/>
      <w:lang w:val="en-US"/>
      <w14:ligatures w14:val="none"/>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003EBB"/>
    <w:pPr>
      <w:spacing w:before="240" w:after="0"/>
      <w:outlineLvl w:val="9"/>
    </w:pPr>
    <w:rPr>
      <w:sz w:val="32"/>
      <w:szCs w:val="32"/>
      <w:lang w:val="en-US"/>
    </w:rPr>
  </w:style>
  <w:style w:type="paragraph" w:styleId="TOC1">
    <w:name w:val="toc 1"/>
    <w:basedOn w:val="Normal"/>
    <w:next w:val="Normal"/>
    <w:autoRedefine/>
    <w:uiPriority w:val="39"/>
    <w:unhideWhenUsed/>
    <w:rsid w:val="00003EBB"/>
    <w:pPr>
      <w:spacing w:after="100"/>
    </w:pPr>
  </w:style>
  <w:style w:type="paragraph" w:styleId="TOC2">
    <w:name w:val="toc 2"/>
    <w:basedOn w:val="Normal"/>
    <w:next w:val="Normal"/>
    <w:autoRedefine/>
    <w:uiPriority w:val="39"/>
    <w:unhideWhenUsed/>
    <w:rsid w:val="00003EBB"/>
    <w:pPr>
      <w:spacing w:after="100"/>
      <w:ind w:left="240"/>
    </w:pPr>
  </w:style>
  <w:style w:type="character" w:styleId="Hyperlink">
    <w:name w:val="Hyperlink"/>
    <w:basedOn w:val="DefaultParagraphFont"/>
    <w:uiPriority w:val="99"/>
    <w:unhideWhenUsed/>
    <w:rsid w:val="00003E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image" Target="media/image1.png"/><Relationship Id="rId15" Type="http://schemas.microsoft.com/office/2007/relationships/diagramDrawing" Target="diagrams/drawing2.xml"/><Relationship Id="rId10" Type="http://schemas.microsoft.com/office/2007/relationships/diagramDrawing" Target="diagrams/drawing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FC2B35-C993-4A4C-97C1-CAA31363634A}" type="doc">
      <dgm:prSet loTypeId="urn:microsoft.com/office/officeart/2005/8/layout/vProcess5" loCatId="process" qsTypeId="urn:microsoft.com/office/officeart/2005/8/quickstyle/simple1" qsCatId="simple" csTypeId="urn:microsoft.com/office/officeart/2005/8/colors/colorful3" csCatId="colorful" phldr="1"/>
      <dgm:spPr/>
      <dgm:t>
        <a:bodyPr/>
        <a:lstStyle/>
        <a:p>
          <a:endParaRPr lang="en-GB"/>
        </a:p>
      </dgm:t>
    </dgm:pt>
    <dgm:pt modelId="{3A4065FA-59B4-4C04-8800-92FEFC1EB131}">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Initiation Phase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BD14CCF7-AE56-41E0-A1F8-60A6225D06BB}" type="parTrans" cxnId="{E6B3C7BE-CF34-4BA3-9545-0574D0218507}">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173ACB7F-997C-4CD3-844E-DDB252C3BB2B}" type="sibTrans" cxnId="{E6B3C7BE-CF34-4BA3-9545-0574D0218507}">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708B9F71-1E09-47B5-8797-18D5B38DEA71}">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Planning Phase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0BA9CE82-8399-4BBD-AFD2-5C066B83C84B}" type="parTrans" cxnId="{37E25E55-05B0-4B0E-9D7B-87A4B2492713}">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00E7067-14FD-4C29-A50C-0FA44E1BC970}" type="sibTrans" cxnId="{37E25E55-05B0-4B0E-9D7B-87A4B2492713}">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4E79DE71-B14D-404A-A2DA-C249112BDF8C}">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Implementation Phase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59364134-AFD7-4FA7-A6E4-A5E9E026882B}" type="parTrans" cxnId="{E5728A4D-E272-4E9F-9943-2A0AF7C6D856}">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B592FC84-EA7F-44EC-876D-C06933797DE8}" type="sibTrans" cxnId="{E5728A4D-E272-4E9F-9943-2A0AF7C6D856}">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51F4C904-52A8-4F06-9788-02A5C2408BF7}">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Event Execution Phase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7257834C-7B46-4E53-8851-3E7C4D586753}" type="parTrans" cxnId="{8E66CC23-98A6-4EC8-BEC5-9EA78983A9A2}">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8812A10-9422-499B-A66A-CF71682942EC}" type="sibTrans" cxnId="{8E66CC23-98A6-4EC8-BEC5-9EA78983A9A2}">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8C44AA11-2D1D-4B02-BCFF-A5D90618F6AF}">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Post-Event Evaluation Phase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98429739-95DB-4D44-984A-67AACFD9D66F}" type="parTrans" cxnId="{66ECD60E-D5D5-4001-8390-367BBB0B0550}">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601F5650-56DF-4B79-AA72-B527C233A94E}" type="sibTrans" cxnId="{66ECD60E-D5D5-4001-8390-367BBB0B0550}">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AFC261F4-6282-4417-8A4F-906E6CDD041F}" type="pres">
      <dgm:prSet presAssocID="{16FC2B35-C993-4A4C-97C1-CAA31363634A}" presName="outerComposite" presStyleCnt="0">
        <dgm:presLayoutVars>
          <dgm:chMax val="5"/>
          <dgm:dir/>
          <dgm:resizeHandles val="exact"/>
        </dgm:presLayoutVars>
      </dgm:prSet>
      <dgm:spPr/>
    </dgm:pt>
    <dgm:pt modelId="{BB223977-62B5-4908-9D97-A0A3B75C4DCF}" type="pres">
      <dgm:prSet presAssocID="{16FC2B35-C993-4A4C-97C1-CAA31363634A}" presName="dummyMaxCanvas" presStyleCnt="0">
        <dgm:presLayoutVars/>
      </dgm:prSet>
      <dgm:spPr/>
    </dgm:pt>
    <dgm:pt modelId="{3DEA51DB-87CE-4DB4-97A3-5733C07FD401}" type="pres">
      <dgm:prSet presAssocID="{16FC2B35-C993-4A4C-97C1-CAA31363634A}" presName="FiveNodes_1" presStyleLbl="node1" presStyleIdx="0" presStyleCnt="5">
        <dgm:presLayoutVars>
          <dgm:bulletEnabled val="1"/>
        </dgm:presLayoutVars>
      </dgm:prSet>
      <dgm:spPr/>
    </dgm:pt>
    <dgm:pt modelId="{CFEF4AAF-F518-42D3-9700-FABDE386837E}" type="pres">
      <dgm:prSet presAssocID="{16FC2B35-C993-4A4C-97C1-CAA31363634A}" presName="FiveNodes_2" presStyleLbl="node1" presStyleIdx="1" presStyleCnt="5">
        <dgm:presLayoutVars>
          <dgm:bulletEnabled val="1"/>
        </dgm:presLayoutVars>
      </dgm:prSet>
      <dgm:spPr/>
    </dgm:pt>
    <dgm:pt modelId="{398F2CE0-2AF1-4687-A192-0DB5E1CAE384}" type="pres">
      <dgm:prSet presAssocID="{16FC2B35-C993-4A4C-97C1-CAA31363634A}" presName="FiveNodes_3" presStyleLbl="node1" presStyleIdx="2" presStyleCnt="5">
        <dgm:presLayoutVars>
          <dgm:bulletEnabled val="1"/>
        </dgm:presLayoutVars>
      </dgm:prSet>
      <dgm:spPr/>
    </dgm:pt>
    <dgm:pt modelId="{018A044E-EECF-47EF-B2A3-83FB8C311741}" type="pres">
      <dgm:prSet presAssocID="{16FC2B35-C993-4A4C-97C1-CAA31363634A}" presName="FiveNodes_4" presStyleLbl="node1" presStyleIdx="3" presStyleCnt="5">
        <dgm:presLayoutVars>
          <dgm:bulletEnabled val="1"/>
        </dgm:presLayoutVars>
      </dgm:prSet>
      <dgm:spPr/>
    </dgm:pt>
    <dgm:pt modelId="{96680F91-9508-4D38-A193-06C765496254}" type="pres">
      <dgm:prSet presAssocID="{16FC2B35-C993-4A4C-97C1-CAA31363634A}" presName="FiveNodes_5" presStyleLbl="node1" presStyleIdx="4" presStyleCnt="5">
        <dgm:presLayoutVars>
          <dgm:bulletEnabled val="1"/>
        </dgm:presLayoutVars>
      </dgm:prSet>
      <dgm:spPr/>
    </dgm:pt>
    <dgm:pt modelId="{3D35FAB4-1F89-4BFB-BAF7-9E746C98774A}" type="pres">
      <dgm:prSet presAssocID="{16FC2B35-C993-4A4C-97C1-CAA31363634A}" presName="FiveConn_1-2" presStyleLbl="fgAccFollowNode1" presStyleIdx="0" presStyleCnt="4">
        <dgm:presLayoutVars>
          <dgm:bulletEnabled val="1"/>
        </dgm:presLayoutVars>
      </dgm:prSet>
      <dgm:spPr/>
    </dgm:pt>
    <dgm:pt modelId="{4AC549BA-F183-426D-8651-ED7AC9F9C3EC}" type="pres">
      <dgm:prSet presAssocID="{16FC2B35-C993-4A4C-97C1-CAA31363634A}" presName="FiveConn_2-3" presStyleLbl="fgAccFollowNode1" presStyleIdx="1" presStyleCnt="4">
        <dgm:presLayoutVars>
          <dgm:bulletEnabled val="1"/>
        </dgm:presLayoutVars>
      </dgm:prSet>
      <dgm:spPr/>
    </dgm:pt>
    <dgm:pt modelId="{7BD69E19-C8B0-43FA-9303-6D73CC8D74B2}" type="pres">
      <dgm:prSet presAssocID="{16FC2B35-C993-4A4C-97C1-CAA31363634A}" presName="FiveConn_3-4" presStyleLbl="fgAccFollowNode1" presStyleIdx="2" presStyleCnt="4">
        <dgm:presLayoutVars>
          <dgm:bulletEnabled val="1"/>
        </dgm:presLayoutVars>
      </dgm:prSet>
      <dgm:spPr/>
    </dgm:pt>
    <dgm:pt modelId="{1A3723E8-A40D-42B3-8AFA-68D62FA89CFE}" type="pres">
      <dgm:prSet presAssocID="{16FC2B35-C993-4A4C-97C1-CAA31363634A}" presName="FiveConn_4-5" presStyleLbl="fgAccFollowNode1" presStyleIdx="3" presStyleCnt="4">
        <dgm:presLayoutVars>
          <dgm:bulletEnabled val="1"/>
        </dgm:presLayoutVars>
      </dgm:prSet>
      <dgm:spPr/>
    </dgm:pt>
    <dgm:pt modelId="{9761BF27-672C-4066-AF03-D9A09D4DDF34}" type="pres">
      <dgm:prSet presAssocID="{16FC2B35-C993-4A4C-97C1-CAA31363634A}" presName="FiveNodes_1_text" presStyleLbl="node1" presStyleIdx="4" presStyleCnt="5">
        <dgm:presLayoutVars>
          <dgm:bulletEnabled val="1"/>
        </dgm:presLayoutVars>
      </dgm:prSet>
      <dgm:spPr/>
    </dgm:pt>
    <dgm:pt modelId="{28F2516B-C0F3-435B-B25A-E6DB6698BA82}" type="pres">
      <dgm:prSet presAssocID="{16FC2B35-C993-4A4C-97C1-CAA31363634A}" presName="FiveNodes_2_text" presStyleLbl="node1" presStyleIdx="4" presStyleCnt="5">
        <dgm:presLayoutVars>
          <dgm:bulletEnabled val="1"/>
        </dgm:presLayoutVars>
      </dgm:prSet>
      <dgm:spPr/>
    </dgm:pt>
    <dgm:pt modelId="{E14732AB-EAAE-47E1-8418-C6D45F0985E6}" type="pres">
      <dgm:prSet presAssocID="{16FC2B35-C993-4A4C-97C1-CAA31363634A}" presName="FiveNodes_3_text" presStyleLbl="node1" presStyleIdx="4" presStyleCnt="5">
        <dgm:presLayoutVars>
          <dgm:bulletEnabled val="1"/>
        </dgm:presLayoutVars>
      </dgm:prSet>
      <dgm:spPr/>
    </dgm:pt>
    <dgm:pt modelId="{7144390B-78D6-4DFA-9F98-65BC54C44379}" type="pres">
      <dgm:prSet presAssocID="{16FC2B35-C993-4A4C-97C1-CAA31363634A}" presName="FiveNodes_4_text" presStyleLbl="node1" presStyleIdx="4" presStyleCnt="5">
        <dgm:presLayoutVars>
          <dgm:bulletEnabled val="1"/>
        </dgm:presLayoutVars>
      </dgm:prSet>
      <dgm:spPr/>
    </dgm:pt>
    <dgm:pt modelId="{7E073944-50F2-458E-A849-20113A6CAFFB}" type="pres">
      <dgm:prSet presAssocID="{16FC2B35-C993-4A4C-97C1-CAA31363634A}" presName="FiveNodes_5_text" presStyleLbl="node1" presStyleIdx="4" presStyleCnt="5">
        <dgm:presLayoutVars>
          <dgm:bulletEnabled val="1"/>
        </dgm:presLayoutVars>
      </dgm:prSet>
      <dgm:spPr/>
    </dgm:pt>
  </dgm:ptLst>
  <dgm:cxnLst>
    <dgm:cxn modelId="{66ECD60E-D5D5-4001-8390-367BBB0B0550}" srcId="{16FC2B35-C993-4A4C-97C1-CAA31363634A}" destId="{8C44AA11-2D1D-4B02-BCFF-A5D90618F6AF}" srcOrd="4" destOrd="0" parTransId="{98429739-95DB-4D44-984A-67AACFD9D66F}" sibTransId="{601F5650-56DF-4B79-AA72-B527C233A94E}"/>
    <dgm:cxn modelId="{340FAB11-7050-4860-9CCB-B5EC7301F430}" type="presOf" srcId="{173ACB7F-997C-4CD3-844E-DDB252C3BB2B}" destId="{3D35FAB4-1F89-4BFB-BAF7-9E746C98774A}" srcOrd="0" destOrd="0" presId="urn:microsoft.com/office/officeart/2005/8/layout/vProcess5"/>
    <dgm:cxn modelId="{8E66CC23-98A6-4EC8-BEC5-9EA78983A9A2}" srcId="{16FC2B35-C993-4A4C-97C1-CAA31363634A}" destId="{51F4C904-52A8-4F06-9788-02A5C2408BF7}" srcOrd="3" destOrd="0" parTransId="{7257834C-7B46-4E53-8851-3E7C4D586753}" sibTransId="{98812A10-9422-499B-A66A-CF71682942EC}"/>
    <dgm:cxn modelId="{104ACA27-C11D-4FED-8FE7-F4DF57B38004}" type="presOf" srcId="{8C44AA11-2D1D-4B02-BCFF-A5D90618F6AF}" destId="{96680F91-9508-4D38-A193-06C765496254}" srcOrd="0" destOrd="0" presId="urn:microsoft.com/office/officeart/2005/8/layout/vProcess5"/>
    <dgm:cxn modelId="{E5728A4D-E272-4E9F-9943-2A0AF7C6D856}" srcId="{16FC2B35-C993-4A4C-97C1-CAA31363634A}" destId="{4E79DE71-B14D-404A-A2DA-C249112BDF8C}" srcOrd="2" destOrd="0" parTransId="{59364134-AFD7-4FA7-A6E4-A5E9E026882B}" sibTransId="{B592FC84-EA7F-44EC-876D-C06933797DE8}"/>
    <dgm:cxn modelId="{975F974D-BD46-4F40-BE41-557AF88E8BFB}" type="presOf" srcId="{51F4C904-52A8-4F06-9788-02A5C2408BF7}" destId="{018A044E-EECF-47EF-B2A3-83FB8C311741}" srcOrd="0" destOrd="0" presId="urn:microsoft.com/office/officeart/2005/8/layout/vProcess5"/>
    <dgm:cxn modelId="{174C8252-D0B5-4309-8EFA-D7A250BB7496}" type="presOf" srcId="{708B9F71-1E09-47B5-8797-18D5B38DEA71}" destId="{CFEF4AAF-F518-42D3-9700-FABDE386837E}" srcOrd="0" destOrd="0" presId="urn:microsoft.com/office/officeart/2005/8/layout/vProcess5"/>
    <dgm:cxn modelId="{37E25E55-05B0-4B0E-9D7B-87A4B2492713}" srcId="{16FC2B35-C993-4A4C-97C1-CAA31363634A}" destId="{708B9F71-1E09-47B5-8797-18D5B38DEA71}" srcOrd="1" destOrd="0" parTransId="{0BA9CE82-8399-4BBD-AFD2-5C066B83C84B}" sibTransId="{900E7067-14FD-4C29-A50C-0FA44E1BC970}"/>
    <dgm:cxn modelId="{00F5D779-8232-4B9B-97BB-54EAFC94F961}" type="presOf" srcId="{900E7067-14FD-4C29-A50C-0FA44E1BC970}" destId="{4AC549BA-F183-426D-8651-ED7AC9F9C3EC}" srcOrd="0" destOrd="0" presId="urn:microsoft.com/office/officeart/2005/8/layout/vProcess5"/>
    <dgm:cxn modelId="{3202848E-1557-4498-9EDB-A28B35603441}" type="presOf" srcId="{4E79DE71-B14D-404A-A2DA-C249112BDF8C}" destId="{E14732AB-EAAE-47E1-8418-C6D45F0985E6}" srcOrd="1" destOrd="0" presId="urn:microsoft.com/office/officeart/2005/8/layout/vProcess5"/>
    <dgm:cxn modelId="{B9A7AB91-0670-4DAE-9940-094159AE7467}" type="presOf" srcId="{3A4065FA-59B4-4C04-8800-92FEFC1EB131}" destId="{3DEA51DB-87CE-4DB4-97A3-5733C07FD401}" srcOrd="0" destOrd="0" presId="urn:microsoft.com/office/officeart/2005/8/layout/vProcess5"/>
    <dgm:cxn modelId="{87E6849C-D5B2-4516-A0EE-BE9C63502BD4}" type="presOf" srcId="{4E79DE71-B14D-404A-A2DA-C249112BDF8C}" destId="{398F2CE0-2AF1-4687-A192-0DB5E1CAE384}" srcOrd="0" destOrd="0" presId="urn:microsoft.com/office/officeart/2005/8/layout/vProcess5"/>
    <dgm:cxn modelId="{1D225FAA-9945-4037-9F48-35889F4D2E3A}" type="presOf" srcId="{51F4C904-52A8-4F06-9788-02A5C2408BF7}" destId="{7144390B-78D6-4DFA-9F98-65BC54C44379}" srcOrd="1" destOrd="0" presId="urn:microsoft.com/office/officeart/2005/8/layout/vProcess5"/>
    <dgm:cxn modelId="{E6B3C7BE-CF34-4BA3-9545-0574D0218507}" srcId="{16FC2B35-C993-4A4C-97C1-CAA31363634A}" destId="{3A4065FA-59B4-4C04-8800-92FEFC1EB131}" srcOrd="0" destOrd="0" parTransId="{BD14CCF7-AE56-41E0-A1F8-60A6225D06BB}" sibTransId="{173ACB7F-997C-4CD3-844E-DDB252C3BB2B}"/>
    <dgm:cxn modelId="{D92625D9-67EB-4D3D-B01B-ACA8C066E79E}" type="presOf" srcId="{8C44AA11-2D1D-4B02-BCFF-A5D90618F6AF}" destId="{7E073944-50F2-458E-A849-20113A6CAFFB}" srcOrd="1" destOrd="0" presId="urn:microsoft.com/office/officeart/2005/8/layout/vProcess5"/>
    <dgm:cxn modelId="{6B0270DE-6317-44C4-BCB0-D6E72657AC80}" type="presOf" srcId="{B592FC84-EA7F-44EC-876D-C06933797DE8}" destId="{7BD69E19-C8B0-43FA-9303-6D73CC8D74B2}" srcOrd="0" destOrd="0" presId="urn:microsoft.com/office/officeart/2005/8/layout/vProcess5"/>
    <dgm:cxn modelId="{E23EB6E0-3286-4521-BFDD-A4D369DB936B}" type="presOf" srcId="{708B9F71-1E09-47B5-8797-18D5B38DEA71}" destId="{28F2516B-C0F3-435B-B25A-E6DB6698BA82}" srcOrd="1" destOrd="0" presId="urn:microsoft.com/office/officeart/2005/8/layout/vProcess5"/>
    <dgm:cxn modelId="{C2FBC3E6-3809-439B-AAED-4DE170D06721}" type="presOf" srcId="{16FC2B35-C993-4A4C-97C1-CAA31363634A}" destId="{AFC261F4-6282-4417-8A4F-906E6CDD041F}" srcOrd="0" destOrd="0" presId="urn:microsoft.com/office/officeart/2005/8/layout/vProcess5"/>
    <dgm:cxn modelId="{B7667FF2-6886-428B-9281-FBAE1DAC79A4}" type="presOf" srcId="{3A4065FA-59B4-4C04-8800-92FEFC1EB131}" destId="{9761BF27-672C-4066-AF03-D9A09D4DDF34}" srcOrd="1" destOrd="0" presId="urn:microsoft.com/office/officeart/2005/8/layout/vProcess5"/>
    <dgm:cxn modelId="{8978B8F2-B315-40E4-ABEA-93F7FCEF86F1}" type="presOf" srcId="{98812A10-9422-499B-A66A-CF71682942EC}" destId="{1A3723E8-A40D-42B3-8AFA-68D62FA89CFE}" srcOrd="0" destOrd="0" presId="urn:microsoft.com/office/officeart/2005/8/layout/vProcess5"/>
    <dgm:cxn modelId="{6D7314AE-89CA-4D02-A8FE-7FCC0CB65595}" type="presParOf" srcId="{AFC261F4-6282-4417-8A4F-906E6CDD041F}" destId="{BB223977-62B5-4908-9D97-A0A3B75C4DCF}" srcOrd="0" destOrd="0" presId="urn:microsoft.com/office/officeart/2005/8/layout/vProcess5"/>
    <dgm:cxn modelId="{666C8B2E-ACC0-48B2-876C-C1F910192714}" type="presParOf" srcId="{AFC261F4-6282-4417-8A4F-906E6CDD041F}" destId="{3DEA51DB-87CE-4DB4-97A3-5733C07FD401}" srcOrd="1" destOrd="0" presId="urn:microsoft.com/office/officeart/2005/8/layout/vProcess5"/>
    <dgm:cxn modelId="{0C188BA8-6A4C-40D8-9C04-CFCEFF00F342}" type="presParOf" srcId="{AFC261F4-6282-4417-8A4F-906E6CDD041F}" destId="{CFEF4AAF-F518-42D3-9700-FABDE386837E}" srcOrd="2" destOrd="0" presId="urn:microsoft.com/office/officeart/2005/8/layout/vProcess5"/>
    <dgm:cxn modelId="{A724EFCF-6674-4256-9779-AD8B82DED147}" type="presParOf" srcId="{AFC261F4-6282-4417-8A4F-906E6CDD041F}" destId="{398F2CE0-2AF1-4687-A192-0DB5E1CAE384}" srcOrd="3" destOrd="0" presId="urn:microsoft.com/office/officeart/2005/8/layout/vProcess5"/>
    <dgm:cxn modelId="{CECF54D6-BAED-4A64-9B5E-59C340B3E265}" type="presParOf" srcId="{AFC261F4-6282-4417-8A4F-906E6CDD041F}" destId="{018A044E-EECF-47EF-B2A3-83FB8C311741}" srcOrd="4" destOrd="0" presId="urn:microsoft.com/office/officeart/2005/8/layout/vProcess5"/>
    <dgm:cxn modelId="{D42098EC-7DE3-44C1-A0EF-2EACF5A672E2}" type="presParOf" srcId="{AFC261F4-6282-4417-8A4F-906E6CDD041F}" destId="{96680F91-9508-4D38-A193-06C765496254}" srcOrd="5" destOrd="0" presId="urn:microsoft.com/office/officeart/2005/8/layout/vProcess5"/>
    <dgm:cxn modelId="{CE8FFE8F-F604-4855-9D73-63C6BFEBFB06}" type="presParOf" srcId="{AFC261F4-6282-4417-8A4F-906E6CDD041F}" destId="{3D35FAB4-1F89-4BFB-BAF7-9E746C98774A}" srcOrd="6" destOrd="0" presId="urn:microsoft.com/office/officeart/2005/8/layout/vProcess5"/>
    <dgm:cxn modelId="{1CF58A78-B703-4474-B22A-9B26B0D51B6E}" type="presParOf" srcId="{AFC261F4-6282-4417-8A4F-906E6CDD041F}" destId="{4AC549BA-F183-426D-8651-ED7AC9F9C3EC}" srcOrd="7" destOrd="0" presId="urn:microsoft.com/office/officeart/2005/8/layout/vProcess5"/>
    <dgm:cxn modelId="{4E62696B-BD4E-41AB-BA71-FB640775343C}" type="presParOf" srcId="{AFC261F4-6282-4417-8A4F-906E6CDD041F}" destId="{7BD69E19-C8B0-43FA-9303-6D73CC8D74B2}" srcOrd="8" destOrd="0" presId="urn:microsoft.com/office/officeart/2005/8/layout/vProcess5"/>
    <dgm:cxn modelId="{A861D025-2A4C-4AE9-9A2F-082E37935A7B}" type="presParOf" srcId="{AFC261F4-6282-4417-8A4F-906E6CDD041F}" destId="{1A3723E8-A40D-42B3-8AFA-68D62FA89CFE}" srcOrd="9" destOrd="0" presId="urn:microsoft.com/office/officeart/2005/8/layout/vProcess5"/>
    <dgm:cxn modelId="{4D9831EC-5C7A-48AA-9B06-B579947C4BA8}" type="presParOf" srcId="{AFC261F4-6282-4417-8A4F-906E6CDD041F}" destId="{9761BF27-672C-4066-AF03-D9A09D4DDF34}" srcOrd="10" destOrd="0" presId="urn:microsoft.com/office/officeart/2005/8/layout/vProcess5"/>
    <dgm:cxn modelId="{28B3BFF5-5F12-4E2E-AAA9-BE94C0616A3B}" type="presParOf" srcId="{AFC261F4-6282-4417-8A4F-906E6CDD041F}" destId="{28F2516B-C0F3-435B-B25A-E6DB6698BA82}" srcOrd="11" destOrd="0" presId="urn:microsoft.com/office/officeart/2005/8/layout/vProcess5"/>
    <dgm:cxn modelId="{B9A316E6-D885-4FA8-9126-DE87ADF657D6}" type="presParOf" srcId="{AFC261F4-6282-4417-8A4F-906E6CDD041F}" destId="{E14732AB-EAAE-47E1-8418-C6D45F0985E6}" srcOrd="12" destOrd="0" presId="urn:microsoft.com/office/officeart/2005/8/layout/vProcess5"/>
    <dgm:cxn modelId="{13FF6BD3-1E85-4BF9-B9DD-DD837C468329}" type="presParOf" srcId="{AFC261F4-6282-4417-8A4F-906E6CDD041F}" destId="{7144390B-78D6-4DFA-9F98-65BC54C44379}" srcOrd="13" destOrd="0" presId="urn:microsoft.com/office/officeart/2005/8/layout/vProcess5"/>
    <dgm:cxn modelId="{F8E04AEB-0277-4478-BECF-FA7DFEA5FF0A}" type="presParOf" srcId="{AFC261F4-6282-4417-8A4F-906E6CDD041F}" destId="{7E073944-50F2-458E-A849-20113A6CAFFB}" srcOrd="14" destOrd="0" presId="urn:microsoft.com/office/officeart/2005/8/layout/vProcess5"/>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5603969-D888-4FF2-A955-CC46FE6066A1}" type="doc">
      <dgm:prSet loTypeId="urn:microsoft.com/office/officeart/2005/8/layout/process4" loCatId="list" qsTypeId="urn:microsoft.com/office/officeart/2005/8/quickstyle/simple1" qsCatId="simple" csTypeId="urn:microsoft.com/office/officeart/2005/8/colors/colorful5" csCatId="colorful" phldr="1"/>
      <dgm:spPr/>
      <dgm:t>
        <a:bodyPr/>
        <a:lstStyle/>
        <a:p>
          <a:endParaRPr lang="en-GB"/>
        </a:p>
      </dgm:t>
    </dgm:pt>
    <dgm:pt modelId="{CCDBB0C5-77C7-48DA-A91C-7C28B78477C5}">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Operational Skills and Resources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6A88CCA4-D1A1-4368-8D6A-41B52FC27A5F}" type="parTrans" cxnId="{43E15C5D-C069-4CAE-88F9-81003220EC0C}">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5A523FEA-BE18-4DC5-810B-83F398268B7D}" type="sibTrans" cxnId="{43E15C5D-C069-4CAE-88F9-81003220EC0C}">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7EDA571-25FD-4681-A0BE-9BC17D89B0E9}">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Venue selection</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79EE9FB2-C49A-4F59-B755-D4EE16992DD0}" type="parTrans" cxnId="{4EC69185-7FFD-4F5F-8B41-1F1046647898}">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E4E59BD4-5D75-4577-988E-68A856A73384}" type="sibTrans" cxnId="{4EC69185-7FFD-4F5F-8B41-1F1046647898}">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C2BC3969-FF76-484B-84AD-1A368441B706}">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Security personnel</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6CA77FBD-3DE4-49D7-847D-27810585BA9E}" type="parTrans" cxnId="{8A26397E-62E7-4FC6-86CF-D2383648F331}">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EED28024-0611-4066-8478-BE63DC4E76F8}" type="sibTrans" cxnId="{8A26397E-62E7-4FC6-86CF-D2383648F331}">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C85AED9E-BB25-48B6-BC36-9A96A7803483}">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Catering services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3A6A0C65-D888-499A-9FC7-66966F6FB438}" type="parTrans" cxnId="{47CBB3A3-B2F8-403D-A981-B1931F0A072D}">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FC89B40-4462-45CF-9353-4B7FE033337F}" type="sibTrans" cxnId="{47CBB3A3-B2F8-403D-A981-B1931F0A072D}">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64B84F12-D1B6-4CCA-8B0D-867FB2446614}">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Logistics management</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77A98AA7-E376-41CD-B4B3-3CD9EDB596AD}" type="parTrans" cxnId="{2A8B27E1-E440-49C5-AA32-2D17282220BE}">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77D2D9A0-8434-4AD7-9A41-4630CF475D24}" type="sibTrans" cxnId="{2A8B27E1-E440-49C5-AA32-2D17282220BE}">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BD3237D-6228-4B2B-9F24-9DCE4B83D73F}" type="pres">
      <dgm:prSet presAssocID="{A5603969-D888-4FF2-A955-CC46FE6066A1}" presName="Name0" presStyleCnt="0">
        <dgm:presLayoutVars>
          <dgm:dir/>
          <dgm:animLvl val="lvl"/>
          <dgm:resizeHandles val="exact"/>
        </dgm:presLayoutVars>
      </dgm:prSet>
      <dgm:spPr/>
    </dgm:pt>
    <dgm:pt modelId="{CCB84F7C-48AD-4C04-B7EB-FD568DEC6EFC}" type="pres">
      <dgm:prSet presAssocID="{CCDBB0C5-77C7-48DA-A91C-7C28B78477C5}" presName="boxAndChildren" presStyleCnt="0"/>
      <dgm:spPr/>
    </dgm:pt>
    <dgm:pt modelId="{21B3129C-AE85-4717-9FBF-CA5CB146694D}" type="pres">
      <dgm:prSet presAssocID="{CCDBB0C5-77C7-48DA-A91C-7C28B78477C5}" presName="parentTextBox" presStyleLbl="node1" presStyleIdx="0" presStyleCnt="1"/>
      <dgm:spPr/>
    </dgm:pt>
    <dgm:pt modelId="{1A6EB921-374F-436F-885D-2D5EABFA98C4}" type="pres">
      <dgm:prSet presAssocID="{CCDBB0C5-77C7-48DA-A91C-7C28B78477C5}" presName="entireBox" presStyleLbl="node1" presStyleIdx="0" presStyleCnt="1"/>
      <dgm:spPr/>
    </dgm:pt>
    <dgm:pt modelId="{C96D0188-7E55-4D2D-B358-04EDFEF9F64A}" type="pres">
      <dgm:prSet presAssocID="{CCDBB0C5-77C7-48DA-A91C-7C28B78477C5}" presName="descendantBox" presStyleCnt="0"/>
      <dgm:spPr/>
    </dgm:pt>
    <dgm:pt modelId="{93276E0B-9B29-4B27-A20C-9C869B79C95B}" type="pres">
      <dgm:prSet presAssocID="{97EDA571-25FD-4681-A0BE-9BC17D89B0E9}" presName="childTextBox" presStyleLbl="fgAccFollowNode1" presStyleIdx="0" presStyleCnt="4">
        <dgm:presLayoutVars>
          <dgm:bulletEnabled val="1"/>
        </dgm:presLayoutVars>
      </dgm:prSet>
      <dgm:spPr/>
    </dgm:pt>
    <dgm:pt modelId="{BF145190-AC4B-4CB0-8594-090160F4CC8A}" type="pres">
      <dgm:prSet presAssocID="{64B84F12-D1B6-4CCA-8B0D-867FB2446614}" presName="childTextBox" presStyleLbl="fgAccFollowNode1" presStyleIdx="1" presStyleCnt="4">
        <dgm:presLayoutVars>
          <dgm:bulletEnabled val="1"/>
        </dgm:presLayoutVars>
      </dgm:prSet>
      <dgm:spPr/>
    </dgm:pt>
    <dgm:pt modelId="{461E31A8-5434-4602-BF29-DF136A0D381A}" type="pres">
      <dgm:prSet presAssocID="{C85AED9E-BB25-48B6-BC36-9A96A7803483}" presName="childTextBox" presStyleLbl="fgAccFollowNode1" presStyleIdx="2" presStyleCnt="4">
        <dgm:presLayoutVars>
          <dgm:bulletEnabled val="1"/>
        </dgm:presLayoutVars>
      </dgm:prSet>
      <dgm:spPr/>
    </dgm:pt>
    <dgm:pt modelId="{FE9B0D81-BBD7-4BBE-BF2F-0FF72555C5C5}" type="pres">
      <dgm:prSet presAssocID="{C2BC3969-FF76-484B-84AD-1A368441B706}" presName="childTextBox" presStyleLbl="fgAccFollowNode1" presStyleIdx="3" presStyleCnt="4">
        <dgm:presLayoutVars>
          <dgm:bulletEnabled val="1"/>
        </dgm:presLayoutVars>
      </dgm:prSet>
      <dgm:spPr/>
    </dgm:pt>
  </dgm:ptLst>
  <dgm:cxnLst>
    <dgm:cxn modelId="{B5C30F23-5C45-400D-8307-8D9A09968E32}" type="presOf" srcId="{A5603969-D888-4FF2-A955-CC46FE6066A1}" destId="{9BD3237D-6228-4B2B-9F24-9DCE4B83D73F}" srcOrd="0" destOrd="0" presId="urn:microsoft.com/office/officeart/2005/8/layout/process4"/>
    <dgm:cxn modelId="{83F4702F-451A-4936-8371-F62C78699DA0}" type="presOf" srcId="{CCDBB0C5-77C7-48DA-A91C-7C28B78477C5}" destId="{1A6EB921-374F-436F-885D-2D5EABFA98C4}" srcOrd="1" destOrd="0" presId="urn:microsoft.com/office/officeart/2005/8/layout/process4"/>
    <dgm:cxn modelId="{57863735-2B9E-43CF-A5A5-E5AAF8D1F08C}" type="presOf" srcId="{CCDBB0C5-77C7-48DA-A91C-7C28B78477C5}" destId="{21B3129C-AE85-4717-9FBF-CA5CB146694D}" srcOrd="0" destOrd="0" presId="urn:microsoft.com/office/officeart/2005/8/layout/process4"/>
    <dgm:cxn modelId="{43E15C5D-C069-4CAE-88F9-81003220EC0C}" srcId="{A5603969-D888-4FF2-A955-CC46FE6066A1}" destId="{CCDBB0C5-77C7-48DA-A91C-7C28B78477C5}" srcOrd="0" destOrd="0" parTransId="{6A88CCA4-D1A1-4368-8D6A-41B52FC27A5F}" sibTransId="{5A523FEA-BE18-4DC5-810B-83F398268B7D}"/>
    <dgm:cxn modelId="{C38BE076-0556-4D4F-ABB9-C411A29AE8B6}" type="presOf" srcId="{C2BC3969-FF76-484B-84AD-1A368441B706}" destId="{FE9B0D81-BBD7-4BBE-BF2F-0FF72555C5C5}" srcOrd="0" destOrd="0" presId="urn:microsoft.com/office/officeart/2005/8/layout/process4"/>
    <dgm:cxn modelId="{8A26397E-62E7-4FC6-86CF-D2383648F331}" srcId="{CCDBB0C5-77C7-48DA-A91C-7C28B78477C5}" destId="{C2BC3969-FF76-484B-84AD-1A368441B706}" srcOrd="3" destOrd="0" parTransId="{6CA77FBD-3DE4-49D7-847D-27810585BA9E}" sibTransId="{EED28024-0611-4066-8478-BE63DC4E76F8}"/>
    <dgm:cxn modelId="{07B68680-DEDF-4355-B4D3-2E4FBCC7E649}" type="presOf" srcId="{64B84F12-D1B6-4CCA-8B0D-867FB2446614}" destId="{BF145190-AC4B-4CB0-8594-090160F4CC8A}" srcOrd="0" destOrd="0" presId="urn:microsoft.com/office/officeart/2005/8/layout/process4"/>
    <dgm:cxn modelId="{4EC69185-7FFD-4F5F-8B41-1F1046647898}" srcId="{CCDBB0C5-77C7-48DA-A91C-7C28B78477C5}" destId="{97EDA571-25FD-4681-A0BE-9BC17D89B0E9}" srcOrd="0" destOrd="0" parTransId="{79EE9FB2-C49A-4F59-B755-D4EE16992DD0}" sibTransId="{E4E59BD4-5D75-4577-988E-68A856A73384}"/>
    <dgm:cxn modelId="{AFFFC491-8D5C-4F61-82C4-897C6B2FE576}" type="presOf" srcId="{97EDA571-25FD-4681-A0BE-9BC17D89B0E9}" destId="{93276E0B-9B29-4B27-A20C-9C869B79C95B}" srcOrd="0" destOrd="0" presId="urn:microsoft.com/office/officeart/2005/8/layout/process4"/>
    <dgm:cxn modelId="{47CBB3A3-B2F8-403D-A981-B1931F0A072D}" srcId="{CCDBB0C5-77C7-48DA-A91C-7C28B78477C5}" destId="{C85AED9E-BB25-48B6-BC36-9A96A7803483}" srcOrd="2" destOrd="0" parTransId="{3A6A0C65-D888-499A-9FC7-66966F6FB438}" sibTransId="{9FC89B40-4462-45CF-9353-4B7FE033337F}"/>
    <dgm:cxn modelId="{D2A2B8DC-FF45-4AFD-BA2F-3043C850E99E}" type="presOf" srcId="{C85AED9E-BB25-48B6-BC36-9A96A7803483}" destId="{461E31A8-5434-4602-BF29-DF136A0D381A}" srcOrd="0" destOrd="0" presId="urn:microsoft.com/office/officeart/2005/8/layout/process4"/>
    <dgm:cxn modelId="{2A8B27E1-E440-49C5-AA32-2D17282220BE}" srcId="{CCDBB0C5-77C7-48DA-A91C-7C28B78477C5}" destId="{64B84F12-D1B6-4CCA-8B0D-867FB2446614}" srcOrd="1" destOrd="0" parTransId="{77A98AA7-E376-41CD-B4B3-3CD9EDB596AD}" sibTransId="{77D2D9A0-8434-4AD7-9A41-4630CF475D24}"/>
    <dgm:cxn modelId="{03B3B22C-715F-493A-83C4-F75627674B29}" type="presParOf" srcId="{9BD3237D-6228-4B2B-9F24-9DCE4B83D73F}" destId="{CCB84F7C-48AD-4C04-B7EB-FD568DEC6EFC}" srcOrd="0" destOrd="0" presId="urn:microsoft.com/office/officeart/2005/8/layout/process4"/>
    <dgm:cxn modelId="{0BD31FCD-9C77-4DBE-A2D1-D419D6FED77D}" type="presParOf" srcId="{CCB84F7C-48AD-4C04-B7EB-FD568DEC6EFC}" destId="{21B3129C-AE85-4717-9FBF-CA5CB146694D}" srcOrd="0" destOrd="0" presId="urn:microsoft.com/office/officeart/2005/8/layout/process4"/>
    <dgm:cxn modelId="{C94DC148-DDB1-4740-AE42-35E238000ABE}" type="presParOf" srcId="{CCB84F7C-48AD-4C04-B7EB-FD568DEC6EFC}" destId="{1A6EB921-374F-436F-885D-2D5EABFA98C4}" srcOrd="1" destOrd="0" presId="urn:microsoft.com/office/officeart/2005/8/layout/process4"/>
    <dgm:cxn modelId="{4D80CB23-BCD3-4440-BA54-34EA305B7F11}" type="presParOf" srcId="{CCB84F7C-48AD-4C04-B7EB-FD568DEC6EFC}" destId="{C96D0188-7E55-4D2D-B358-04EDFEF9F64A}" srcOrd="2" destOrd="0" presId="urn:microsoft.com/office/officeart/2005/8/layout/process4"/>
    <dgm:cxn modelId="{408DC288-20A6-4341-BFED-220345210EFE}" type="presParOf" srcId="{C96D0188-7E55-4D2D-B358-04EDFEF9F64A}" destId="{93276E0B-9B29-4B27-A20C-9C869B79C95B}" srcOrd="0" destOrd="0" presId="urn:microsoft.com/office/officeart/2005/8/layout/process4"/>
    <dgm:cxn modelId="{1FCC211A-F8F2-4BC6-ADC1-80B389615ECA}" type="presParOf" srcId="{C96D0188-7E55-4D2D-B358-04EDFEF9F64A}" destId="{BF145190-AC4B-4CB0-8594-090160F4CC8A}" srcOrd="1" destOrd="0" presId="urn:microsoft.com/office/officeart/2005/8/layout/process4"/>
    <dgm:cxn modelId="{51D5C4AA-99F1-4074-B977-55720547155F}" type="presParOf" srcId="{C96D0188-7E55-4D2D-B358-04EDFEF9F64A}" destId="{461E31A8-5434-4602-BF29-DF136A0D381A}" srcOrd="2" destOrd="0" presId="urn:microsoft.com/office/officeart/2005/8/layout/process4"/>
    <dgm:cxn modelId="{14114166-46B4-4A5B-9ED9-5C9F4C4D3B62}" type="presParOf" srcId="{C96D0188-7E55-4D2D-B358-04EDFEF9F64A}" destId="{FE9B0D81-BBD7-4BBE-BF2F-0FF72555C5C5}" srcOrd="3" destOrd="0" presId="urn:microsoft.com/office/officeart/2005/8/layout/process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EA51DB-87CE-4DB4-97A3-5733C07FD401}">
      <dsp:nvSpPr>
        <dsp:cNvPr id="0" name=""/>
        <dsp:cNvSpPr/>
      </dsp:nvSpPr>
      <dsp:spPr>
        <a:xfrm>
          <a:off x="0" y="0"/>
          <a:ext cx="4503229" cy="38061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Initiation Phase</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11148" y="11148"/>
        <a:ext cx="4047979" cy="358323"/>
      </dsp:txXfrm>
    </dsp:sp>
    <dsp:sp modelId="{CFEF4AAF-F518-42D3-9700-FABDE386837E}">
      <dsp:nvSpPr>
        <dsp:cNvPr id="0" name=""/>
        <dsp:cNvSpPr/>
      </dsp:nvSpPr>
      <dsp:spPr>
        <a:xfrm>
          <a:off x="336280" y="433482"/>
          <a:ext cx="4503229" cy="380619"/>
        </a:xfrm>
        <a:prstGeom prst="roundRect">
          <a:avLst>
            <a:gd name="adj" fmla="val 10000"/>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Planning Phase</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347428" y="444630"/>
        <a:ext cx="3897251" cy="358322"/>
      </dsp:txXfrm>
    </dsp:sp>
    <dsp:sp modelId="{398F2CE0-2AF1-4687-A192-0DB5E1CAE384}">
      <dsp:nvSpPr>
        <dsp:cNvPr id="0" name=""/>
        <dsp:cNvSpPr/>
      </dsp:nvSpPr>
      <dsp:spPr>
        <a:xfrm>
          <a:off x="672560" y="866965"/>
          <a:ext cx="4503229" cy="380619"/>
        </a:xfrm>
        <a:prstGeom prst="roundRect">
          <a:avLst>
            <a:gd name="adj" fmla="val 10000"/>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Implementation Phase</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683708" y="878113"/>
        <a:ext cx="3897251" cy="358322"/>
      </dsp:txXfrm>
    </dsp:sp>
    <dsp:sp modelId="{018A044E-EECF-47EF-B2A3-83FB8C311741}">
      <dsp:nvSpPr>
        <dsp:cNvPr id="0" name=""/>
        <dsp:cNvSpPr/>
      </dsp:nvSpPr>
      <dsp:spPr>
        <a:xfrm>
          <a:off x="1008840" y="1300448"/>
          <a:ext cx="4503229" cy="380619"/>
        </a:xfrm>
        <a:prstGeom prst="roundRect">
          <a:avLst>
            <a:gd name="adj" fmla="val 10000"/>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Event Execution Phase</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1019988" y="1311596"/>
        <a:ext cx="3897251" cy="358322"/>
      </dsp:txXfrm>
    </dsp:sp>
    <dsp:sp modelId="{96680F91-9508-4D38-A193-06C765496254}">
      <dsp:nvSpPr>
        <dsp:cNvPr id="0" name=""/>
        <dsp:cNvSpPr/>
      </dsp:nvSpPr>
      <dsp:spPr>
        <a:xfrm>
          <a:off x="1345120" y="1733931"/>
          <a:ext cx="4503229" cy="380619"/>
        </a:xfrm>
        <a:prstGeom prst="roundRect">
          <a:avLst>
            <a:gd name="adj" fmla="val 1000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Post-Event Evaluation Phase</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1356268" y="1745079"/>
        <a:ext cx="3897251" cy="358322"/>
      </dsp:txXfrm>
    </dsp:sp>
    <dsp:sp modelId="{3D35FAB4-1F89-4BFB-BAF7-9E746C98774A}">
      <dsp:nvSpPr>
        <dsp:cNvPr id="0" name=""/>
        <dsp:cNvSpPr/>
      </dsp:nvSpPr>
      <dsp:spPr>
        <a:xfrm>
          <a:off x="4255827" y="278063"/>
          <a:ext cx="247402" cy="247402"/>
        </a:xfrm>
        <a:prstGeom prst="downArrow">
          <a:avLst>
            <a:gd name="adj1" fmla="val 55000"/>
            <a:gd name="adj2" fmla="val 45000"/>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Text" lastClr="000000"/>
            </a:solidFill>
            <a:latin typeface="Times New Roman" panose="02020603050405020304" pitchFamily="18" charset="0"/>
            <a:cs typeface="Times New Roman" panose="02020603050405020304" pitchFamily="18" charset="0"/>
          </a:endParaRPr>
        </a:p>
      </dsp:txBody>
      <dsp:txXfrm>
        <a:off x="4311492" y="278063"/>
        <a:ext cx="136072" cy="186170"/>
      </dsp:txXfrm>
    </dsp:sp>
    <dsp:sp modelId="{4AC549BA-F183-426D-8651-ED7AC9F9C3EC}">
      <dsp:nvSpPr>
        <dsp:cNvPr id="0" name=""/>
        <dsp:cNvSpPr/>
      </dsp:nvSpPr>
      <dsp:spPr>
        <a:xfrm>
          <a:off x="4592107" y="711546"/>
          <a:ext cx="247402" cy="247402"/>
        </a:xfrm>
        <a:prstGeom prst="downArrow">
          <a:avLst>
            <a:gd name="adj1" fmla="val 55000"/>
            <a:gd name="adj2" fmla="val 45000"/>
          </a:avLst>
        </a:prstGeom>
        <a:solidFill>
          <a:schemeClr val="accent3">
            <a:tint val="40000"/>
            <a:alpha val="90000"/>
            <a:hueOff val="676380"/>
            <a:satOff val="33333"/>
            <a:lumOff val="593"/>
            <a:alphaOff val="0"/>
          </a:schemeClr>
        </a:solidFill>
        <a:ln w="12700" cap="flat" cmpd="sng" algn="ctr">
          <a:solidFill>
            <a:schemeClr val="accent3">
              <a:tint val="40000"/>
              <a:alpha val="90000"/>
              <a:hueOff val="676380"/>
              <a:satOff val="33333"/>
              <a:lumOff val="59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Text" lastClr="000000"/>
            </a:solidFill>
            <a:latin typeface="Times New Roman" panose="02020603050405020304" pitchFamily="18" charset="0"/>
            <a:cs typeface="Times New Roman" panose="02020603050405020304" pitchFamily="18" charset="0"/>
          </a:endParaRPr>
        </a:p>
      </dsp:txBody>
      <dsp:txXfrm>
        <a:off x="4647772" y="711546"/>
        <a:ext cx="136072" cy="186170"/>
      </dsp:txXfrm>
    </dsp:sp>
    <dsp:sp modelId="{7BD69E19-C8B0-43FA-9303-6D73CC8D74B2}">
      <dsp:nvSpPr>
        <dsp:cNvPr id="0" name=""/>
        <dsp:cNvSpPr/>
      </dsp:nvSpPr>
      <dsp:spPr>
        <a:xfrm>
          <a:off x="4928387" y="1138685"/>
          <a:ext cx="247402" cy="247402"/>
        </a:xfrm>
        <a:prstGeom prst="downArrow">
          <a:avLst>
            <a:gd name="adj1" fmla="val 55000"/>
            <a:gd name="adj2" fmla="val 45000"/>
          </a:avLst>
        </a:prstGeom>
        <a:solidFill>
          <a:schemeClr val="accent3">
            <a:tint val="40000"/>
            <a:alpha val="90000"/>
            <a:hueOff val="1352761"/>
            <a:satOff val="66667"/>
            <a:lumOff val="1186"/>
            <a:alphaOff val="0"/>
          </a:schemeClr>
        </a:solidFill>
        <a:ln w="12700" cap="flat" cmpd="sng" algn="ctr">
          <a:solidFill>
            <a:schemeClr val="accent3">
              <a:tint val="40000"/>
              <a:alpha val="90000"/>
              <a:hueOff val="1352761"/>
              <a:satOff val="66667"/>
              <a:lumOff val="118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Text" lastClr="000000"/>
            </a:solidFill>
            <a:latin typeface="Times New Roman" panose="02020603050405020304" pitchFamily="18" charset="0"/>
            <a:cs typeface="Times New Roman" panose="02020603050405020304" pitchFamily="18" charset="0"/>
          </a:endParaRPr>
        </a:p>
      </dsp:txBody>
      <dsp:txXfrm>
        <a:off x="4984052" y="1138685"/>
        <a:ext cx="136072" cy="186170"/>
      </dsp:txXfrm>
    </dsp:sp>
    <dsp:sp modelId="{1A3723E8-A40D-42B3-8AFA-68D62FA89CFE}">
      <dsp:nvSpPr>
        <dsp:cNvPr id="0" name=""/>
        <dsp:cNvSpPr/>
      </dsp:nvSpPr>
      <dsp:spPr>
        <a:xfrm>
          <a:off x="5264667" y="1576397"/>
          <a:ext cx="247402" cy="247402"/>
        </a:xfrm>
        <a:prstGeom prst="downArrow">
          <a:avLst>
            <a:gd name="adj1" fmla="val 55000"/>
            <a:gd name="adj2" fmla="val 45000"/>
          </a:avLst>
        </a:prstGeom>
        <a:solidFill>
          <a:schemeClr val="accent3">
            <a:tint val="40000"/>
            <a:alpha val="90000"/>
            <a:hueOff val="2029141"/>
            <a:satOff val="100000"/>
            <a:lumOff val="1779"/>
            <a:alphaOff val="0"/>
          </a:schemeClr>
        </a:solidFill>
        <a:ln w="12700" cap="flat" cmpd="sng" algn="ctr">
          <a:solidFill>
            <a:schemeClr val="accent3">
              <a:tint val="40000"/>
              <a:alpha val="90000"/>
              <a:hueOff val="2029141"/>
              <a:satOff val="100000"/>
              <a:lumOff val="177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Text" lastClr="000000"/>
            </a:solidFill>
            <a:latin typeface="Times New Roman" panose="02020603050405020304" pitchFamily="18" charset="0"/>
            <a:cs typeface="Times New Roman" panose="02020603050405020304" pitchFamily="18" charset="0"/>
          </a:endParaRPr>
        </a:p>
      </dsp:txBody>
      <dsp:txXfrm>
        <a:off x="5320332" y="1576397"/>
        <a:ext cx="136072" cy="1861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6EB921-374F-436F-885D-2D5EABFA98C4}">
      <dsp:nvSpPr>
        <dsp:cNvPr id="0" name=""/>
        <dsp:cNvSpPr/>
      </dsp:nvSpPr>
      <dsp:spPr>
        <a:xfrm>
          <a:off x="0" y="0"/>
          <a:ext cx="5867399" cy="217170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3360" tIns="213360" rIns="213360" bIns="213360" numCol="1" spcCol="1270" anchor="ctr" anchorCtr="0">
          <a:noAutofit/>
        </a:bodyPr>
        <a:lstStyle/>
        <a:p>
          <a:pPr marL="0" lvl="0" indent="0" algn="ctr" defTabSz="1333500">
            <a:lnSpc>
              <a:spcPct val="90000"/>
            </a:lnSpc>
            <a:spcBef>
              <a:spcPct val="0"/>
            </a:spcBef>
            <a:spcAft>
              <a:spcPct val="35000"/>
            </a:spcAft>
            <a:buNone/>
          </a:pPr>
          <a:r>
            <a:rPr lang="en-GB" sz="3000" b="1" kern="1200">
              <a:solidFill>
                <a:sysClr val="windowText" lastClr="000000"/>
              </a:solidFill>
              <a:latin typeface="Times New Roman" panose="02020603050405020304" pitchFamily="18" charset="0"/>
              <a:cs typeface="Times New Roman" panose="02020603050405020304" pitchFamily="18" charset="0"/>
            </a:rPr>
            <a:t>Operational Skills and Resources</a:t>
          </a:r>
          <a:endParaRPr lang="en-GB" sz="3000" kern="1200">
            <a:solidFill>
              <a:sysClr val="windowText" lastClr="000000"/>
            </a:solidFill>
            <a:latin typeface="Times New Roman" panose="02020603050405020304" pitchFamily="18" charset="0"/>
            <a:cs typeface="Times New Roman" panose="02020603050405020304" pitchFamily="18" charset="0"/>
          </a:endParaRPr>
        </a:p>
      </dsp:txBody>
      <dsp:txXfrm>
        <a:off x="0" y="0"/>
        <a:ext cx="5867399" cy="1172718"/>
      </dsp:txXfrm>
    </dsp:sp>
    <dsp:sp modelId="{93276E0B-9B29-4B27-A20C-9C869B79C95B}">
      <dsp:nvSpPr>
        <dsp:cNvPr id="0" name=""/>
        <dsp:cNvSpPr/>
      </dsp:nvSpPr>
      <dsp:spPr>
        <a:xfrm>
          <a:off x="0" y="1129284"/>
          <a:ext cx="1466849" cy="998982"/>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21590" rIns="120904" bIns="2159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Venue selection</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0" y="1129284"/>
        <a:ext cx="1466849" cy="998982"/>
      </dsp:txXfrm>
    </dsp:sp>
    <dsp:sp modelId="{BF145190-AC4B-4CB0-8594-090160F4CC8A}">
      <dsp:nvSpPr>
        <dsp:cNvPr id="0" name=""/>
        <dsp:cNvSpPr/>
      </dsp:nvSpPr>
      <dsp:spPr>
        <a:xfrm>
          <a:off x="1466850" y="1129284"/>
          <a:ext cx="1466849" cy="998982"/>
        </a:xfrm>
        <a:prstGeom prst="rect">
          <a:avLst/>
        </a:prstGeom>
        <a:solidFill>
          <a:schemeClr val="accent5">
            <a:tint val="40000"/>
            <a:alpha val="90000"/>
            <a:hueOff val="-2246587"/>
            <a:satOff val="-7611"/>
            <a:lumOff val="-976"/>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21590" rIns="120904" bIns="2159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Logistics management</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1466850" y="1129284"/>
        <a:ext cx="1466849" cy="998982"/>
      </dsp:txXfrm>
    </dsp:sp>
    <dsp:sp modelId="{461E31A8-5434-4602-BF29-DF136A0D381A}">
      <dsp:nvSpPr>
        <dsp:cNvPr id="0" name=""/>
        <dsp:cNvSpPr/>
      </dsp:nvSpPr>
      <dsp:spPr>
        <a:xfrm>
          <a:off x="2933700" y="1129284"/>
          <a:ext cx="1466849" cy="998982"/>
        </a:xfrm>
        <a:prstGeom prst="rect">
          <a:avLst/>
        </a:prstGeom>
        <a:solidFill>
          <a:schemeClr val="accent5">
            <a:tint val="40000"/>
            <a:alpha val="90000"/>
            <a:hueOff val="-4493175"/>
            <a:satOff val="-15221"/>
            <a:lumOff val="-1952"/>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21590" rIns="120904" bIns="2159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Catering services</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2933700" y="1129284"/>
        <a:ext cx="1466849" cy="998982"/>
      </dsp:txXfrm>
    </dsp:sp>
    <dsp:sp modelId="{FE9B0D81-BBD7-4BBE-BF2F-0FF72555C5C5}">
      <dsp:nvSpPr>
        <dsp:cNvPr id="0" name=""/>
        <dsp:cNvSpPr/>
      </dsp:nvSpPr>
      <dsp:spPr>
        <a:xfrm>
          <a:off x="4400549" y="1129284"/>
          <a:ext cx="1466849" cy="998982"/>
        </a:xfrm>
        <a:prstGeom prst="rect">
          <a:avLst/>
        </a:prstGeom>
        <a:solidFill>
          <a:schemeClr val="accent5">
            <a:tint val="40000"/>
            <a:alpha val="90000"/>
            <a:hueOff val="-6739762"/>
            <a:satOff val="-22832"/>
            <a:lumOff val="-2928"/>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21590" rIns="120904" bIns="2159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Text" lastClr="000000"/>
              </a:solidFill>
              <a:latin typeface="Times New Roman" panose="02020603050405020304" pitchFamily="18" charset="0"/>
              <a:cs typeface="Times New Roman" panose="02020603050405020304" pitchFamily="18" charset="0"/>
            </a:rPr>
            <a:t>Security personnel</a:t>
          </a:r>
          <a:endParaRPr lang="en-GB" sz="1700" kern="1200">
            <a:solidFill>
              <a:sysClr val="windowText" lastClr="000000"/>
            </a:solidFill>
            <a:latin typeface="Times New Roman" panose="02020603050405020304" pitchFamily="18" charset="0"/>
            <a:cs typeface="Times New Roman" panose="02020603050405020304" pitchFamily="18" charset="0"/>
          </a:endParaRPr>
        </a:p>
      </dsp:txBody>
      <dsp:txXfrm>
        <a:off x="4400549" y="1129284"/>
        <a:ext cx="1466849" cy="998982"/>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23</Pages>
  <Words>4790</Words>
  <Characters>27308</Characters>
  <DocSecurity>0</DocSecurity>
  <Lines>227</Lines>
  <Paragraphs>64</Paragraphs>
  <ScaleCrop>false</ScaleCrop>
  <Company/>
  <LinksUpToDate>false</LinksUpToDate>
  <CharactersWithSpaces>32034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8</cp:revision>
  <dcterms:created xsi:type="dcterms:W3CDTF">2025-02-07T16:29:00Z</dcterms:created>
  <dcterms:modified xsi:type="dcterms:W3CDTF">2025-02-28T14:55:00Z</dcterms:modified>
</cp:coreProperties>
</file>