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5BF5C" w14:textId="70273F50" w:rsidR="00204067" w:rsidRDefault="00204067" w:rsidP="00204067">
      <w:pPr>
        <w:pStyle w:val="BodyText"/>
        <w:ind w:left="244"/>
        <w:rPr>
          <w:rFonts w:ascii="Times New Roman"/>
          <w:sz w:val="20"/>
        </w:rPr>
      </w:pPr>
      <w:r>
        <w:rPr>
          <w:rFonts w:ascii="Times New Roman"/>
          <w:noProof/>
          <w:sz w:val="20"/>
        </w:rPr>
        <w:drawing>
          <wp:inline distT="0" distB="0" distL="0" distR="0" wp14:anchorId="5E3F266B" wp14:editId="23C92065">
            <wp:extent cx="1819852" cy="594074"/>
            <wp:effectExtent l="0" t="0" r="0" b="0"/>
            <wp:docPr id="2" name="Imag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background with white text&#10;&#10;AI-generated content may be incorrect."/>
                    <pic:cNvPicPr/>
                  </pic:nvPicPr>
                  <pic:blipFill>
                    <a:blip r:embed="rId8" cstate="print"/>
                    <a:stretch>
                      <a:fillRect/>
                    </a:stretch>
                  </pic:blipFill>
                  <pic:spPr>
                    <a:xfrm>
                      <a:off x="0" y="0"/>
                      <a:ext cx="1819852" cy="594074"/>
                    </a:xfrm>
                    <a:prstGeom prst="rect">
                      <a:avLst/>
                    </a:prstGeom>
                  </pic:spPr>
                </pic:pic>
              </a:graphicData>
            </a:graphic>
          </wp:inline>
        </w:drawing>
      </w:r>
      <w:r w:rsidR="00D64C77" w:rsidRPr="00D64C77">
        <w:rPr>
          <w:rFonts w:ascii="Times New Roman"/>
          <w:sz w:val="20"/>
        </w:rPr>
        <w:fldChar w:fldCharType="begin"/>
      </w:r>
      <w:r w:rsidR="00D64C77" w:rsidRPr="00D64C77">
        <w:rPr>
          <w:rFonts w:ascii="Times New Roman"/>
          <w:sz w:val="20"/>
        </w:rPr>
        <w:instrText xml:space="preserve"> PAGE   \* MERGEFORMAT </w:instrText>
      </w:r>
      <w:r w:rsidR="00D64C77" w:rsidRPr="00D64C77">
        <w:rPr>
          <w:rFonts w:ascii="Times New Roman"/>
          <w:sz w:val="20"/>
        </w:rPr>
        <w:fldChar w:fldCharType="separate"/>
      </w:r>
      <w:r w:rsidR="00D64C77" w:rsidRPr="00D64C77">
        <w:rPr>
          <w:rFonts w:ascii="Times New Roman"/>
          <w:b/>
          <w:bCs/>
          <w:noProof/>
          <w:sz w:val="20"/>
        </w:rPr>
        <w:t>1</w:t>
      </w:r>
      <w:r w:rsidR="00D64C77" w:rsidRPr="00D64C77">
        <w:rPr>
          <w:rFonts w:ascii="Times New Roman"/>
          <w:b/>
          <w:bCs/>
          <w:noProof/>
          <w:sz w:val="20"/>
        </w:rPr>
        <w:fldChar w:fldCharType="end"/>
      </w:r>
      <w:r w:rsidR="00D64C77" w:rsidRPr="00D64C77">
        <w:rPr>
          <w:rFonts w:ascii="Times New Roman"/>
          <w:b/>
          <w:bCs/>
          <w:sz w:val="20"/>
        </w:rPr>
        <w:t xml:space="preserve"> </w:t>
      </w:r>
      <w:r w:rsidR="00D64C77" w:rsidRPr="00D64C77">
        <w:rPr>
          <w:rFonts w:ascii="Times New Roman"/>
          <w:sz w:val="20"/>
        </w:rPr>
        <w:t>|</w:t>
      </w:r>
      <w:r w:rsidR="00D64C77" w:rsidRPr="00D64C77">
        <w:rPr>
          <w:rFonts w:ascii="Times New Roman"/>
          <w:b/>
          <w:bCs/>
          <w:sz w:val="20"/>
        </w:rPr>
        <w:t xml:space="preserve"> </w:t>
      </w:r>
      <w:r w:rsidR="00D64C77" w:rsidRPr="00D64C77">
        <w:rPr>
          <w:rFonts w:ascii="Times New Roman"/>
          <w:color w:val="7F7F7F" w:themeColor="background1" w:themeShade="7F"/>
          <w:spacing w:val="60"/>
          <w:sz w:val="20"/>
        </w:rPr>
        <w:t>Page</w:t>
      </w:r>
    </w:p>
    <w:p w14:paraId="481B0AE8" w14:textId="77777777" w:rsidR="00204067" w:rsidRDefault="00204067" w:rsidP="00204067">
      <w:pPr>
        <w:pStyle w:val="BodyText"/>
        <w:spacing w:before="150"/>
        <w:rPr>
          <w:rFonts w:ascii="Times New Roman"/>
          <w:sz w:val="28"/>
        </w:rPr>
      </w:pPr>
    </w:p>
    <w:p w14:paraId="507E41FE" w14:textId="77777777" w:rsidR="00204067" w:rsidRDefault="00204067" w:rsidP="00204067">
      <w:pPr>
        <w:ind w:right="367"/>
        <w:rPr>
          <w:b/>
          <w:sz w:val="28"/>
        </w:rPr>
      </w:pPr>
      <w:r>
        <w:rPr>
          <w:b/>
          <w:sz w:val="28"/>
        </w:rPr>
        <w:t>APPENDIX</w:t>
      </w:r>
      <w:r>
        <w:rPr>
          <w:b/>
          <w:spacing w:val="-8"/>
          <w:sz w:val="28"/>
        </w:rPr>
        <w:t xml:space="preserve"> </w:t>
      </w:r>
      <w:r>
        <w:rPr>
          <w:b/>
          <w:spacing w:val="-4"/>
          <w:sz w:val="28"/>
        </w:rPr>
        <w:t>GA36a</w:t>
      </w:r>
    </w:p>
    <w:p w14:paraId="16B693B4" w14:textId="77777777" w:rsidR="00204067" w:rsidRDefault="00204067" w:rsidP="00204067">
      <w:pPr>
        <w:pStyle w:val="BodyText"/>
        <w:spacing w:before="68"/>
        <w:rPr>
          <w:b/>
          <w:sz w:val="20"/>
        </w:rPr>
      </w:pPr>
    </w:p>
    <w:tbl>
      <w:tblPr>
        <w:tblW w:w="10065"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7"/>
        <w:gridCol w:w="3404"/>
        <w:gridCol w:w="2263"/>
        <w:gridCol w:w="145"/>
        <w:gridCol w:w="2126"/>
      </w:tblGrid>
      <w:tr w:rsidR="00DF551A" w14:paraId="2DD5E693" w14:textId="77777777" w:rsidTr="00DF551A">
        <w:trPr>
          <w:trHeight w:val="647"/>
        </w:trPr>
        <w:tc>
          <w:tcPr>
            <w:tcW w:w="10065" w:type="dxa"/>
            <w:gridSpan w:val="5"/>
            <w:shd w:val="clear" w:color="auto" w:fill="C0C0C0"/>
          </w:tcPr>
          <w:p w14:paraId="3C9150CF" w14:textId="05E50974" w:rsidR="00DF551A" w:rsidRDefault="00DF551A" w:rsidP="007777EF">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DF551A" w14:paraId="755ACB13" w14:textId="77777777" w:rsidTr="00DF551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25"/>
        </w:trPr>
        <w:tc>
          <w:tcPr>
            <w:tcW w:w="2127" w:type="dxa"/>
            <w:tcBorders>
              <w:top w:val="single" w:sz="4" w:space="0" w:color="auto"/>
              <w:left w:val="single" w:sz="4" w:space="0" w:color="auto"/>
              <w:bottom w:val="single" w:sz="4" w:space="0" w:color="auto"/>
              <w:right w:val="single" w:sz="4" w:space="0" w:color="auto"/>
            </w:tcBorders>
            <w:hideMark/>
          </w:tcPr>
          <w:p w14:paraId="0DF31264" w14:textId="77777777" w:rsidR="00DF551A" w:rsidRDefault="00DF551A">
            <w:pPr>
              <w:spacing w:before="120" w:after="120"/>
              <w:jc w:val="both"/>
              <w:rPr>
                <w:rFonts w:eastAsia="Times New Roman"/>
                <w:b/>
                <w:lang w:val="en-GB"/>
              </w:rPr>
            </w:pPr>
            <w:r>
              <w:rPr>
                <w:b/>
              </w:rPr>
              <w:t>Student name:</w:t>
            </w:r>
          </w:p>
        </w:tc>
        <w:tc>
          <w:tcPr>
            <w:tcW w:w="3404" w:type="dxa"/>
            <w:tcBorders>
              <w:top w:val="single" w:sz="4" w:space="0" w:color="auto"/>
              <w:left w:val="single" w:sz="4" w:space="0" w:color="auto"/>
              <w:bottom w:val="single" w:sz="4" w:space="0" w:color="auto"/>
              <w:right w:val="single" w:sz="4" w:space="0" w:color="auto"/>
            </w:tcBorders>
            <w:hideMark/>
          </w:tcPr>
          <w:p w14:paraId="411550E2" w14:textId="1698B3D5" w:rsidR="00DF551A" w:rsidRDefault="00DF551A">
            <w:pPr>
              <w:spacing w:before="120" w:after="120"/>
              <w:jc w:val="both"/>
              <w:rPr>
                <w:b/>
              </w:rPr>
            </w:pPr>
            <w:r>
              <w:rPr>
                <w:b/>
              </w:rPr>
              <w:t>Kristina Masih</w:t>
            </w:r>
          </w:p>
        </w:tc>
        <w:tc>
          <w:tcPr>
            <w:tcW w:w="240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9CCBDAC" w14:textId="77777777" w:rsidR="00DF551A" w:rsidRDefault="00DF551A">
            <w:pPr>
              <w:spacing w:before="120" w:after="120"/>
              <w:jc w:val="both"/>
              <w:rPr>
                <w:b/>
              </w:rPr>
            </w:pPr>
            <w:r>
              <w:rPr>
                <w:b/>
              </w:rPr>
              <w:t>Student ID number:</w:t>
            </w:r>
          </w:p>
        </w:tc>
        <w:tc>
          <w:tcPr>
            <w:tcW w:w="2126" w:type="dxa"/>
            <w:tcBorders>
              <w:top w:val="single" w:sz="4" w:space="0" w:color="auto"/>
              <w:left w:val="single" w:sz="4" w:space="0" w:color="auto"/>
              <w:bottom w:val="single" w:sz="4" w:space="0" w:color="auto"/>
              <w:right w:val="single" w:sz="4" w:space="0" w:color="auto"/>
            </w:tcBorders>
          </w:tcPr>
          <w:p w14:paraId="6E956BF0" w14:textId="61BD3950" w:rsidR="00DF551A" w:rsidRDefault="00DF551A">
            <w:pPr>
              <w:spacing w:before="120" w:after="120"/>
              <w:jc w:val="both"/>
              <w:rPr>
                <w:b/>
              </w:rPr>
            </w:pPr>
            <w:r>
              <w:rPr>
                <w:b/>
              </w:rPr>
              <w:t>2419848</w:t>
            </w:r>
          </w:p>
        </w:tc>
      </w:tr>
      <w:tr w:rsidR="00204067" w14:paraId="13A8A907" w14:textId="77777777" w:rsidTr="00DF551A">
        <w:trPr>
          <w:trHeight w:val="544"/>
        </w:trPr>
        <w:tc>
          <w:tcPr>
            <w:tcW w:w="2127" w:type="dxa"/>
          </w:tcPr>
          <w:p w14:paraId="4448294E" w14:textId="77777777" w:rsidR="00204067" w:rsidRDefault="00204067" w:rsidP="007777EF">
            <w:pPr>
              <w:pStyle w:val="TableParagraph"/>
              <w:spacing w:before="144"/>
              <w:ind w:left="117"/>
              <w:rPr>
                <w:b/>
              </w:rPr>
            </w:pPr>
            <w:proofErr w:type="spellStart"/>
            <w:r>
              <w:rPr>
                <w:b/>
                <w:spacing w:val="-2"/>
              </w:rPr>
              <w:t>Programme</w:t>
            </w:r>
            <w:proofErr w:type="spellEnd"/>
            <w:r>
              <w:rPr>
                <w:b/>
                <w:spacing w:val="-2"/>
              </w:rPr>
              <w:t>:</w:t>
            </w:r>
          </w:p>
        </w:tc>
        <w:tc>
          <w:tcPr>
            <w:tcW w:w="7938" w:type="dxa"/>
            <w:gridSpan w:val="4"/>
          </w:tcPr>
          <w:p w14:paraId="1F657E3D" w14:textId="77777777" w:rsidR="00204067" w:rsidRDefault="00204067" w:rsidP="007777EF">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204067" w14:paraId="7A48469A" w14:textId="77777777" w:rsidTr="00DF551A">
        <w:trPr>
          <w:trHeight w:val="539"/>
        </w:trPr>
        <w:tc>
          <w:tcPr>
            <w:tcW w:w="2127" w:type="dxa"/>
          </w:tcPr>
          <w:p w14:paraId="4869343B" w14:textId="77777777" w:rsidR="00204067" w:rsidRDefault="00204067" w:rsidP="007777EF">
            <w:pPr>
              <w:pStyle w:val="TableParagraph"/>
              <w:spacing w:before="139"/>
              <w:ind w:left="117"/>
              <w:rPr>
                <w:b/>
              </w:rPr>
            </w:pPr>
            <w:r>
              <w:rPr>
                <w:b/>
                <w:spacing w:val="-2"/>
              </w:rPr>
              <w:t>Module:</w:t>
            </w:r>
          </w:p>
        </w:tc>
        <w:tc>
          <w:tcPr>
            <w:tcW w:w="7938" w:type="dxa"/>
            <w:gridSpan w:val="4"/>
          </w:tcPr>
          <w:p w14:paraId="0705883D" w14:textId="71120945" w:rsidR="00204067" w:rsidRDefault="00204067" w:rsidP="007777EF">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r w:rsidR="00C51D66">
              <w:rPr>
                <w:b/>
                <w:spacing w:val="-4"/>
              </w:rPr>
              <w:t xml:space="preserve"> </w:t>
            </w:r>
          </w:p>
        </w:tc>
      </w:tr>
      <w:tr w:rsidR="00204067" w14:paraId="017234D9" w14:textId="77777777" w:rsidTr="00DF551A">
        <w:trPr>
          <w:trHeight w:val="854"/>
        </w:trPr>
        <w:tc>
          <w:tcPr>
            <w:tcW w:w="2127" w:type="dxa"/>
          </w:tcPr>
          <w:p w14:paraId="41C975DC" w14:textId="77777777" w:rsidR="00204067" w:rsidRDefault="00204067" w:rsidP="007777EF">
            <w:pPr>
              <w:pStyle w:val="TableParagraph"/>
              <w:spacing w:before="15"/>
              <w:ind w:left="117"/>
              <w:rPr>
                <w:b/>
              </w:rPr>
            </w:pPr>
            <w:r>
              <w:rPr>
                <w:b/>
              </w:rPr>
              <w:t>Module</w:t>
            </w:r>
            <w:r>
              <w:rPr>
                <w:b/>
                <w:spacing w:val="-8"/>
              </w:rPr>
              <w:t xml:space="preserve"> </w:t>
            </w:r>
            <w:r>
              <w:rPr>
                <w:b/>
                <w:spacing w:val="-2"/>
              </w:rPr>
              <w:t>code:</w:t>
            </w:r>
          </w:p>
        </w:tc>
        <w:tc>
          <w:tcPr>
            <w:tcW w:w="3404" w:type="dxa"/>
          </w:tcPr>
          <w:p w14:paraId="68BB52C2" w14:textId="77777777" w:rsidR="00204067" w:rsidRDefault="00204067" w:rsidP="007777EF">
            <w:pPr>
              <w:pStyle w:val="TableParagraph"/>
              <w:spacing w:before="15"/>
              <w:ind w:left="117"/>
              <w:rPr>
                <w:b/>
              </w:rPr>
            </w:pPr>
            <w:r>
              <w:rPr>
                <w:b/>
                <w:spacing w:val="-2"/>
              </w:rPr>
              <w:t>LCHS4010</w:t>
            </w:r>
          </w:p>
        </w:tc>
        <w:tc>
          <w:tcPr>
            <w:tcW w:w="2263" w:type="dxa"/>
            <w:shd w:val="clear" w:color="auto" w:fill="D9D9D9" w:themeFill="background1" w:themeFillShade="D9"/>
          </w:tcPr>
          <w:p w14:paraId="7562D482" w14:textId="77777777" w:rsidR="00204067" w:rsidRDefault="00204067" w:rsidP="007777EF">
            <w:pPr>
              <w:pStyle w:val="TableParagraph"/>
              <w:tabs>
                <w:tab w:val="left" w:pos="2049"/>
              </w:tabs>
              <w:spacing w:before="15"/>
              <w:ind w:left="117" w:right="-15" w:hanging="113"/>
              <w:rPr>
                <w:b/>
                <w:bCs/>
              </w:rPr>
            </w:pPr>
            <w:r w:rsidRPr="6F47122B">
              <w:rPr>
                <w:b/>
                <w:bCs/>
                <w:spacing w:val="-2"/>
              </w:rPr>
              <w:t xml:space="preserve">Contribution </w:t>
            </w:r>
            <w:r w:rsidRPr="6F47122B">
              <w:rPr>
                <w:b/>
                <w:bCs/>
                <w:spacing w:val="-5"/>
              </w:rPr>
              <w:t>to</w:t>
            </w:r>
          </w:p>
          <w:p w14:paraId="6B7F7EFA" w14:textId="77777777" w:rsidR="00204067" w:rsidRDefault="00204067" w:rsidP="007777EF">
            <w:pPr>
              <w:pStyle w:val="TableParagraph"/>
              <w:tabs>
                <w:tab w:val="left" w:pos="1489"/>
              </w:tabs>
              <w:spacing w:before="10" w:line="270" w:lineRule="atLeast"/>
              <w:ind w:left="117" w:right="-15"/>
              <w:rPr>
                <w:b/>
                <w:bCs/>
              </w:rPr>
            </w:pPr>
            <w:r w:rsidRPr="6F47122B">
              <w:rPr>
                <w:b/>
                <w:bCs/>
                <w:spacing w:val="-2"/>
              </w:rPr>
              <w:t xml:space="preserve">Overall Module </w:t>
            </w:r>
            <w:r w:rsidRPr="6F47122B">
              <w:rPr>
                <w:b/>
                <w:bCs/>
              </w:rPr>
              <w:t>Assessment (%):</w:t>
            </w:r>
          </w:p>
        </w:tc>
        <w:tc>
          <w:tcPr>
            <w:tcW w:w="2271" w:type="dxa"/>
            <w:gridSpan w:val="2"/>
          </w:tcPr>
          <w:p w14:paraId="1537317D" w14:textId="77777777" w:rsidR="00204067" w:rsidRDefault="00204067" w:rsidP="007777EF">
            <w:pPr>
              <w:pStyle w:val="TableParagraph"/>
              <w:spacing w:before="15"/>
              <w:ind w:left="124"/>
              <w:rPr>
                <w:b/>
              </w:rPr>
            </w:pPr>
            <w:r>
              <w:rPr>
                <w:b/>
                <w:spacing w:val="-5"/>
              </w:rPr>
              <w:t>50%</w:t>
            </w:r>
          </w:p>
        </w:tc>
      </w:tr>
      <w:tr w:rsidR="00204067" w14:paraId="02DCFEE3" w14:textId="77777777" w:rsidTr="00DF551A">
        <w:trPr>
          <w:trHeight w:val="1233"/>
        </w:trPr>
        <w:tc>
          <w:tcPr>
            <w:tcW w:w="2127" w:type="dxa"/>
          </w:tcPr>
          <w:p w14:paraId="1562114C" w14:textId="77777777" w:rsidR="00204067" w:rsidRDefault="00204067" w:rsidP="007777EF">
            <w:pPr>
              <w:pStyle w:val="TableParagraph"/>
              <w:spacing w:before="140"/>
              <w:rPr>
                <w:b/>
              </w:rPr>
            </w:pPr>
          </w:p>
          <w:p w14:paraId="6E3E4761" w14:textId="77777777" w:rsidR="00204067" w:rsidRDefault="00204067" w:rsidP="007777EF">
            <w:pPr>
              <w:pStyle w:val="TableParagraph"/>
              <w:ind w:left="177"/>
              <w:rPr>
                <w:b/>
              </w:rPr>
            </w:pPr>
            <w:r>
              <w:rPr>
                <w:b/>
              </w:rPr>
              <w:t>Module</w:t>
            </w:r>
            <w:r>
              <w:rPr>
                <w:b/>
                <w:spacing w:val="-6"/>
              </w:rPr>
              <w:t xml:space="preserve"> </w:t>
            </w:r>
            <w:r>
              <w:rPr>
                <w:b/>
                <w:spacing w:val="-2"/>
              </w:rPr>
              <w:t>lead:</w:t>
            </w:r>
          </w:p>
        </w:tc>
        <w:tc>
          <w:tcPr>
            <w:tcW w:w="3404" w:type="dxa"/>
          </w:tcPr>
          <w:p w14:paraId="66455779" w14:textId="77777777" w:rsidR="00204067" w:rsidRPr="00994B74" w:rsidRDefault="00204067" w:rsidP="007777EF">
            <w:pPr>
              <w:pStyle w:val="TableParagraph"/>
              <w:spacing w:before="240"/>
              <w:rPr>
                <w:b/>
                <w:bCs/>
              </w:rPr>
            </w:pPr>
            <w:r>
              <w:rPr>
                <w:b/>
                <w:bCs/>
              </w:rPr>
              <w:t xml:space="preserve"> Neale Haddon (Module lead)</w:t>
            </w:r>
          </w:p>
        </w:tc>
        <w:tc>
          <w:tcPr>
            <w:tcW w:w="2263" w:type="dxa"/>
            <w:shd w:val="clear" w:color="auto" w:fill="D9D9D9" w:themeFill="background1" w:themeFillShade="D9"/>
          </w:tcPr>
          <w:p w14:paraId="0D39AF87" w14:textId="77777777" w:rsidR="00204067" w:rsidRDefault="00204067" w:rsidP="007777EF">
            <w:pPr>
              <w:pStyle w:val="TableParagraph"/>
              <w:spacing w:before="140"/>
              <w:rPr>
                <w:b/>
              </w:rPr>
            </w:pPr>
          </w:p>
          <w:p w14:paraId="790F771A" w14:textId="77777777" w:rsidR="00204067" w:rsidRDefault="00204067" w:rsidP="007777EF">
            <w:pPr>
              <w:pStyle w:val="TableParagraph"/>
              <w:ind w:left="117"/>
              <w:rPr>
                <w:b/>
              </w:rPr>
            </w:pPr>
            <w:r>
              <w:rPr>
                <w:b/>
              </w:rPr>
              <w:t>Internal</w:t>
            </w:r>
            <w:r>
              <w:rPr>
                <w:b/>
                <w:spacing w:val="-8"/>
              </w:rPr>
              <w:t xml:space="preserve"> </w:t>
            </w:r>
            <w:r>
              <w:rPr>
                <w:b/>
                <w:spacing w:val="-2"/>
              </w:rPr>
              <w:t>Verifier:</w:t>
            </w:r>
          </w:p>
        </w:tc>
        <w:tc>
          <w:tcPr>
            <w:tcW w:w="2271" w:type="dxa"/>
            <w:gridSpan w:val="2"/>
          </w:tcPr>
          <w:p w14:paraId="61590EF6" w14:textId="77777777" w:rsidR="00204067" w:rsidRDefault="00204067" w:rsidP="007777EF">
            <w:pPr>
              <w:pStyle w:val="TableParagraph"/>
              <w:rPr>
                <w:b/>
              </w:rPr>
            </w:pPr>
          </w:p>
          <w:p w14:paraId="309FF093" w14:textId="77777777" w:rsidR="00204067" w:rsidRDefault="00204067" w:rsidP="007777EF">
            <w:pPr>
              <w:pStyle w:val="TableParagraph"/>
              <w:rPr>
                <w:b/>
              </w:rPr>
            </w:pPr>
            <w:r>
              <w:rPr>
                <w:b/>
              </w:rPr>
              <w:t xml:space="preserve"> Dr Besty Jose</w:t>
            </w:r>
          </w:p>
        </w:tc>
      </w:tr>
      <w:tr w:rsidR="00204067" w14:paraId="35ABD1A6" w14:textId="77777777" w:rsidTr="00DF551A">
        <w:trPr>
          <w:trHeight w:val="1336"/>
        </w:trPr>
        <w:tc>
          <w:tcPr>
            <w:tcW w:w="2127" w:type="dxa"/>
          </w:tcPr>
          <w:p w14:paraId="732B08E1" w14:textId="77777777" w:rsidR="00204067" w:rsidRDefault="00204067" w:rsidP="007777EF">
            <w:pPr>
              <w:pStyle w:val="TableParagraph"/>
              <w:spacing w:before="14"/>
              <w:ind w:left="117"/>
              <w:rPr>
                <w:b/>
              </w:rPr>
            </w:pPr>
            <w:r>
              <w:rPr>
                <w:b/>
              </w:rPr>
              <w:t>Assignment</w:t>
            </w:r>
            <w:r>
              <w:rPr>
                <w:b/>
                <w:spacing w:val="-10"/>
              </w:rPr>
              <w:t xml:space="preserve"> </w:t>
            </w:r>
            <w:r>
              <w:rPr>
                <w:b/>
                <w:spacing w:val="-2"/>
              </w:rPr>
              <w:t>Title:</w:t>
            </w:r>
          </w:p>
        </w:tc>
        <w:tc>
          <w:tcPr>
            <w:tcW w:w="3404" w:type="dxa"/>
          </w:tcPr>
          <w:p w14:paraId="55008558" w14:textId="77777777" w:rsidR="00204067" w:rsidRDefault="00204067" w:rsidP="007777EF">
            <w:pPr>
              <w:pStyle w:val="TableParagraph"/>
              <w:spacing w:before="139"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Pr>
                <w:b/>
                <w:spacing w:val="-1"/>
              </w:rPr>
              <w:t xml:space="preserve"> </w:t>
            </w:r>
            <w:r w:rsidRPr="00F921E6">
              <w:rPr>
                <w:b/>
                <w:spacing w:val="-1"/>
              </w:rPr>
              <w:t>(</w:t>
            </w:r>
            <w:r>
              <w:rPr>
                <w:b/>
                <w:spacing w:val="-1"/>
              </w:rPr>
              <w:t xml:space="preserve">To be submitted in a </w:t>
            </w:r>
            <w:r w:rsidRPr="00F921E6">
              <w:rPr>
                <w:b/>
              </w:rPr>
              <w:t>Word</w:t>
            </w:r>
            <w:r>
              <w:rPr>
                <w:b/>
              </w:rPr>
              <w:t xml:space="preserve"> </w:t>
            </w:r>
            <w:r w:rsidRPr="00F921E6">
              <w:rPr>
                <w:b/>
              </w:rPr>
              <w:t>document)</w:t>
            </w:r>
          </w:p>
        </w:tc>
        <w:tc>
          <w:tcPr>
            <w:tcW w:w="2263" w:type="dxa"/>
          </w:tcPr>
          <w:p w14:paraId="10085737" w14:textId="77777777" w:rsidR="00204067" w:rsidRDefault="00204067" w:rsidP="007777EF">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71" w:type="dxa"/>
            <w:gridSpan w:val="2"/>
          </w:tcPr>
          <w:p w14:paraId="2B068F15" w14:textId="77777777" w:rsidR="00204067" w:rsidRDefault="00204067" w:rsidP="007777EF">
            <w:pPr>
              <w:pStyle w:val="TableParagraph"/>
              <w:spacing w:before="14" w:line="259" w:lineRule="auto"/>
              <w:ind w:left="124" w:right="39"/>
              <w:rPr>
                <w:b/>
              </w:rPr>
            </w:pPr>
            <w:r>
              <w:rPr>
                <w:b/>
              </w:rPr>
              <w:t>1500 words</w:t>
            </w:r>
          </w:p>
        </w:tc>
      </w:tr>
      <w:tr w:rsidR="00204067" w14:paraId="7E034617" w14:textId="77777777" w:rsidTr="00DF551A">
        <w:trPr>
          <w:trHeight w:val="252"/>
        </w:trPr>
        <w:tc>
          <w:tcPr>
            <w:tcW w:w="2127" w:type="dxa"/>
            <w:tcBorders>
              <w:bottom w:val="nil"/>
            </w:tcBorders>
          </w:tcPr>
          <w:p w14:paraId="1B96AFEA" w14:textId="77777777" w:rsidR="00204067" w:rsidRDefault="00204067" w:rsidP="007777EF">
            <w:pPr>
              <w:pStyle w:val="TableParagraph"/>
              <w:spacing w:before="16" w:line="245" w:lineRule="exact"/>
              <w:ind w:left="117"/>
              <w:rPr>
                <w:b/>
              </w:rPr>
            </w:pPr>
            <w:r>
              <w:rPr>
                <w:b/>
                <w:spacing w:val="-2"/>
              </w:rPr>
              <w:t>Submission</w:t>
            </w:r>
          </w:p>
        </w:tc>
        <w:tc>
          <w:tcPr>
            <w:tcW w:w="3404" w:type="dxa"/>
            <w:tcBorders>
              <w:bottom w:val="nil"/>
            </w:tcBorders>
          </w:tcPr>
          <w:p w14:paraId="7EE758FB" w14:textId="77777777" w:rsidR="00204067" w:rsidRPr="00164C2F" w:rsidRDefault="00204067" w:rsidP="007777EF">
            <w:pPr>
              <w:rPr>
                <w:rFonts w:eastAsia="Times New Roman"/>
                <w:b/>
                <w:bCs/>
                <w:color w:val="FF0000"/>
              </w:rPr>
            </w:pPr>
            <w:r>
              <w:rPr>
                <w:b/>
                <w:bCs/>
                <w:color w:val="FF0000"/>
              </w:rPr>
              <w:t xml:space="preserve">Submitted to Turnitin by </w:t>
            </w:r>
            <w:r w:rsidRPr="00164C2F">
              <w:rPr>
                <w:b/>
                <w:bCs/>
                <w:color w:val="FF0000"/>
              </w:rPr>
              <w:t>Tuesday</w:t>
            </w:r>
            <w:r>
              <w:rPr>
                <w:b/>
                <w:bCs/>
                <w:color w:val="FF0000"/>
              </w:rPr>
              <w:t>,</w:t>
            </w:r>
            <w:r w:rsidRPr="00164C2F">
              <w:rPr>
                <w:b/>
                <w:bCs/>
                <w:color w:val="FF0000"/>
              </w:rPr>
              <w:t xml:space="preserve"> 18th November 2025</w:t>
            </w:r>
            <w:r>
              <w:rPr>
                <w:b/>
                <w:bCs/>
                <w:color w:val="FF0000"/>
              </w:rPr>
              <w:t>,</w:t>
            </w:r>
            <w:r w:rsidRPr="00164C2F">
              <w:rPr>
                <w:b/>
                <w:bCs/>
                <w:color w:val="FF0000"/>
              </w:rPr>
              <w:t xml:space="preserve"> 10 am </w:t>
            </w:r>
          </w:p>
          <w:p w14:paraId="0C4D7F23" w14:textId="77777777" w:rsidR="00204067" w:rsidRDefault="00204067" w:rsidP="007777EF">
            <w:pPr>
              <w:pStyle w:val="TableParagraph"/>
              <w:spacing w:before="14" w:line="248" w:lineRule="exact"/>
              <w:ind w:left="117"/>
              <w:rPr>
                <w:b/>
                <w:bCs/>
              </w:rPr>
            </w:pPr>
          </w:p>
        </w:tc>
        <w:tc>
          <w:tcPr>
            <w:tcW w:w="2263" w:type="dxa"/>
            <w:tcBorders>
              <w:bottom w:val="nil"/>
            </w:tcBorders>
          </w:tcPr>
          <w:p w14:paraId="14130F33" w14:textId="77777777" w:rsidR="00204067" w:rsidRDefault="00204067" w:rsidP="007777EF">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 xml:space="preserve">of </w:t>
            </w:r>
            <w:r>
              <w:rPr>
                <w:b/>
              </w:rPr>
              <w:t>provisional</w:t>
            </w:r>
            <w:r>
              <w:rPr>
                <w:b/>
                <w:spacing w:val="-13"/>
              </w:rPr>
              <w:t xml:space="preserve"> </w:t>
            </w:r>
            <w:r>
              <w:rPr>
                <w:b/>
                <w:spacing w:val="-2"/>
              </w:rPr>
              <w:t>marks</w:t>
            </w:r>
          </w:p>
        </w:tc>
        <w:tc>
          <w:tcPr>
            <w:tcW w:w="2271" w:type="dxa"/>
            <w:gridSpan w:val="2"/>
            <w:tcBorders>
              <w:bottom w:val="nil"/>
            </w:tcBorders>
          </w:tcPr>
          <w:p w14:paraId="3A3AD4D2" w14:textId="77777777" w:rsidR="00204067" w:rsidRPr="003313D3" w:rsidRDefault="00204067" w:rsidP="007777EF">
            <w:pPr>
              <w:pStyle w:val="TableParagraph"/>
              <w:rPr>
                <w:b/>
                <w:bCs/>
              </w:rPr>
            </w:pPr>
            <w:r>
              <w:rPr>
                <w:b/>
                <w:bCs/>
              </w:rPr>
              <w:t>16</w:t>
            </w:r>
            <w:r>
              <w:rPr>
                <w:b/>
                <w:bCs/>
                <w:vertAlign w:val="superscript"/>
              </w:rPr>
              <w:t xml:space="preserve">th </w:t>
            </w:r>
            <w:r>
              <w:rPr>
                <w:b/>
                <w:bCs/>
              </w:rPr>
              <w:t>December 2025</w:t>
            </w:r>
            <w:r w:rsidRPr="008212A6">
              <w:rPr>
                <w:b/>
                <w:bCs/>
              </w:rPr>
              <w:t xml:space="preserve"> </w:t>
            </w:r>
          </w:p>
        </w:tc>
      </w:tr>
      <w:tr w:rsidR="00204067" w14:paraId="5FAABF51" w14:textId="77777777" w:rsidTr="00DF551A">
        <w:trPr>
          <w:trHeight w:val="274"/>
        </w:trPr>
        <w:tc>
          <w:tcPr>
            <w:tcW w:w="2127" w:type="dxa"/>
            <w:tcBorders>
              <w:top w:val="nil"/>
              <w:bottom w:val="nil"/>
            </w:tcBorders>
          </w:tcPr>
          <w:p w14:paraId="5EA4DD56" w14:textId="77777777" w:rsidR="00204067" w:rsidRDefault="00204067" w:rsidP="007777EF">
            <w:pPr>
              <w:pStyle w:val="TableParagraph"/>
              <w:spacing w:before="5" w:line="249" w:lineRule="exact"/>
              <w:ind w:left="117"/>
              <w:rPr>
                <w:b/>
              </w:rPr>
            </w:pPr>
            <w:r>
              <w:rPr>
                <w:b/>
                <w:spacing w:val="-2"/>
              </w:rPr>
              <w:t>deadline:</w:t>
            </w:r>
          </w:p>
        </w:tc>
        <w:tc>
          <w:tcPr>
            <w:tcW w:w="3404" w:type="dxa"/>
            <w:tcBorders>
              <w:top w:val="nil"/>
              <w:bottom w:val="nil"/>
            </w:tcBorders>
          </w:tcPr>
          <w:p w14:paraId="75CC052E" w14:textId="77777777" w:rsidR="00204067" w:rsidRDefault="00204067" w:rsidP="007777EF">
            <w:pPr>
              <w:pStyle w:val="TableParagraph"/>
              <w:rPr>
                <w:rFonts w:ascii="Times New Roman"/>
                <w:sz w:val="20"/>
              </w:rPr>
            </w:pPr>
          </w:p>
        </w:tc>
        <w:tc>
          <w:tcPr>
            <w:tcW w:w="2263" w:type="dxa"/>
            <w:tcBorders>
              <w:top w:val="nil"/>
              <w:bottom w:val="nil"/>
            </w:tcBorders>
          </w:tcPr>
          <w:p w14:paraId="2EEFA6DB"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3AE0DDD3" w14:textId="77777777" w:rsidR="00204067" w:rsidRDefault="00204067" w:rsidP="007777EF">
            <w:pPr>
              <w:pStyle w:val="TableParagraph"/>
              <w:spacing w:before="10" w:line="244" w:lineRule="exact"/>
              <w:ind w:left="124"/>
              <w:rPr>
                <w:b/>
              </w:rPr>
            </w:pPr>
          </w:p>
        </w:tc>
      </w:tr>
      <w:tr w:rsidR="00204067" w14:paraId="2E5BD820" w14:textId="77777777" w:rsidTr="00DF551A">
        <w:trPr>
          <w:trHeight w:val="274"/>
        </w:trPr>
        <w:tc>
          <w:tcPr>
            <w:tcW w:w="2127" w:type="dxa"/>
            <w:tcBorders>
              <w:top w:val="nil"/>
              <w:bottom w:val="nil"/>
            </w:tcBorders>
          </w:tcPr>
          <w:p w14:paraId="0C8DF218" w14:textId="77777777" w:rsidR="00204067" w:rsidRDefault="00204067" w:rsidP="007777EF">
            <w:pPr>
              <w:pStyle w:val="TableParagraph"/>
              <w:spacing w:before="5" w:line="249" w:lineRule="exact"/>
              <w:ind w:left="117"/>
              <w:rPr>
                <w:b/>
                <w:spacing w:val="-2"/>
              </w:rPr>
            </w:pPr>
          </w:p>
        </w:tc>
        <w:tc>
          <w:tcPr>
            <w:tcW w:w="3404" w:type="dxa"/>
            <w:tcBorders>
              <w:top w:val="nil"/>
              <w:bottom w:val="nil"/>
            </w:tcBorders>
          </w:tcPr>
          <w:p w14:paraId="3C8D2F60" w14:textId="77777777" w:rsidR="00204067" w:rsidRDefault="00204067" w:rsidP="007777EF">
            <w:pPr>
              <w:pStyle w:val="TableParagraph"/>
              <w:rPr>
                <w:rFonts w:ascii="Times New Roman"/>
                <w:sz w:val="20"/>
              </w:rPr>
            </w:pPr>
          </w:p>
        </w:tc>
        <w:tc>
          <w:tcPr>
            <w:tcW w:w="2263" w:type="dxa"/>
            <w:tcBorders>
              <w:top w:val="nil"/>
              <w:bottom w:val="nil"/>
            </w:tcBorders>
          </w:tcPr>
          <w:p w14:paraId="0F5F599C"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57FD6015" w14:textId="77777777" w:rsidR="00204067" w:rsidRDefault="00204067" w:rsidP="007777EF">
            <w:pPr>
              <w:pStyle w:val="TableParagraph"/>
              <w:spacing w:before="10" w:line="244" w:lineRule="exact"/>
              <w:ind w:left="124"/>
              <w:rPr>
                <w:b/>
              </w:rPr>
            </w:pPr>
          </w:p>
        </w:tc>
      </w:tr>
      <w:tr w:rsidR="00204067" w14:paraId="009B4CEE" w14:textId="77777777" w:rsidTr="00DF551A">
        <w:trPr>
          <w:trHeight w:val="274"/>
        </w:trPr>
        <w:tc>
          <w:tcPr>
            <w:tcW w:w="2127" w:type="dxa"/>
            <w:tcBorders>
              <w:top w:val="nil"/>
              <w:bottom w:val="nil"/>
            </w:tcBorders>
          </w:tcPr>
          <w:p w14:paraId="0CC94573" w14:textId="77777777" w:rsidR="00204067" w:rsidRDefault="00204067" w:rsidP="007777EF">
            <w:pPr>
              <w:pStyle w:val="TableParagraph"/>
              <w:spacing w:before="5" w:line="249" w:lineRule="exact"/>
              <w:ind w:left="117"/>
              <w:rPr>
                <w:b/>
                <w:spacing w:val="-2"/>
              </w:rPr>
            </w:pPr>
          </w:p>
        </w:tc>
        <w:tc>
          <w:tcPr>
            <w:tcW w:w="3404" w:type="dxa"/>
            <w:tcBorders>
              <w:top w:val="nil"/>
              <w:bottom w:val="nil"/>
            </w:tcBorders>
          </w:tcPr>
          <w:p w14:paraId="2079F17F" w14:textId="77777777" w:rsidR="00204067" w:rsidRDefault="00204067" w:rsidP="007777EF">
            <w:pPr>
              <w:pStyle w:val="TableParagraph"/>
              <w:rPr>
                <w:rFonts w:ascii="Times New Roman"/>
                <w:sz w:val="20"/>
              </w:rPr>
            </w:pPr>
          </w:p>
        </w:tc>
        <w:tc>
          <w:tcPr>
            <w:tcW w:w="2263" w:type="dxa"/>
            <w:tcBorders>
              <w:top w:val="nil"/>
              <w:bottom w:val="nil"/>
            </w:tcBorders>
          </w:tcPr>
          <w:p w14:paraId="013248C4"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011E4074" w14:textId="77777777" w:rsidR="00204067" w:rsidRDefault="00204067" w:rsidP="007777EF">
            <w:pPr>
              <w:pStyle w:val="TableParagraph"/>
              <w:spacing w:before="10" w:line="244" w:lineRule="exact"/>
              <w:ind w:left="124"/>
              <w:rPr>
                <w:b/>
              </w:rPr>
            </w:pPr>
          </w:p>
        </w:tc>
      </w:tr>
      <w:tr w:rsidR="00204067" w14:paraId="02647F20" w14:textId="77777777" w:rsidTr="00DF551A">
        <w:trPr>
          <w:trHeight w:val="274"/>
        </w:trPr>
        <w:tc>
          <w:tcPr>
            <w:tcW w:w="2127" w:type="dxa"/>
            <w:tcBorders>
              <w:top w:val="nil"/>
              <w:bottom w:val="single" w:sz="4" w:space="0" w:color="auto"/>
            </w:tcBorders>
          </w:tcPr>
          <w:p w14:paraId="60933769" w14:textId="77777777" w:rsidR="00204067" w:rsidRDefault="00204067" w:rsidP="007777EF">
            <w:pPr>
              <w:pStyle w:val="TableParagraph"/>
              <w:spacing w:before="5" w:line="249" w:lineRule="exact"/>
              <w:ind w:left="117"/>
              <w:rPr>
                <w:b/>
                <w:spacing w:val="-2"/>
              </w:rPr>
            </w:pPr>
          </w:p>
        </w:tc>
        <w:tc>
          <w:tcPr>
            <w:tcW w:w="3404" w:type="dxa"/>
            <w:tcBorders>
              <w:top w:val="nil"/>
              <w:bottom w:val="single" w:sz="4" w:space="0" w:color="auto"/>
            </w:tcBorders>
          </w:tcPr>
          <w:p w14:paraId="0AC19662" w14:textId="77777777" w:rsidR="00204067" w:rsidRDefault="00204067" w:rsidP="007777EF">
            <w:pPr>
              <w:pStyle w:val="TableParagraph"/>
              <w:rPr>
                <w:rFonts w:ascii="Times New Roman"/>
                <w:sz w:val="20"/>
              </w:rPr>
            </w:pPr>
          </w:p>
        </w:tc>
        <w:tc>
          <w:tcPr>
            <w:tcW w:w="2263" w:type="dxa"/>
            <w:tcBorders>
              <w:top w:val="nil"/>
              <w:bottom w:val="single" w:sz="4" w:space="0" w:color="auto"/>
            </w:tcBorders>
          </w:tcPr>
          <w:p w14:paraId="3FB2DBE8" w14:textId="77777777" w:rsidR="00204067" w:rsidRDefault="00204067" w:rsidP="007777EF">
            <w:pPr>
              <w:pStyle w:val="TableParagraph"/>
              <w:spacing w:before="5" w:line="249" w:lineRule="exact"/>
              <w:ind w:left="117"/>
              <w:rPr>
                <w:b/>
              </w:rPr>
            </w:pPr>
          </w:p>
        </w:tc>
        <w:tc>
          <w:tcPr>
            <w:tcW w:w="2271" w:type="dxa"/>
            <w:gridSpan w:val="2"/>
            <w:tcBorders>
              <w:top w:val="nil"/>
              <w:bottom w:val="single" w:sz="4" w:space="0" w:color="auto"/>
            </w:tcBorders>
          </w:tcPr>
          <w:p w14:paraId="4BAB36DC" w14:textId="77777777" w:rsidR="00204067" w:rsidRDefault="00204067" w:rsidP="007777EF">
            <w:pPr>
              <w:pStyle w:val="TableParagraph"/>
              <w:spacing w:before="10" w:line="244" w:lineRule="exact"/>
              <w:ind w:left="124"/>
              <w:rPr>
                <w:b/>
              </w:rPr>
            </w:pPr>
          </w:p>
        </w:tc>
      </w:tr>
    </w:tbl>
    <w:p w14:paraId="6B84D23B" w14:textId="77777777" w:rsidR="00204067" w:rsidRDefault="00204067"/>
    <w:p w14:paraId="2D431657" w14:textId="77777777" w:rsidR="00DF551A" w:rsidRDefault="00DF551A"/>
    <w:p w14:paraId="4181595E" w14:textId="77777777" w:rsidR="00DF551A" w:rsidRDefault="00DF551A"/>
    <w:p w14:paraId="4923B64A" w14:textId="77777777" w:rsidR="00DF551A" w:rsidRPr="000826FE" w:rsidRDefault="00DF551A" w:rsidP="000826FE">
      <w:pPr>
        <w:spacing w:line="360" w:lineRule="auto"/>
      </w:pPr>
    </w:p>
    <w:p w14:paraId="1621B287" w14:textId="77777777" w:rsidR="00DF551A" w:rsidRPr="000826FE" w:rsidRDefault="00DF551A" w:rsidP="000826FE">
      <w:pPr>
        <w:spacing w:line="360" w:lineRule="auto"/>
      </w:pPr>
    </w:p>
    <w:p w14:paraId="2C30EC7B" w14:textId="77777777" w:rsidR="007B2351" w:rsidRDefault="007B2351" w:rsidP="000826FE">
      <w:pPr>
        <w:pStyle w:val="Heading2"/>
        <w:spacing w:line="360" w:lineRule="auto"/>
        <w:rPr>
          <w:rFonts w:ascii="Arial" w:eastAsia="Arial" w:hAnsi="Arial" w:cs="Arial"/>
          <w:b/>
          <w:bCs/>
          <w:color w:val="auto"/>
          <w:sz w:val="22"/>
          <w:szCs w:val="22"/>
        </w:rPr>
      </w:pPr>
    </w:p>
    <w:p w14:paraId="7E99DCEF" w14:textId="77777777" w:rsidR="007B2351" w:rsidRDefault="007B2351" w:rsidP="000826FE">
      <w:pPr>
        <w:pStyle w:val="Heading2"/>
        <w:spacing w:line="360" w:lineRule="auto"/>
        <w:rPr>
          <w:rFonts w:ascii="Arial" w:eastAsia="Arial" w:hAnsi="Arial" w:cs="Arial"/>
          <w:b/>
          <w:bCs/>
          <w:color w:val="auto"/>
          <w:sz w:val="22"/>
          <w:szCs w:val="22"/>
        </w:rPr>
      </w:pPr>
    </w:p>
    <w:p w14:paraId="52D09DC9" w14:textId="77777777" w:rsidR="007B2351" w:rsidRDefault="007B2351" w:rsidP="000826FE">
      <w:pPr>
        <w:pStyle w:val="Heading2"/>
        <w:spacing w:line="360" w:lineRule="auto"/>
        <w:rPr>
          <w:rFonts w:ascii="Arial" w:eastAsia="Arial" w:hAnsi="Arial" w:cs="Arial"/>
          <w:b/>
          <w:bCs/>
          <w:color w:val="auto"/>
          <w:sz w:val="22"/>
          <w:szCs w:val="22"/>
        </w:rPr>
      </w:pPr>
    </w:p>
    <w:p w14:paraId="0034B2B5" w14:textId="7C909C7F" w:rsidR="00DF551A" w:rsidRPr="00905ED5" w:rsidRDefault="000826FE" w:rsidP="000826FE">
      <w:pPr>
        <w:pStyle w:val="Heading2"/>
        <w:spacing w:line="360" w:lineRule="auto"/>
        <w:rPr>
          <w:rFonts w:ascii="Arial" w:eastAsia="Arial" w:hAnsi="Arial" w:cs="Arial"/>
          <w:b/>
          <w:bCs/>
          <w:color w:val="auto"/>
          <w:sz w:val="22"/>
          <w:szCs w:val="22"/>
        </w:rPr>
      </w:pPr>
      <w:r w:rsidRPr="00905ED5">
        <w:rPr>
          <w:rFonts w:ascii="Arial" w:eastAsia="Arial" w:hAnsi="Arial" w:cs="Arial"/>
          <w:b/>
          <w:bCs/>
          <w:color w:val="auto"/>
          <w:sz w:val="22"/>
          <w:szCs w:val="22"/>
        </w:rPr>
        <w:t>Context</w:t>
      </w:r>
    </w:p>
    <w:p w14:paraId="4209343B" w14:textId="2A34AB54" w:rsidR="00905ED5" w:rsidRDefault="00DF551A" w:rsidP="00905ED5">
      <w:pPr>
        <w:spacing w:line="360" w:lineRule="auto"/>
      </w:pPr>
      <w:r w:rsidRPr="000826FE">
        <w:t xml:space="preserve">The global rise in life expectancy has led to a greater number of adults aged 65 and over living with age-related psychological and neurological conditions such as dementia. Dementia is </w:t>
      </w:r>
      <w:proofErr w:type="spellStart"/>
      <w:r w:rsidRPr="000826FE">
        <w:t>characterised</w:t>
      </w:r>
      <w:proofErr w:type="spellEnd"/>
      <w:r w:rsidRPr="000826FE">
        <w:t xml:space="preserve"> by memory loss, cognitive decline, and </w:t>
      </w:r>
      <w:proofErr w:type="spellStart"/>
      <w:r w:rsidRPr="000826FE">
        <w:t>behavioural</w:t>
      </w:r>
      <w:proofErr w:type="spellEnd"/>
      <w:r w:rsidRPr="000826FE">
        <w:t xml:space="preserve"> changes that can significantly affect independence and quality of life (Alzheimer’s Society, 2024). For residents in dementia care homes, emotional </w:t>
      </w:r>
      <w:r w:rsidR="00023E60">
        <w:t>well-being</w:t>
      </w:r>
      <w:r w:rsidRPr="000826FE">
        <w:t>, identity, and social connection are as important as physical health.</w:t>
      </w:r>
      <w:r w:rsidRPr="000826FE">
        <w:br/>
      </w:r>
      <w:r w:rsidRPr="000826FE">
        <w:br/>
        <w:t xml:space="preserve">Psychological theories of ageing offer valuable insights into how older adults adapt to later life and how professionals can support them effectively. This report focuses on two major theories—Disengagement Theory and Activity Theory—and critically explores how each can inform practice in dementia care. The discussion highlights practical applications, evaluates challenges, and proposes strategies for health and social care professionals to enhance psychological </w:t>
      </w:r>
      <w:r w:rsidR="007857D7">
        <w:t>well-being</w:t>
      </w:r>
      <w:r w:rsidRPr="000826FE">
        <w:t xml:space="preserve"> among older residents.</w:t>
      </w:r>
    </w:p>
    <w:p w14:paraId="19B45D6D" w14:textId="77777777" w:rsidR="00905ED5" w:rsidRDefault="00905ED5" w:rsidP="00905ED5">
      <w:pPr>
        <w:spacing w:line="360" w:lineRule="auto"/>
      </w:pPr>
    </w:p>
    <w:p w14:paraId="024BF8F9" w14:textId="76258D8D" w:rsidR="00DF551A" w:rsidRPr="00905ED5" w:rsidRDefault="00DF551A" w:rsidP="00905ED5">
      <w:pPr>
        <w:spacing w:line="360" w:lineRule="auto"/>
        <w:rPr>
          <w:b/>
          <w:bCs/>
        </w:rPr>
      </w:pPr>
      <w:r w:rsidRPr="00905ED5">
        <w:rPr>
          <w:b/>
          <w:bCs/>
        </w:rPr>
        <w:t>Disengagement Theory</w:t>
      </w:r>
    </w:p>
    <w:p w14:paraId="01F750A2" w14:textId="3CE00500" w:rsidR="00905ED5" w:rsidRDefault="00DF551A" w:rsidP="00905ED5">
      <w:pPr>
        <w:spacing w:line="360" w:lineRule="auto"/>
      </w:pPr>
      <w:r w:rsidRPr="000826FE">
        <w:t>Disengagement Theory, developed by Cumming and Henry (1961), proposes that ageing involves a natural and gradual process of withdrawal from social roles and relationships. The theory suggests that as individuals age, they reduce their social involvement and energy expenditure, which is mutually beneficial for both the individual and society. This withdrawal can allow older adults to reflect, adapt to declining physical and cognitive capacity, and prepare psychologically for the end of life (Hooyman &amp; Kiyak, 2018).</w:t>
      </w:r>
      <w:r w:rsidRPr="000826FE">
        <w:br/>
      </w:r>
      <w:r w:rsidRPr="000826FE">
        <w:br/>
        <w:t xml:space="preserve">For adults aged 65 and over with dementia, disengagement may appear as decreased interest in activities, reduced social interaction, or </w:t>
      </w:r>
      <w:r w:rsidR="00697E1D">
        <w:t xml:space="preserve">a </w:t>
      </w:r>
      <w:r w:rsidRPr="000826FE">
        <w:t xml:space="preserve">preference for solitude. Rather than interpreting this solely as depression or apathy, Disengagement Theory encourages professionals to view some withdrawal as an adaptive coping mechanism. However, it also raises ethical questions about when disengagement should be respected and when it should be gently challenged to maintain </w:t>
      </w:r>
      <w:r w:rsidR="00697E1D">
        <w:t>well-being</w:t>
      </w:r>
      <w:r w:rsidRPr="000826FE">
        <w:t xml:space="preserve"> (</w:t>
      </w:r>
      <w:proofErr w:type="spellStart"/>
      <w:r w:rsidRPr="000826FE">
        <w:t>Quadagno</w:t>
      </w:r>
      <w:proofErr w:type="spellEnd"/>
      <w:r w:rsidRPr="000826FE">
        <w:t>, 2018).</w:t>
      </w:r>
    </w:p>
    <w:p w14:paraId="45695B1E" w14:textId="77777777" w:rsidR="00905ED5" w:rsidRDefault="00905ED5" w:rsidP="00905ED5">
      <w:pPr>
        <w:spacing w:line="360" w:lineRule="auto"/>
      </w:pPr>
    </w:p>
    <w:p w14:paraId="07FA9ED7" w14:textId="77777777" w:rsidR="007B2351" w:rsidRDefault="007B2351" w:rsidP="00905ED5">
      <w:pPr>
        <w:spacing w:line="360" w:lineRule="auto"/>
        <w:rPr>
          <w:b/>
          <w:bCs/>
        </w:rPr>
      </w:pPr>
    </w:p>
    <w:p w14:paraId="4F21F110" w14:textId="77777777" w:rsidR="007B2351" w:rsidRDefault="007B2351" w:rsidP="00905ED5">
      <w:pPr>
        <w:spacing w:line="360" w:lineRule="auto"/>
        <w:rPr>
          <w:b/>
          <w:bCs/>
        </w:rPr>
      </w:pPr>
    </w:p>
    <w:p w14:paraId="559C8536" w14:textId="34AC400D" w:rsidR="00DF551A" w:rsidRPr="00905ED5" w:rsidRDefault="00DF551A" w:rsidP="00905ED5">
      <w:pPr>
        <w:spacing w:line="360" w:lineRule="auto"/>
        <w:rPr>
          <w:b/>
          <w:bCs/>
        </w:rPr>
      </w:pPr>
      <w:r w:rsidRPr="00905ED5">
        <w:rPr>
          <w:b/>
          <w:bCs/>
        </w:rPr>
        <w:lastRenderedPageBreak/>
        <w:t>Activity Theory</w:t>
      </w:r>
    </w:p>
    <w:p w14:paraId="0FD83E90" w14:textId="04BDAEF2" w:rsidR="00905ED5" w:rsidRDefault="00DF551A" w:rsidP="00905ED5">
      <w:pPr>
        <w:spacing w:line="360" w:lineRule="auto"/>
      </w:pPr>
      <w:r w:rsidRPr="000826FE">
        <w:t>In contrast, Activity Theory, developed by Havighurst and Albrecht (1953), argues that successful ageing occurs when older adults remain active and socially engaged. The theory posits that participation in meaningful activities leads to higher life satisfaction, self-esteem, and psychological health (Adams, Leibbrandt &amp; Moon, 2011). Rather than withdrawing, older adults benefit from replacing lost roles—such as employment or parenting—with new ones that maintain purpose and social contact.</w:t>
      </w:r>
      <w:r w:rsidRPr="000826FE">
        <w:br/>
      </w:r>
      <w:r w:rsidRPr="000826FE">
        <w:br/>
        <w:t xml:space="preserve">In dementia care, Activity Theory highlights the importance of providing opportunities for engagement, stimulation, and connection. Participation in social, cognitive, or physical activities can reduce agitation, improve mood, and support cognitive functioning (Woods et al., 2018). The theory underpins many modern </w:t>
      </w:r>
      <w:r w:rsidR="006E7A98">
        <w:t>person-centered care practices that</w:t>
      </w:r>
      <w:r w:rsidRPr="000826FE">
        <w:t xml:space="preserve"> aim to maintain identity and dignity through active involvement (Brooker &amp; Latham, 2016).</w:t>
      </w:r>
    </w:p>
    <w:p w14:paraId="67FC35EE" w14:textId="77777777" w:rsidR="00905ED5" w:rsidRDefault="00905ED5" w:rsidP="00905ED5">
      <w:pPr>
        <w:spacing w:line="360" w:lineRule="auto"/>
      </w:pPr>
    </w:p>
    <w:p w14:paraId="7FB42E74" w14:textId="75E4DCEC" w:rsidR="00DF551A" w:rsidRPr="00905ED5" w:rsidRDefault="00DF551A" w:rsidP="00905ED5">
      <w:pPr>
        <w:spacing w:line="360" w:lineRule="auto"/>
        <w:rPr>
          <w:b/>
          <w:bCs/>
        </w:rPr>
      </w:pPr>
      <w:r w:rsidRPr="00905ED5">
        <w:rPr>
          <w:b/>
          <w:bCs/>
        </w:rPr>
        <w:t>Applying Disengagement Theory in Practice</w:t>
      </w:r>
    </w:p>
    <w:p w14:paraId="3E67175F" w14:textId="77777777" w:rsidR="00DF551A" w:rsidRDefault="00DF551A" w:rsidP="000826FE">
      <w:pPr>
        <w:spacing w:line="360" w:lineRule="auto"/>
      </w:pPr>
      <w:r w:rsidRPr="000826FE">
        <w:t xml:space="preserve">Disengagement Theory helps staff understand that social withdrawal in older adults with dementia can sometimes reflect a natural process rather than a symptom of failure. Many residents may prefer calm, familiar environments instead of busy communal settings. </w:t>
      </w:r>
      <w:proofErr w:type="spellStart"/>
      <w:r w:rsidRPr="000826FE">
        <w:t>Recognising</w:t>
      </w:r>
      <w:proofErr w:type="spellEnd"/>
      <w:r w:rsidRPr="000826FE">
        <w:t xml:space="preserve"> this preference allows professionals to respect autonomy and avoid unnecessary pressure to participate (Hooyman &amp; Kiyak, 2018).</w:t>
      </w:r>
    </w:p>
    <w:p w14:paraId="1E66EF48" w14:textId="77777777" w:rsidR="00B05A13" w:rsidRPr="000826FE" w:rsidRDefault="00B05A13" w:rsidP="000826FE">
      <w:pPr>
        <w:spacing w:line="360" w:lineRule="auto"/>
      </w:pPr>
    </w:p>
    <w:p w14:paraId="13F85B7A" w14:textId="77777777" w:rsidR="00DF551A" w:rsidRDefault="00DF551A" w:rsidP="000826FE">
      <w:pPr>
        <w:spacing w:line="360" w:lineRule="auto"/>
      </w:pPr>
      <w:r w:rsidRPr="000826FE">
        <w:t>Health and social care professionals should acknowledge residents’ right to choose solitude when desired. For instance, a resident who prefers sitting quietly listening to familiar music rather than attending a group session may be exercising control over their environment. Forcing engagement could increase anxiety or agitation. By respecting such preferences, staff promote emotional comfort and dignity (</w:t>
      </w:r>
      <w:proofErr w:type="spellStart"/>
      <w:r w:rsidRPr="000826FE">
        <w:t>Kitwood</w:t>
      </w:r>
      <w:proofErr w:type="spellEnd"/>
      <w:r w:rsidRPr="000826FE">
        <w:t>, 1997).</w:t>
      </w:r>
    </w:p>
    <w:p w14:paraId="47B044B7" w14:textId="77777777" w:rsidR="00BC062A" w:rsidRPr="000826FE" w:rsidRDefault="00BC062A" w:rsidP="000826FE">
      <w:pPr>
        <w:spacing w:line="360" w:lineRule="auto"/>
      </w:pPr>
    </w:p>
    <w:p w14:paraId="185F287E" w14:textId="329622E2" w:rsidR="00BC062A" w:rsidRPr="000826FE" w:rsidRDefault="00DF551A" w:rsidP="000826FE">
      <w:pPr>
        <w:spacing w:line="360" w:lineRule="auto"/>
      </w:pPr>
      <w:r w:rsidRPr="000826FE">
        <w:t xml:space="preserve">Many people with dementia find large groups overstimulating. Applying Disengagement Theory involves providing quiet spaces and </w:t>
      </w:r>
      <w:proofErr w:type="spellStart"/>
      <w:r w:rsidRPr="000826FE">
        <w:t>personalised</w:t>
      </w:r>
      <w:proofErr w:type="spellEnd"/>
      <w:r w:rsidRPr="000826FE">
        <w:t xml:space="preserve"> routines that reduce confusion and stress. Familiar surroundings, photos, and personal belongings can evoke security and identity (Feil &amp; de Klerk-Rubin, 2015). Staff can still maintain gentle contact, checking in regularly to ensure withdrawal does not progress into isolation or depression.</w:t>
      </w:r>
    </w:p>
    <w:p w14:paraId="5B19F3A0" w14:textId="312710ED" w:rsidR="00905ED5" w:rsidRDefault="00DF551A" w:rsidP="00905ED5">
      <w:pPr>
        <w:spacing w:line="360" w:lineRule="auto"/>
      </w:pPr>
      <w:r w:rsidRPr="000826FE">
        <w:t>While this theory helps professionals understand natural withdrawal, it can also risk justifying social neglect if applied rigidly. Some residents may disengage due to unmet psychological needs, not genuine choice (</w:t>
      </w:r>
      <w:proofErr w:type="spellStart"/>
      <w:r w:rsidRPr="000826FE">
        <w:t>Quadagno</w:t>
      </w:r>
      <w:proofErr w:type="spellEnd"/>
      <w:r w:rsidRPr="000826FE">
        <w:t>, 2018). Professionals should therefore assess whether disengagement is adaptive or harmful. Regular observation, family input, and communication training can help staff differentiate between healthy solitude and distress.</w:t>
      </w:r>
    </w:p>
    <w:p w14:paraId="6B46ABED" w14:textId="77777777" w:rsidR="00905ED5" w:rsidRDefault="00905ED5" w:rsidP="00905ED5">
      <w:pPr>
        <w:spacing w:line="360" w:lineRule="auto"/>
      </w:pPr>
    </w:p>
    <w:p w14:paraId="34B84727" w14:textId="0DA41858" w:rsidR="00DF551A" w:rsidRPr="00905ED5" w:rsidRDefault="00DF551A" w:rsidP="00905ED5">
      <w:pPr>
        <w:spacing w:line="360" w:lineRule="auto"/>
        <w:rPr>
          <w:b/>
          <w:bCs/>
        </w:rPr>
      </w:pPr>
      <w:r w:rsidRPr="00905ED5">
        <w:rPr>
          <w:b/>
          <w:bCs/>
        </w:rPr>
        <w:t>Applying Activity Theory in Practice</w:t>
      </w:r>
    </w:p>
    <w:p w14:paraId="1C8E676E" w14:textId="77777777" w:rsidR="00DF551A" w:rsidRDefault="00DF551A" w:rsidP="000826FE">
      <w:pPr>
        <w:spacing w:line="360" w:lineRule="auto"/>
      </w:pPr>
      <w:r w:rsidRPr="000826FE">
        <w:t>Activity Theory forms the foundation of many therapeutic approaches in dementia care. It promotes psychological wellbeing through active participation, role maintenance, and social connection (Adams, Leibbrandt &amp; Moon, 2011).</w:t>
      </w:r>
    </w:p>
    <w:p w14:paraId="0ACD922F" w14:textId="77777777" w:rsidR="009B27BC" w:rsidRPr="000826FE" w:rsidRDefault="009B27BC" w:rsidP="000826FE">
      <w:pPr>
        <w:spacing w:line="360" w:lineRule="auto"/>
      </w:pPr>
    </w:p>
    <w:p w14:paraId="1E22ACA6" w14:textId="77777777" w:rsidR="00DF551A" w:rsidRDefault="00DF551A" w:rsidP="000826FE">
      <w:pPr>
        <w:spacing w:line="360" w:lineRule="auto"/>
      </w:pPr>
      <w:r w:rsidRPr="000826FE">
        <w:t xml:space="preserve">Care home professionals can use </w:t>
      </w:r>
      <w:proofErr w:type="spellStart"/>
      <w:r w:rsidRPr="000826FE">
        <w:t>individualised</w:t>
      </w:r>
      <w:proofErr w:type="spellEnd"/>
      <w:r w:rsidRPr="000826FE">
        <w:t xml:space="preserve"> activity plans tailored to each resident’s interests, history, and abilities. For example, reminiscence therapy uses photographs, music, or familiar scents to evoke positive memories (Subramaniam &amp; Woods, 2016); music and art therapy allow self-expression even when verbal communication is impaired (</w:t>
      </w:r>
      <w:proofErr w:type="spellStart"/>
      <w:r w:rsidRPr="000826FE">
        <w:t>Raglio</w:t>
      </w:r>
      <w:proofErr w:type="spellEnd"/>
      <w:r w:rsidRPr="000826FE">
        <w:t xml:space="preserve"> et al., 2015); and light physical activity such as gentle exercise supports mood and sleep (Forbes et al., 2015).</w:t>
      </w:r>
    </w:p>
    <w:p w14:paraId="0B88EADA" w14:textId="77777777" w:rsidR="009B27BC" w:rsidRPr="000826FE" w:rsidRDefault="009B27BC" w:rsidP="000826FE">
      <w:pPr>
        <w:spacing w:line="360" w:lineRule="auto"/>
      </w:pPr>
    </w:p>
    <w:p w14:paraId="33460CEF" w14:textId="77777777" w:rsidR="00DF551A" w:rsidRDefault="00DF551A" w:rsidP="000826FE">
      <w:pPr>
        <w:spacing w:line="360" w:lineRule="auto"/>
      </w:pPr>
      <w:r w:rsidRPr="000826FE">
        <w:t>Supporting older adults to continue valued roles fosters self-esteem and belonging. A former teacher might enjoy reading to small groups, while a retired gardener could assist with tending plants. By enabling residents to contribute within their abilities, professionals enhance identity and agency (Brooker &amp; Latham, 2016).</w:t>
      </w:r>
    </w:p>
    <w:p w14:paraId="7057066A" w14:textId="77777777" w:rsidR="009B27BC" w:rsidRPr="000826FE" w:rsidRDefault="009B27BC" w:rsidP="000826FE">
      <w:pPr>
        <w:spacing w:line="360" w:lineRule="auto"/>
      </w:pPr>
    </w:p>
    <w:p w14:paraId="026CA3E0" w14:textId="77777777" w:rsidR="00905ED5" w:rsidRDefault="00DF551A" w:rsidP="00905ED5">
      <w:pPr>
        <w:spacing w:line="360" w:lineRule="auto"/>
      </w:pPr>
      <w:r w:rsidRPr="000826FE">
        <w:t>Group activities such as singing, storytelling, or shared meals can foster friendships and social cohesion. Observing peers’ participation often encourages hesitant residents to join in, creating a sense of community (Woods et al., 2018). However, professionals should adapt activities to residents’ abilities to avoid overstimulation (</w:t>
      </w:r>
      <w:proofErr w:type="spellStart"/>
      <w:r w:rsidRPr="000826FE">
        <w:t>Kitwood</w:t>
      </w:r>
      <w:proofErr w:type="spellEnd"/>
      <w:r w:rsidRPr="000826FE">
        <w:t>, 1997).</w:t>
      </w:r>
    </w:p>
    <w:p w14:paraId="12A8A102" w14:textId="77777777" w:rsidR="00905ED5" w:rsidRDefault="00905ED5" w:rsidP="00905ED5">
      <w:pPr>
        <w:spacing w:line="360" w:lineRule="auto"/>
      </w:pPr>
    </w:p>
    <w:p w14:paraId="2141E110" w14:textId="1CD78226" w:rsidR="00DF551A" w:rsidRPr="00905ED5" w:rsidRDefault="00DF551A" w:rsidP="00905ED5">
      <w:pPr>
        <w:spacing w:line="360" w:lineRule="auto"/>
        <w:rPr>
          <w:b/>
          <w:bCs/>
        </w:rPr>
      </w:pPr>
      <w:r w:rsidRPr="00905ED5">
        <w:rPr>
          <w:b/>
          <w:bCs/>
        </w:rPr>
        <w:t>Two Theories for Holistic Care</w:t>
      </w:r>
    </w:p>
    <w:p w14:paraId="019C961C" w14:textId="77777777" w:rsidR="00905ED5" w:rsidRDefault="00DF551A" w:rsidP="00905ED5">
      <w:pPr>
        <w:spacing w:line="360" w:lineRule="auto"/>
      </w:pPr>
      <w:r w:rsidRPr="000826FE">
        <w:t xml:space="preserve">Although Disengagement and Activity Theories appear contradictory, they can be integrated effectively </w:t>
      </w:r>
      <w:proofErr w:type="gramStart"/>
      <w:r w:rsidRPr="000826FE">
        <w:t>in</w:t>
      </w:r>
      <w:proofErr w:type="gramEnd"/>
      <w:r w:rsidRPr="000826FE">
        <w:t xml:space="preserve"> dementia care. A balanced approach </w:t>
      </w:r>
      <w:proofErr w:type="spellStart"/>
      <w:r w:rsidRPr="000826FE">
        <w:t>recognises</w:t>
      </w:r>
      <w:proofErr w:type="spellEnd"/>
      <w:r w:rsidRPr="000826FE">
        <w:t xml:space="preserve"> that residents may fluctuate between periods of engagement and withdrawal depending on their mood, health, and cognitive state. For example, a resident may benefit from group singing in the morning but prefer solitude later in the day. Flexible care plans blending activity-based stimulation with opportunities for quiet reflection prevent both overstimulation and social isolation (Feil &amp; de Klerk-Rubin, 2015).</w:t>
      </w:r>
    </w:p>
    <w:p w14:paraId="3CAB9552" w14:textId="77777777" w:rsidR="00905ED5" w:rsidRDefault="00905ED5" w:rsidP="00905ED5">
      <w:pPr>
        <w:spacing w:line="360" w:lineRule="auto"/>
      </w:pPr>
    </w:p>
    <w:p w14:paraId="2F5BA31C" w14:textId="77777777" w:rsidR="00DD621B" w:rsidRDefault="00DD621B" w:rsidP="00905ED5">
      <w:pPr>
        <w:spacing w:line="360" w:lineRule="auto"/>
        <w:rPr>
          <w:b/>
          <w:bCs/>
        </w:rPr>
      </w:pPr>
    </w:p>
    <w:p w14:paraId="66E40EB7" w14:textId="77777777" w:rsidR="00DD621B" w:rsidRDefault="00DD621B" w:rsidP="00905ED5">
      <w:pPr>
        <w:spacing w:line="360" w:lineRule="auto"/>
        <w:rPr>
          <w:b/>
          <w:bCs/>
        </w:rPr>
      </w:pPr>
    </w:p>
    <w:p w14:paraId="0E4F72C6" w14:textId="77777777" w:rsidR="00DD621B" w:rsidRDefault="00DD621B" w:rsidP="00905ED5">
      <w:pPr>
        <w:spacing w:line="360" w:lineRule="auto"/>
        <w:rPr>
          <w:b/>
          <w:bCs/>
        </w:rPr>
      </w:pPr>
    </w:p>
    <w:p w14:paraId="340039A5" w14:textId="77777777" w:rsidR="00DD621B" w:rsidRDefault="00DD621B" w:rsidP="00905ED5">
      <w:pPr>
        <w:spacing w:line="360" w:lineRule="auto"/>
        <w:rPr>
          <w:b/>
          <w:bCs/>
        </w:rPr>
      </w:pPr>
    </w:p>
    <w:p w14:paraId="109475F4" w14:textId="77777777" w:rsidR="00DD621B" w:rsidRDefault="00DD621B" w:rsidP="00905ED5">
      <w:pPr>
        <w:spacing w:line="360" w:lineRule="auto"/>
        <w:rPr>
          <w:b/>
          <w:bCs/>
        </w:rPr>
      </w:pPr>
    </w:p>
    <w:p w14:paraId="4E00B0F5" w14:textId="07B046B0" w:rsidR="00DF551A" w:rsidRPr="00905ED5" w:rsidRDefault="00DF551A" w:rsidP="00905ED5">
      <w:pPr>
        <w:spacing w:line="360" w:lineRule="auto"/>
        <w:rPr>
          <w:b/>
          <w:bCs/>
        </w:rPr>
      </w:pPr>
      <w:r w:rsidRPr="00905ED5">
        <w:rPr>
          <w:b/>
          <w:bCs/>
        </w:rPr>
        <w:lastRenderedPageBreak/>
        <w:t>Conclusion</w:t>
      </w:r>
    </w:p>
    <w:p w14:paraId="7A6CBFF1" w14:textId="77777777" w:rsidR="00905ED5" w:rsidRDefault="00DF551A" w:rsidP="00905ED5">
      <w:pPr>
        <w:spacing w:line="360" w:lineRule="auto"/>
      </w:pPr>
      <w:r w:rsidRPr="000826FE">
        <w:t xml:space="preserve">Disengagement Theory and Activity Theory offer valuable yet contrasting perspectives on ageing. Disengagement Theory helps professionals understand that withdrawal in older adults may sometimes be a natural response, while Activity Theory </w:t>
      </w:r>
      <w:proofErr w:type="spellStart"/>
      <w:r w:rsidRPr="000826FE">
        <w:t>emphasises</w:t>
      </w:r>
      <w:proofErr w:type="spellEnd"/>
      <w:r w:rsidRPr="000826FE">
        <w:t xml:space="preserve"> continued engagement and purpose. In dementia care, both models have practical applications—respecting autonomy while promoting meaningful activity. A balanced, person-</w:t>
      </w:r>
      <w:proofErr w:type="spellStart"/>
      <w:r w:rsidRPr="000826FE">
        <w:t>centred</w:t>
      </w:r>
      <w:proofErr w:type="spellEnd"/>
      <w:r w:rsidRPr="000826FE">
        <w:t xml:space="preserve"> approach integrating both theories ensures care that upholds dignity, comfort, and wellbeing for older adults living with dementia.</w:t>
      </w:r>
    </w:p>
    <w:p w14:paraId="2BE5C9A1" w14:textId="77777777" w:rsidR="00905ED5" w:rsidRDefault="00905ED5" w:rsidP="00905ED5">
      <w:pPr>
        <w:spacing w:line="360" w:lineRule="auto"/>
      </w:pPr>
    </w:p>
    <w:p w14:paraId="35FA21D4" w14:textId="77777777" w:rsidR="00DD621B" w:rsidRDefault="00DD621B" w:rsidP="00905ED5">
      <w:pPr>
        <w:spacing w:line="360" w:lineRule="auto"/>
        <w:rPr>
          <w:b/>
          <w:bCs/>
        </w:rPr>
      </w:pPr>
    </w:p>
    <w:p w14:paraId="45C2E4C8" w14:textId="77777777" w:rsidR="00DD621B" w:rsidRDefault="00DD621B" w:rsidP="00905ED5">
      <w:pPr>
        <w:spacing w:line="360" w:lineRule="auto"/>
        <w:rPr>
          <w:b/>
          <w:bCs/>
        </w:rPr>
      </w:pPr>
    </w:p>
    <w:p w14:paraId="1824F3F8" w14:textId="77777777" w:rsidR="00DD621B" w:rsidRDefault="00DD621B" w:rsidP="00905ED5">
      <w:pPr>
        <w:spacing w:line="360" w:lineRule="auto"/>
        <w:rPr>
          <w:b/>
          <w:bCs/>
        </w:rPr>
      </w:pPr>
    </w:p>
    <w:p w14:paraId="6CF64105" w14:textId="77777777" w:rsidR="00DD621B" w:rsidRDefault="00DD621B" w:rsidP="00905ED5">
      <w:pPr>
        <w:spacing w:line="360" w:lineRule="auto"/>
        <w:rPr>
          <w:b/>
          <w:bCs/>
        </w:rPr>
      </w:pPr>
    </w:p>
    <w:p w14:paraId="4FA3CB73" w14:textId="77777777" w:rsidR="00DD621B" w:rsidRDefault="00DD621B" w:rsidP="00905ED5">
      <w:pPr>
        <w:spacing w:line="360" w:lineRule="auto"/>
        <w:rPr>
          <w:b/>
          <w:bCs/>
        </w:rPr>
      </w:pPr>
    </w:p>
    <w:p w14:paraId="545EF1F1" w14:textId="77777777" w:rsidR="00DD621B" w:rsidRDefault="00DD621B" w:rsidP="00905ED5">
      <w:pPr>
        <w:spacing w:line="360" w:lineRule="auto"/>
        <w:rPr>
          <w:b/>
          <w:bCs/>
        </w:rPr>
      </w:pPr>
    </w:p>
    <w:p w14:paraId="67FECB5E" w14:textId="77777777" w:rsidR="00DD621B" w:rsidRDefault="00DD621B" w:rsidP="00905ED5">
      <w:pPr>
        <w:spacing w:line="360" w:lineRule="auto"/>
        <w:rPr>
          <w:b/>
          <w:bCs/>
        </w:rPr>
      </w:pPr>
    </w:p>
    <w:p w14:paraId="2C78C50A" w14:textId="77777777" w:rsidR="00DD621B" w:rsidRDefault="00DD621B" w:rsidP="00905ED5">
      <w:pPr>
        <w:spacing w:line="360" w:lineRule="auto"/>
        <w:rPr>
          <w:b/>
          <w:bCs/>
        </w:rPr>
      </w:pPr>
    </w:p>
    <w:p w14:paraId="1D53B236" w14:textId="77777777" w:rsidR="00DD621B" w:rsidRDefault="00DD621B" w:rsidP="00905ED5">
      <w:pPr>
        <w:spacing w:line="360" w:lineRule="auto"/>
        <w:rPr>
          <w:b/>
          <w:bCs/>
        </w:rPr>
      </w:pPr>
    </w:p>
    <w:p w14:paraId="2B111B27" w14:textId="77777777" w:rsidR="00DD621B" w:rsidRDefault="00DD621B" w:rsidP="00905ED5">
      <w:pPr>
        <w:spacing w:line="360" w:lineRule="auto"/>
        <w:rPr>
          <w:b/>
          <w:bCs/>
        </w:rPr>
      </w:pPr>
    </w:p>
    <w:p w14:paraId="4D2B20B3" w14:textId="77777777" w:rsidR="00DD621B" w:rsidRDefault="00DD621B" w:rsidP="00905ED5">
      <w:pPr>
        <w:spacing w:line="360" w:lineRule="auto"/>
        <w:rPr>
          <w:b/>
          <w:bCs/>
        </w:rPr>
      </w:pPr>
    </w:p>
    <w:p w14:paraId="2BDD7854" w14:textId="77777777" w:rsidR="00DD621B" w:rsidRDefault="00DD621B" w:rsidP="00905ED5">
      <w:pPr>
        <w:spacing w:line="360" w:lineRule="auto"/>
        <w:rPr>
          <w:b/>
          <w:bCs/>
        </w:rPr>
      </w:pPr>
    </w:p>
    <w:p w14:paraId="30FB24B2" w14:textId="77777777" w:rsidR="00DD621B" w:rsidRDefault="00DD621B" w:rsidP="00905ED5">
      <w:pPr>
        <w:spacing w:line="360" w:lineRule="auto"/>
        <w:rPr>
          <w:b/>
          <w:bCs/>
        </w:rPr>
      </w:pPr>
    </w:p>
    <w:p w14:paraId="0C6EAEBA" w14:textId="77777777" w:rsidR="00DD621B" w:rsidRDefault="00DD621B" w:rsidP="00905ED5">
      <w:pPr>
        <w:spacing w:line="360" w:lineRule="auto"/>
        <w:rPr>
          <w:b/>
          <w:bCs/>
        </w:rPr>
      </w:pPr>
    </w:p>
    <w:p w14:paraId="49F7C329" w14:textId="77777777" w:rsidR="00DD621B" w:rsidRDefault="00DD621B" w:rsidP="00905ED5">
      <w:pPr>
        <w:spacing w:line="360" w:lineRule="auto"/>
        <w:rPr>
          <w:b/>
          <w:bCs/>
        </w:rPr>
      </w:pPr>
    </w:p>
    <w:p w14:paraId="3ECF38A2" w14:textId="77777777" w:rsidR="00DD621B" w:rsidRDefault="00DD621B" w:rsidP="00905ED5">
      <w:pPr>
        <w:spacing w:line="360" w:lineRule="auto"/>
        <w:rPr>
          <w:b/>
          <w:bCs/>
        </w:rPr>
      </w:pPr>
    </w:p>
    <w:p w14:paraId="0DD9A236" w14:textId="77777777" w:rsidR="00DD621B" w:rsidRDefault="00DD621B" w:rsidP="00905ED5">
      <w:pPr>
        <w:spacing w:line="360" w:lineRule="auto"/>
        <w:rPr>
          <w:b/>
          <w:bCs/>
        </w:rPr>
      </w:pPr>
    </w:p>
    <w:p w14:paraId="7300B277" w14:textId="77777777" w:rsidR="00DD621B" w:rsidRDefault="00DD621B" w:rsidP="00905ED5">
      <w:pPr>
        <w:spacing w:line="360" w:lineRule="auto"/>
        <w:rPr>
          <w:b/>
          <w:bCs/>
        </w:rPr>
      </w:pPr>
    </w:p>
    <w:p w14:paraId="2377B302" w14:textId="77777777" w:rsidR="00DD621B" w:rsidRDefault="00DD621B" w:rsidP="00905ED5">
      <w:pPr>
        <w:spacing w:line="360" w:lineRule="auto"/>
        <w:rPr>
          <w:b/>
          <w:bCs/>
        </w:rPr>
      </w:pPr>
    </w:p>
    <w:p w14:paraId="24180EBC" w14:textId="77777777" w:rsidR="00DD621B" w:rsidRDefault="00DD621B" w:rsidP="00905ED5">
      <w:pPr>
        <w:spacing w:line="360" w:lineRule="auto"/>
        <w:rPr>
          <w:b/>
          <w:bCs/>
        </w:rPr>
      </w:pPr>
    </w:p>
    <w:p w14:paraId="176D268D" w14:textId="77777777" w:rsidR="00DD621B" w:rsidRDefault="00DD621B" w:rsidP="00905ED5">
      <w:pPr>
        <w:spacing w:line="360" w:lineRule="auto"/>
        <w:rPr>
          <w:b/>
          <w:bCs/>
        </w:rPr>
      </w:pPr>
    </w:p>
    <w:p w14:paraId="4FB5FE2E" w14:textId="77777777" w:rsidR="00DD621B" w:rsidRDefault="00DD621B" w:rsidP="00905ED5">
      <w:pPr>
        <w:spacing w:line="360" w:lineRule="auto"/>
        <w:rPr>
          <w:b/>
          <w:bCs/>
        </w:rPr>
      </w:pPr>
    </w:p>
    <w:p w14:paraId="572281E8" w14:textId="77777777" w:rsidR="00DD621B" w:rsidRDefault="00DD621B" w:rsidP="00905ED5">
      <w:pPr>
        <w:spacing w:line="360" w:lineRule="auto"/>
        <w:rPr>
          <w:b/>
          <w:bCs/>
        </w:rPr>
      </w:pPr>
    </w:p>
    <w:p w14:paraId="30AD1459" w14:textId="77777777" w:rsidR="00DD621B" w:rsidRDefault="00DD621B" w:rsidP="00905ED5">
      <w:pPr>
        <w:spacing w:line="360" w:lineRule="auto"/>
        <w:rPr>
          <w:b/>
          <w:bCs/>
        </w:rPr>
      </w:pPr>
    </w:p>
    <w:p w14:paraId="3ECD76C8" w14:textId="77777777" w:rsidR="00DD621B" w:rsidRDefault="00DD621B" w:rsidP="00905ED5">
      <w:pPr>
        <w:spacing w:line="360" w:lineRule="auto"/>
        <w:rPr>
          <w:b/>
          <w:bCs/>
        </w:rPr>
      </w:pPr>
    </w:p>
    <w:p w14:paraId="5F243FFA" w14:textId="77777777" w:rsidR="00DD621B" w:rsidRDefault="00DD621B" w:rsidP="00905ED5">
      <w:pPr>
        <w:spacing w:line="360" w:lineRule="auto"/>
        <w:rPr>
          <w:b/>
          <w:bCs/>
        </w:rPr>
      </w:pPr>
    </w:p>
    <w:p w14:paraId="7008753B" w14:textId="77777777" w:rsidR="00DD621B" w:rsidRDefault="00DD621B" w:rsidP="00905ED5">
      <w:pPr>
        <w:spacing w:line="360" w:lineRule="auto"/>
        <w:rPr>
          <w:b/>
          <w:bCs/>
        </w:rPr>
      </w:pPr>
    </w:p>
    <w:p w14:paraId="2CCD1BF3" w14:textId="77777777" w:rsidR="00DD621B" w:rsidRDefault="00DD621B" w:rsidP="00905ED5">
      <w:pPr>
        <w:spacing w:line="360" w:lineRule="auto"/>
        <w:rPr>
          <w:b/>
          <w:bCs/>
        </w:rPr>
      </w:pPr>
    </w:p>
    <w:p w14:paraId="68536CC7" w14:textId="0F864336" w:rsidR="00DF551A" w:rsidRPr="00905ED5" w:rsidRDefault="00DF551A" w:rsidP="00905ED5">
      <w:pPr>
        <w:spacing w:line="360" w:lineRule="auto"/>
        <w:rPr>
          <w:b/>
          <w:bCs/>
        </w:rPr>
      </w:pPr>
      <w:r w:rsidRPr="00905ED5">
        <w:rPr>
          <w:b/>
          <w:bCs/>
        </w:rPr>
        <w:lastRenderedPageBreak/>
        <w:t xml:space="preserve">References </w:t>
      </w:r>
    </w:p>
    <w:p w14:paraId="6380EF9F" w14:textId="77777777" w:rsidR="00DF551A" w:rsidRPr="000826FE" w:rsidRDefault="00DF551A" w:rsidP="00905ED5">
      <w:pPr>
        <w:pStyle w:val="ListBullet"/>
        <w:numPr>
          <w:ilvl w:val="0"/>
          <w:numId w:val="0"/>
        </w:numPr>
        <w:spacing w:line="360" w:lineRule="auto"/>
        <w:rPr>
          <w:rFonts w:ascii="Arial" w:hAnsi="Arial" w:cs="Arial"/>
        </w:rPr>
      </w:pPr>
      <w:r w:rsidRPr="000826FE">
        <w:rPr>
          <w:rFonts w:ascii="Arial" w:hAnsi="Arial" w:cs="Arial"/>
        </w:rPr>
        <w:t>Adams, K. B., Leibbrandt, S. and Moon, H. (2011) ‘A critical review of the literature on social and leisure activity and wellbeing in later life’, Ageing &amp; Society, 31(4), pp. 683–712.</w:t>
      </w:r>
    </w:p>
    <w:p w14:paraId="050752A3" w14:textId="77777777" w:rsidR="00905ED5" w:rsidRDefault="00905ED5" w:rsidP="00905ED5">
      <w:pPr>
        <w:pStyle w:val="ListBullet"/>
        <w:numPr>
          <w:ilvl w:val="0"/>
          <w:numId w:val="0"/>
        </w:numPr>
        <w:spacing w:line="360" w:lineRule="auto"/>
        <w:rPr>
          <w:rFonts w:ascii="Arial" w:hAnsi="Arial" w:cs="Arial"/>
        </w:rPr>
      </w:pPr>
    </w:p>
    <w:p w14:paraId="6475A517" w14:textId="2974E87A" w:rsidR="00DF551A" w:rsidRPr="000826FE" w:rsidRDefault="00DF551A" w:rsidP="00905ED5">
      <w:pPr>
        <w:pStyle w:val="ListBullet"/>
        <w:numPr>
          <w:ilvl w:val="0"/>
          <w:numId w:val="0"/>
        </w:numPr>
        <w:spacing w:line="360" w:lineRule="auto"/>
        <w:rPr>
          <w:rFonts w:ascii="Arial" w:hAnsi="Arial" w:cs="Arial"/>
        </w:rPr>
      </w:pPr>
      <w:r w:rsidRPr="000826FE">
        <w:rPr>
          <w:rFonts w:ascii="Arial" w:hAnsi="Arial" w:cs="Arial"/>
        </w:rPr>
        <w:t>Alzheimer’s Society (2024) Dementia Statistics Hub. [Online] Available at: https://www.alzheimers.org.uk [Accessed 10 November 2025].</w:t>
      </w:r>
    </w:p>
    <w:p w14:paraId="104B46A4" w14:textId="77777777" w:rsidR="00DF551A" w:rsidRPr="000826FE" w:rsidRDefault="00DF551A" w:rsidP="00905ED5">
      <w:pPr>
        <w:pStyle w:val="ListBullet"/>
        <w:numPr>
          <w:ilvl w:val="0"/>
          <w:numId w:val="0"/>
        </w:numPr>
        <w:spacing w:line="360" w:lineRule="auto"/>
        <w:rPr>
          <w:rFonts w:ascii="Arial" w:hAnsi="Arial" w:cs="Arial"/>
        </w:rPr>
      </w:pPr>
      <w:r w:rsidRPr="000826FE">
        <w:rPr>
          <w:rFonts w:ascii="Arial" w:hAnsi="Arial" w:cs="Arial"/>
        </w:rPr>
        <w:t>Brooker, D. and Latham, G. (2016) Person-</w:t>
      </w:r>
      <w:proofErr w:type="spellStart"/>
      <w:r w:rsidRPr="000826FE">
        <w:rPr>
          <w:rFonts w:ascii="Arial" w:hAnsi="Arial" w:cs="Arial"/>
        </w:rPr>
        <w:t>Centred</w:t>
      </w:r>
      <w:proofErr w:type="spellEnd"/>
      <w:r w:rsidRPr="000826FE">
        <w:rPr>
          <w:rFonts w:ascii="Arial" w:hAnsi="Arial" w:cs="Arial"/>
        </w:rPr>
        <w:t xml:space="preserve"> Dementia Care: Making Services Better. 2nd ed. London: Jessica Kingsley Publishers.</w:t>
      </w:r>
    </w:p>
    <w:p w14:paraId="32E1A88B" w14:textId="77777777" w:rsidR="00DF551A" w:rsidRPr="000826FE" w:rsidRDefault="00DF551A" w:rsidP="000826FE">
      <w:pPr>
        <w:pStyle w:val="ListBullet"/>
        <w:tabs>
          <w:tab w:val="num" w:pos="360"/>
        </w:tabs>
        <w:spacing w:line="360" w:lineRule="auto"/>
        <w:ind w:left="360" w:hanging="360"/>
        <w:rPr>
          <w:rFonts w:ascii="Arial" w:hAnsi="Arial" w:cs="Arial"/>
        </w:rPr>
      </w:pPr>
      <w:r w:rsidRPr="000826FE">
        <w:rPr>
          <w:rFonts w:ascii="Arial" w:hAnsi="Arial" w:cs="Arial"/>
        </w:rPr>
        <w:t>Cumming, E. and Henry, W. E. (1961) Growing Old: The Process of Disengagement. New York: Basic Books.</w:t>
      </w:r>
    </w:p>
    <w:p w14:paraId="160BA15C" w14:textId="77777777" w:rsidR="00DF551A" w:rsidRPr="000826FE" w:rsidRDefault="00DF551A" w:rsidP="000826FE">
      <w:pPr>
        <w:pStyle w:val="ListBullet"/>
        <w:tabs>
          <w:tab w:val="num" w:pos="360"/>
        </w:tabs>
        <w:spacing w:line="360" w:lineRule="auto"/>
        <w:ind w:left="360" w:hanging="360"/>
        <w:rPr>
          <w:rFonts w:ascii="Arial" w:hAnsi="Arial" w:cs="Arial"/>
        </w:rPr>
      </w:pPr>
      <w:r w:rsidRPr="000826FE">
        <w:rPr>
          <w:rFonts w:ascii="Arial" w:hAnsi="Arial" w:cs="Arial"/>
        </w:rPr>
        <w:t>Feil, N. and de Klerk-Rubin, V. (2015) The Validation Breakthrough: Simple Techniques for Communicating with People with Alzheimer’s-Type Dementia. 3rd ed. Baltimore: Health Professions Press.</w:t>
      </w:r>
    </w:p>
    <w:p w14:paraId="5739F720" w14:textId="77777777" w:rsidR="00DF551A" w:rsidRPr="000826FE" w:rsidRDefault="00DF551A" w:rsidP="000826FE">
      <w:pPr>
        <w:pStyle w:val="ListBullet"/>
        <w:tabs>
          <w:tab w:val="num" w:pos="360"/>
        </w:tabs>
        <w:spacing w:line="360" w:lineRule="auto"/>
        <w:ind w:left="360" w:hanging="360"/>
        <w:rPr>
          <w:rFonts w:ascii="Arial" w:hAnsi="Arial" w:cs="Arial"/>
        </w:rPr>
      </w:pPr>
      <w:r w:rsidRPr="000826FE">
        <w:rPr>
          <w:rFonts w:ascii="Arial" w:hAnsi="Arial" w:cs="Arial"/>
        </w:rPr>
        <w:t>Hooyman, N. R. and Kiyak, H. A. (2018) Social Gerontology: A Multidisciplinary Perspective. 10th ed. Boston: Pearson.</w:t>
      </w:r>
    </w:p>
    <w:p w14:paraId="65CA6302" w14:textId="77777777" w:rsidR="00DF551A" w:rsidRPr="000826FE" w:rsidRDefault="00DF551A" w:rsidP="000826FE">
      <w:pPr>
        <w:pStyle w:val="ListBullet"/>
        <w:tabs>
          <w:tab w:val="num" w:pos="360"/>
        </w:tabs>
        <w:spacing w:line="360" w:lineRule="auto"/>
        <w:ind w:left="360" w:hanging="360"/>
        <w:rPr>
          <w:rFonts w:ascii="Arial" w:hAnsi="Arial" w:cs="Arial"/>
        </w:rPr>
      </w:pPr>
      <w:proofErr w:type="spellStart"/>
      <w:r w:rsidRPr="000826FE">
        <w:rPr>
          <w:rFonts w:ascii="Arial" w:hAnsi="Arial" w:cs="Arial"/>
        </w:rPr>
        <w:t>Kitwood</w:t>
      </w:r>
      <w:proofErr w:type="spellEnd"/>
      <w:r w:rsidRPr="000826FE">
        <w:rPr>
          <w:rFonts w:ascii="Arial" w:hAnsi="Arial" w:cs="Arial"/>
        </w:rPr>
        <w:t>, T. (1997) Dementia Reconsidered: The Person Comes First. Buckingham: Open University Press.</w:t>
      </w:r>
    </w:p>
    <w:p w14:paraId="20454282" w14:textId="77777777" w:rsidR="00DF551A" w:rsidRPr="000826FE" w:rsidRDefault="00DF551A" w:rsidP="000826FE">
      <w:pPr>
        <w:pStyle w:val="ListBullet"/>
        <w:tabs>
          <w:tab w:val="num" w:pos="360"/>
        </w:tabs>
        <w:spacing w:line="360" w:lineRule="auto"/>
        <w:ind w:left="360" w:hanging="360"/>
        <w:rPr>
          <w:rFonts w:ascii="Arial" w:hAnsi="Arial" w:cs="Arial"/>
        </w:rPr>
      </w:pPr>
      <w:r w:rsidRPr="000826FE">
        <w:rPr>
          <w:rFonts w:ascii="Arial" w:hAnsi="Arial" w:cs="Arial"/>
        </w:rPr>
        <w:t>Subramaniam, P. and Woods, B. (2016) ‘The impact of individual reminiscence therapy for people with dementia: Systematic review’, Expert Review of Neurotherapeutics, 16(5), pp. 511–520.</w:t>
      </w:r>
    </w:p>
    <w:p w14:paraId="2EE7B6F4" w14:textId="77777777" w:rsidR="00DF551A" w:rsidRPr="000826FE" w:rsidRDefault="00DF551A" w:rsidP="000826FE">
      <w:pPr>
        <w:spacing w:line="360" w:lineRule="auto"/>
      </w:pPr>
    </w:p>
    <w:sectPr w:rsidR="00DF551A" w:rsidRPr="000826F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5338F" w14:textId="77777777" w:rsidR="00CB5191" w:rsidRDefault="00CB5191" w:rsidP="00FE6F3E">
      <w:r>
        <w:separator/>
      </w:r>
    </w:p>
  </w:endnote>
  <w:endnote w:type="continuationSeparator" w:id="0">
    <w:p w14:paraId="5B3B653D" w14:textId="77777777" w:rsidR="00CB5191" w:rsidRDefault="00CB5191" w:rsidP="00FE6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8D154" w14:textId="77777777" w:rsidR="00FE6F3E" w:rsidRDefault="00FE6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41251"/>
      <w:docPartObj>
        <w:docPartGallery w:val="Page Numbers (Bottom of Page)"/>
        <w:docPartUnique/>
      </w:docPartObj>
    </w:sdtPr>
    <w:sdtEndPr>
      <w:rPr>
        <w:noProof/>
      </w:rPr>
    </w:sdtEndPr>
    <w:sdtContent>
      <w:p w14:paraId="7B1AC833" w14:textId="44C2AB7E" w:rsidR="00080323" w:rsidRDefault="00080323">
        <w:pPr>
          <w:pStyle w:val="Footer"/>
        </w:pPr>
        <w:r>
          <w:fldChar w:fldCharType="begin"/>
        </w:r>
        <w:r>
          <w:instrText xml:space="preserve"> PAGE   \* MERGEFORMAT </w:instrText>
        </w:r>
        <w:r>
          <w:fldChar w:fldCharType="separate"/>
        </w:r>
        <w:r>
          <w:rPr>
            <w:noProof/>
          </w:rPr>
          <w:t>2</w:t>
        </w:r>
        <w:r>
          <w:rPr>
            <w:noProof/>
          </w:rPr>
          <w:fldChar w:fldCharType="end"/>
        </w:r>
      </w:p>
    </w:sdtContent>
  </w:sdt>
  <w:p w14:paraId="1E68877E" w14:textId="77777777" w:rsidR="00FE6F3E" w:rsidRDefault="00FE6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52287" w14:textId="77777777" w:rsidR="00FE6F3E" w:rsidRDefault="00FE6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866CA" w14:textId="77777777" w:rsidR="00CB5191" w:rsidRDefault="00CB5191" w:rsidP="00FE6F3E">
      <w:r>
        <w:separator/>
      </w:r>
    </w:p>
  </w:footnote>
  <w:footnote w:type="continuationSeparator" w:id="0">
    <w:p w14:paraId="226C6DF0" w14:textId="77777777" w:rsidR="00CB5191" w:rsidRDefault="00CB5191" w:rsidP="00FE6F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75D42" w14:textId="77777777" w:rsidR="00FE6F3E" w:rsidRDefault="00FE6F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20765" w14:textId="77777777" w:rsidR="00FE6F3E" w:rsidRDefault="00FE6F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B054C" w14:textId="77777777" w:rsidR="00FE6F3E" w:rsidRDefault="00FE6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6303C0A"/>
    <w:lvl w:ilvl="0">
      <w:start w:val="1"/>
      <w:numFmt w:val="bullet"/>
      <w:pStyle w:val="ListBullet"/>
      <w:lvlText w:val=""/>
      <w:lvlJc w:val="left"/>
      <w:pPr>
        <w:tabs>
          <w:tab w:val="num" w:pos="360"/>
        </w:tabs>
        <w:ind w:left="360" w:hanging="360"/>
      </w:pPr>
      <w:rPr>
        <w:rFonts w:ascii="Symbol" w:hAnsi="Symbol" w:hint="default"/>
      </w:rPr>
    </w:lvl>
  </w:abstractNum>
  <w:num w:numId="1" w16cid:durableId="483549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67"/>
    <w:rsid w:val="00023E60"/>
    <w:rsid w:val="000669B3"/>
    <w:rsid w:val="00080323"/>
    <w:rsid w:val="000826FE"/>
    <w:rsid w:val="000D6859"/>
    <w:rsid w:val="00204067"/>
    <w:rsid w:val="005261C6"/>
    <w:rsid w:val="00697E1D"/>
    <w:rsid w:val="006E7A98"/>
    <w:rsid w:val="00730B3D"/>
    <w:rsid w:val="007857D7"/>
    <w:rsid w:val="007B2351"/>
    <w:rsid w:val="00905ED5"/>
    <w:rsid w:val="009B27BC"/>
    <w:rsid w:val="00AD67F5"/>
    <w:rsid w:val="00B05A13"/>
    <w:rsid w:val="00BC062A"/>
    <w:rsid w:val="00C51D66"/>
    <w:rsid w:val="00C85484"/>
    <w:rsid w:val="00CB5191"/>
    <w:rsid w:val="00D64C77"/>
    <w:rsid w:val="00DD621B"/>
    <w:rsid w:val="00DF551A"/>
    <w:rsid w:val="00FE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22822F"/>
  <w15:chartTrackingRefBased/>
  <w15:docId w15:val="{DF27E190-3230-49A6-8E2B-0DD90810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067"/>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2040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40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40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0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0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0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0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0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0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0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40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40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0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0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0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0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0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067"/>
    <w:rPr>
      <w:rFonts w:eastAsiaTheme="majorEastAsia" w:cstheme="majorBidi"/>
      <w:color w:val="272727" w:themeColor="text1" w:themeTint="D8"/>
    </w:rPr>
  </w:style>
  <w:style w:type="paragraph" w:styleId="Title">
    <w:name w:val="Title"/>
    <w:basedOn w:val="Normal"/>
    <w:next w:val="Normal"/>
    <w:link w:val="TitleChar"/>
    <w:uiPriority w:val="10"/>
    <w:qFormat/>
    <w:rsid w:val="0020406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0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0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0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067"/>
    <w:pPr>
      <w:spacing w:before="160"/>
      <w:jc w:val="center"/>
    </w:pPr>
    <w:rPr>
      <w:i/>
      <w:iCs/>
      <w:color w:val="404040" w:themeColor="text1" w:themeTint="BF"/>
    </w:rPr>
  </w:style>
  <w:style w:type="character" w:customStyle="1" w:styleId="QuoteChar">
    <w:name w:val="Quote Char"/>
    <w:basedOn w:val="DefaultParagraphFont"/>
    <w:link w:val="Quote"/>
    <w:uiPriority w:val="29"/>
    <w:rsid w:val="00204067"/>
    <w:rPr>
      <w:i/>
      <w:iCs/>
      <w:color w:val="404040" w:themeColor="text1" w:themeTint="BF"/>
    </w:rPr>
  </w:style>
  <w:style w:type="paragraph" w:styleId="ListParagraph">
    <w:name w:val="List Paragraph"/>
    <w:basedOn w:val="Normal"/>
    <w:uiPriority w:val="34"/>
    <w:qFormat/>
    <w:rsid w:val="00204067"/>
    <w:pPr>
      <w:ind w:left="720"/>
      <w:contextualSpacing/>
    </w:pPr>
  </w:style>
  <w:style w:type="character" w:styleId="IntenseEmphasis">
    <w:name w:val="Intense Emphasis"/>
    <w:basedOn w:val="DefaultParagraphFont"/>
    <w:uiPriority w:val="21"/>
    <w:qFormat/>
    <w:rsid w:val="00204067"/>
    <w:rPr>
      <w:i/>
      <w:iCs/>
      <w:color w:val="0F4761" w:themeColor="accent1" w:themeShade="BF"/>
    </w:rPr>
  </w:style>
  <w:style w:type="paragraph" w:styleId="IntenseQuote">
    <w:name w:val="Intense Quote"/>
    <w:basedOn w:val="Normal"/>
    <w:next w:val="Normal"/>
    <w:link w:val="IntenseQuoteChar"/>
    <w:uiPriority w:val="30"/>
    <w:qFormat/>
    <w:rsid w:val="002040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067"/>
    <w:rPr>
      <w:i/>
      <w:iCs/>
      <w:color w:val="0F4761" w:themeColor="accent1" w:themeShade="BF"/>
    </w:rPr>
  </w:style>
  <w:style w:type="character" w:styleId="IntenseReference">
    <w:name w:val="Intense Reference"/>
    <w:basedOn w:val="DefaultParagraphFont"/>
    <w:uiPriority w:val="32"/>
    <w:qFormat/>
    <w:rsid w:val="00204067"/>
    <w:rPr>
      <w:b/>
      <w:bCs/>
      <w:smallCaps/>
      <w:color w:val="0F4761" w:themeColor="accent1" w:themeShade="BF"/>
      <w:spacing w:val="5"/>
    </w:rPr>
  </w:style>
  <w:style w:type="paragraph" w:styleId="BodyText">
    <w:name w:val="Body Text"/>
    <w:basedOn w:val="Normal"/>
    <w:link w:val="BodyTextChar"/>
    <w:uiPriority w:val="1"/>
    <w:qFormat/>
    <w:rsid w:val="00204067"/>
  </w:style>
  <w:style w:type="character" w:customStyle="1" w:styleId="BodyTextChar">
    <w:name w:val="Body Text Char"/>
    <w:basedOn w:val="DefaultParagraphFont"/>
    <w:link w:val="BodyText"/>
    <w:uiPriority w:val="1"/>
    <w:rsid w:val="00204067"/>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204067"/>
  </w:style>
  <w:style w:type="paragraph" w:styleId="ListBullet">
    <w:name w:val="List Bullet"/>
    <w:basedOn w:val="Normal"/>
    <w:uiPriority w:val="99"/>
    <w:unhideWhenUsed/>
    <w:rsid w:val="00DF551A"/>
    <w:pPr>
      <w:widowControl/>
      <w:numPr>
        <w:numId w:val="1"/>
      </w:numPr>
      <w:tabs>
        <w:tab w:val="clear" w:pos="360"/>
      </w:tabs>
      <w:autoSpaceDE/>
      <w:autoSpaceDN/>
      <w:spacing w:after="200" w:line="276" w:lineRule="auto"/>
      <w:ind w:left="0" w:firstLine="0"/>
      <w:contextualSpacing/>
    </w:pPr>
    <w:rPr>
      <w:rFonts w:asciiTheme="minorHAnsi" w:eastAsiaTheme="minorEastAsia" w:hAnsiTheme="minorHAnsi" w:cstheme="minorBidi"/>
    </w:rPr>
  </w:style>
  <w:style w:type="paragraph" w:styleId="TOCHeading">
    <w:name w:val="TOC Heading"/>
    <w:basedOn w:val="Heading1"/>
    <w:next w:val="Normal"/>
    <w:uiPriority w:val="39"/>
    <w:unhideWhenUsed/>
    <w:qFormat/>
    <w:rsid w:val="00DF551A"/>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DF551A"/>
    <w:pPr>
      <w:spacing w:after="100"/>
    </w:pPr>
  </w:style>
  <w:style w:type="paragraph" w:styleId="TOC2">
    <w:name w:val="toc 2"/>
    <w:basedOn w:val="Normal"/>
    <w:next w:val="Normal"/>
    <w:autoRedefine/>
    <w:uiPriority w:val="39"/>
    <w:unhideWhenUsed/>
    <w:rsid w:val="00DF551A"/>
    <w:pPr>
      <w:spacing w:after="100"/>
      <w:ind w:left="220"/>
    </w:pPr>
  </w:style>
  <w:style w:type="paragraph" w:styleId="TOC3">
    <w:name w:val="toc 3"/>
    <w:basedOn w:val="Normal"/>
    <w:next w:val="Normal"/>
    <w:autoRedefine/>
    <w:uiPriority w:val="39"/>
    <w:unhideWhenUsed/>
    <w:rsid w:val="00DF551A"/>
    <w:pPr>
      <w:spacing w:after="100"/>
      <w:ind w:left="440"/>
    </w:pPr>
  </w:style>
  <w:style w:type="character" w:styleId="Hyperlink">
    <w:name w:val="Hyperlink"/>
    <w:basedOn w:val="DefaultParagraphFont"/>
    <w:uiPriority w:val="99"/>
    <w:unhideWhenUsed/>
    <w:rsid w:val="00DF551A"/>
    <w:rPr>
      <w:color w:val="467886" w:themeColor="hyperlink"/>
      <w:u w:val="single"/>
    </w:rPr>
  </w:style>
  <w:style w:type="paragraph" w:styleId="Header">
    <w:name w:val="header"/>
    <w:basedOn w:val="Normal"/>
    <w:link w:val="HeaderChar"/>
    <w:uiPriority w:val="99"/>
    <w:unhideWhenUsed/>
    <w:rsid w:val="00FE6F3E"/>
    <w:pPr>
      <w:tabs>
        <w:tab w:val="center" w:pos="4513"/>
        <w:tab w:val="right" w:pos="9026"/>
      </w:tabs>
    </w:pPr>
  </w:style>
  <w:style w:type="character" w:customStyle="1" w:styleId="HeaderChar">
    <w:name w:val="Header Char"/>
    <w:basedOn w:val="DefaultParagraphFont"/>
    <w:link w:val="Header"/>
    <w:uiPriority w:val="99"/>
    <w:rsid w:val="00FE6F3E"/>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FE6F3E"/>
    <w:pPr>
      <w:tabs>
        <w:tab w:val="center" w:pos="4513"/>
        <w:tab w:val="right" w:pos="9026"/>
      </w:tabs>
    </w:pPr>
  </w:style>
  <w:style w:type="character" w:customStyle="1" w:styleId="FooterChar">
    <w:name w:val="Footer Char"/>
    <w:basedOn w:val="DefaultParagraphFont"/>
    <w:link w:val="Footer"/>
    <w:uiPriority w:val="99"/>
    <w:rsid w:val="00FE6F3E"/>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7CD30-E857-4C14-B61D-0DCCFBC58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6</Pages>
  <Words>1270</Words>
  <Characters>7942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Masih</dc:creator>
  <cp:keywords/>
  <dc:description/>
  <cp:lastModifiedBy>James Masih</cp:lastModifiedBy>
  <cp:revision>15</cp:revision>
  <dcterms:created xsi:type="dcterms:W3CDTF">2025-11-10T19:03:00Z</dcterms:created>
  <dcterms:modified xsi:type="dcterms:W3CDTF">2025-11-10T20:16:00Z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a6feb719-a022-49d8-b2a6-87d9c6bbeacc</vt:lpwstr>
  </property>
</Properties>
</file>