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02FB0" w14:textId="6FA7A6A4" w:rsidR="0008735C" w:rsidRDefault="007D1155" w:rsidP="00D666CD">
      <w:pPr>
        <w:tabs>
          <w:tab w:val="num" w:pos="720"/>
        </w:tabs>
        <w:ind w:left="720" w:hanging="360"/>
      </w:pPr>
      <w:r>
        <w:t xml:space="preserve">                           </w:t>
      </w:r>
      <w:r w:rsidR="00431539">
        <w:t xml:space="preserve">Post Debate </w:t>
      </w:r>
      <w:r w:rsidR="003B5A47">
        <w:t>Supporting</w:t>
      </w:r>
      <w:r w:rsidR="00431539">
        <w:t xml:space="preserve"> Paper: </w:t>
      </w:r>
      <w:r w:rsidR="001A2247">
        <w:t>The Advantages/Di</w:t>
      </w:r>
      <w:r w:rsidR="003C2531">
        <w:t>sadvantages of financing Universal Health Coverage (UHC)</w:t>
      </w:r>
      <w:r w:rsidR="00486936">
        <w:t xml:space="preserve"> using a mandatory-insurance based </w:t>
      </w:r>
      <w:r w:rsidR="006C0F6A">
        <w:t>mechanism; Germany.</w:t>
      </w:r>
    </w:p>
    <w:p w14:paraId="789A8E8C" w14:textId="77777777" w:rsidR="007470D6" w:rsidRDefault="007470D6" w:rsidP="0008735C"/>
    <w:p w14:paraId="2E900586" w14:textId="26C0B862" w:rsidR="000B6EB0" w:rsidRDefault="007470D6" w:rsidP="0008735C">
      <w:r w:rsidRPr="007470D6">
        <w:t>A fundamental global health goal, universal health coverage (UHC) aims to guarantee that all people and communities have access to necessary medical care without experiencing financial hardship. Achieving UHC is a political choice as well as a healthcare delivery issue, as noted by Kittelson et al. (2019) and the World Health Organization (WHO), highlighting the significance of strong governmental commitment. With an emphasis on service accessibility, quality, and financial security, UHC is a holistic approach to health systems that is integrated into the Sustainable Development Goals (SDGs)</w:t>
      </w:r>
      <w:r w:rsidR="009F5B83">
        <w:t xml:space="preserve"> </w:t>
      </w:r>
      <w:r w:rsidR="00F84BFD">
        <w:t>(WHO, 2025)</w:t>
      </w:r>
      <w:r w:rsidRPr="007470D6">
        <w:t>. Countries all over the world have implemented UHC using different models; systems like the Bismarck and Beveridge (NHS) models show varying approaches to administration, funding, and accessibility. This essay examines various approaches, compares implementations in important nations, and emphasizes the successes and lingering difficulties in the fight for universal health coverage.</w:t>
      </w:r>
      <w:r w:rsidR="007D1155">
        <w:t xml:space="preserve">       </w:t>
      </w:r>
    </w:p>
    <w:p w14:paraId="1E2B2D3C" w14:textId="5DDC3BF2" w:rsidR="00062934" w:rsidRDefault="000B6EB0" w:rsidP="00062934">
      <w:r w:rsidRPr="000B6EB0">
        <w:t xml:space="preserve"> The WHO (2021) reports that approximately 100 million people are forced into extreme poverty annually </w:t>
      </w:r>
      <w:proofErr w:type="gramStart"/>
      <w:r w:rsidRPr="000B6EB0">
        <w:t>as a result of</w:t>
      </w:r>
      <w:proofErr w:type="gramEnd"/>
      <w:r w:rsidRPr="000B6EB0">
        <w:t xml:space="preserve"> healthcare costs, and that more than half of the world's population still lacks access to basic health services. According to health economics, UHC needs sufficient finance, fair resource distribution, and systems to keep medical expenses under control while optimizing patient outcomes. The notion that healthy people increase productivity, lower inequality, and foster social stability lends credence to the economic case for universal health coverage (Kittelson et al., 2019). Strong governance, legal frameworks requiring health access, and sustainable financing models—usually through general taxes, social health insurance, or a combination of mechanisms—are necessary for countries to achieve UHC. However, significant obstacles include inadequate health infrastructure, constrained fiscal capacity, high out-of-pocket expenses, and political instability frequently confront low- and middle-income nations. For instance, despite the pressing need, UHC is not practical in war-torn nations like Yemen since the health system has essentially disintegrated (</w:t>
      </w:r>
      <w:proofErr w:type="spellStart"/>
      <w:r w:rsidRPr="000B6EB0">
        <w:t>WorldAtlas</w:t>
      </w:r>
      <w:proofErr w:type="spellEnd"/>
      <w:r w:rsidRPr="000B6EB0">
        <w:t>, 2025). Therefore, even though UHC is a universal goal, political and economic circumstances unique to each environment will determine if it is realized.</w:t>
      </w:r>
      <w:r w:rsidR="00E768D5">
        <w:t xml:space="preserve"> </w:t>
      </w:r>
      <w:r w:rsidR="00CD5A52" w:rsidRPr="00CD5A52">
        <w:t xml:space="preserve">In Germany, healthcare is financed by mandated contributions from employers and employees under the Bismarck model, a social health insurance system that was first implemented in 1883. Statutory health insurance (SHI) covers about 86% of the population, while private insurance is chosen by the remaining individuals (Commonwealth Fund, 2020). More than 100 non-profit sickness funds oversee administration, competing for members while encouraging creativity and high-quality services. The government regulates these funds, yet they function autonomously, guaranteeing a decentralized yet well-coordinated structure (Markovic, 2021). This model's emphasis on patient choice and access is one of its main drivers; patients can see any general practitioner or specialist without a referral, and treatment wait times are usually brief (Nizar, 2023). Competition among funds also promotes ongoing quality enhancement. But there are several problems with the model. Long-term sustainability issues are presented by the intricacy of overseeing many illness funds, which can result in bureaucratic inefficiencies. Additionally, the aging population and medical inflation are driving up healthcare expenditures (Blumel et al., 2020). The disparity brought about by the dual system is another issue; people with private insurance frequently obtain quicker or higher-quality care, which raises moral questions about equity. Due in significant part to effective administration, smart regulation, and a focus on public-private cooperation, Germany's model has managed to lower infectious disease mortality and guarantee nearly universal coverage </w:t>
      </w:r>
      <w:proofErr w:type="gramStart"/>
      <w:r w:rsidR="00CD5A52" w:rsidRPr="00CD5A52">
        <w:t>in spite of</w:t>
      </w:r>
      <w:proofErr w:type="gramEnd"/>
      <w:r w:rsidR="00CD5A52" w:rsidRPr="00CD5A52">
        <w:t xml:space="preserve"> these obstacles (</w:t>
      </w:r>
      <w:proofErr w:type="spellStart"/>
      <w:r w:rsidR="00CD5A52" w:rsidRPr="00CD5A52">
        <w:t>Driva</w:t>
      </w:r>
      <w:proofErr w:type="spellEnd"/>
      <w:r w:rsidR="00CD5A52" w:rsidRPr="00CD5A52">
        <w:t xml:space="preserve"> et al., 2020)</w:t>
      </w:r>
      <w:r w:rsidR="00985A78">
        <w:t>.</w:t>
      </w:r>
      <w:r w:rsidR="000B6A87">
        <w:t xml:space="preserve"> </w:t>
      </w:r>
      <w:r w:rsidR="00534000">
        <w:t xml:space="preserve"> </w:t>
      </w:r>
      <w:r w:rsidR="00062934">
        <w:t xml:space="preserve">The UK, on the other hand, adheres to the Beveridge model, in which the </w:t>
      </w:r>
      <w:r w:rsidR="00062934">
        <w:lastRenderedPageBreak/>
        <w:t xml:space="preserve">National Health Service (NHS) is a publicly sponsored organization that provides healthcare services and is largely financed by general taxes. The fact that all UK citizens are immediately protected without having to </w:t>
      </w:r>
      <w:proofErr w:type="spellStart"/>
      <w:r w:rsidR="00062934">
        <w:t>enroll</w:t>
      </w:r>
      <w:proofErr w:type="spellEnd"/>
      <w:r w:rsidR="00062934">
        <w:t xml:space="preserve"> in insurance encourages equity and simplicity (Donaldson, 2023). NHS England and the Department of Health oversee healthcare services centrally, guaranteeing uniform national standards. Despite its emphasis on cost containment and universal access, this strategy has many operational issues. Long wait times for non-urgent surgeries and mental health services are a result of ongoing underfunding, which has increased patient discontent (Khan, 2023). Lack of workers puts additional burden on the system and lowers the quality of service, especially for nurses and general practitioners. There are geographical differences as well, with certain areas having worse health outcomes </w:t>
      </w:r>
      <w:proofErr w:type="gramStart"/>
      <w:r w:rsidR="00062934">
        <w:t>as a result of</w:t>
      </w:r>
      <w:proofErr w:type="gramEnd"/>
      <w:r w:rsidR="00062934">
        <w:t xml:space="preserve"> unequal service delivery. Private providers have a restricted role even though they are employed to shorten waiting lists. In contrast to Germany, patients in the UK must be referred to specialists, which may cause care to be delayed. Despite this, the NHS continues to be one of the most equal healthcare systems in the world, providing care according to need rather than financial means. Strong public trust, extensive service coverage, and low financial barriers to access are some of its main benefits. Its difficulties, however, draw attention to the necessity of structural changes to boost productivity, resource distribution, and </w:t>
      </w:r>
      <w:proofErr w:type="spellStart"/>
      <w:r w:rsidR="00062934">
        <w:t>labor</w:t>
      </w:r>
      <w:proofErr w:type="spellEnd"/>
      <w:r w:rsidR="00062934">
        <w:t xml:space="preserve"> sustainability.</w:t>
      </w:r>
      <w:r w:rsidR="000B6A87">
        <w:t xml:space="preserve"> </w:t>
      </w:r>
      <w:r w:rsidR="00537164" w:rsidRPr="00537164">
        <w:t xml:space="preserve">Germany's Bismarck model provides a more flexible and sustainable approach to health finance than the other two systems. A wide revenue base is guaranteed </w:t>
      </w:r>
      <w:proofErr w:type="gramStart"/>
      <w:r w:rsidR="00537164" w:rsidRPr="00537164">
        <w:t>by the use of</w:t>
      </w:r>
      <w:proofErr w:type="gramEnd"/>
      <w:r w:rsidR="00537164" w:rsidRPr="00537164">
        <w:t xml:space="preserve"> mandated insurance contributions, and service quality and innovation are stimulated by competition among illness funds. The German system gives patients more choice and quicker access to specialists than the NHS in the UK, where underfunding and access delays are significant problems. Although there are equity issues with private insurance, the system performs well overall in terms of service delivery and health outcomes. Policymakers in other countries should think about hybrid models that incorporate equity protections and Germany's funding structures </w:t>
      </w:r>
      <w:proofErr w:type="gramStart"/>
      <w:r w:rsidR="00537164" w:rsidRPr="00537164">
        <w:t>in order to</w:t>
      </w:r>
      <w:proofErr w:type="gramEnd"/>
      <w:r w:rsidR="00537164" w:rsidRPr="00537164">
        <w:t xml:space="preserve"> expand on these insights. To avoid disparities, suggestions include streamlining administrative procedures, incorporating digital health solutions, and strengthening regulatory supervision. Under this paradigm, patients benefit from better access and service quality, while healthcare professionals could gain more autonomy and better resources. Germany's success can be used by policymakers to create systems that are socially just and economically effective. Finally, international initiatives to provide universal access to high-quality, fair healthcare can benefit from the lessons learned from Germany's UHC model.</w:t>
      </w:r>
    </w:p>
    <w:p w14:paraId="72F046E7" w14:textId="656FAA25" w:rsidR="00F26D94" w:rsidRDefault="001C6D17" w:rsidP="00F26D94">
      <w:r w:rsidRPr="001C6D17">
        <w:t xml:space="preserve">Universal Health Coverage is not only a legislative objective but a key avenue to enhancing population health and economic resilience. Countries like Germany and the UK exhibit two diverse yet effective ways to UHC — the Bismarck model’s competitive insurance framework and the NHS’s tax-funded centralized system. These systems exhibit a range of advantages, including equity, creativity, and accessibility, but they also highlight enduring problems, such as regional inequalities, </w:t>
      </w:r>
      <w:proofErr w:type="spellStart"/>
      <w:r w:rsidRPr="001C6D17">
        <w:t>labor</w:t>
      </w:r>
      <w:proofErr w:type="spellEnd"/>
      <w:r w:rsidRPr="001C6D17">
        <w:t xml:space="preserve"> shortages, and cost inflation. Global initiatives like those in Ghana and Thailand show that UHC is achievable even in environments with low resources if there is political will, strategic investment, and international cooperation. </w:t>
      </w:r>
    </w:p>
    <w:p w14:paraId="6D8C95EE" w14:textId="77777777" w:rsidR="0008735C" w:rsidRDefault="0008735C" w:rsidP="00F26D94"/>
    <w:p w14:paraId="2A6CCD5F" w14:textId="77777777" w:rsidR="0008735C" w:rsidRDefault="0008735C" w:rsidP="00F26D94"/>
    <w:p w14:paraId="51351C7B" w14:textId="77777777" w:rsidR="003B5A47" w:rsidRDefault="003B5A47" w:rsidP="00F26D94"/>
    <w:p w14:paraId="7759212B" w14:textId="77777777" w:rsidR="003B5A47" w:rsidRDefault="003B5A47" w:rsidP="00F26D94"/>
    <w:p w14:paraId="71B1508E" w14:textId="77777777" w:rsidR="003B5A47" w:rsidRDefault="003B5A47" w:rsidP="00F26D94"/>
    <w:p w14:paraId="6A878582" w14:textId="77777777" w:rsidR="003B5A47" w:rsidRDefault="003B5A47" w:rsidP="00F26D94"/>
    <w:p w14:paraId="0AA89329" w14:textId="52217CDD" w:rsidR="0008735C" w:rsidRDefault="0008735C" w:rsidP="00F26D94">
      <w:r>
        <w:lastRenderedPageBreak/>
        <w:t>References List</w:t>
      </w:r>
    </w:p>
    <w:p w14:paraId="579FCC39" w14:textId="77777777" w:rsidR="0008735C" w:rsidRPr="0008735C" w:rsidRDefault="0008735C" w:rsidP="0008735C">
      <w:r w:rsidRPr="0008735C">
        <w:t xml:space="preserve">Blumel, M., </w:t>
      </w:r>
      <w:proofErr w:type="gramStart"/>
      <w:r w:rsidRPr="0008735C">
        <w:t>et al.,(</w:t>
      </w:r>
      <w:proofErr w:type="gramEnd"/>
      <w:r w:rsidRPr="0008735C">
        <w:t xml:space="preserve">2020)’Germany: health system review’ </w:t>
      </w:r>
      <w:r w:rsidRPr="0008735C">
        <w:rPr>
          <w:i/>
          <w:iCs/>
        </w:rPr>
        <w:t xml:space="preserve">Health System Transit, </w:t>
      </w:r>
      <w:r w:rsidRPr="0008735C">
        <w:t>22(6), pp. 1-272.</w:t>
      </w:r>
    </w:p>
    <w:p w14:paraId="286A8FE8" w14:textId="77777777" w:rsidR="0008735C" w:rsidRPr="0008735C" w:rsidRDefault="0008735C" w:rsidP="0008735C">
      <w:r w:rsidRPr="0008735C">
        <w:t xml:space="preserve">Donaldson, </w:t>
      </w:r>
      <w:proofErr w:type="gramStart"/>
      <w:r w:rsidRPr="0008735C">
        <w:t>C.,(</w:t>
      </w:r>
      <w:proofErr w:type="gramEnd"/>
      <w:r w:rsidRPr="0008735C">
        <w:t xml:space="preserve">2023)’In defence of the National Health Service’, </w:t>
      </w:r>
      <w:r w:rsidRPr="0008735C">
        <w:rPr>
          <w:i/>
          <w:iCs/>
        </w:rPr>
        <w:t xml:space="preserve">British Medical Journal, </w:t>
      </w:r>
      <w:r w:rsidRPr="0008735C">
        <w:t>380(1).</w:t>
      </w:r>
    </w:p>
    <w:p w14:paraId="1B1F9206" w14:textId="77777777" w:rsidR="0008735C" w:rsidRPr="0008735C" w:rsidRDefault="0008735C" w:rsidP="0008735C">
      <w:proofErr w:type="spellStart"/>
      <w:r w:rsidRPr="0008735C">
        <w:t>Driva</w:t>
      </w:r>
      <w:proofErr w:type="spellEnd"/>
      <w:r w:rsidRPr="0008735C">
        <w:t xml:space="preserve">, A., et al. (2020),’Bismarck’ Health Insurance and the Mortality Decline’ </w:t>
      </w:r>
      <w:r w:rsidRPr="0008735C">
        <w:rPr>
          <w:i/>
          <w:iCs/>
        </w:rPr>
        <w:t xml:space="preserve">Journal of the European Economic Association, </w:t>
      </w:r>
      <w:r w:rsidRPr="0008735C">
        <w:t>18(5), pp. 2561-2607.</w:t>
      </w:r>
    </w:p>
    <w:p w14:paraId="2531A262" w14:textId="77777777" w:rsidR="0008735C" w:rsidRPr="0008735C" w:rsidRDefault="0008735C" w:rsidP="0008735C">
      <w:r w:rsidRPr="0008735C">
        <w:t xml:space="preserve">Kittelson, S., K., Fukuda Parr, S., and </w:t>
      </w:r>
      <w:proofErr w:type="spellStart"/>
      <w:r w:rsidRPr="0008735C">
        <w:t>Katerini</w:t>
      </w:r>
      <w:proofErr w:type="spellEnd"/>
      <w:r w:rsidRPr="0008735C">
        <w:t xml:space="preserve">, T., S., (2019)’ Editorial; the political determinants of health inequities and universal health coverage’ </w:t>
      </w:r>
      <w:r w:rsidRPr="0008735C">
        <w:rPr>
          <w:i/>
          <w:iCs/>
        </w:rPr>
        <w:t xml:space="preserve">Journal of Globalisation and Health, </w:t>
      </w:r>
      <w:r w:rsidRPr="0008735C">
        <w:t>15(1), pp.1-5.</w:t>
      </w:r>
    </w:p>
    <w:p w14:paraId="7C2F57E6" w14:textId="77777777" w:rsidR="0008735C" w:rsidRPr="0008735C" w:rsidRDefault="0008735C" w:rsidP="0008735C">
      <w:r w:rsidRPr="0008735C">
        <w:t xml:space="preserve">Khan, Z., (2023)’The Emerging Challenges and Strengths of the National Health Services: A Physician Perspective’, </w:t>
      </w:r>
      <w:r w:rsidRPr="0008735C">
        <w:rPr>
          <w:i/>
          <w:iCs/>
        </w:rPr>
        <w:t xml:space="preserve">Journal Citation Report, </w:t>
      </w:r>
      <w:r w:rsidRPr="0008735C">
        <w:t>15(5).</w:t>
      </w:r>
    </w:p>
    <w:p w14:paraId="3F4C0BA4" w14:textId="77777777" w:rsidR="0008735C" w:rsidRPr="0008735C" w:rsidRDefault="0008735C" w:rsidP="0008735C">
      <w:r w:rsidRPr="0008735C">
        <w:t xml:space="preserve">Markovic, B., (2021),’Performance Indicators as an Element of Improving the Financial Performance of General Hospital in the Republic of Croatia’, </w:t>
      </w:r>
      <w:r w:rsidRPr="0008735C">
        <w:rPr>
          <w:i/>
          <w:iCs/>
        </w:rPr>
        <w:t>Economic and Social Development: Book of Proceedings.</w:t>
      </w:r>
    </w:p>
    <w:p w14:paraId="63675A6F" w14:textId="77777777" w:rsidR="0008735C" w:rsidRPr="0008735C" w:rsidRDefault="0008735C" w:rsidP="0008735C">
      <w:r w:rsidRPr="0008735C">
        <w:t xml:space="preserve">Nizar, </w:t>
      </w:r>
      <w:proofErr w:type="gramStart"/>
      <w:r w:rsidRPr="0008735C">
        <w:t>S.,(</w:t>
      </w:r>
      <w:proofErr w:type="gramEnd"/>
      <w:r w:rsidRPr="0008735C">
        <w:t xml:space="preserve">2023)’Does the Type of Healthcare Financing System Matter for Efficiency?’, </w:t>
      </w:r>
      <w:r w:rsidRPr="0008735C">
        <w:rPr>
          <w:i/>
          <w:iCs/>
        </w:rPr>
        <w:t xml:space="preserve">Journal of Health Management, </w:t>
      </w:r>
      <w:r w:rsidRPr="0008735C">
        <w:t>25(1), pp. 87-96.</w:t>
      </w:r>
    </w:p>
    <w:p w14:paraId="0F053596" w14:textId="77777777" w:rsidR="0008735C" w:rsidRPr="0008735C" w:rsidRDefault="0008735C" w:rsidP="0008735C">
      <w:r w:rsidRPr="0008735C">
        <w:t xml:space="preserve">The Commonwealth Fund (2020), </w:t>
      </w:r>
      <w:r w:rsidRPr="0008735C">
        <w:rPr>
          <w:i/>
          <w:iCs/>
        </w:rPr>
        <w:t xml:space="preserve">International Healthcare System Profiles, Germany. </w:t>
      </w:r>
      <w:r w:rsidRPr="0008735C">
        <w:t xml:space="preserve">Available </w:t>
      </w:r>
      <w:proofErr w:type="spellStart"/>
      <w:proofErr w:type="gramStart"/>
      <w:r w:rsidRPr="0008735C">
        <w:t>at:Germany</w:t>
      </w:r>
      <w:proofErr w:type="spellEnd"/>
      <w:proofErr w:type="gramEnd"/>
      <w:r w:rsidRPr="0008735C">
        <w:t xml:space="preserve"> | International Health Care System Profiles | Commonwealth Fund/Accessed on 26</w:t>
      </w:r>
      <w:r w:rsidRPr="0008735C">
        <w:rPr>
          <w:vertAlign w:val="superscript"/>
        </w:rPr>
        <w:t>th</w:t>
      </w:r>
      <w:r w:rsidRPr="0008735C">
        <w:t xml:space="preserve"> April 2025).</w:t>
      </w:r>
    </w:p>
    <w:p w14:paraId="55E56620" w14:textId="77777777" w:rsidR="0008735C" w:rsidRDefault="0008735C" w:rsidP="0008735C">
      <w:r w:rsidRPr="0008735C">
        <w:t xml:space="preserve">World Atlas (2025), </w:t>
      </w:r>
      <w:r w:rsidRPr="0008735C">
        <w:rPr>
          <w:i/>
          <w:iCs/>
        </w:rPr>
        <w:t xml:space="preserve">10 Countries Without Universal Healthcare. </w:t>
      </w:r>
      <w:r w:rsidRPr="0008735C">
        <w:t xml:space="preserve">Available at:10 Countries Without Universal Healthcare - </w:t>
      </w:r>
      <w:proofErr w:type="spellStart"/>
      <w:r w:rsidRPr="0008735C">
        <w:t>WorldAtlas</w:t>
      </w:r>
      <w:proofErr w:type="spellEnd"/>
      <w:r w:rsidRPr="0008735C">
        <w:t>/ (Accessed on 25</w:t>
      </w:r>
      <w:r w:rsidRPr="0008735C">
        <w:rPr>
          <w:vertAlign w:val="superscript"/>
        </w:rPr>
        <w:t>th</w:t>
      </w:r>
      <w:r w:rsidRPr="0008735C">
        <w:t xml:space="preserve"> April 2025).</w:t>
      </w:r>
    </w:p>
    <w:p w14:paraId="33250C7D" w14:textId="54BA5F8A" w:rsidR="0084766A" w:rsidRDefault="00F510A6" w:rsidP="0008735C">
      <w:r>
        <w:t>World Health Organisation WHO (2021)</w:t>
      </w:r>
      <w:r w:rsidR="007364E0">
        <w:t xml:space="preserve">, </w:t>
      </w:r>
      <w:r w:rsidR="00471701">
        <w:rPr>
          <w:i/>
          <w:iCs/>
        </w:rPr>
        <w:t xml:space="preserve">More than half </w:t>
      </w:r>
      <w:r w:rsidR="00FD37D4">
        <w:rPr>
          <w:i/>
          <w:iCs/>
        </w:rPr>
        <w:t xml:space="preserve">a billion people </w:t>
      </w:r>
      <w:r w:rsidR="001D59EB">
        <w:rPr>
          <w:i/>
          <w:iCs/>
        </w:rPr>
        <w:t xml:space="preserve">pushed further into extreme poverty due to </w:t>
      </w:r>
      <w:r w:rsidR="0023562F">
        <w:rPr>
          <w:i/>
          <w:iCs/>
        </w:rPr>
        <w:t xml:space="preserve">health care cost. </w:t>
      </w:r>
      <w:r w:rsidR="0023562F">
        <w:t>Available at:</w:t>
      </w:r>
      <w:r w:rsidR="00EE3ADD">
        <w:t xml:space="preserve"> </w:t>
      </w:r>
      <w:r w:rsidR="00EE3ADD" w:rsidRPr="001D49F4">
        <w:t>More than half a billion people pushed or pushed further into extreme poverty due to health care costs</w:t>
      </w:r>
      <w:proofErr w:type="gramStart"/>
      <w:r w:rsidR="00EE3ADD">
        <w:t>/</w:t>
      </w:r>
      <w:r w:rsidR="00216FFA">
        <w:t>(</w:t>
      </w:r>
      <w:proofErr w:type="gramEnd"/>
      <w:r w:rsidR="00EE3ADD">
        <w:t>Accessed on 2</w:t>
      </w:r>
      <w:r w:rsidR="00216FFA">
        <w:t>6</w:t>
      </w:r>
      <w:r w:rsidR="00216FFA" w:rsidRPr="00216FFA">
        <w:rPr>
          <w:vertAlign w:val="superscript"/>
        </w:rPr>
        <w:t>th</w:t>
      </w:r>
      <w:r w:rsidR="00216FFA">
        <w:t xml:space="preserve"> April 2025).</w:t>
      </w:r>
    </w:p>
    <w:p w14:paraId="70035B5F" w14:textId="0E8A4B63" w:rsidR="000B6C7D" w:rsidRPr="0008735C" w:rsidRDefault="000B6C7D" w:rsidP="0008735C">
      <w:r>
        <w:t xml:space="preserve">World Health Organisation </w:t>
      </w:r>
      <w:r w:rsidR="000D5EF8">
        <w:t>(2025)</w:t>
      </w:r>
      <w:r w:rsidR="00B02806">
        <w:t xml:space="preserve">, </w:t>
      </w:r>
      <w:r w:rsidR="00B02806">
        <w:rPr>
          <w:i/>
          <w:iCs/>
        </w:rPr>
        <w:t>Universal Health Coverage</w:t>
      </w:r>
      <w:r w:rsidR="00920682">
        <w:rPr>
          <w:i/>
          <w:iCs/>
        </w:rPr>
        <w:t xml:space="preserve"> (UHC)</w:t>
      </w:r>
      <w:r w:rsidR="00886FF6">
        <w:rPr>
          <w:i/>
          <w:iCs/>
        </w:rPr>
        <w:t xml:space="preserve">. </w:t>
      </w:r>
      <w:r w:rsidR="00886FF6">
        <w:t xml:space="preserve">Available at </w:t>
      </w:r>
      <w:r w:rsidR="000F2769" w:rsidRPr="00D677E2">
        <w:t>Universal health coverage (UHC)</w:t>
      </w:r>
      <w:r w:rsidR="000F2769">
        <w:t>/ (Accessed on 26</w:t>
      </w:r>
      <w:r w:rsidR="000F2769" w:rsidRPr="00D677E2">
        <w:rPr>
          <w:vertAlign w:val="superscript"/>
        </w:rPr>
        <w:t>th</w:t>
      </w:r>
      <w:r w:rsidR="00D677E2">
        <w:t xml:space="preserve"> April 2025)</w:t>
      </w:r>
    </w:p>
    <w:p w14:paraId="07EC3FF9" w14:textId="77777777" w:rsidR="0008735C" w:rsidRDefault="0008735C" w:rsidP="00F26D94"/>
    <w:sectPr w:rsidR="000873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02E68"/>
    <w:multiLevelType w:val="hybridMultilevel"/>
    <w:tmpl w:val="ED4AB2F2"/>
    <w:lvl w:ilvl="0" w:tplc="7E587CB8">
      <w:start w:val="1"/>
      <w:numFmt w:val="bullet"/>
      <w:lvlText w:val=""/>
      <w:lvlJc w:val="left"/>
      <w:pPr>
        <w:tabs>
          <w:tab w:val="num" w:pos="720"/>
        </w:tabs>
        <w:ind w:left="720" w:hanging="360"/>
      </w:pPr>
      <w:rPr>
        <w:rFonts w:ascii="Symbol" w:hAnsi="Symbol" w:hint="default"/>
      </w:rPr>
    </w:lvl>
    <w:lvl w:ilvl="1" w:tplc="02444898" w:tentative="1">
      <w:start w:val="1"/>
      <w:numFmt w:val="bullet"/>
      <w:lvlText w:val=""/>
      <w:lvlJc w:val="left"/>
      <w:pPr>
        <w:tabs>
          <w:tab w:val="num" w:pos="1440"/>
        </w:tabs>
        <w:ind w:left="1440" w:hanging="360"/>
      </w:pPr>
      <w:rPr>
        <w:rFonts w:ascii="Symbol" w:hAnsi="Symbol" w:hint="default"/>
      </w:rPr>
    </w:lvl>
    <w:lvl w:ilvl="2" w:tplc="5C78EAA4" w:tentative="1">
      <w:start w:val="1"/>
      <w:numFmt w:val="bullet"/>
      <w:lvlText w:val=""/>
      <w:lvlJc w:val="left"/>
      <w:pPr>
        <w:tabs>
          <w:tab w:val="num" w:pos="2160"/>
        </w:tabs>
        <w:ind w:left="2160" w:hanging="360"/>
      </w:pPr>
      <w:rPr>
        <w:rFonts w:ascii="Symbol" w:hAnsi="Symbol" w:hint="default"/>
      </w:rPr>
    </w:lvl>
    <w:lvl w:ilvl="3" w:tplc="353A7C6A" w:tentative="1">
      <w:start w:val="1"/>
      <w:numFmt w:val="bullet"/>
      <w:lvlText w:val=""/>
      <w:lvlJc w:val="left"/>
      <w:pPr>
        <w:tabs>
          <w:tab w:val="num" w:pos="2880"/>
        </w:tabs>
        <w:ind w:left="2880" w:hanging="360"/>
      </w:pPr>
      <w:rPr>
        <w:rFonts w:ascii="Symbol" w:hAnsi="Symbol" w:hint="default"/>
      </w:rPr>
    </w:lvl>
    <w:lvl w:ilvl="4" w:tplc="51688192" w:tentative="1">
      <w:start w:val="1"/>
      <w:numFmt w:val="bullet"/>
      <w:lvlText w:val=""/>
      <w:lvlJc w:val="left"/>
      <w:pPr>
        <w:tabs>
          <w:tab w:val="num" w:pos="3600"/>
        </w:tabs>
        <w:ind w:left="3600" w:hanging="360"/>
      </w:pPr>
      <w:rPr>
        <w:rFonts w:ascii="Symbol" w:hAnsi="Symbol" w:hint="default"/>
      </w:rPr>
    </w:lvl>
    <w:lvl w:ilvl="5" w:tplc="66DECB9C" w:tentative="1">
      <w:start w:val="1"/>
      <w:numFmt w:val="bullet"/>
      <w:lvlText w:val=""/>
      <w:lvlJc w:val="left"/>
      <w:pPr>
        <w:tabs>
          <w:tab w:val="num" w:pos="4320"/>
        </w:tabs>
        <w:ind w:left="4320" w:hanging="360"/>
      </w:pPr>
      <w:rPr>
        <w:rFonts w:ascii="Symbol" w:hAnsi="Symbol" w:hint="default"/>
      </w:rPr>
    </w:lvl>
    <w:lvl w:ilvl="6" w:tplc="A1EA171E" w:tentative="1">
      <w:start w:val="1"/>
      <w:numFmt w:val="bullet"/>
      <w:lvlText w:val=""/>
      <w:lvlJc w:val="left"/>
      <w:pPr>
        <w:tabs>
          <w:tab w:val="num" w:pos="5040"/>
        </w:tabs>
        <w:ind w:left="5040" w:hanging="360"/>
      </w:pPr>
      <w:rPr>
        <w:rFonts w:ascii="Symbol" w:hAnsi="Symbol" w:hint="default"/>
      </w:rPr>
    </w:lvl>
    <w:lvl w:ilvl="7" w:tplc="6218BA94" w:tentative="1">
      <w:start w:val="1"/>
      <w:numFmt w:val="bullet"/>
      <w:lvlText w:val=""/>
      <w:lvlJc w:val="left"/>
      <w:pPr>
        <w:tabs>
          <w:tab w:val="num" w:pos="5760"/>
        </w:tabs>
        <w:ind w:left="5760" w:hanging="360"/>
      </w:pPr>
      <w:rPr>
        <w:rFonts w:ascii="Symbol" w:hAnsi="Symbol" w:hint="default"/>
      </w:rPr>
    </w:lvl>
    <w:lvl w:ilvl="8" w:tplc="73AAC2F4"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1CF630E4"/>
    <w:multiLevelType w:val="hybridMultilevel"/>
    <w:tmpl w:val="C7D60AC8"/>
    <w:lvl w:ilvl="0" w:tplc="FD8EB366">
      <w:start w:val="1"/>
      <w:numFmt w:val="bullet"/>
      <w:lvlText w:val=""/>
      <w:lvlJc w:val="left"/>
      <w:pPr>
        <w:tabs>
          <w:tab w:val="num" w:pos="720"/>
        </w:tabs>
        <w:ind w:left="720" w:hanging="360"/>
      </w:pPr>
      <w:rPr>
        <w:rFonts w:ascii="Symbol" w:hAnsi="Symbol" w:hint="default"/>
      </w:rPr>
    </w:lvl>
    <w:lvl w:ilvl="1" w:tplc="D52C751E" w:tentative="1">
      <w:start w:val="1"/>
      <w:numFmt w:val="bullet"/>
      <w:lvlText w:val=""/>
      <w:lvlJc w:val="left"/>
      <w:pPr>
        <w:tabs>
          <w:tab w:val="num" w:pos="1440"/>
        </w:tabs>
        <w:ind w:left="1440" w:hanging="360"/>
      </w:pPr>
      <w:rPr>
        <w:rFonts w:ascii="Symbol" w:hAnsi="Symbol" w:hint="default"/>
      </w:rPr>
    </w:lvl>
    <w:lvl w:ilvl="2" w:tplc="74F8AA7E" w:tentative="1">
      <w:start w:val="1"/>
      <w:numFmt w:val="bullet"/>
      <w:lvlText w:val=""/>
      <w:lvlJc w:val="left"/>
      <w:pPr>
        <w:tabs>
          <w:tab w:val="num" w:pos="2160"/>
        </w:tabs>
        <w:ind w:left="2160" w:hanging="360"/>
      </w:pPr>
      <w:rPr>
        <w:rFonts w:ascii="Symbol" w:hAnsi="Symbol" w:hint="default"/>
      </w:rPr>
    </w:lvl>
    <w:lvl w:ilvl="3" w:tplc="4B56AD38" w:tentative="1">
      <w:start w:val="1"/>
      <w:numFmt w:val="bullet"/>
      <w:lvlText w:val=""/>
      <w:lvlJc w:val="left"/>
      <w:pPr>
        <w:tabs>
          <w:tab w:val="num" w:pos="2880"/>
        </w:tabs>
        <w:ind w:left="2880" w:hanging="360"/>
      </w:pPr>
      <w:rPr>
        <w:rFonts w:ascii="Symbol" w:hAnsi="Symbol" w:hint="default"/>
      </w:rPr>
    </w:lvl>
    <w:lvl w:ilvl="4" w:tplc="C5CCB320" w:tentative="1">
      <w:start w:val="1"/>
      <w:numFmt w:val="bullet"/>
      <w:lvlText w:val=""/>
      <w:lvlJc w:val="left"/>
      <w:pPr>
        <w:tabs>
          <w:tab w:val="num" w:pos="3600"/>
        </w:tabs>
        <w:ind w:left="3600" w:hanging="360"/>
      </w:pPr>
      <w:rPr>
        <w:rFonts w:ascii="Symbol" w:hAnsi="Symbol" w:hint="default"/>
      </w:rPr>
    </w:lvl>
    <w:lvl w:ilvl="5" w:tplc="85463AB0" w:tentative="1">
      <w:start w:val="1"/>
      <w:numFmt w:val="bullet"/>
      <w:lvlText w:val=""/>
      <w:lvlJc w:val="left"/>
      <w:pPr>
        <w:tabs>
          <w:tab w:val="num" w:pos="4320"/>
        </w:tabs>
        <w:ind w:left="4320" w:hanging="360"/>
      </w:pPr>
      <w:rPr>
        <w:rFonts w:ascii="Symbol" w:hAnsi="Symbol" w:hint="default"/>
      </w:rPr>
    </w:lvl>
    <w:lvl w:ilvl="6" w:tplc="FAAC30BC" w:tentative="1">
      <w:start w:val="1"/>
      <w:numFmt w:val="bullet"/>
      <w:lvlText w:val=""/>
      <w:lvlJc w:val="left"/>
      <w:pPr>
        <w:tabs>
          <w:tab w:val="num" w:pos="5040"/>
        </w:tabs>
        <w:ind w:left="5040" w:hanging="360"/>
      </w:pPr>
      <w:rPr>
        <w:rFonts w:ascii="Symbol" w:hAnsi="Symbol" w:hint="default"/>
      </w:rPr>
    </w:lvl>
    <w:lvl w:ilvl="7" w:tplc="0FF6A6FA" w:tentative="1">
      <w:start w:val="1"/>
      <w:numFmt w:val="bullet"/>
      <w:lvlText w:val=""/>
      <w:lvlJc w:val="left"/>
      <w:pPr>
        <w:tabs>
          <w:tab w:val="num" w:pos="5760"/>
        </w:tabs>
        <w:ind w:left="5760" w:hanging="360"/>
      </w:pPr>
      <w:rPr>
        <w:rFonts w:ascii="Symbol" w:hAnsi="Symbol" w:hint="default"/>
      </w:rPr>
    </w:lvl>
    <w:lvl w:ilvl="8" w:tplc="4A96BF06"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220E2D04"/>
    <w:multiLevelType w:val="hybridMultilevel"/>
    <w:tmpl w:val="41BC5F30"/>
    <w:lvl w:ilvl="0" w:tplc="29C4C7EE">
      <w:start w:val="1"/>
      <w:numFmt w:val="bullet"/>
      <w:lvlText w:val="•"/>
      <w:lvlJc w:val="left"/>
      <w:pPr>
        <w:tabs>
          <w:tab w:val="num" w:pos="720"/>
        </w:tabs>
        <w:ind w:left="720" w:hanging="360"/>
      </w:pPr>
      <w:rPr>
        <w:rFonts w:ascii="Arial" w:hAnsi="Arial" w:hint="default"/>
      </w:rPr>
    </w:lvl>
    <w:lvl w:ilvl="1" w:tplc="8C563DF2" w:tentative="1">
      <w:start w:val="1"/>
      <w:numFmt w:val="bullet"/>
      <w:lvlText w:val="•"/>
      <w:lvlJc w:val="left"/>
      <w:pPr>
        <w:tabs>
          <w:tab w:val="num" w:pos="1440"/>
        </w:tabs>
        <w:ind w:left="1440" w:hanging="360"/>
      </w:pPr>
      <w:rPr>
        <w:rFonts w:ascii="Arial" w:hAnsi="Arial" w:hint="default"/>
      </w:rPr>
    </w:lvl>
    <w:lvl w:ilvl="2" w:tplc="D8C23212" w:tentative="1">
      <w:start w:val="1"/>
      <w:numFmt w:val="bullet"/>
      <w:lvlText w:val="•"/>
      <w:lvlJc w:val="left"/>
      <w:pPr>
        <w:tabs>
          <w:tab w:val="num" w:pos="2160"/>
        </w:tabs>
        <w:ind w:left="2160" w:hanging="360"/>
      </w:pPr>
      <w:rPr>
        <w:rFonts w:ascii="Arial" w:hAnsi="Arial" w:hint="default"/>
      </w:rPr>
    </w:lvl>
    <w:lvl w:ilvl="3" w:tplc="2AA6A81E" w:tentative="1">
      <w:start w:val="1"/>
      <w:numFmt w:val="bullet"/>
      <w:lvlText w:val="•"/>
      <w:lvlJc w:val="left"/>
      <w:pPr>
        <w:tabs>
          <w:tab w:val="num" w:pos="2880"/>
        </w:tabs>
        <w:ind w:left="2880" w:hanging="360"/>
      </w:pPr>
      <w:rPr>
        <w:rFonts w:ascii="Arial" w:hAnsi="Arial" w:hint="default"/>
      </w:rPr>
    </w:lvl>
    <w:lvl w:ilvl="4" w:tplc="FD22A7D4" w:tentative="1">
      <w:start w:val="1"/>
      <w:numFmt w:val="bullet"/>
      <w:lvlText w:val="•"/>
      <w:lvlJc w:val="left"/>
      <w:pPr>
        <w:tabs>
          <w:tab w:val="num" w:pos="3600"/>
        </w:tabs>
        <w:ind w:left="3600" w:hanging="360"/>
      </w:pPr>
      <w:rPr>
        <w:rFonts w:ascii="Arial" w:hAnsi="Arial" w:hint="default"/>
      </w:rPr>
    </w:lvl>
    <w:lvl w:ilvl="5" w:tplc="FD844B2C" w:tentative="1">
      <w:start w:val="1"/>
      <w:numFmt w:val="bullet"/>
      <w:lvlText w:val="•"/>
      <w:lvlJc w:val="left"/>
      <w:pPr>
        <w:tabs>
          <w:tab w:val="num" w:pos="4320"/>
        </w:tabs>
        <w:ind w:left="4320" w:hanging="360"/>
      </w:pPr>
      <w:rPr>
        <w:rFonts w:ascii="Arial" w:hAnsi="Arial" w:hint="default"/>
      </w:rPr>
    </w:lvl>
    <w:lvl w:ilvl="6" w:tplc="6562ECC8" w:tentative="1">
      <w:start w:val="1"/>
      <w:numFmt w:val="bullet"/>
      <w:lvlText w:val="•"/>
      <w:lvlJc w:val="left"/>
      <w:pPr>
        <w:tabs>
          <w:tab w:val="num" w:pos="5040"/>
        </w:tabs>
        <w:ind w:left="5040" w:hanging="360"/>
      </w:pPr>
      <w:rPr>
        <w:rFonts w:ascii="Arial" w:hAnsi="Arial" w:hint="default"/>
      </w:rPr>
    </w:lvl>
    <w:lvl w:ilvl="7" w:tplc="5C186E5C" w:tentative="1">
      <w:start w:val="1"/>
      <w:numFmt w:val="bullet"/>
      <w:lvlText w:val="•"/>
      <w:lvlJc w:val="left"/>
      <w:pPr>
        <w:tabs>
          <w:tab w:val="num" w:pos="5760"/>
        </w:tabs>
        <w:ind w:left="5760" w:hanging="360"/>
      </w:pPr>
      <w:rPr>
        <w:rFonts w:ascii="Arial" w:hAnsi="Arial" w:hint="default"/>
      </w:rPr>
    </w:lvl>
    <w:lvl w:ilvl="8" w:tplc="50CAAB9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87E1F87"/>
    <w:multiLevelType w:val="hybridMultilevel"/>
    <w:tmpl w:val="7E6A2ADE"/>
    <w:lvl w:ilvl="0" w:tplc="08667818">
      <w:start w:val="1"/>
      <w:numFmt w:val="bullet"/>
      <w:lvlText w:val="•"/>
      <w:lvlJc w:val="left"/>
      <w:pPr>
        <w:tabs>
          <w:tab w:val="num" w:pos="720"/>
        </w:tabs>
        <w:ind w:left="720" w:hanging="360"/>
      </w:pPr>
      <w:rPr>
        <w:rFonts w:ascii="Arial" w:hAnsi="Arial" w:hint="default"/>
      </w:rPr>
    </w:lvl>
    <w:lvl w:ilvl="1" w:tplc="A3BE224E" w:tentative="1">
      <w:start w:val="1"/>
      <w:numFmt w:val="bullet"/>
      <w:lvlText w:val="•"/>
      <w:lvlJc w:val="left"/>
      <w:pPr>
        <w:tabs>
          <w:tab w:val="num" w:pos="1440"/>
        </w:tabs>
        <w:ind w:left="1440" w:hanging="360"/>
      </w:pPr>
      <w:rPr>
        <w:rFonts w:ascii="Arial" w:hAnsi="Arial" w:hint="default"/>
      </w:rPr>
    </w:lvl>
    <w:lvl w:ilvl="2" w:tplc="92B80658" w:tentative="1">
      <w:start w:val="1"/>
      <w:numFmt w:val="bullet"/>
      <w:lvlText w:val="•"/>
      <w:lvlJc w:val="left"/>
      <w:pPr>
        <w:tabs>
          <w:tab w:val="num" w:pos="2160"/>
        </w:tabs>
        <w:ind w:left="2160" w:hanging="360"/>
      </w:pPr>
      <w:rPr>
        <w:rFonts w:ascii="Arial" w:hAnsi="Arial" w:hint="default"/>
      </w:rPr>
    </w:lvl>
    <w:lvl w:ilvl="3" w:tplc="9F7E2A18" w:tentative="1">
      <w:start w:val="1"/>
      <w:numFmt w:val="bullet"/>
      <w:lvlText w:val="•"/>
      <w:lvlJc w:val="left"/>
      <w:pPr>
        <w:tabs>
          <w:tab w:val="num" w:pos="2880"/>
        </w:tabs>
        <w:ind w:left="2880" w:hanging="360"/>
      </w:pPr>
      <w:rPr>
        <w:rFonts w:ascii="Arial" w:hAnsi="Arial" w:hint="default"/>
      </w:rPr>
    </w:lvl>
    <w:lvl w:ilvl="4" w:tplc="616AA5F0" w:tentative="1">
      <w:start w:val="1"/>
      <w:numFmt w:val="bullet"/>
      <w:lvlText w:val="•"/>
      <w:lvlJc w:val="left"/>
      <w:pPr>
        <w:tabs>
          <w:tab w:val="num" w:pos="3600"/>
        </w:tabs>
        <w:ind w:left="3600" w:hanging="360"/>
      </w:pPr>
      <w:rPr>
        <w:rFonts w:ascii="Arial" w:hAnsi="Arial" w:hint="default"/>
      </w:rPr>
    </w:lvl>
    <w:lvl w:ilvl="5" w:tplc="8C9CC506" w:tentative="1">
      <w:start w:val="1"/>
      <w:numFmt w:val="bullet"/>
      <w:lvlText w:val="•"/>
      <w:lvlJc w:val="left"/>
      <w:pPr>
        <w:tabs>
          <w:tab w:val="num" w:pos="4320"/>
        </w:tabs>
        <w:ind w:left="4320" w:hanging="360"/>
      </w:pPr>
      <w:rPr>
        <w:rFonts w:ascii="Arial" w:hAnsi="Arial" w:hint="default"/>
      </w:rPr>
    </w:lvl>
    <w:lvl w:ilvl="6" w:tplc="32346226" w:tentative="1">
      <w:start w:val="1"/>
      <w:numFmt w:val="bullet"/>
      <w:lvlText w:val="•"/>
      <w:lvlJc w:val="left"/>
      <w:pPr>
        <w:tabs>
          <w:tab w:val="num" w:pos="5040"/>
        </w:tabs>
        <w:ind w:left="5040" w:hanging="360"/>
      </w:pPr>
      <w:rPr>
        <w:rFonts w:ascii="Arial" w:hAnsi="Arial" w:hint="default"/>
      </w:rPr>
    </w:lvl>
    <w:lvl w:ilvl="7" w:tplc="BE5660AA" w:tentative="1">
      <w:start w:val="1"/>
      <w:numFmt w:val="bullet"/>
      <w:lvlText w:val="•"/>
      <w:lvlJc w:val="left"/>
      <w:pPr>
        <w:tabs>
          <w:tab w:val="num" w:pos="5760"/>
        </w:tabs>
        <w:ind w:left="5760" w:hanging="360"/>
      </w:pPr>
      <w:rPr>
        <w:rFonts w:ascii="Arial" w:hAnsi="Arial" w:hint="default"/>
      </w:rPr>
    </w:lvl>
    <w:lvl w:ilvl="8" w:tplc="CEBC872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07E61CF"/>
    <w:multiLevelType w:val="hybridMultilevel"/>
    <w:tmpl w:val="150E1E60"/>
    <w:lvl w:ilvl="0" w:tplc="C6DC884C">
      <w:start w:val="1"/>
      <w:numFmt w:val="bullet"/>
      <w:lvlText w:val="•"/>
      <w:lvlJc w:val="left"/>
      <w:pPr>
        <w:tabs>
          <w:tab w:val="num" w:pos="720"/>
        </w:tabs>
        <w:ind w:left="720" w:hanging="360"/>
      </w:pPr>
      <w:rPr>
        <w:rFonts w:ascii="Arial" w:hAnsi="Arial" w:hint="default"/>
      </w:rPr>
    </w:lvl>
    <w:lvl w:ilvl="1" w:tplc="6E96E760" w:tentative="1">
      <w:start w:val="1"/>
      <w:numFmt w:val="bullet"/>
      <w:lvlText w:val="•"/>
      <w:lvlJc w:val="left"/>
      <w:pPr>
        <w:tabs>
          <w:tab w:val="num" w:pos="1440"/>
        </w:tabs>
        <w:ind w:left="1440" w:hanging="360"/>
      </w:pPr>
      <w:rPr>
        <w:rFonts w:ascii="Arial" w:hAnsi="Arial" w:hint="default"/>
      </w:rPr>
    </w:lvl>
    <w:lvl w:ilvl="2" w:tplc="FBA0F634" w:tentative="1">
      <w:start w:val="1"/>
      <w:numFmt w:val="bullet"/>
      <w:lvlText w:val="•"/>
      <w:lvlJc w:val="left"/>
      <w:pPr>
        <w:tabs>
          <w:tab w:val="num" w:pos="2160"/>
        </w:tabs>
        <w:ind w:left="2160" w:hanging="360"/>
      </w:pPr>
      <w:rPr>
        <w:rFonts w:ascii="Arial" w:hAnsi="Arial" w:hint="default"/>
      </w:rPr>
    </w:lvl>
    <w:lvl w:ilvl="3" w:tplc="BCE06B0E" w:tentative="1">
      <w:start w:val="1"/>
      <w:numFmt w:val="bullet"/>
      <w:lvlText w:val="•"/>
      <w:lvlJc w:val="left"/>
      <w:pPr>
        <w:tabs>
          <w:tab w:val="num" w:pos="2880"/>
        </w:tabs>
        <w:ind w:left="2880" w:hanging="360"/>
      </w:pPr>
      <w:rPr>
        <w:rFonts w:ascii="Arial" w:hAnsi="Arial" w:hint="default"/>
      </w:rPr>
    </w:lvl>
    <w:lvl w:ilvl="4" w:tplc="964ECD02" w:tentative="1">
      <w:start w:val="1"/>
      <w:numFmt w:val="bullet"/>
      <w:lvlText w:val="•"/>
      <w:lvlJc w:val="left"/>
      <w:pPr>
        <w:tabs>
          <w:tab w:val="num" w:pos="3600"/>
        </w:tabs>
        <w:ind w:left="3600" w:hanging="360"/>
      </w:pPr>
      <w:rPr>
        <w:rFonts w:ascii="Arial" w:hAnsi="Arial" w:hint="default"/>
      </w:rPr>
    </w:lvl>
    <w:lvl w:ilvl="5" w:tplc="4C1066C2" w:tentative="1">
      <w:start w:val="1"/>
      <w:numFmt w:val="bullet"/>
      <w:lvlText w:val="•"/>
      <w:lvlJc w:val="left"/>
      <w:pPr>
        <w:tabs>
          <w:tab w:val="num" w:pos="4320"/>
        </w:tabs>
        <w:ind w:left="4320" w:hanging="360"/>
      </w:pPr>
      <w:rPr>
        <w:rFonts w:ascii="Arial" w:hAnsi="Arial" w:hint="default"/>
      </w:rPr>
    </w:lvl>
    <w:lvl w:ilvl="6" w:tplc="7A08F456" w:tentative="1">
      <w:start w:val="1"/>
      <w:numFmt w:val="bullet"/>
      <w:lvlText w:val="•"/>
      <w:lvlJc w:val="left"/>
      <w:pPr>
        <w:tabs>
          <w:tab w:val="num" w:pos="5040"/>
        </w:tabs>
        <w:ind w:left="5040" w:hanging="360"/>
      </w:pPr>
      <w:rPr>
        <w:rFonts w:ascii="Arial" w:hAnsi="Arial" w:hint="default"/>
      </w:rPr>
    </w:lvl>
    <w:lvl w:ilvl="7" w:tplc="2752DAD8" w:tentative="1">
      <w:start w:val="1"/>
      <w:numFmt w:val="bullet"/>
      <w:lvlText w:val="•"/>
      <w:lvlJc w:val="left"/>
      <w:pPr>
        <w:tabs>
          <w:tab w:val="num" w:pos="5760"/>
        </w:tabs>
        <w:ind w:left="5760" w:hanging="360"/>
      </w:pPr>
      <w:rPr>
        <w:rFonts w:ascii="Arial" w:hAnsi="Arial" w:hint="default"/>
      </w:rPr>
    </w:lvl>
    <w:lvl w:ilvl="8" w:tplc="4F52763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2920AC3"/>
    <w:multiLevelType w:val="hybridMultilevel"/>
    <w:tmpl w:val="044A01C2"/>
    <w:lvl w:ilvl="0" w:tplc="ABFA04D2">
      <w:start w:val="1"/>
      <w:numFmt w:val="bullet"/>
      <w:lvlText w:val="•"/>
      <w:lvlJc w:val="left"/>
      <w:pPr>
        <w:tabs>
          <w:tab w:val="num" w:pos="720"/>
        </w:tabs>
        <w:ind w:left="720" w:hanging="360"/>
      </w:pPr>
      <w:rPr>
        <w:rFonts w:ascii="Arial" w:hAnsi="Arial" w:hint="default"/>
      </w:rPr>
    </w:lvl>
    <w:lvl w:ilvl="1" w:tplc="6BD8CEA0" w:tentative="1">
      <w:start w:val="1"/>
      <w:numFmt w:val="bullet"/>
      <w:lvlText w:val="•"/>
      <w:lvlJc w:val="left"/>
      <w:pPr>
        <w:tabs>
          <w:tab w:val="num" w:pos="1440"/>
        </w:tabs>
        <w:ind w:left="1440" w:hanging="360"/>
      </w:pPr>
      <w:rPr>
        <w:rFonts w:ascii="Arial" w:hAnsi="Arial" w:hint="default"/>
      </w:rPr>
    </w:lvl>
    <w:lvl w:ilvl="2" w:tplc="8362E902" w:tentative="1">
      <w:start w:val="1"/>
      <w:numFmt w:val="bullet"/>
      <w:lvlText w:val="•"/>
      <w:lvlJc w:val="left"/>
      <w:pPr>
        <w:tabs>
          <w:tab w:val="num" w:pos="2160"/>
        </w:tabs>
        <w:ind w:left="2160" w:hanging="360"/>
      </w:pPr>
      <w:rPr>
        <w:rFonts w:ascii="Arial" w:hAnsi="Arial" w:hint="default"/>
      </w:rPr>
    </w:lvl>
    <w:lvl w:ilvl="3" w:tplc="731EE158" w:tentative="1">
      <w:start w:val="1"/>
      <w:numFmt w:val="bullet"/>
      <w:lvlText w:val="•"/>
      <w:lvlJc w:val="left"/>
      <w:pPr>
        <w:tabs>
          <w:tab w:val="num" w:pos="2880"/>
        </w:tabs>
        <w:ind w:left="2880" w:hanging="360"/>
      </w:pPr>
      <w:rPr>
        <w:rFonts w:ascii="Arial" w:hAnsi="Arial" w:hint="default"/>
      </w:rPr>
    </w:lvl>
    <w:lvl w:ilvl="4" w:tplc="6960048E" w:tentative="1">
      <w:start w:val="1"/>
      <w:numFmt w:val="bullet"/>
      <w:lvlText w:val="•"/>
      <w:lvlJc w:val="left"/>
      <w:pPr>
        <w:tabs>
          <w:tab w:val="num" w:pos="3600"/>
        </w:tabs>
        <w:ind w:left="3600" w:hanging="360"/>
      </w:pPr>
      <w:rPr>
        <w:rFonts w:ascii="Arial" w:hAnsi="Arial" w:hint="default"/>
      </w:rPr>
    </w:lvl>
    <w:lvl w:ilvl="5" w:tplc="382E9060" w:tentative="1">
      <w:start w:val="1"/>
      <w:numFmt w:val="bullet"/>
      <w:lvlText w:val="•"/>
      <w:lvlJc w:val="left"/>
      <w:pPr>
        <w:tabs>
          <w:tab w:val="num" w:pos="4320"/>
        </w:tabs>
        <w:ind w:left="4320" w:hanging="360"/>
      </w:pPr>
      <w:rPr>
        <w:rFonts w:ascii="Arial" w:hAnsi="Arial" w:hint="default"/>
      </w:rPr>
    </w:lvl>
    <w:lvl w:ilvl="6" w:tplc="2F54159C" w:tentative="1">
      <w:start w:val="1"/>
      <w:numFmt w:val="bullet"/>
      <w:lvlText w:val="•"/>
      <w:lvlJc w:val="left"/>
      <w:pPr>
        <w:tabs>
          <w:tab w:val="num" w:pos="5040"/>
        </w:tabs>
        <w:ind w:left="5040" w:hanging="360"/>
      </w:pPr>
      <w:rPr>
        <w:rFonts w:ascii="Arial" w:hAnsi="Arial" w:hint="default"/>
      </w:rPr>
    </w:lvl>
    <w:lvl w:ilvl="7" w:tplc="75F22044" w:tentative="1">
      <w:start w:val="1"/>
      <w:numFmt w:val="bullet"/>
      <w:lvlText w:val="•"/>
      <w:lvlJc w:val="left"/>
      <w:pPr>
        <w:tabs>
          <w:tab w:val="num" w:pos="5760"/>
        </w:tabs>
        <w:ind w:left="5760" w:hanging="360"/>
      </w:pPr>
      <w:rPr>
        <w:rFonts w:ascii="Arial" w:hAnsi="Arial" w:hint="default"/>
      </w:rPr>
    </w:lvl>
    <w:lvl w:ilvl="8" w:tplc="57ACC76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FD033AA"/>
    <w:multiLevelType w:val="hybridMultilevel"/>
    <w:tmpl w:val="70BC809A"/>
    <w:lvl w:ilvl="0" w:tplc="FA86906A">
      <w:start w:val="1"/>
      <w:numFmt w:val="bullet"/>
      <w:lvlText w:val="•"/>
      <w:lvlJc w:val="left"/>
      <w:pPr>
        <w:tabs>
          <w:tab w:val="num" w:pos="720"/>
        </w:tabs>
        <w:ind w:left="720" w:hanging="360"/>
      </w:pPr>
      <w:rPr>
        <w:rFonts w:ascii="Arial" w:hAnsi="Arial" w:hint="default"/>
      </w:rPr>
    </w:lvl>
    <w:lvl w:ilvl="1" w:tplc="C57A9144" w:tentative="1">
      <w:start w:val="1"/>
      <w:numFmt w:val="bullet"/>
      <w:lvlText w:val="•"/>
      <w:lvlJc w:val="left"/>
      <w:pPr>
        <w:tabs>
          <w:tab w:val="num" w:pos="1440"/>
        </w:tabs>
        <w:ind w:left="1440" w:hanging="360"/>
      </w:pPr>
      <w:rPr>
        <w:rFonts w:ascii="Arial" w:hAnsi="Arial" w:hint="default"/>
      </w:rPr>
    </w:lvl>
    <w:lvl w:ilvl="2" w:tplc="766EB4A8" w:tentative="1">
      <w:start w:val="1"/>
      <w:numFmt w:val="bullet"/>
      <w:lvlText w:val="•"/>
      <w:lvlJc w:val="left"/>
      <w:pPr>
        <w:tabs>
          <w:tab w:val="num" w:pos="2160"/>
        </w:tabs>
        <w:ind w:left="2160" w:hanging="360"/>
      </w:pPr>
      <w:rPr>
        <w:rFonts w:ascii="Arial" w:hAnsi="Arial" w:hint="default"/>
      </w:rPr>
    </w:lvl>
    <w:lvl w:ilvl="3" w:tplc="1994CB08" w:tentative="1">
      <w:start w:val="1"/>
      <w:numFmt w:val="bullet"/>
      <w:lvlText w:val="•"/>
      <w:lvlJc w:val="left"/>
      <w:pPr>
        <w:tabs>
          <w:tab w:val="num" w:pos="2880"/>
        </w:tabs>
        <w:ind w:left="2880" w:hanging="360"/>
      </w:pPr>
      <w:rPr>
        <w:rFonts w:ascii="Arial" w:hAnsi="Arial" w:hint="default"/>
      </w:rPr>
    </w:lvl>
    <w:lvl w:ilvl="4" w:tplc="8E7EDEF0" w:tentative="1">
      <w:start w:val="1"/>
      <w:numFmt w:val="bullet"/>
      <w:lvlText w:val="•"/>
      <w:lvlJc w:val="left"/>
      <w:pPr>
        <w:tabs>
          <w:tab w:val="num" w:pos="3600"/>
        </w:tabs>
        <w:ind w:left="3600" w:hanging="360"/>
      </w:pPr>
      <w:rPr>
        <w:rFonts w:ascii="Arial" w:hAnsi="Arial" w:hint="default"/>
      </w:rPr>
    </w:lvl>
    <w:lvl w:ilvl="5" w:tplc="5210A9D6" w:tentative="1">
      <w:start w:val="1"/>
      <w:numFmt w:val="bullet"/>
      <w:lvlText w:val="•"/>
      <w:lvlJc w:val="left"/>
      <w:pPr>
        <w:tabs>
          <w:tab w:val="num" w:pos="4320"/>
        </w:tabs>
        <w:ind w:left="4320" w:hanging="360"/>
      </w:pPr>
      <w:rPr>
        <w:rFonts w:ascii="Arial" w:hAnsi="Arial" w:hint="default"/>
      </w:rPr>
    </w:lvl>
    <w:lvl w:ilvl="6" w:tplc="EEC0D7A4" w:tentative="1">
      <w:start w:val="1"/>
      <w:numFmt w:val="bullet"/>
      <w:lvlText w:val="•"/>
      <w:lvlJc w:val="left"/>
      <w:pPr>
        <w:tabs>
          <w:tab w:val="num" w:pos="5040"/>
        </w:tabs>
        <w:ind w:left="5040" w:hanging="360"/>
      </w:pPr>
      <w:rPr>
        <w:rFonts w:ascii="Arial" w:hAnsi="Arial" w:hint="default"/>
      </w:rPr>
    </w:lvl>
    <w:lvl w:ilvl="7" w:tplc="54082F62" w:tentative="1">
      <w:start w:val="1"/>
      <w:numFmt w:val="bullet"/>
      <w:lvlText w:val="•"/>
      <w:lvlJc w:val="left"/>
      <w:pPr>
        <w:tabs>
          <w:tab w:val="num" w:pos="5760"/>
        </w:tabs>
        <w:ind w:left="5760" w:hanging="360"/>
      </w:pPr>
      <w:rPr>
        <w:rFonts w:ascii="Arial" w:hAnsi="Arial" w:hint="default"/>
      </w:rPr>
    </w:lvl>
    <w:lvl w:ilvl="8" w:tplc="32E870E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1D76C64"/>
    <w:multiLevelType w:val="hybridMultilevel"/>
    <w:tmpl w:val="EA7080DA"/>
    <w:lvl w:ilvl="0" w:tplc="9F669E46">
      <w:start w:val="1"/>
      <w:numFmt w:val="bullet"/>
      <w:lvlText w:val="•"/>
      <w:lvlJc w:val="left"/>
      <w:pPr>
        <w:tabs>
          <w:tab w:val="num" w:pos="720"/>
        </w:tabs>
        <w:ind w:left="720" w:hanging="360"/>
      </w:pPr>
      <w:rPr>
        <w:rFonts w:ascii="Arial" w:hAnsi="Arial" w:hint="default"/>
      </w:rPr>
    </w:lvl>
    <w:lvl w:ilvl="1" w:tplc="9490EF06" w:tentative="1">
      <w:start w:val="1"/>
      <w:numFmt w:val="bullet"/>
      <w:lvlText w:val="•"/>
      <w:lvlJc w:val="left"/>
      <w:pPr>
        <w:tabs>
          <w:tab w:val="num" w:pos="1440"/>
        </w:tabs>
        <w:ind w:left="1440" w:hanging="360"/>
      </w:pPr>
      <w:rPr>
        <w:rFonts w:ascii="Arial" w:hAnsi="Arial" w:hint="default"/>
      </w:rPr>
    </w:lvl>
    <w:lvl w:ilvl="2" w:tplc="4C82ABE2" w:tentative="1">
      <w:start w:val="1"/>
      <w:numFmt w:val="bullet"/>
      <w:lvlText w:val="•"/>
      <w:lvlJc w:val="left"/>
      <w:pPr>
        <w:tabs>
          <w:tab w:val="num" w:pos="2160"/>
        </w:tabs>
        <w:ind w:left="2160" w:hanging="360"/>
      </w:pPr>
      <w:rPr>
        <w:rFonts w:ascii="Arial" w:hAnsi="Arial" w:hint="default"/>
      </w:rPr>
    </w:lvl>
    <w:lvl w:ilvl="3" w:tplc="67AC9E24" w:tentative="1">
      <w:start w:val="1"/>
      <w:numFmt w:val="bullet"/>
      <w:lvlText w:val="•"/>
      <w:lvlJc w:val="left"/>
      <w:pPr>
        <w:tabs>
          <w:tab w:val="num" w:pos="2880"/>
        </w:tabs>
        <w:ind w:left="2880" w:hanging="360"/>
      </w:pPr>
      <w:rPr>
        <w:rFonts w:ascii="Arial" w:hAnsi="Arial" w:hint="default"/>
      </w:rPr>
    </w:lvl>
    <w:lvl w:ilvl="4" w:tplc="5F3CE696" w:tentative="1">
      <w:start w:val="1"/>
      <w:numFmt w:val="bullet"/>
      <w:lvlText w:val="•"/>
      <w:lvlJc w:val="left"/>
      <w:pPr>
        <w:tabs>
          <w:tab w:val="num" w:pos="3600"/>
        </w:tabs>
        <w:ind w:left="3600" w:hanging="360"/>
      </w:pPr>
      <w:rPr>
        <w:rFonts w:ascii="Arial" w:hAnsi="Arial" w:hint="default"/>
      </w:rPr>
    </w:lvl>
    <w:lvl w:ilvl="5" w:tplc="BDBE93BE" w:tentative="1">
      <w:start w:val="1"/>
      <w:numFmt w:val="bullet"/>
      <w:lvlText w:val="•"/>
      <w:lvlJc w:val="left"/>
      <w:pPr>
        <w:tabs>
          <w:tab w:val="num" w:pos="4320"/>
        </w:tabs>
        <w:ind w:left="4320" w:hanging="360"/>
      </w:pPr>
      <w:rPr>
        <w:rFonts w:ascii="Arial" w:hAnsi="Arial" w:hint="default"/>
      </w:rPr>
    </w:lvl>
    <w:lvl w:ilvl="6" w:tplc="554CD0BE" w:tentative="1">
      <w:start w:val="1"/>
      <w:numFmt w:val="bullet"/>
      <w:lvlText w:val="•"/>
      <w:lvlJc w:val="left"/>
      <w:pPr>
        <w:tabs>
          <w:tab w:val="num" w:pos="5040"/>
        </w:tabs>
        <w:ind w:left="5040" w:hanging="360"/>
      </w:pPr>
      <w:rPr>
        <w:rFonts w:ascii="Arial" w:hAnsi="Arial" w:hint="default"/>
      </w:rPr>
    </w:lvl>
    <w:lvl w:ilvl="7" w:tplc="8480B030" w:tentative="1">
      <w:start w:val="1"/>
      <w:numFmt w:val="bullet"/>
      <w:lvlText w:val="•"/>
      <w:lvlJc w:val="left"/>
      <w:pPr>
        <w:tabs>
          <w:tab w:val="num" w:pos="5760"/>
        </w:tabs>
        <w:ind w:left="5760" w:hanging="360"/>
      </w:pPr>
      <w:rPr>
        <w:rFonts w:ascii="Arial" w:hAnsi="Arial" w:hint="default"/>
      </w:rPr>
    </w:lvl>
    <w:lvl w:ilvl="8" w:tplc="B1FEDBD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743418D"/>
    <w:multiLevelType w:val="hybridMultilevel"/>
    <w:tmpl w:val="166A4D7A"/>
    <w:lvl w:ilvl="0" w:tplc="A5DE9DD6">
      <w:start w:val="1"/>
      <w:numFmt w:val="bullet"/>
      <w:lvlText w:val=""/>
      <w:lvlJc w:val="left"/>
      <w:pPr>
        <w:tabs>
          <w:tab w:val="num" w:pos="720"/>
        </w:tabs>
        <w:ind w:left="720" w:hanging="360"/>
      </w:pPr>
      <w:rPr>
        <w:rFonts w:ascii="Symbol" w:hAnsi="Symbol" w:hint="default"/>
      </w:rPr>
    </w:lvl>
    <w:lvl w:ilvl="1" w:tplc="8FAA09F0" w:tentative="1">
      <w:start w:val="1"/>
      <w:numFmt w:val="bullet"/>
      <w:lvlText w:val=""/>
      <w:lvlJc w:val="left"/>
      <w:pPr>
        <w:tabs>
          <w:tab w:val="num" w:pos="1440"/>
        </w:tabs>
        <w:ind w:left="1440" w:hanging="360"/>
      </w:pPr>
      <w:rPr>
        <w:rFonts w:ascii="Symbol" w:hAnsi="Symbol" w:hint="default"/>
      </w:rPr>
    </w:lvl>
    <w:lvl w:ilvl="2" w:tplc="A746A2B4" w:tentative="1">
      <w:start w:val="1"/>
      <w:numFmt w:val="bullet"/>
      <w:lvlText w:val=""/>
      <w:lvlJc w:val="left"/>
      <w:pPr>
        <w:tabs>
          <w:tab w:val="num" w:pos="2160"/>
        </w:tabs>
        <w:ind w:left="2160" w:hanging="360"/>
      </w:pPr>
      <w:rPr>
        <w:rFonts w:ascii="Symbol" w:hAnsi="Symbol" w:hint="default"/>
      </w:rPr>
    </w:lvl>
    <w:lvl w:ilvl="3" w:tplc="69B2277E" w:tentative="1">
      <w:start w:val="1"/>
      <w:numFmt w:val="bullet"/>
      <w:lvlText w:val=""/>
      <w:lvlJc w:val="left"/>
      <w:pPr>
        <w:tabs>
          <w:tab w:val="num" w:pos="2880"/>
        </w:tabs>
        <w:ind w:left="2880" w:hanging="360"/>
      </w:pPr>
      <w:rPr>
        <w:rFonts w:ascii="Symbol" w:hAnsi="Symbol" w:hint="default"/>
      </w:rPr>
    </w:lvl>
    <w:lvl w:ilvl="4" w:tplc="72441FCE" w:tentative="1">
      <w:start w:val="1"/>
      <w:numFmt w:val="bullet"/>
      <w:lvlText w:val=""/>
      <w:lvlJc w:val="left"/>
      <w:pPr>
        <w:tabs>
          <w:tab w:val="num" w:pos="3600"/>
        </w:tabs>
        <w:ind w:left="3600" w:hanging="360"/>
      </w:pPr>
      <w:rPr>
        <w:rFonts w:ascii="Symbol" w:hAnsi="Symbol" w:hint="default"/>
      </w:rPr>
    </w:lvl>
    <w:lvl w:ilvl="5" w:tplc="70B8DBF4" w:tentative="1">
      <w:start w:val="1"/>
      <w:numFmt w:val="bullet"/>
      <w:lvlText w:val=""/>
      <w:lvlJc w:val="left"/>
      <w:pPr>
        <w:tabs>
          <w:tab w:val="num" w:pos="4320"/>
        </w:tabs>
        <w:ind w:left="4320" w:hanging="360"/>
      </w:pPr>
      <w:rPr>
        <w:rFonts w:ascii="Symbol" w:hAnsi="Symbol" w:hint="default"/>
      </w:rPr>
    </w:lvl>
    <w:lvl w:ilvl="6" w:tplc="D494D8B4" w:tentative="1">
      <w:start w:val="1"/>
      <w:numFmt w:val="bullet"/>
      <w:lvlText w:val=""/>
      <w:lvlJc w:val="left"/>
      <w:pPr>
        <w:tabs>
          <w:tab w:val="num" w:pos="5040"/>
        </w:tabs>
        <w:ind w:left="5040" w:hanging="360"/>
      </w:pPr>
      <w:rPr>
        <w:rFonts w:ascii="Symbol" w:hAnsi="Symbol" w:hint="default"/>
      </w:rPr>
    </w:lvl>
    <w:lvl w:ilvl="7" w:tplc="1416F59E" w:tentative="1">
      <w:start w:val="1"/>
      <w:numFmt w:val="bullet"/>
      <w:lvlText w:val=""/>
      <w:lvlJc w:val="left"/>
      <w:pPr>
        <w:tabs>
          <w:tab w:val="num" w:pos="5760"/>
        </w:tabs>
        <w:ind w:left="5760" w:hanging="360"/>
      </w:pPr>
      <w:rPr>
        <w:rFonts w:ascii="Symbol" w:hAnsi="Symbol" w:hint="default"/>
      </w:rPr>
    </w:lvl>
    <w:lvl w:ilvl="8" w:tplc="713A2B38"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765B5731"/>
    <w:multiLevelType w:val="hybridMultilevel"/>
    <w:tmpl w:val="61C07114"/>
    <w:lvl w:ilvl="0" w:tplc="6E66AF62">
      <w:start w:val="1"/>
      <w:numFmt w:val="bullet"/>
      <w:lvlText w:val=""/>
      <w:lvlJc w:val="left"/>
      <w:pPr>
        <w:tabs>
          <w:tab w:val="num" w:pos="720"/>
        </w:tabs>
        <w:ind w:left="720" w:hanging="360"/>
      </w:pPr>
      <w:rPr>
        <w:rFonts w:ascii="Symbol" w:hAnsi="Symbol" w:hint="default"/>
      </w:rPr>
    </w:lvl>
    <w:lvl w:ilvl="1" w:tplc="B9660F66" w:tentative="1">
      <w:start w:val="1"/>
      <w:numFmt w:val="bullet"/>
      <w:lvlText w:val=""/>
      <w:lvlJc w:val="left"/>
      <w:pPr>
        <w:tabs>
          <w:tab w:val="num" w:pos="1440"/>
        </w:tabs>
        <w:ind w:left="1440" w:hanging="360"/>
      </w:pPr>
      <w:rPr>
        <w:rFonts w:ascii="Symbol" w:hAnsi="Symbol" w:hint="default"/>
      </w:rPr>
    </w:lvl>
    <w:lvl w:ilvl="2" w:tplc="1FA8BE4A" w:tentative="1">
      <w:start w:val="1"/>
      <w:numFmt w:val="bullet"/>
      <w:lvlText w:val=""/>
      <w:lvlJc w:val="left"/>
      <w:pPr>
        <w:tabs>
          <w:tab w:val="num" w:pos="2160"/>
        </w:tabs>
        <w:ind w:left="2160" w:hanging="360"/>
      </w:pPr>
      <w:rPr>
        <w:rFonts w:ascii="Symbol" w:hAnsi="Symbol" w:hint="default"/>
      </w:rPr>
    </w:lvl>
    <w:lvl w:ilvl="3" w:tplc="CF768424" w:tentative="1">
      <w:start w:val="1"/>
      <w:numFmt w:val="bullet"/>
      <w:lvlText w:val=""/>
      <w:lvlJc w:val="left"/>
      <w:pPr>
        <w:tabs>
          <w:tab w:val="num" w:pos="2880"/>
        </w:tabs>
        <w:ind w:left="2880" w:hanging="360"/>
      </w:pPr>
      <w:rPr>
        <w:rFonts w:ascii="Symbol" w:hAnsi="Symbol" w:hint="default"/>
      </w:rPr>
    </w:lvl>
    <w:lvl w:ilvl="4" w:tplc="FA46E164" w:tentative="1">
      <w:start w:val="1"/>
      <w:numFmt w:val="bullet"/>
      <w:lvlText w:val=""/>
      <w:lvlJc w:val="left"/>
      <w:pPr>
        <w:tabs>
          <w:tab w:val="num" w:pos="3600"/>
        </w:tabs>
        <w:ind w:left="3600" w:hanging="360"/>
      </w:pPr>
      <w:rPr>
        <w:rFonts w:ascii="Symbol" w:hAnsi="Symbol" w:hint="default"/>
      </w:rPr>
    </w:lvl>
    <w:lvl w:ilvl="5" w:tplc="7D8CE994" w:tentative="1">
      <w:start w:val="1"/>
      <w:numFmt w:val="bullet"/>
      <w:lvlText w:val=""/>
      <w:lvlJc w:val="left"/>
      <w:pPr>
        <w:tabs>
          <w:tab w:val="num" w:pos="4320"/>
        </w:tabs>
        <w:ind w:left="4320" w:hanging="360"/>
      </w:pPr>
      <w:rPr>
        <w:rFonts w:ascii="Symbol" w:hAnsi="Symbol" w:hint="default"/>
      </w:rPr>
    </w:lvl>
    <w:lvl w:ilvl="6" w:tplc="6816B1DA" w:tentative="1">
      <w:start w:val="1"/>
      <w:numFmt w:val="bullet"/>
      <w:lvlText w:val=""/>
      <w:lvlJc w:val="left"/>
      <w:pPr>
        <w:tabs>
          <w:tab w:val="num" w:pos="5040"/>
        </w:tabs>
        <w:ind w:left="5040" w:hanging="360"/>
      </w:pPr>
      <w:rPr>
        <w:rFonts w:ascii="Symbol" w:hAnsi="Symbol" w:hint="default"/>
      </w:rPr>
    </w:lvl>
    <w:lvl w:ilvl="7" w:tplc="78F84416" w:tentative="1">
      <w:start w:val="1"/>
      <w:numFmt w:val="bullet"/>
      <w:lvlText w:val=""/>
      <w:lvlJc w:val="left"/>
      <w:pPr>
        <w:tabs>
          <w:tab w:val="num" w:pos="5760"/>
        </w:tabs>
        <w:ind w:left="5760" w:hanging="360"/>
      </w:pPr>
      <w:rPr>
        <w:rFonts w:ascii="Symbol" w:hAnsi="Symbol" w:hint="default"/>
      </w:rPr>
    </w:lvl>
    <w:lvl w:ilvl="8" w:tplc="59F22DFA" w:tentative="1">
      <w:start w:val="1"/>
      <w:numFmt w:val="bullet"/>
      <w:lvlText w:val=""/>
      <w:lvlJc w:val="left"/>
      <w:pPr>
        <w:tabs>
          <w:tab w:val="num" w:pos="6480"/>
        </w:tabs>
        <w:ind w:left="6480" w:hanging="360"/>
      </w:pPr>
      <w:rPr>
        <w:rFonts w:ascii="Symbol" w:hAnsi="Symbol" w:hint="default"/>
      </w:rPr>
    </w:lvl>
  </w:abstractNum>
  <w:num w:numId="1" w16cid:durableId="529220091">
    <w:abstractNumId w:val="6"/>
  </w:num>
  <w:num w:numId="2" w16cid:durableId="553658466">
    <w:abstractNumId w:val="3"/>
  </w:num>
  <w:num w:numId="3" w16cid:durableId="1323967231">
    <w:abstractNumId w:val="2"/>
  </w:num>
  <w:num w:numId="4" w16cid:durableId="2145849131">
    <w:abstractNumId w:val="7"/>
  </w:num>
  <w:num w:numId="5" w16cid:durableId="1379351797">
    <w:abstractNumId w:val="0"/>
  </w:num>
  <w:num w:numId="6" w16cid:durableId="1961573783">
    <w:abstractNumId w:val="1"/>
  </w:num>
  <w:num w:numId="7" w16cid:durableId="1219633276">
    <w:abstractNumId w:val="8"/>
  </w:num>
  <w:num w:numId="8" w16cid:durableId="216472666">
    <w:abstractNumId w:val="9"/>
  </w:num>
  <w:num w:numId="9" w16cid:durableId="575939708">
    <w:abstractNumId w:val="5"/>
  </w:num>
  <w:num w:numId="10" w16cid:durableId="14858566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C71"/>
    <w:rsid w:val="00002BA5"/>
    <w:rsid w:val="000158BC"/>
    <w:rsid w:val="00062934"/>
    <w:rsid w:val="0008735C"/>
    <w:rsid w:val="000B6A87"/>
    <w:rsid w:val="000B6C7D"/>
    <w:rsid w:val="000B6EB0"/>
    <w:rsid w:val="000D5EF8"/>
    <w:rsid w:val="000F2769"/>
    <w:rsid w:val="00186F16"/>
    <w:rsid w:val="001A2247"/>
    <w:rsid w:val="001B7942"/>
    <w:rsid w:val="001C6D17"/>
    <w:rsid w:val="001D49F4"/>
    <w:rsid w:val="001D59EB"/>
    <w:rsid w:val="00216FFA"/>
    <w:rsid w:val="0023562F"/>
    <w:rsid w:val="002F4B19"/>
    <w:rsid w:val="002F6DFE"/>
    <w:rsid w:val="003B5A47"/>
    <w:rsid w:val="003C2531"/>
    <w:rsid w:val="003C650A"/>
    <w:rsid w:val="003C7DE6"/>
    <w:rsid w:val="00422820"/>
    <w:rsid w:val="00431539"/>
    <w:rsid w:val="00471701"/>
    <w:rsid w:val="00486936"/>
    <w:rsid w:val="00534000"/>
    <w:rsid w:val="00537164"/>
    <w:rsid w:val="005623F6"/>
    <w:rsid w:val="006C0F6A"/>
    <w:rsid w:val="007364E0"/>
    <w:rsid w:val="007470D6"/>
    <w:rsid w:val="007B38DF"/>
    <w:rsid w:val="007D1155"/>
    <w:rsid w:val="0084766A"/>
    <w:rsid w:val="00886FF6"/>
    <w:rsid w:val="008B252D"/>
    <w:rsid w:val="00920682"/>
    <w:rsid w:val="00985A78"/>
    <w:rsid w:val="009F5B83"/>
    <w:rsid w:val="00A0339A"/>
    <w:rsid w:val="00B02806"/>
    <w:rsid w:val="00B23D1E"/>
    <w:rsid w:val="00C32C71"/>
    <w:rsid w:val="00C42551"/>
    <w:rsid w:val="00CD5A52"/>
    <w:rsid w:val="00D645FB"/>
    <w:rsid w:val="00D666CD"/>
    <w:rsid w:val="00D677E2"/>
    <w:rsid w:val="00D86767"/>
    <w:rsid w:val="00E768D5"/>
    <w:rsid w:val="00E876EA"/>
    <w:rsid w:val="00EA50CA"/>
    <w:rsid w:val="00EE3ADD"/>
    <w:rsid w:val="00F26D94"/>
    <w:rsid w:val="00F510A6"/>
    <w:rsid w:val="00F84BFD"/>
    <w:rsid w:val="00FD37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63ACC"/>
  <w15:chartTrackingRefBased/>
  <w15:docId w15:val="{C28E7DF7-465C-489E-85ED-7B3351CE7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2C7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32C7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32C7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32C7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32C7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32C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2C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2C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2C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2C7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32C7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32C7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32C7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32C7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32C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2C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2C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2C71"/>
    <w:rPr>
      <w:rFonts w:eastAsiaTheme="majorEastAsia" w:cstheme="majorBidi"/>
      <w:color w:val="272727" w:themeColor="text1" w:themeTint="D8"/>
    </w:rPr>
  </w:style>
  <w:style w:type="paragraph" w:styleId="Title">
    <w:name w:val="Title"/>
    <w:basedOn w:val="Normal"/>
    <w:next w:val="Normal"/>
    <w:link w:val="TitleChar"/>
    <w:uiPriority w:val="10"/>
    <w:qFormat/>
    <w:rsid w:val="00C32C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2C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2C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2C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2C71"/>
    <w:pPr>
      <w:spacing w:before="160"/>
      <w:jc w:val="center"/>
    </w:pPr>
    <w:rPr>
      <w:i/>
      <w:iCs/>
      <w:color w:val="404040" w:themeColor="text1" w:themeTint="BF"/>
    </w:rPr>
  </w:style>
  <w:style w:type="character" w:customStyle="1" w:styleId="QuoteChar">
    <w:name w:val="Quote Char"/>
    <w:basedOn w:val="DefaultParagraphFont"/>
    <w:link w:val="Quote"/>
    <w:uiPriority w:val="29"/>
    <w:rsid w:val="00C32C71"/>
    <w:rPr>
      <w:i/>
      <w:iCs/>
      <w:color w:val="404040" w:themeColor="text1" w:themeTint="BF"/>
    </w:rPr>
  </w:style>
  <w:style w:type="paragraph" w:styleId="ListParagraph">
    <w:name w:val="List Paragraph"/>
    <w:basedOn w:val="Normal"/>
    <w:uiPriority w:val="34"/>
    <w:qFormat/>
    <w:rsid w:val="00C32C71"/>
    <w:pPr>
      <w:ind w:left="720"/>
      <w:contextualSpacing/>
    </w:pPr>
  </w:style>
  <w:style w:type="character" w:styleId="IntenseEmphasis">
    <w:name w:val="Intense Emphasis"/>
    <w:basedOn w:val="DefaultParagraphFont"/>
    <w:uiPriority w:val="21"/>
    <w:qFormat/>
    <w:rsid w:val="00C32C71"/>
    <w:rPr>
      <w:i/>
      <w:iCs/>
      <w:color w:val="2F5496" w:themeColor="accent1" w:themeShade="BF"/>
    </w:rPr>
  </w:style>
  <w:style w:type="paragraph" w:styleId="IntenseQuote">
    <w:name w:val="Intense Quote"/>
    <w:basedOn w:val="Normal"/>
    <w:next w:val="Normal"/>
    <w:link w:val="IntenseQuoteChar"/>
    <w:uiPriority w:val="30"/>
    <w:qFormat/>
    <w:rsid w:val="00C32C7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32C71"/>
    <w:rPr>
      <w:i/>
      <w:iCs/>
      <w:color w:val="2F5496" w:themeColor="accent1" w:themeShade="BF"/>
    </w:rPr>
  </w:style>
  <w:style w:type="character" w:styleId="IntenseReference">
    <w:name w:val="Intense Reference"/>
    <w:basedOn w:val="DefaultParagraphFont"/>
    <w:uiPriority w:val="32"/>
    <w:qFormat/>
    <w:rsid w:val="00C32C71"/>
    <w:rPr>
      <w:b/>
      <w:bCs/>
      <w:smallCaps/>
      <w:color w:val="2F5496" w:themeColor="accent1" w:themeShade="BF"/>
      <w:spacing w:val="5"/>
    </w:rPr>
  </w:style>
  <w:style w:type="character" w:styleId="Hyperlink">
    <w:name w:val="Hyperlink"/>
    <w:basedOn w:val="DefaultParagraphFont"/>
    <w:uiPriority w:val="99"/>
    <w:unhideWhenUsed/>
    <w:rsid w:val="00EE3ADD"/>
    <w:rPr>
      <w:color w:val="0563C1" w:themeColor="hyperlink"/>
      <w:u w:val="single"/>
    </w:rPr>
  </w:style>
  <w:style w:type="character" w:styleId="UnresolvedMention">
    <w:name w:val="Unresolved Mention"/>
    <w:basedOn w:val="DefaultParagraphFont"/>
    <w:uiPriority w:val="99"/>
    <w:semiHidden/>
    <w:unhideWhenUsed/>
    <w:rsid w:val="00EE3A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593784">
      <w:bodyDiv w:val="1"/>
      <w:marLeft w:val="0"/>
      <w:marRight w:val="0"/>
      <w:marTop w:val="0"/>
      <w:marBottom w:val="0"/>
      <w:divBdr>
        <w:top w:val="none" w:sz="0" w:space="0" w:color="auto"/>
        <w:left w:val="none" w:sz="0" w:space="0" w:color="auto"/>
        <w:bottom w:val="none" w:sz="0" w:space="0" w:color="auto"/>
        <w:right w:val="none" w:sz="0" w:space="0" w:color="auto"/>
      </w:divBdr>
      <w:divsChild>
        <w:div w:id="587740186">
          <w:marLeft w:val="547"/>
          <w:marRight w:val="0"/>
          <w:marTop w:val="200"/>
          <w:marBottom w:val="160"/>
          <w:divBdr>
            <w:top w:val="none" w:sz="0" w:space="0" w:color="auto"/>
            <w:left w:val="none" w:sz="0" w:space="0" w:color="auto"/>
            <w:bottom w:val="none" w:sz="0" w:space="0" w:color="auto"/>
            <w:right w:val="none" w:sz="0" w:space="0" w:color="auto"/>
          </w:divBdr>
        </w:div>
        <w:div w:id="1051732771">
          <w:marLeft w:val="547"/>
          <w:marRight w:val="0"/>
          <w:marTop w:val="200"/>
          <w:marBottom w:val="160"/>
          <w:divBdr>
            <w:top w:val="none" w:sz="0" w:space="0" w:color="auto"/>
            <w:left w:val="none" w:sz="0" w:space="0" w:color="auto"/>
            <w:bottom w:val="none" w:sz="0" w:space="0" w:color="auto"/>
            <w:right w:val="none" w:sz="0" w:space="0" w:color="auto"/>
          </w:divBdr>
        </w:div>
        <w:div w:id="1305891103">
          <w:marLeft w:val="547"/>
          <w:marRight w:val="0"/>
          <w:marTop w:val="200"/>
          <w:marBottom w:val="160"/>
          <w:divBdr>
            <w:top w:val="none" w:sz="0" w:space="0" w:color="auto"/>
            <w:left w:val="none" w:sz="0" w:space="0" w:color="auto"/>
            <w:bottom w:val="none" w:sz="0" w:space="0" w:color="auto"/>
            <w:right w:val="none" w:sz="0" w:space="0" w:color="auto"/>
          </w:divBdr>
        </w:div>
        <w:div w:id="1580406887">
          <w:marLeft w:val="547"/>
          <w:marRight w:val="0"/>
          <w:marTop w:val="200"/>
          <w:marBottom w:val="160"/>
          <w:divBdr>
            <w:top w:val="none" w:sz="0" w:space="0" w:color="auto"/>
            <w:left w:val="none" w:sz="0" w:space="0" w:color="auto"/>
            <w:bottom w:val="none" w:sz="0" w:space="0" w:color="auto"/>
            <w:right w:val="none" w:sz="0" w:space="0" w:color="auto"/>
          </w:divBdr>
        </w:div>
        <w:div w:id="1784643553">
          <w:marLeft w:val="547"/>
          <w:marRight w:val="0"/>
          <w:marTop w:val="200"/>
          <w:marBottom w:val="160"/>
          <w:divBdr>
            <w:top w:val="none" w:sz="0" w:space="0" w:color="auto"/>
            <w:left w:val="none" w:sz="0" w:space="0" w:color="auto"/>
            <w:bottom w:val="none" w:sz="0" w:space="0" w:color="auto"/>
            <w:right w:val="none" w:sz="0" w:space="0" w:color="auto"/>
          </w:divBdr>
        </w:div>
      </w:divsChild>
    </w:div>
    <w:div w:id="342978886">
      <w:bodyDiv w:val="1"/>
      <w:marLeft w:val="0"/>
      <w:marRight w:val="0"/>
      <w:marTop w:val="0"/>
      <w:marBottom w:val="0"/>
      <w:divBdr>
        <w:top w:val="none" w:sz="0" w:space="0" w:color="auto"/>
        <w:left w:val="none" w:sz="0" w:space="0" w:color="auto"/>
        <w:bottom w:val="none" w:sz="0" w:space="0" w:color="auto"/>
        <w:right w:val="none" w:sz="0" w:space="0" w:color="auto"/>
      </w:divBdr>
      <w:divsChild>
        <w:div w:id="190336567">
          <w:marLeft w:val="360"/>
          <w:marRight w:val="0"/>
          <w:marTop w:val="200"/>
          <w:marBottom w:val="0"/>
          <w:divBdr>
            <w:top w:val="none" w:sz="0" w:space="0" w:color="auto"/>
            <w:left w:val="none" w:sz="0" w:space="0" w:color="auto"/>
            <w:bottom w:val="none" w:sz="0" w:space="0" w:color="auto"/>
            <w:right w:val="none" w:sz="0" w:space="0" w:color="auto"/>
          </w:divBdr>
        </w:div>
        <w:div w:id="353314392">
          <w:marLeft w:val="360"/>
          <w:marRight w:val="0"/>
          <w:marTop w:val="200"/>
          <w:marBottom w:val="0"/>
          <w:divBdr>
            <w:top w:val="none" w:sz="0" w:space="0" w:color="auto"/>
            <w:left w:val="none" w:sz="0" w:space="0" w:color="auto"/>
            <w:bottom w:val="none" w:sz="0" w:space="0" w:color="auto"/>
            <w:right w:val="none" w:sz="0" w:space="0" w:color="auto"/>
          </w:divBdr>
        </w:div>
        <w:div w:id="474689171">
          <w:marLeft w:val="360"/>
          <w:marRight w:val="0"/>
          <w:marTop w:val="200"/>
          <w:marBottom w:val="0"/>
          <w:divBdr>
            <w:top w:val="none" w:sz="0" w:space="0" w:color="auto"/>
            <w:left w:val="none" w:sz="0" w:space="0" w:color="auto"/>
            <w:bottom w:val="none" w:sz="0" w:space="0" w:color="auto"/>
            <w:right w:val="none" w:sz="0" w:space="0" w:color="auto"/>
          </w:divBdr>
        </w:div>
        <w:div w:id="638416791">
          <w:marLeft w:val="360"/>
          <w:marRight w:val="0"/>
          <w:marTop w:val="200"/>
          <w:marBottom w:val="0"/>
          <w:divBdr>
            <w:top w:val="none" w:sz="0" w:space="0" w:color="auto"/>
            <w:left w:val="none" w:sz="0" w:space="0" w:color="auto"/>
            <w:bottom w:val="none" w:sz="0" w:space="0" w:color="auto"/>
            <w:right w:val="none" w:sz="0" w:space="0" w:color="auto"/>
          </w:divBdr>
        </w:div>
        <w:div w:id="1023674846">
          <w:marLeft w:val="360"/>
          <w:marRight w:val="0"/>
          <w:marTop w:val="200"/>
          <w:marBottom w:val="0"/>
          <w:divBdr>
            <w:top w:val="none" w:sz="0" w:space="0" w:color="auto"/>
            <w:left w:val="none" w:sz="0" w:space="0" w:color="auto"/>
            <w:bottom w:val="none" w:sz="0" w:space="0" w:color="auto"/>
            <w:right w:val="none" w:sz="0" w:space="0" w:color="auto"/>
          </w:divBdr>
        </w:div>
        <w:div w:id="14766863">
          <w:marLeft w:val="360"/>
          <w:marRight w:val="0"/>
          <w:marTop w:val="200"/>
          <w:marBottom w:val="0"/>
          <w:divBdr>
            <w:top w:val="none" w:sz="0" w:space="0" w:color="auto"/>
            <w:left w:val="none" w:sz="0" w:space="0" w:color="auto"/>
            <w:bottom w:val="none" w:sz="0" w:space="0" w:color="auto"/>
            <w:right w:val="none" w:sz="0" w:space="0" w:color="auto"/>
          </w:divBdr>
        </w:div>
      </w:divsChild>
    </w:div>
    <w:div w:id="465466515">
      <w:bodyDiv w:val="1"/>
      <w:marLeft w:val="0"/>
      <w:marRight w:val="0"/>
      <w:marTop w:val="0"/>
      <w:marBottom w:val="0"/>
      <w:divBdr>
        <w:top w:val="none" w:sz="0" w:space="0" w:color="auto"/>
        <w:left w:val="none" w:sz="0" w:space="0" w:color="auto"/>
        <w:bottom w:val="none" w:sz="0" w:space="0" w:color="auto"/>
        <w:right w:val="none" w:sz="0" w:space="0" w:color="auto"/>
      </w:divBdr>
      <w:divsChild>
        <w:div w:id="1714961339">
          <w:marLeft w:val="547"/>
          <w:marRight w:val="0"/>
          <w:marTop w:val="200"/>
          <w:marBottom w:val="160"/>
          <w:divBdr>
            <w:top w:val="none" w:sz="0" w:space="0" w:color="auto"/>
            <w:left w:val="none" w:sz="0" w:space="0" w:color="auto"/>
            <w:bottom w:val="none" w:sz="0" w:space="0" w:color="auto"/>
            <w:right w:val="none" w:sz="0" w:space="0" w:color="auto"/>
          </w:divBdr>
        </w:div>
        <w:div w:id="1149054231">
          <w:marLeft w:val="547"/>
          <w:marRight w:val="0"/>
          <w:marTop w:val="200"/>
          <w:marBottom w:val="160"/>
          <w:divBdr>
            <w:top w:val="none" w:sz="0" w:space="0" w:color="auto"/>
            <w:left w:val="none" w:sz="0" w:space="0" w:color="auto"/>
            <w:bottom w:val="none" w:sz="0" w:space="0" w:color="auto"/>
            <w:right w:val="none" w:sz="0" w:space="0" w:color="auto"/>
          </w:divBdr>
        </w:div>
        <w:div w:id="601958543">
          <w:marLeft w:val="547"/>
          <w:marRight w:val="0"/>
          <w:marTop w:val="200"/>
          <w:marBottom w:val="160"/>
          <w:divBdr>
            <w:top w:val="none" w:sz="0" w:space="0" w:color="auto"/>
            <w:left w:val="none" w:sz="0" w:space="0" w:color="auto"/>
            <w:bottom w:val="none" w:sz="0" w:space="0" w:color="auto"/>
            <w:right w:val="none" w:sz="0" w:space="0" w:color="auto"/>
          </w:divBdr>
        </w:div>
        <w:div w:id="407190503">
          <w:marLeft w:val="547"/>
          <w:marRight w:val="0"/>
          <w:marTop w:val="200"/>
          <w:marBottom w:val="160"/>
          <w:divBdr>
            <w:top w:val="none" w:sz="0" w:space="0" w:color="auto"/>
            <w:left w:val="none" w:sz="0" w:space="0" w:color="auto"/>
            <w:bottom w:val="none" w:sz="0" w:space="0" w:color="auto"/>
            <w:right w:val="none" w:sz="0" w:space="0" w:color="auto"/>
          </w:divBdr>
        </w:div>
      </w:divsChild>
    </w:div>
    <w:div w:id="475338842">
      <w:bodyDiv w:val="1"/>
      <w:marLeft w:val="0"/>
      <w:marRight w:val="0"/>
      <w:marTop w:val="0"/>
      <w:marBottom w:val="0"/>
      <w:divBdr>
        <w:top w:val="none" w:sz="0" w:space="0" w:color="auto"/>
        <w:left w:val="none" w:sz="0" w:space="0" w:color="auto"/>
        <w:bottom w:val="none" w:sz="0" w:space="0" w:color="auto"/>
        <w:right w:val="none" w:sz="0" w:space="0" w:color="auto"/>
      </w:divBdr>
      <w:divsChild>
        <w:div w:id="1780175949">
          <w:marLeft w:val="360"/>
          <w:marRight w:val="0"/>
          <w:marTop w:val="200"/>
          <w:marBottom w:val="0"/>
          <w:divBdr>
            <w:top w:val="none" w:sz="0" w:space="0" w:color="auto"/>
            <w:left w:val="none" w:sz="0" w:space="0" w:color="auto"/>
            <w:bottom w:val="none" w:sz="0" w:space="0" w:color="auto"/>
            <w:right w:val="none" w:sz="0" w:space="0" w:color="auto"/>
          </w:divBdr>
        </w:div>
        <w:div w:id="1327124958">
          <w:marLeft w:val="360"/>
          <w:marRight w:val="0"/>
          <w:marTop w:val="200"/>
          <w:marBottom w:val="0"/>
          <w:divBdr>
            <w:top w:val="none" w:sz="0" w:space="0" w:color="auto"/>
            <w:left w:val="none" w:sz="0" w:space="0" w:color="auto"/>
            <w:bottom w:val="none" w:sz="0" w:space="0" w:color="auto"/>
            <w:right w:val="none" w:sz="0" w:space="0" w:color="auto"/>
          </w:divBdr>
        </w:div>
        <w:div w:id="1436442363">
          <w:marLeft w:val="360"/>
          <w:marRight w:val="0"/>
          <w:marTop w:val="200"/>
          <w:marBottom w:val="0"/>
          <w:divBdr>
            <w:top w:val="none" w:sz="0" w:space="0" w:color="auto"/>
            <w:left w:val="none" w:sz="0" w:space="0" w:color="auto"/>
            <w:bottom w:val="none" w:sz="0" w:space="0" w:color="auto"/>
            <w:right w:val="none" w:sz="0" w:space="0" w:color="auto"/>
          </w:divBdr>
        </w:div>
        <w:div w:id="944537228">
          <w:marLeft w:val="360"/>
          <w:marRight w:val="0"/>
          <w:marTop w:val="200"/>
          <w:marBottom w:val="0"/>
          <w:divBdr>
            <w:top w:val="none" w:sz="0" w:space="0" w:color="auto"/>
            <w:left w:val="none" w:sz="0" w:space="0" w:color="auto"/>
            <w:bottom w:val="none" w:sz="0" w:space="0" w:color="auto"/>
            <w:right w:val="none" w:sz="0" w:space="0" w:color="auto"/>
          </w:divBdr>
        </w:div>
        <w:div w:id="2110082498">
          <w:marLeft w:val="360"/>
          <w:marRight w:val="0"/>
          <w:marTop w:val="200"/>
          <w:marBottom w:val="0"/>
          <w:divBdr>
            <w:top w:val="none" w:sz="0" w:space="0" w:color="auto"/>
            <w:left w:val="none" w:sz="0" w:space="0" w:color="auto"/>
            <w:bottom w:val="none" w:sz="0" w:space="0" w:color="auto"/>
            <w:right w:val="none" w:sz="0" w:space="0" w:color="auto"/>
          </w:divBdr>
        </w:div>
        <w:div w:id="234510513">
          <w:marLeft w:val="360"/>
          <w:marRight w:val="0"/>
          <w:marTop w:val="200"/>
          <w:marBottom w:val="0"/>
          <w:divBdr>
            <w:top w:val="none" w:sz="0" w:space="0" w:color="auto"/>
            <w:left w:val="none" w:sz="0" w:space="0" w:color="auto"/>
            <w:bottom w:val="none" w:sz="0" w:space="0" w:color="auto"/>
            <w:right w:val="none" w:sz="0" w:space="0" w:color="auto"/>
          </w:divBdr>
        </w:div>
      </w:divsChild>
    </w:div>
    <w:div w:id="562788687">
      <w:bodyDiv w:val="1"/>
      <w:marLeft w:val="0"/>
      <w:marRight w:val="0"/>
      <w:marTop w:val="0"/>
      <w:marBottom w:val="0"/>
      <w:divBdr>
        <w:top w:val="none" w:sz="0" w:space="0" w:color="auto"/>
        <w:left w:val="none" w:sz="0" w:space="0" w:color="auto"/>
        <w:bottom w:val="none" w:sz="0" w:space="0" w:color="auto"/>
        <w:right w:val="none" w:sz="0" w:space="0" w:color="auto"/>
      </w:divBdr>
      <w:divsChild>
        <w:div w:id="1636064200">
          <w:marLeft w:val="360"/>
          <w:marRight w:val="0"/>
          <w:marTop w:val="200"/>
          <w:marBottom w:val="0"/>
          <w:divBdr>
            <w:top w:val="none" w:sz="0" w:space="0" w:color="auto"/>
            <w:left w:val="none" w:sz="0" w:space="0" w:color="auto"/>
            <w:bottom w:val="none" w:sz="0" w:space="0" w:color="auto"/>
            <w:right w:val="none" w:sz="0" w:space="0" w:color="auto"/>
          </w:divBdr>
        </w:div>
        <w:div w:id="1693140836">
          <w:marLeft w:val="360"/>
          <w:marRight w:val="0"/>
          <w:marTop w:val="200"/>
          <w:marBottom w:val="0"/>
          <w:divBdr>
            <w:top w:val="none" w:sz="0" w:space="0" w:color="auto"/>
            <w:left w:val="none" w:sz="0" w:space="0" w:color="auto"/>
            <w:bottom w:val="none" w:sz="0" w:space="0" w:color="auto"/>
            <w:right w:val="none" w:sz="0" w:space="0" w:color="auto"/>
          </w:divBdr>
        </w:div>
        <w:div w:id="2004161977">
          <w:marLeft w:val="360"/>
          <w:marRight w:val="0"/>
          <w:marTop w:val="200"/>
          <w:marBottom w:val="0"/>
          <w:divBdr>
            <w:top w:val="none" w:sz="0" w:space="0" w:color="auto"/>
            <w:left w:val="none" w:sz="0" w:space="0" w:color="auto"/>
            <w:bottom w:val="none" w:sz="0" w:space="0" w:color="auto"/>
            <w:right w:val="none" w:sz="0" w:space="0" w:color="auto"/>
          </w:divBdr>
        </w:div>
        <w:div w:id="659621929">
          <w:marLeft w:val="360"/>
          <w:marRight w:val="0"/>
          <w:marTop w:val="200"/>
          <w:marBottom w:val="0"/>
          <w:divBdr>
            <w:top w:val="none" w:sz="0" w:space="0" w:color="auto"/>
            <w:left w:val="none" w:sz="0" w:space="0" w:color="auto"/>
            <w:bottom w:val="none" w:sz="0" w:space="0" w:color="auto"/>
            <w:right w:val="none" w:sz="0" w:space="0" w:color="auto"/>
          </w:divBdr>
        </w:div>
      </w:divsChild>
    </w:div>
    <w:div w:id="638347006">
      <w:bodyDiv w:val="1"/>
      <w:marLeft w:val="0"/>
      <w:marRight w:val="0"/>
      <w:marTop w:val="0"/>
      <w:marBottom w:val="0"/>
      <w:divBdr>
        <w:top w:val="none" w:sz="0" w:space="0" w:color="auto"/>
        <w:left w:val="none" w:sz="0" w:space="0" w:color="auto"/>
        <w:bottom w:val="none" w:sz="0" w:space="0" w:color="auto"/>
        <w:right w:val="none" w:sz="0" w:space="0" w:color="auto"/>
      </w:divBdr>
      <w:divsChild>
        <w:div w:id="1694838890">
          <w:marLeft w:val="360"/>
          <w:marRight w:val="0"/>
          <w:marTop w:val="200"/>
          <w:marBottom w:val="0"/>
          <w:divBdr>
            <w:top w:val="none" w:sz="0" w:space="0" w:color="auto"/>
            <w:left w:val="none" w:sz="0" w:space="0" w:color="auto"/>
            <w:bottom w:val="none" w:sz="0" w:space="0" w:color="auto"/>
            <w:right w:val="none" w:sz="0" w:space="0" w:color="auto"/>
          </w:divBdr>
        </w:div>
        <w:div w:id="768354013">
          <w:marLeft w:val="360"/>
          <w:marRight w:val="0"/>
          <w:marTop w:val="200"/>
          <w:marBottom w:val="0"/>
          <w:divBdr>
            <w:top w:val="none" w:sz="0" w:space="0" w:color="auto"/>
            <w:left w:val="none" w:sz="0" w:space="0" w:color="auto"/>
            <w:bottom w:val="none" w:sz="0" w:space="0" w:color="auto"/>
            <w:right w:val="none" w:sz="0" w:space="0" w:color="auto"/>
          </w:divBdr>
        </w:div>
        <w:div w:id="1928884775">
          <w:marLeft w:val="360"/>
          <w:marRight w:val="0"/>
          <w:marTop w:val="200"/>
          <w:marBottom w:val="0"/>
          <w:divBdr>
            <w:top w:val="none" w:sz="0" w:space="0" w:color="auto"/>
            <w:left w:val="none" w:sz="0" w:space="0" w:color="auto"/>
            <w:bottom w:val="none" w:sz="0" w:space="0" w:color="auto"/>
            <w:right w:val="none" w:sz="0" w:space="0" w:color="auto"/>
          </w:divBdr>
        </w:div>
        <w:div w:id="1470128469">
          <w:marLeft w:val="360"/>
          <w:marRight w:val="0"/>
          <w:marTop w:val="200"/>
          <w:marBottom w:val="0"/>
          <w:divBdr>
            <w:top w:val="none" w:sz="0" w:space="0" w:color="auto"/>
            <w:left w:val="none" w:sz="0" w:space="0" w:color="auto"/>
            <w:bottom w:val="none" w:sz="0" w:space="0" w:color="auto"/>
            <w:right w:val="none" w:sz="0" w:space="0" w:color="auto"/>
          </w:divBdr>
        </w:div>
      </w:divsChild>
    </w:div>
    <w:div w:id="656879019">
      <w:bodyDiv w:val="1"/>
      <w:marLeft w:val="0"/>
      <w:marRight w:val="0"/>
      <w:marTop w:val="0"/>
      <w:marBottom w:val="0"/>
      <w:divBdr>
        <w:top w:val="none" w:sz="0" w:space="0" w:color="auto"/>
        <w:left w:val="none" w:sz="0" w:space="0" w:color="auto"/>
        <w:bottom w:val="none" w:sz="0" w:space="0" w:color="auto"/>
        <w:right w:val="none" w:sz="0" w:space="0" w:color="auto"/>
      </w:divBdr>
      <w:divsChild>
        <w:div w:id="345519473">
          <w:marLeft w:val="547"/>
          <w:marRight w:val="0"/>
          <w:marTop w:val="200"/>
          <w:marBottom w:val="160"/>
          <w:divBdr>
            <w:top w:val="none" w:sz="0" w:space="0" w:color="auto"/>
            <w:left w:val="none" w:sz="0" w:space="0" w:color="auto"/>
            <w:bottom w:val="none" w:sz="0" w:space="0" w:color="auto"/>
            <w:right w:val="none" w:sz="0" w:space="0" w:color="auto"/>
          </w:divBdr>
        </w:div>
        <w:div w:id="1671326916">
          <w:marLeft w:val="547"/>
          <w:marRight w:val="0"/>
          <w:marTop w:val="200"/>
          <w:marBottom w:val="160"/>
          <w:divBdr>
            <w:top w:val="none" w:sz="0" w:space="0" w:color="auto"/>
            <w:left w:val="none" w:sz="0" w:space="0" w:color="auto"/>
            <w:bottom w:val="none" w:sz="0" w:space="0" w:color="auto"/>
            <w:right w:val="none" w:sz="0" w:space="0" w:color="auto"/>
          </w:divBdr>
        </w:div>
        <w:div w:id="1411655002">
          <w:marLeft w:val="547"/>
          <w:marRight w:val="0"/>
          <w:marTop w:val="200"/>
          <w:marBottom w:val="160"/>
          <w:divBdr>
            <w:top w:val="none" w:sz="0" w:space="0" w:color="auto"/>
            <w:left w:val="none" w:sz="0" w:space="0" w:color="auto"/>
            <w:bottom w:val="none" w:sz="0" w:space="0" w:color="auto"/>
            <w:right w:val="none" w:sz="0" w:space="0" w:color="auto"/>
          </w:divBdr>
        </w:div>
        <w:div w:id="409428887">
          <w:marLeft w:val="547"/>
          <w:marRight w:val="0"/>
          <w:marTop w:val="200"/>
          <w:marBottom w:val="160"/>
          <w:divBdr>
            <w:top w:val="none" w:sz="0" w:space="0" w:color="auto"/>
            <w:left w:val="none" w:sz="0" w:space="0" w:color="auto"/>
            <w:bottom w:val="none" w:sz="0" w:space="0" w:color="auto"/>
            <w:right w:val="none" w:sz="0" w:space="0" w:color="auto"/>
          </w:divBdr>
        </w:div>
        <w:div w:id="167255463">
          <w:marLeft w:val="547"/>
          <w:marRight w:val="0"/>
          <w:marTop w:val="200"/>
          <w:marBottom w:val="160"/>
          <w:divBdr>
            <w:top w:val="none" w:sz="0" w:space="0" w:color="auto"/>
            <w:left w:val="none" w:sz="0" w:space="0" w:color="auto"/>
            <w:bottom w:val="none" w:sz="0" w:space="0" w:color="auto"/>
            <w:right w:val="none" w:sz="0" w:space="0" w:color="auto"/>
          </w:divBdr>
        </w:div>
      </w:divsChild>
    </w:div>
    <w:div w:id="1007516651">
      <w:bodyDiv w:val="1"/>
      <w:marLeft w:val="0"/>
      <w:marRight w:val="0"/>
      <w:marTop w:val="0"/>
      <w:marBottom w:val="0"/>
      <w:divBdr>
        <w:top w:val="none" w:sz="0" w:space="0" w:color="auto"/>
        <w:left w:val="none" w:sz="0" w:space="0" w:color="auto"/>
        <w:bottom w:val="none" w:sz="0" w:space="0" w:color="auto"/>
        <w:right w:val="none" w:sz="0" w:space="0" w:color="auto"/>
      </w:divBdr>
      <w:divsChild>
        <w:div w:id="1375735660">
          <w:marLeft w:val="360"/>
          <w:marRight w:val="0"/>
          <w:marTop w:val="200"/>
          <w:marBottom w:val="0"/>
          <w:divBdr>
            <w:top w:val="none" w:sz="0" w:space="0" w:color="auto"/>
            <w:left w:val="none" w:sz="0" w:space="0" w:color="auto"/>
            <w:bottom w:val="none" w:sz="0" w:space="0" w:color="auto"/>
            <w:right w:val="none" w:sz="0" w:space="0" w:color="auto"/>
          </w:divBdr>
        </w:div>
        <w:div w:id="1737432238">
          <w:marLeft w:val="360"/>
          <w:marRight w:val="0"/>
          <w:marTop w:val="200"/>
          <w:marBottom w:val="0"/>
          <w:divBdr>
            <w:top w:val="none" w:sz="0" w:space="0" w:color="auto"/>
            <w:left w:val="none" w:sz="0" w:space="0" w:color="auto"/>
            <w:bottom w:val="none" w:sz="0" w:space="0" w:color="auto"/>
            <w:right w:val="none" w:sz="0" w:space="0" w:color="auto"/>
          </w:divBdr>
        </w:div>
        <w:div w:id="485361677">
          <w:marLeft w:val="360"/>
          <w:marRight w:val="0"/>
          <w:marTop w:val="200"/>
          <w:marBottom w:val="0"/>
          <w:divBdr>
            <w:top w:val="none" w:sz="0" w:space="0" w:color="auto"/>
            <w:left w:val="none" w:sz="0" w:space="0" w:color="auto"/>
            <w:bottom w:val="none" w:sz="0" w:space="0" w:color="auto"/>
            <w:right w:val="none" w:sz="0" w:space="0" w:color="auto"/>
          </w:divBdr>
        </w:div>
        <w:div w:id="734201482">
          <w:marLeft w:val="360"/>
          <w:marRight w:val="0"/>
          <w:marTop w:val="200"/>
          <w:marBottom w:val="0"/>
          <w:divBdr>
            <w:top w:val="none" w:sz="0" w:space="0" w:color="auto"/>
            <w:left w:val="none" w:sz="0" w:space="0" w:color="auto"/>
            <w:bottom w:val="none" w:sz="0" w:space="0" w:color="auto"/>
            <w:right w:val="none" w:sz="0" w:space="0" w:color="auto"/>
          </w:divBdr>
        </w:div>
        <w:div w:id="395125090">
          <w:marLeft w:val="360"/>
          <w:marRight w:val="0"/>
          <w:marTop w:val="200"/>
          <w:marBottom w:val="0"/>
          <w:divBdr>
            <w:top w:val="none" w:sz="0" w:space="0" w:color="auto"/>
            <w:left w:val="none" w:sz="0" w:space="0" w:color="auto"/>
            <w:bottom w:val="none" w:sz="0" w:space="0" w:color="auto"/>
            <w:right w:val="none" w:sz="0" w:space="0" w:color="auto"/>
          </w:divBdr>
        </w:div>
        <w:div w:id="332534880">
          <w:marLeft w:val="360"/>
          <w:marRight w:val="0"/>
          <w:marTop w:val="200"/>
          <w:marBottom w:val="0"/>
          <w:divBdr>
            <w:top w:val="none" w:sz="0" w:space="0" w:color="auto"/>
            <w:left w:val="none" w:sz="0" w:space="0" w:color="auto"/>
            <w:bottom w:val="none" w:sz="0" w:space="0" w:color="auto"/>
            <w:right w:val="none" w:sz="0" w:space="0" w:color="auto"/>
          </w:divBdr>
        </w:div>
        <w:div w:id="222760499">
          <w:marLeft w:val="360"/>
          <w:marRight w:val="0"/>
          <w:marTop w:val="200"/>
          <w:marBottom w:val="0"/>
          <w:divBdr>
            <w:top w:val="none" w:sz="0" w:space="0" w:color="auto"/>
            <w:left w:val="none" w:sz="0" w:space="0" w:color="auto"/>
            <w:bottom w:val="none" w:sz="0" w:space="0" w:color="auto"/>
            <w:right w:val="none" w:sz="0" w:space="0" w:color="auto"/>
          </w:divBdr>
        </w:div>
      </w:divsChild>
    </w:div>
    <w:div w:id="1139808879">
      <w:bodyDiv w:val="1"/>
      <w:marLeft w:val="0"/>
      <w:marRight w:val="0"/>
      <w:marTop w:val="0"/>
      <w:marBottom w:val="0"/>
      <w:divBdr>
        <w:top w:val="none" w:sz="0" w:space="0" w:color="auto"/>
        <w:left w:val="none" w:sz="0" w:space="0" w:color="auto"/>
        <w:bottom w:val="none" w:sz="0" w:space="0" w:color="auto"/>
        <w:right w:val="none" w:sz="0" w:space="0" w:color="auto"/>
      </w:divBdr>
    </w:div>
    <w:div w:id="1414930961">
      <w:bodyDiv w:val="1"/>
      <w:marLeft w:val="0"/>
      <w:marRight w:val="0"/>
      <w:marTop w:val="0"/>
      <w:marBottom w:val="0"/>
      <w:divBdr>
        <w:top w:val="none" w:sz="0" w:space="0" w:color="auto"/>
        <w:left w:val="none" w:sz="0" w:space="0" w:color="auto"/>
        <w:bottom w:val="none" w:sz="0" w:space="0" w:color="auto"/>
        <w:right w:val="none" w:sz="0" w:space="0" w:color="auto"/>
      </w:divBdr>
    </w:div>
    <w:div w:id="1698193394">
      <w:bodyDiv w:val="1"/>
      <w:marLeft w:val="0"/>
      <w:marRight w:val="0"/>
      <w:marTop w:val="0"/>
      <w:marBottom w:val="0"/>
      <w:divBdr>
        <w:top w:val="none" w:sz="0" w:space="0" w:color="auto"/>
        <w:left w:val="none" w:sz="0" w:space="0" w:color="auto"/>
        <w:bottom w:val="none" w:sz="0" w:space="0" w:color="auto"/>
        <w:right w:val="none" w:sz="0" w:space="0" w:color="auto"/>
      </w:divBdr>
      <w:divsChild>
        <w:div w:id="1674993366">
          <w:marLeft w:val="360"/>
          <w:marRight w:val="0"/>
          <w:marTop w:val="200"/>
          <w:marBottom w:val="0"/>
          <w:divBdr>
            <w:top w:val="none" w:sz="0" w:space="0" w:color="auto"/>
            <w:left w:val="none" w:sz="0" w:space="0" w:color="auto"/>
            <w:bottom w:val="none" w:sz="0" w:space="0" w:color="auto"/>
            <w:right w:val="none" w:sz="0" w:space="0" w:color="auto"/>
          </w:divBdr>
        </w:div>
      </w:divsChild>
    </w:div>
    <w:div w:id="1743722866">
      <w:bodyDiv w:val="1"/>
      <w:marLeft w:val="0"/>
      <w:marRight w:val="0"/>
      <w:marTop w:val="0"/>
      <w:marBottom w:val="0"/>
      <w:divBdr>
        <w:top w:val="none" w:sz="0" w:space="0" w:color="auto"/>
        <w:left w:val="none" w:sz="0" w:space="0" w:color="auto"/>
        <w:bottom w:val="none" w:sz="0" w:space="0" w:color="auto"/>
        <w:right w:val="none" w:sz="0" w:space="0" w:color="auto"/>
      </w:divBdr>
      <w:divsChild>
        <w:div w:id="975917589">
          <w:marLeft w:val="547"/>
          <w:marRight w:val="0"/>
          <w:marTop w:val="200"/>
          <w:marBottom w:val="160"/>
          <w:divBdr>
            <w:top w:val="none" w:sz="0" w:space="0" w:color="auto"/>
            <w:left w:val="none" w:sz="0" w:space="0" w:color="auto"/>
            <w:bottom w:val="none" w:sz="0" w:space="0" w:color="auto"/>
            <w:right w:val="none" w:sz="0" w:space="0" w:color="auto"/>
          </w:divBdr>
        </w:div>
        <w:div w:id="2125341990">
          <w:marLeft w:val="547"/>
          <w:marRight w:val="0"/>
          <w:marTop w:val="200"/>
          <w:marBottom w:val="160"/>
          <w:divBdr>
            <w:top w:val="none" w:sz="0" w:space="0" w:color="auto"/>
            <w:left w:val="none" w:sz="0" w:space="0" w:color="auto"/>
            <w:bottom w:val="none" w:sz="0" w:space="0" w:color="auto"/>
            <w:right w:val="none" w:sz="0" w:space="0" w:color="auto"/>
          </w:divBdr>
        </w:div>
        <w:div w:id="875388038">
          <w:marLeft w:val="547"/>
          <w:marRight w:val="0"/>
          <w:marTop w:val="200"/>
          <w:marBottom w:val="160"/>
          <w:divBdr>
            <w:top w:val="none" w:sz="0" w:space="0" w:color="auto"/>
            <w:left w:val="none" w:sz="0" w:space="0" w:color="auto"/>
            <w:bottom w:val="none" w:sz="0" w:space="0" w:color="auto"/>
            <w:right w:val="none" w:sz="0" w:space="0" w:color="auto"/>
          </w:divBdr>
        </w:div>
        <w:div w:id="1260989933">
          <w:marLeft w:val="547"/>
          <w:marRight w:val="0"/>
          <w:marTop w:val="200"/>
          <w:marBottom w:val="160"/>
          <w:divBdr>
            <w:top w:val="none" w:sz="0" w:space="0" w:color="auto"/>
            <w:left w:val="none" w:sz="0" w:space="0" w:color="auto"/>
            <w:bottom w:val="none" w:sz="0" w:space="0" w:color="auto"/>
            <w:right w:val="none" w:sz="0" w:space="0" w:color="auto"/>
          </w:divBdr>
        </w:div>
        <w:div w:id="1428886155">
          <w:marLeft w:val="547"/>
          <w:marRight w:val="0"/>
          <w:marTop w:val="20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3</Pages>
  <Words>1461</Words>
  <Characters>8331</Characters>
  <Application>Microsoft Office Word</Application>
  <DocSecurity>0</DocSecurity>
  <Lines>69</Lines>
  <Paragraphs>19</Paragraphs>
  <ScaleCrop>false</ScaleCrop>
  <Company/>
  <LinksUpToDate>false</LinksUpToDate>
  <CharactersWithSpaces>9773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utoi.pirosca</dc:creator>
  <cp:keywords/>
  <dc:description/>
  <cp:lastModifiedBy>nicoleta utoi.pirosca</cp:lastModifiedBy>
  <cp:revision>57</cp:revision>
  <dcterms:created xsi:type="dcterms:W3CDTF">2025-05-09T12:18:00Z</dcterms:created>
  <dcterms:modified xsi:type="dcterms:W3CDTF">2025-05-09T13:51:00Z</dcterms:modified>
</cp:coreProperties>
</file>