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95E836" w14:textId="41453135" w:rsidR="00110E8B" w:rsidRDefault="00A3189D" w:rsidP="00A3189D">
      <w:r>
        <w:rPr>
          <w:noProof/>
        </w:rPr>
        <w:drawing>
          <wp:inline distT="0" distB="0" distL="0" distR="0" wp14:anchorId="76C16D16" wp14:editId="3443EE32">
            <wp:extent cx="2388851" cy="955964"/>
            <wp:effectExtent l="0" t="0" r="0" b="0"/>
            <wp:docPr id="1355616678" name="Picture 3"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2282" cy="961339"/>
                    </a:xfrm>
                    <a:prstGeom prst="rect">
                      <a:avLst/>
                    </a:prstGeom>
                    <a:noFill/>
                    <a:ln>
                      <a:noFill/>
                    </a:ln>
                  </pic:spPr>
                </pic:pic>
              </a:graphicData>
            </a:graphic>
          </wp:inline>
        </w:drawing>
      </w:r>
    </w:p>
    <w:p w14:paraId="07E4517B" w14:textId="77777777" w:rsidR="00110E8B" w:rsidRDefault="00110E8B" w:rsidP="00524D01">
      <w:pPr>
        <w:spacing w:after="0"/>
        <w:jc w:val="center"/>
        <w:rPr>
          <w:rFonts w:ascii="Verdana" w:hAnsi="Verdana"/>
          <w:b/>
          <w:bCs/>
          <w:i/>
          <w:iCs/>
        </w:rPr>
      </w:pPr>
    </w:p>
    <w:p w14:paraId="79BB2BFE" w14:textId="77777777" w:rsidR="00110E8B" w:rsidRDefault="00110E8B" w:rsidP="00BF7F61">
      <w:pPr>
        <w:spacing w:after="0"/>
        <w:rPr>
          <w:rFonts w:ascii="Verdana" w:hAnsi="Verdana"/>
          <w:b/>
          <w:bCs/>
          <w:i/>
          <w:iCs/>
        </w:rPr>
      </w:pPr>
    </w:p>
    <w:p w14:paraId="6821941A" w14:textId="77777777" w:rsidR="00110E8B" w:rsidRDefault="00110E8B" w:rsidP="00524D01">
      <w:pPr>
        <w:spacing w:after="0"/>
        <w:jc w:val="center"/>
        <w:rPr>
          <w:rFonts w:ascii="Verdana" w:hAnsi="Verdana"/>
          <w:b/>
          <w:bCs/>
          <w:i/>
          <w:iCs/>
        </w:rPr>
      </w:pPr>
    </w:p>
    <w:p w14:paraId="484BA8E0" w14:textId="5C5FA734" w:rsidR="00A81685" w:rsidRPr="00BF7F61" w:rsidRDefault="00A81685" w:rsidP="00BF7F61">
      <w:pPr>
        <w:spacing w:line="276" w:lineRule="auto"/>
        <w:jc w:val="center"/>
        <w:rPr>
          <w:sz w:val="28"/>
          <w:szCs w:val="24"/>
        </w:rPr>
      </w:pPr>
      <w:proofErr w:type="spellStart"/>
      <w:r w:rsidRPr="00BF7F61">
        <w:rPr>
          <w:b/>
          <w:bCs/>
          <w:sz w:val="28"/>
          <w:szCs w:val="24"/>
        </w:rPr>
        <w:t>Programme</w:t>
      </w:r>
      <w:proofErr w:type="spellEnd"/>
      <w:r w:rsidRPr="00BF7F61">
        <w:rPr>
          <w:b/>
          <w:bCs/>
          <w:sz w:val="28"/>
          <w:szCs w:val="24"/>
        </w:rPr>
        <w:t>:</w:t>
      </w:r>
      <w:r w:rsidR="00BF7F61">
        <w:rPr>
          <w:b/>
          <w:bCs/>
          <w:sz w:val="28"/>
          <w:szCs w:val="24"/>
        </w:rPr>
        <w:t xml:space="preserve"> </w:t>
      </w:r>
      <w:r w:rsidRPr="00BF7F61">
        <w:rPr>
          <w:sz w:val="28"/>
          <w:szCs w:val="24"/>
        </w:rPr>
        <w:t>Master of Business Administration</w:t>
      </w:r>
    </w:p>
    <w:p w14:paraId="58003718" w14:textId="0D061103" w:rsidR="00A81685" w:rsidRPr="00BF7F61" w:rsidRDefault="00A81685" w:rsidP="00BF7F61">
      <w:pPr>
        <w:spacing w:line="276" w:lineRule="auto"/>
        <w:jc w:val="center"/>
        <w:rPr>
          <w:sz w:val="28"/>
          <w:szCs w:val="24"/>
        </w:rPr>
      </w:pPr>
      <w:r w:rsidRPr="00BF7F61">
        <w:rPr>
          <w:b/>
          <w:bCs/>
          <w:sz w:val="28"/>
          <w:szCs w:val="24"/>
        </w:rPr>
        <w:t>Module:</w:t>
      </w:r>
      <w:r w:rsidRPr="00BF7F61">
        <w:rPr>
          <w:sz w:val="28"/>
          <w:szCs w:val="24"/>
        </w:rPr>
        <w:t xml:space="preserve"> Dissertation (LCMB7035)</w:t>
      </w:r>
    </w:p>
    <w:p w14:paraId="78333FF6" w14:textId="77777777" w:rsidR="00A81685" w:rsidRPr="00BF7F61" w:rsidRDefault="00A81685" w:rsidP="00BF7F61">
      <w:pPr>
        <w:spacing w:line="276" w:lineRule="auto"/>
        <w:jc w:val="center"/>
        <w:rPr>
          <w:sz w:val="28"/>
          <w:szCs w:val="24"/>
        </w:rPr>
      </w:pPr>
      <w:r w:rsidRPr="00BF7F61">
        <w:rPr>
          <w:b/>
          <w:bCs/>
          <w:sz w:val="28"/>
          <w:szCs w:val="24"/>
        </w:rPr>
        <w:t>Lecturer:</w:t>
      </w:r>
      <w:r w:rsidRPr="00BF7F61">
        <w:rPr>
          <w:sz w:val="28"/>
          <w:szCs w:val="24"/>
        </w:rPr>
        <w:t xml:space="preserve"> Masud Ibrahim</w:t>
      </w:r>
    </w:p>
    <w:p w14:paraId="0137B8F2" w14:textId="77777777" w:rsidR="00BF7F61" w:rsidRPr="00BF7F61" w:rsidRDefault="00BF7F61" w:rsidP="00BF7F61">
      <w:pPr>
        <w:spacing w:before="120" w:line="276" w:lineRule="auto"/>
        <w:jc w:val="center"/>
        <w:rPr>
          <w:b/>
          <w:bCs/>
          <w:sz w:val="28"/>
          <w:szCs w:val="24"/>
        </w:rPr>
      </w:pPr>
    </w:p>
    <w:p w14:paraId="46B86776" w14:textId="674BD451" w:rsidR="00BF7F61" w:rsidRPr="00A3189D" w:rsidRDefault="00BF7F61" w:rsidP="00BF7F61">
      <w:pPr>
        <w:spacing w:before="120" w:line="276" w:lineRule="auto"/>
        <w:jc w:val="center"/>
        <w:rPr>
          <w:b/>
          <w:bCs/>
          <w:sz w:val="28"/>
          <w:szCs w:val="24"/>
        </w:rPr>
      </w:pPr>
      <w:r w:rsidRPr="00A3189D">
        <w:rPr>
          <w:b/>
          <w:bCs/>
          <w:sz w:val="28"/>
          <w:szCs w:val="24"/>
        </w:rPr>
        <w:t xml:space="preserve">Student Name: </w:t>
      </w:r>
      <w:r w:rsidRPr="00A3189D">
        <w:rPr>
          <w:sz w:val="28"/>
          <w:szCs w:val="24"/>
        </w:rPr>
        <w:t xml:space="preserve">Dharmendra </w:t>
      </w:r>
      <w:proofErr w:type="spellStart"/>
      <w:r w:rsidRPr="00A3189D">
        <w:rPr>
          <w:sz w:val="28"/>
          <w:szCs w:val="24"/>
        </w:rPr>
        <w:t>Rolaniya</w:t>
      </w:r>
      <w:proofErr w:type="spellEnd"/>
    </w:p>
    <w:p w14:paraId="68C894E9" w14:textId="78DA82C1" w:rsidR="00BF7F61" w:rsidRPr="00A3189D" w:rsidRDefault="00BF7F61" w:rsidP="00BF7F61">
      <w:pPr>
        <w:spacing w:before="120" w:line="276" w:lineRule="auto"/>
        <w:jc w:val="center"/>
        <w:rPr>
          <w:b/>
          <w:bCs/>
          <w:sz w:val="28"/>
          <w:szCs w:val="24"/>
        </w:rPr>
      </w:pPr>
      <w:r w:rsidRPr="00A3189D">
        <w:rPr>
          <w:b/>
          <w:bCs/>
          <w:sz w:val="28"/>
          <w:szCs w:val="24"/>
        </w:rPr>
        <w:t xml:space="preserve">Student Number: </w:t>
      </w:r>
      <w:r w:rsidRPr="00A3189D">
        <w:rPr>
          <w:sz w:val="28"/>
          <w:szCs w:val="24"/>
        </w:rPr>
        <w:t>2426430</w:t>
      </w:r>
    </w:p>
    <w:p w14:paraId="4DC94709" w14:textId="1F75F08D" w:rsidR="0020548F" w:rsidRPr="00BF7F61" w:rsidRDefault="00A81685" w:rsidP="00BF7F61">
      <w:pPr>
        <w:spacing w:before="120" w:line="276" w:lineRule="auto"/>
        <w:jc w:val="center"/>
        <w:rPr>
          <w:rFonts w:cs="Arial"/>
          <w:i/>
          <w:iCs/>
          <w:sz w:val="28"/>
          <w:szCs w:val="28"/>
        </w:rPr>
      </w:pPr>
      <w:r w:rsidRPr="00BF7F61">
        <w:rPr>
          <w:b/>
          <w:bCs/>
          <w:sz w:val="28"/>
          <w:szCs w:val="24"/>
        </w:rPr>
        <w:t>Proposed Title:</w:t>
      </w:r>
      <w:r w:rsidRPr="00BF7F61">
        <w:rPr>
          <w:i/>
          <w:iCs/>
          <w:sz w:val="28"/>
          <w:szCs w:val="24"/>
        </w:rPr>
        <w:t xml:space="preserve"> </w:t>
      </w:r>
      <w:r w:rsidR="00661E5F" w:rsidRPr="00BF7F61">
        <w:rPr>
          <w:rFonts w:cs="Arial"/>
          <w:i/>
          <w:iCs/>
          <w:sz w:val="28"/>
          <w:szCs w:val="28"/>
        </w:rPr>
        <w:t xml:space="preserve">A Systematic Review </w:t>
      </w:r>
      <w:r w:rsidR="00232360" w:rsidRPr="00BF7F61">
        <w:rPr>
          <w:rFonts w:cs="Arial"/>
          <w:i/>
          <w:iCs/>
          <w:sz w:val="28"/>
          <w:szCs w:val="28"/>
        </w:rPr>
        <w:t>of</w:t>
      </w:r>
      <w:r w:rsidR="00661E5F" w:rsidRPr="00BF7F61">
        <w:rPr>
          <w:rFonts w:cs="Arial"/>
          <w:i/>
          <w:iCs/>
          <w:sz w:val="28"/>
          <w:szCs w:val="28"/>
        </w:rPr>
        <w:t xml:space="preserve"> ESG Practices </w:t>
      </w:r>
      <w:r w:rsidR="00232360" w:rsidRPr="00BF7F61">
        <w:rPr>
          <w:rFonts w:cs="Arial"/>
          <w:i/>
          <w:iCs/>
          <w:sz w:val="28"/>
          <w:szCs w:val="28"/>
        </w:rPr>
        <w:t>by</w:t>
      </w:r>
      <w:r w:rsidR="00661E5F" w:rsidRPr="00BF7F61">
        <w:rPr>
          <w:rFonts w:cs="Arial"/>
          <w:i/>
          <w:iCs/>
          <w:sz w:val="28"/>
          <w:szCs w:val="28"/>
        </w:rPr>
        <w:t xml:space="preserve"> Traditional Automotive vs Electric Vehicle Companies</w:t>
      </w:r>
    </w:p>
    <w:p w14:paraId="228E2554" w14:textId="77777777" w:rsidR="00BF7F61" w:rsidRPr="00BF7F61" w:rsidRDefault="00BF7F61" w:rsidP="00BF7F61">
      <w:pPr>
        <w:spacing w:before="120" w:line="276" w:lineRule="auto"/>
        <w:jc w:val="center"/>
        <w:rPr>
          <w:rFonts w:cs="Arial"/>
          <w:b/>
          <w:bCs/>
          <w:sz w:val="28"/>
          <w:szCs w:val="28"/>
        </w:rPr>
      </w:pPr>
    </w:p>
    <w:p w14:paraId="174A8F30" w14:textId="2F62FC0D" w:rsidR="00BF7F61" w:rsidRPr="00BF7F61" w:rsidRDefault="00BF7F61" w:rsidP="00BF7F61">
      <w:pPr>
        <w:spacing w:before="120" w:line="276" w:lineRule="auto"/>
        <w:jc w:val="center"/>
        <w:rPr>
          <w:rFonts w:cs="Arial"/>
          <w:b/>
          <w:bCs/>
          <w:sz w:val="28"/>
          <w:szCs w:val="28"/>
        </w:rPr>
      </w:pPr>
      <w:r w:rsidRPr="00BF7F61">
        <w:rPr>
          <w:rFonts w:cs="Arial"/>
          <w:b/>
          <w:bCs/>
          <w:sz w:val="28"/>
          <w:szCs w:val="28"/>
        </w:rPr>
        <w:t>Word Count:</w:t>
      </w:r>
      <w:r>
        <w:rPr>
          <w:rFonts w:cs="Arial"/>
          <w:b/>
          <w:bCs/>
          <w:sz w:val="28"/>
          <w:szCs w:val="28"/>
        </w:rPr>
        <w:t xml:space="preserve"> </w:t>
      </w:r>
      <w:r w:rsidRPr="00BF7F61">
        <w:rPr>
          <w:rFonts w:cs="Arial"/>
          <w:sz w:val="28"/>
          <w:szCs w:val="28"/>
        </w:rPr>
        <w:t>2</w:t>
      </w:r>
      <w:r w:rsidR="00693D87">
        <w:rPr>
          <w:rFonts w:cs="Arial"/>
          <w:sz w:val="28"/>
          <w:szCs w:val="28"/>
        </w:rPr>
        <w:t>553</w:t>
      </w:r>
    </w:p>
    <w:p w14:paraId="77AD2FF3" w14:textId="7EBD6E86" w:rsidR="00BF7F61" w:rsidRPr="00BF7F61" w:rsidRDefault="00BF7F61" w:rsidP="00BF7F61">
      <w:pPr>
        <w:spacing w:before="120" w:line="276" w:lineRule="auto"/>
        <w:jc w:val="center"/>
        <w:rPr>
          <w:rFonts w:cs="Arial"/>
          <w:b/>
          <w:bCs/>
          <w:sz w:val="28"/>
          <w:szCs w:val="28"/>
        </w:rPr>
      </w:pPr>
      <w:r w:rsidRPr="00BF7F61">
        <w:rPr>
          <w:rFonts w:cs="Arial"/>
          <w:b/>
          <w:bCs/>
          <w:sz w:val="28"/>
          <w:szCs w:val="28"/>
        </w:rPr>
        <w:t xml:space="preserve">Submission Date: </w:t>
      </w:r>
      <w:r w:rsidRPr="00BF7F61">
        <w:rPr>
          <w:rFonts w:cs="Arial"/>
          <w:sz w:val="28"/>
          <w:szCs w:val="28"/>
        </w:rPr>
        <w:t>10</w:t>
      </w:r>
      <w:r w:rsidRPr="00BF7F61">
        <w:rPr>
          <w:rFonts w:cs="Arial"/>
          <w:sz w:val="28"/>
          <w:szCs w:val="28"/>
          <w:vertAlign w:val="superscript"/>
        </w:rPr>
        <w:t>th</w:t>
      </w:r>
      <w:r w:rsidRPr="00BF7F61">
        <w:rPr>
          <w:rFonts w:cs="Arial"/>
          <w:sz w:val="28"/>
          <w:szCs w:val="28"/>
        </w:rPr>
        <w:t xml:space="preserve"> October 2025</w:t>
      </w:r>
    </w:p>
    <w:p w14:paraId="56872117" w14:textId="71A04E84" w:rsidR="00A81685" w:rsidRPr="00A81685" w:rsidRDefault="00A81685" w:rsidP="00A81685">
      <w:pPr>
        <w:jc w:val="center"/>
      </w:pPr>
    </w:p>
    <w:p w14:paraId="68D6340E" w14:textId="77777777" w:rsidR="0020548F" w:rsidRDefault="0020548F">
      <w:pPr>
        <w:spacing w:line="278" w:lineRule="auto"/>
        <w:jc w:val="left"/>
        <w:rPr>
          <w:rFonts w:ascii="Verdana" w:hAnsi="Verdana"/>
          <w:b/>
          <w:bCs/>
          <w:i/>
          <w:iCs/>
        </w:rPr>
      </w:pPr>
      <w:r>
        <w:rPr>
          <w:rFonts w:ascii="Verdana" w:hAnsi="Verdana"/>
          <w:b/>
          <w:bCs/>
          <w:i/>
          <w:iCs/>
        </w:rPr>
        <w:br w:type="page"/>
      </w:r>
    </w:p>
    <w:sdt>
      <w:sdtPr>
        <w:rPr>
          <w:rFonts w:eastAsiaTheme="minorEastAsia" w:cstheme="minorBidi"/>
          <w:b w:val="0"/>
          <w:bCs w:val="0"/>
          <w:color w:val="auto"/>
          <w:kern w:val="2"/>
          <w:sz w:val="24"/>
          <w:szCs w:val="24"/>
          <w14:ligatures w14:val="standardContextual"/>
        </w:rPr>
        <w:id w:val="1413973726"/>
        <w:docPartObj>
          <w:docPartGallery w:val="Table of Contents"/>
          <w:docPartUnique/>
        </w:docPartObj>
      </w:sdtPr>
      <w:sdtEndPr>
        <w:rPr>
          <w:noProof/>
          <w:kern w:val="0"/>
          <w:szCs w:val="22"/>
          <w14:ligatures w14:val="none"/>
        </w:rPr>
      </w:sdtEndPr>
      <w:sdtContent>
        <w:p w14:paraId="63C01584" w14:textId="280C8310" w:rsidR="0020548F" w:rsidRDefault="0020548F" w:rsidP="00A81685">
          <w:pPr>
            <w:pStyle w:val="TOCHeading"/>
            <w:numPr>
              <w:ilvl w:val="0"/>
              <w:numId w:val="0"/>
            </w:numPr>
            <w:ind w:left="432" w:hanging="432"/>
          </w:pPr>
          <w:r>
            <w:t>Table of Contents</w:t>
          </w:r>
        </w:p>
        <w:p w14:paraId="46C1EC75" w14:textId="048E8768" w:rsidR="004119B7" w:rsidRDefault="0020548F">
          <w:pPr>
            <w:pStyle w:val="TOC1"/>
            <w:tabs>
              <w:tab w:val="left" w:pos="480"/>
              <w:tab w:val="right" w:leader="dot" w:pos="9016"/>
            </w:tabs>
            <w:rPr>
              <w:rFonts w:asciiTheme="minorHAnsi" w:hAnsiTheme="minorHAnsi"/>
              <w:noProof/>
              <w:kern w:val="2"/>
              <w:szCs w:val="30"/>
              <w:lang w:bidi="bn-IN"/>
              <w14:ligatures w14:val="standardContextual"/>
            </w:rPr>
          </w:pPr>
          <w:r>
            <w:fldChar w:fldCharType="begin"/>
          </w:r>
          <w:r>
            <w:instrText xml:space="preserve"> TOC \o "1-3" \h \z \u </w:instrText>
          </w:r>
          <w:r>
            <w:fldChar w:fldCharType="separate"/>
          </w:r>
          <w:hyperlink w:anchor="_Toc210938997" w:history="1">
            <w:r w:rsidR="004119B7" w:rsidRPr="008C40DB">
              <w:rPr>
                <w:rStyle w:val="Hyperlink"/>
                <w:noProof/>
              </w:rPr>
              <w:t>1</w:t>
            </w:r>
            <w:r w:rsidR="004119B7">
              <w:rPr>
                <w:rFonts w:asciiTheme="minorHAnsi" w:hAnsiTheme="minorHAnsi"/>
                <w:noProof/>
                <w:kern w:val="2"/>
                <w:szCs w:val="30"/>
                <w:lang w:bidi="bn-IN"/>
                <w14:ligatures w14:val="standardContextual"/>
              </w:rPr>
              <w:tab/>
            </w:r>
            <w:r w:rsidR="004119B7" w:rsidRPr="008C40DB">
              <w:rPr>
                <w:rStyle w:val="Hyperlink"/>
                <w:noProof/>
              </w:rPr>
              <w:t>Introduction</w:t>
            </w:r>
            <w:r w:rsidR="004119B7">
              <w:rPr>
                <w:noProof/>
                <w:webHidden/>
              </w:rPr>
              <w:tab/>
            </w:r>
            <w:r w:rsidR="004119B7">
              <w:rPr>
                <w:noProof/>
                <w:webHidden/>
              </w:rPr>
              <w:fldChar w:fldCharType="begin"/>
            </w:r>
            <w:r w:rsidR="004119B7">
              <w:rPr>
                <w:noProof/>
                <w:webHidden/>
              </w:rPr>
              <w:instrText xml:space="preserve"> PAGEREF _Toc210938997 \h </w:instrText>
            </w:r>
            <w:r w:rsidR="004119B7">
              <w:rPr>
                <w:noProof/>
                <w:webHidden/>
              </w:rPr>
            </w:r>
            <w:r w:rsidR="004119B7">
              <w:rPr>
                <w:noProof/>
                <w:webHidden/>
              </w:rPr>
              <w:fldChar w:fldCharType="separate"/>
            </w:r>
            <w:r w:rsidR="004119B7">
              <w:rPr>
                <w:noProof/>
                <w:webHidden/>
              </w:rPr>
              <w:t>3</w:t>
            </w:r>
            <w:r w:rsidR="004119B7">
              <w:rPr>
                <w:noProof/>
                <w:webHidden/>
              </w:rPr>
              <w:fldChar w:fldCharType="end"/>
            </w:r>
          </w:hyperlink>
        </w:p>
        <w:p w14:paraId="189916EE" w14:textId="306C9B21"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8998" w:history="1">
            <w:r w:rsidRPr="008C40DB">
              <w:rPr>
                <w:rStyle w:val="Hyperlink"/>
                <w:noProof/>
              </w:rPr>
              <w:t>1.1</w:t>
            </w:r>
            <w:r>
              <w:rPr>
                <w:rFonts w:asciiTheme="minorHAnsi" w:hAnsiTheme="minorHAnsi"/>
                <w:noProof/>
                <w:kern w:val="2"/>
                <w:szCs w:val="30"/>
                <w:lang w:bidi="bn-IN"/>
                <w14:ligatures w14:val="standardContextual"/>
              </w:rPr>
              <w:tab/>
            </w:r>
            <w:r w:rsidRPr="008C40DB">
              <w:rPr>
                <w:rStyle w:val="Hyperlink"/>
                <w:noProof/>
              </w:rPr>
              <w:t>Research Background</w:t>
            </w:r>
            <w:r>
              <w:rPr>
                <w:noProof/>
                <w:webHidden/>
              </w:rPr>
              <w:tab/>
            </w:r>
            <w:r>
              <w:rPr>
                <w:noProof/>
                <w:webHidden/>
              </w:rPr>
              <w:fldChar w:fldCharType="begin"/>
            </w:r>
            <w:r>
              <w:rPr>
                <w:noProof/>
                <w:webHidden/>
              </w:rPr>
              <w:instrText xml:space="preserve"> PAGEREF _Toc210938998 \h </w:instrText>
            </w:r>
            <w:r>
              <w:rPr>
                <w:noProof/>
                <w:webHidden/>
              </w:rPr>
            </w:r>
            <w:r>
              <w:rPr>
                <w:noProof/>
                <w:webHidden/>
              </w:rPr>
              <w:fldChar w:fldCharType="separate"/>
            </w:r>
            <w:r>
              <w:rPr>
                <w:noProof/>
                <w:webHidden/>
              </w:rPr>
              <w:t>3</w:t>
            </w:r>
            <w:r>
              <w:rPr>
                <w:noProof/>
                <w:webHidden/>
              </w:rPr>
              <w:fldChar w:fldCharType="end"/>
            </w:r>
          </w:hyperlink>
        </w:p>
        <w:p w14:paraId="44115472" w14:textId="6B69207B"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8999" w:history="1">
            <w:r w:rsidRPr="008C40DB">
              <w:rPr>
                <w:rStyle w:val="Hyperlink"/>
                <w:noProof/>
              </w:rPr>
              <w:t>1.2</w:t>
            </w:r>
            <w:r>
              <w:rPr>
                <w:rFonts w:asciiTheme="minorHAnsi" w:hAnsiTheme="minorHAnsi"/>
                <w:noProof/>
                <w:kern w:val="2"/>
                <w:szCs w:val="30"/>
                <w:lang w:bidi="bn-IN"/>
                <w14:ligatures w14:val="standardContextual"/>
              </w:rPr>
              <w:tab/>
            </w:r>
            <w:r w:rsidRPr="008C40DB">
              <w:rPr>
                <w:rStyle w:val="Hyperlink"/>
                <w:noProof/>
              </w:rPr>
              <w:t>Research Aim</w:t>
            </w:r>
            <w:r>
              <w:rPr>
                <w:noProof/>
                <w:webHidden/>
              </w:rPr>
              <w:tab/>
            </w:r>
            <w:r>
              <w:rPr>
                <w:noProof/>
                <w:webHidden/>
              </w:rPr>
              <w:fldChar w:fldCharType="begin"/>
            </w:r>
            <w:r>
              <w:rPr>
                <w:noProof/>
                <w:webHidden/>
              </w:rPr>
              <w:instrText xml:space="preserve"> PAGEREF _Toc210938999 \h </w:instrText>
            </w:r>
            <w:r>
              <w:rPr>
                <w:noProof/>
                <w:webHidden/>
              </w:rPr>
            </w:r>
            <w:r>
              <w:rPr>
                <w:noProof/>
                <w:webHidden/>
              </w:rPr>
              <w:fldChar w:fldCharType="separate"/>
            </w:r>
            <w:r>
              <w:rPr>
                <w:noProof/>
                <w:webHidden/>
              </w:rPr>
              <w:t>4</w:t>
            </w:r>
            <w:r>
              <w:rPr>
                <w:noProof/>
                <w:webHidden/>
              </w:rPr>
              <w:fldChar w:fldCharType="end"/>
            </w:r>
          </w:hyperlink>
        </w:p>
        <w:p w14:paraId="67E164CA" w14:textId="70ADBC81"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00" w:history="1">
            <w:r w:rsidRPr="008C40DB">
              <w:rPr>
                <w:rStyle w:val="Hyperlink"/>
                <w:noProof/>
              </w:rPr>
              <w:t>1.3</w:t>
            </w:r>
            <w:r>
              <w:rPr>
                <w:rFonts w:asciiTheme="minorHAnsi" w:hAnsiTheme="minorHAnsi"/>
                <w:noProof/>
                <w:kern w:val="2"/>
                <w:szCs w:val="30"/>
                <w:lang w:bidi="bn-IN"/>
                <w14:ligatures w14:val="standardContextual"/>
              </w:rPr>
              <w:tab/>
            </w:r>
            <w:r w:rsidRPr="008C40DB">
              <w:rPr>
                <w:rStyle w:val="Hyperlink"/>
                <w:noProof/>
              </w:rPr>
              <w:t>Research Questions</w:t>
            </w:r>
            <w:r>
              <w:rPr>
                <w:noProof/>
                <w:webHidden/>
              </w:rPr>
              <w:tab/>
            </w:r>
            <w:r>
              <w:rPr>
                <w:noProof/>
                <w:webHidden/>
              </w:rPr>
              <w:fldChar w:fldCharType="begin"/>
            </w:r>
            <w:r>
              <w:rPr>
                <w:noProof/>
                <w:webHidden/>
              </w:rPr>
              <w:instrText xml:space="preserve"> PAGEREF _Toc210939000 \h </w:instrText>
            </w:r>
            <w:r>
              <w:rPr>
                <w:noProof/>
                <w:webHidden/>
              </w:rPr>
            </w:r>
            <w:r>
              <w:rPr>
                <w:noProof/>
                <w:webHidden/>
              </w:rPr>
              <w:fldChar w:fldCharType="separate"/>
            </w:r>
            <w:r>
              <w:rPr>
                <w:noProof/>
                <w:webHidden/>
              </w:rPr>
              <w:t>4</w:t>
            </w:r>
            <w:r>
              <w:rPr>
                <w:noProof/>
                <w:webHidden/>
              </w:rPr>
              <w:fldChar w:fldCharType="end"/>
            </w:r>
          </w:hyperlink>
        </w:p>
        <w:p w14:paraId="4CE48F3F" w14:textId="40EECE60"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01" w:history="1">
            <w:r w:rsidRPr="008C40DB">
              <w:rPr>
                <w:rStyle w:val="Hyperlink"/>
                <w:noProof/>
              </w:rPr>
              <w:t>1.4</w:t>
            </w:r>
            <w:r>
              <w:rPr>
                <w:rFonts w:asciiTheme="minorHAnsi" w:hAnsiTheme="minorHAnsi"/>
                <w:noProof/>
                <w:kern w:val="2"/>
                <w:szCs w:val="30"/>
                <w:lang w:bidi="bn-IN"/>
                <w14:ligatures w14:val="standardContextual"/>
              </w:rPr>
              <w:tab/>
            </w:r>
            <w:r w:rsidRPr="008C40DB">
              <w:rPr>
                <w:rStyle w:val="Hyperlink"/>
                <w:noProof/>
              </w:rPr>
              <w:t>Research Objectives</w:t>
            </w:r>
            <w:r>
              <w:rPr>
                <w:noProof/>
                <w:webHidden/>
              </w:rPr>
              <w:tab/>
            </w:r>
            <w:r>
              <w:rPr>
                <w:noProof/>
                <w:webHidden/>
              </w:rPr>
              <w:fldChar w:fldCharType="begin"/>
            </w:r>
            <w:r>
              <w:rPr>
                <w:noProof/>
                <w:webHidden/>
              </w:rPr>
              <w:instrText xml:space="preserve"> PAGEREF _Toc210939001 \h </w:instrText>
            </w:r>
            <w:r>
              <w:rPr>
                <w:noProof/>
                <w:webHidden/>
              </w:rPr>
            </w:r>
            <w:r>
              <w:rPr>
                <w:noProof/>
                <w:webHidden/>
              </w:rPr>
              <w:fldChar w:fldCharType="separate"/>
            </w:r>
            <w:r>
              <w:rPr>
                <w:noProof/>
                <w:webHidden/>
              </w:rPr>
              <w:t>4</w:t>
            </w:r>
            <w:r>
              <w:rPr>
                <w:noProof/>
                <w:webHidden/>
              </w:rPr>
              <w:fldChar w:fldCharType="end"/>
            </w:r>
          </w:hyperlink>
        </w:p>
        <w:p w14:paraId="77583302" w14:textId="7BBE5A50"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02" w:history="1">
            <w:r w:rsidRPr="008C40DB">
              <w:rPr>
                <w:rStyle w:val="Hyperlink"/>
                <w:noProof/>
              </w:rPr>
              <w:t>1.5</w:t>
            </w:r>
            <w:r>
              <w:rPr>
                <w:rFonts w:asciiTheme="minorHAnsi" w:hAnsiTheme="minorHAnsi"/>
                <w:noProof/>
                <w:kern w:val="2"/>
                <w:szCs w:val="30"/>
                <w:lang w:bidi="bn-IN"/>
                <w14:ligatures w14:val="standardContextual"/>
              </w:rPr>
              <w:tab/>
            </w:r>
            <w:r w:rsidRPr="008C40DB">
              <w:rPr>
                <w:rStyle w:val="Hyperlink"/>
                <w:noProof/>
              </w:rPr>
              <w:t>Summary of the Proposed Methodology</w:t>
            </w:r>
            <w:r>
              <w:rPr>
                <w:noProof/>
                <w:webHidden/>
              </w:rPr>
              <w:tab/>
            </w:r>
            <w:r>
              <w:rPr>
                <w:noProof/>
                <w:webHidden/>
              </w:rPr>
              <w:fldChar w:fldCharType="begin"/>
            </w:r>
            <w:r>
              <w:rPr>
                <w:noProof/>
                <w:webHidden/>
              </w:rPr>
              <w:instrText xml:space="preserve"> PAGEREF _Toc210939002 \h </w:instrText>
            </w:r>
            <w:r>
              <w:rPr>
                <w:noProof/>
                <w:webHidden/>
              </w:rPr>
            </w:r>
            <w:r>
              <w:rPr>
                <w:noProof/>
                <w:webHidden/>
              </w:rPr>
              <w:fldChar w:fldCharType="separate"/>
            </w:r>
            <w:r>
              <w:rPr>
                <w:noProof/>
                <w:webHidden/>
              </w:rPr>
              <w:t>5</w:t>
            </w:r>
            <w:r>
              <w:rPr>
                <w:noProof/>
                <w:webHidden/>
              </w:rPr>
              <w:fldChar w:fldCharType="end"/>
            </w:r>
          </w:hyperlink>
        </w:p>
        <w:p w14:paraId="0DA9CCBD" w14:textId="7CB716DE" w:rsidR="004119B7" w:rsidRDefault="004119B7">
          <w:pPr>
            <w:pStyle w:val="TOC1"/>
            <w:tabs>
              <w:tab w:val="left" w:pos="480"/>
              <w:tab w:val="right" w:leader="dot" w:pos="9016"/>
            </w:tabs>
            <w:rPr>
              <w:rFonts w:asciiTheme="minorHAnsi" w:hAnsiTheme="minorHAnsi"/>
              <w:noProof/>
              <w:kern w:val="2"/>
              <w:szCs w:val="30"/>
              <w:lang w:bidi="bn-IN"/>
              <w14:ligatures w14:val="standardContextual"/>
            </w:rPr>
          </w:pPr>
          <w:hyperlink w:anchor="_Toc210939003" w:history="1">
            <w:r w:rsidRPr="008C40DB">
              <w:rPr>
                <w:rStyle w:val="Hyperlink"/>
                <w:noProof/>
              </w:rPr>
              <w:t>2</w:t>
            </w:r>
            <w:r>
              <w:rPr>
                <w:rFonts w:asciiTheme="minorHAnsi" w:hAnsiTheme="minorHAnsi"/>
                <w:noProof/>
                <w:kern w:val="2"/>
                <w:szCs w:val="30"/>
                <w:lang w:bidi="bn-IN"/>
                <w14:ligatures w14:val="standardContextual"/>
              </w:rPr>
              <w:tab/>
            </w:r>
            <w:r w:rsidRPr="008C40DB">
              <w:rPr>
                <w:rStyle w:val="Hyperlink"/>
                <w:noProof/>
              </w:rPr>
              <w:t>Preliminary Literature Review</w:t>
            </w:r>
            <w:r>
              <w:rPr>
                <w:noProof/>
                <w:webHidden/>
              </w:rPr>
              <w:tab/>
            </w:r>
            <w:r>
              <w:rPr>
                <w:noProof/>
                <w:webHidden/>
              </w:rPr>
              <w:fldChar w:fldCharType="begin"/>
            </w:r>
            <w:r>
              <w:rPr>
                <w:noProof/>
                <w:webHidden/>
              </w:rPr>
              <w:instrText xml:space="preserve"> PAGEREF _Toc210939003 \h </w:instrText>
            </w:r>
            <w:r>
              <w:rPr>
                <w:noProof/>
                <w:webHidden/>
              </w:rPr>
            </w:r>
            <w:r>
              <w:rPr>
                <w:noProof/>
                <w:webHidden/>
              </w:rPr>
              <w:fldChar w:fldCharType="separate"/>
            </w:r>
            <w:r>
              <w:rPr>
                <w:noProof/>
                <w:webHidden/>
              </w:rPr>
              <w:t>6</w:t>
            </w:r>
            <w:r>
              <w:rPr>
                <w:noProof/>
                <w:webHidden/>
              </w:rPr>
              <w:fldChar w:fldCharType="end"/>
            </w:r>
          </w:hyperlink>
        </w:p>
        <w:p w14:paraId="46202F9F" w14:textId="58FBA38F"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04" w:history="1">
            <w:r w:rsidRPr="008C40DB">
              <w:rPr>
                <w:rStyle w:val="Hyperlink"/>
                <w:noProof/>
              </w:rPr>
              <w:t>2.1</w:t>
            </w:r>
            <w:r>
              <w:rPr>
                <w:rFonts w:asciiTheme="minorHAnsi" w:hAnsiTheme="minorHAnsi"/>
                <w:noProof/>
                <w:kern w:val="2"/>
                <w:szCs w:val="30"/>
                <w:lang w:bidi="bn-IN"/>
                <w14:ligatures w14:val="standardContextual"/>
              </w:rPr>
              <w:tab/>
            </w:r>
            <w:r w:rsidRPr="008C40DB">
              <w:rPr>
                <w:rStyle w:val="Hyperlink"/>
                <w:noProof/>
              </w:rPr>
              <w:t>Definition of the Key Concepts</w:t>
            </w:r>
            <w:r>
              <w:rPr>
                <w:noProof/>
                <w:webHidden/>
              </w:rPr>
              <w:tab/>
            </w:r>
            <w:r>
              <w:rPr>
                <w:noProof/>
                <w:webHidden/>
              </w:rPr>
              <w:fldChar w:fldCharType="begin"/>
            </w:r>
            <w:r>
              <w:rPr>
                <w:noProof/>
                <w:webHidden/>
              </w:rPr>
              <w:instrText xml:space="preserve"> PAGEREF _Toc210939004 \h </w:instrText>
            </w:r>
            <w:r>
              <w:rPr>
                <w:noProof/>
                <w:webHidden/>
              </w:rPr>
            </w:r>
            <w:r>
              <w:rPr>
                <w:noProof/>
                <w:webHidden/>
              </w:rPr>
              <w:fldChar w:fldCharType="separate"/>
            </w:r>
            <w:r>
              <w:rPr>
                <w:noProof/>
                <w:webHidden/>
              </w:rPr>
              <w:t>6</w:t>
            </w:r>
            <w:r>
              <w:rPr>
                <w:noProof/>
                <w:webHidden/>
              </w:rPr>
              <w:fldChar w:fldCharType="end"/>
            </w:r>
          </w:hyperlink>
        </w:p>
        <w:p w14:paraId="5BCFD31B" w14:textId="538249F8"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05" w:history="1">
            <w:r w:rsidRPr="008C40DB">
              <w:rPr>
                <w:rStyle w:val="Hyperlink"/>
                <w:noProof/>
              </w:rPr>
              <w:t>2.2</w:t>
            </w:r>
            <w:r>
              <w:rPr>
                <w:rFonts w:asciiTheme="minorHAnsi" w:hAnsiTheme="minorHAnsi"/>
                <w:noProof/>
                <w:kern w:val="2"/>
                <w:szCs w:val="30"/>
                <w:lang w:bidi="bn-IN"/>
                <w14:ligatures w14:val="standardContextual"/>
              </w:rPr>
              <w:tab/>
            </w:r>
            <w:r w:rsidRPr="008C40DB">
              <w:rPr>
                <w:rStyle w:val="Hyperlink"/>
                <w:noProof/>
              </w:rPr>
              <w:t>Theoretical Frameworks</w:t>
            </w:r>
            <w:r>
              <w:rPr>
                <w:noProof/>
                <w:webHidden/>
              </w:rPr>
              <w:tab/>
            </w:r>
            <w:r>
              <w:rPr>
                <w:noProof/>
                <w:webHidden/>
              </w:rPr>
              <w:fldChar w:fldCharType="begin"/>
            </w:r>
            <w:r>
              <w:rPr>
                <w:noProof/>
                <w:webHidden/>
              </w:rPr>
              <w:instrText xml:space="preserve"> PAGEREF _Toc210939005 \h </w:instrText>
            </w:r>
            <w:r>
              <w:rPr>
                <w:noProof/>
                <w:webHidden/>
              </w:rPr>
            </w:r>
            <w:r>
              <w:rPr>
                <w:noProof/>
                <w:webHidden/>
              </w:rPr>
              <w:fldChar w:fldCharType="separate"/>
            </w:r>
            <w:r>
              <w:rPr>
                <w:noProof/>
                <w:webHidden/>
              </w:rPr>
              <w:t>6</w:t>
            </w:r>
            <w:r>
              <w:rPr>
                <w:noProof/>
                <w:webHidden/>
              </w:rPr>
              <w:fldChar w:fldCharType="end"/>
            </w:r>
          </w:hyperlink>
        </w:p>
        <w:p w14:paraId="4EE2A5AC" w14:textId="243145A4"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06" w:history="1">
            <w:r w:rsidRPr="008C40DB">
              <w:rPr>
                <w:rStyle w:val="Hyperlink"/>
                <w:noProof/>
              </w:rPr>
              <w:t>2.3</w:t>
            </w:r>
            <w:r>
              <w:rPr>
                <w:rFonts w:asciiTheme="minorHAnsi" w:hAnsiTheme="minorHAnsi"/>
                <w:noProof/>
                <w:kern w:val="2"/>
                <w:szCs w:val="30"/>
                <w:lang w:bidi="bn-IN"/>
                <w14:ligatures w14:val="standardContextual"/>
              </w:rPr>
              <w:tab/>
            </w:r>
            <w:r w:rsidRPr="008C40DB">
              <w:rPr>
                <w:rStyle w:val="Hyperlink"/>
                <w:noProof/>
              </w:rPr>
              <w:t>Empirical Evidence on the ESG Practices of Traditional Automotive vs Electric Vehicle Companies</w:t>
            </w:r>
            <w:r>
              <w:rPr>
                <w:noProof/>
                <w:webHidden/>
              </w:rPr>
              <w:tab/>
            </w:r>
            <w:r>
              <w:rPr>
                <w:noProof/>
                <w:webHidden/>
              </w:rPr>
              <w:fldChar w:fldCharType="begin"/>
            </w:r>
            <w:r>
              <w:rPr>
                <w:noProof/>
                <w:webHidden/>
              </w:rPr>
              <w:instrText xml:space="preserve"> PAGEREF _Toc210939006 \h </w:instrText>
            </w:r>
            <w:r>
              <w:rPr>
                <w:noProof/>
                <w:webHidden/>
              </w:rPr>
            </w:r>
            <w:r>
              <w:rPr>
                <w:noProof/>
                <w:webHidden/>
              </w:rPr>
              <w:fldChar w:fldCharType="separate"/>
            </w:r>
            <w:r>
              <w:rPr>
                <w:noProof/>
                <w:webHidden/>
              </w:rPr>
              <w:t>7</w:t>
            </w:r>
            <w:r>
              <w:rPr>
                <w:noProof/>
                <w:webHidden/>
              </w:rPr>
              <w:fldChar w:fldCharType="end"/>
            </w:r>
          </w:hyperlink>
        </w:p>
        <w:p w14:paraId="67FAA2C8" w14:textId="47E8EA0E" w:rsidR="004119B7" w:rsidRDefault="004119B7">
          <w:pPr>
            <w:pStyle w:val="TOC3"/>
            <w:tabs>
              <w:tab w:val="left" w:pos="1440"/>
              <w:tab w:val="right" w:leader="dot" w:pos="9016"/>
            </w:tabs>
            <w:rPr>
              <w:rFonts w:asciiTheme="minorHAnsi" w:hAnsiTheme="minorHAnsi"/>
              <w:noProof/>
              <w:kern w:val="2"/>
              <w:szCs w:val="30"/>
              <w:lang w:bidi="bn-IN"/>
              <w14:ligatures w14:val="standardContextual"/>
            </w:rPr>
          </w:pPr>
          <w:hyperlink w:anchor="_Toc210939007" w:history="1">
            <w:r w:rsidRPr="008C40DB">
              <w:rPr>
                <w:rStyle w:val="Hyperlink"/>
                <w:noProof/>
              </w:rPr>
              <w:t>2.3.1</w:t>
            </w:r>
            <w:r>
              <w:rPr>
                <w:rFonts w:asciiTheme="minorHAnsi" w:hAnsiTheme="minorHAnsi"/>
                <w:noProof/>
                <w:kern w:val="2"/>
                <w:szCs w:val="30"/>
                <w:lang w:bidi="bn-IN"/>
                <w14:ligatures w14:val="standardContextual"/>
              </w:rPr>
              <w:tab/>
            </w:r>
            <w:r w:rsidRPr="008C40DB">
              <w:rPr>
                <w:rStyle w:val="Hyperlink"/>
                <w:noProof/>
              </w:rPr>
              <w:t>Environmental Practices</w:t>
            </w:r>
            <w:r>
              <w:rPr>
                <w:noProof/>
                <w:webHidden/>
              </w:rPr>
              <w:tab/>
            </w:r>
            <w:r>
              <w:rPr>
                <w:noProof/>
                <w:webHidden/>
              </w:rPr>
              <w:fldChar w:fldCharType="begin"/>
            </w:r>
            <w:r>
              <w:rPr>
                <w:noProof/>
                <w:webHidden/>
              </w:rPr>
              <w:instrText xml:space="preserve"> PAGEREF _Toc210939007 \h </w:instrText>
            </w:r>
            <w:r>
              <w:rPr>
                <w:noProof/>
                <w:webHidden/>
              </w:rPr>
            </w:r>
            <w:r>
              <w:rPr>
                <w:noProof/>
                <w:webHidden/>
              </w:rPr>
              <w:fldChar w:fldCharType="separate"/>
            </w:r>
            <w:r>
              <w:rPr>
                <w:noProof/>
                <w:webHidden/>
              </w:rPr>
              <w:t>7</w:t>
            </w:r>
            <w:r>
              <w:rPr>
                <w:noProof/>
                <w:webHidden/>
              </w:rPr>
              <w:fldChar w:fldCharType="end"/>
            </w:r>
          </w:hyperlink>
        </w:p>
        <w:p w14:paraId="1543B0B2" w14:textId="2AE0BA9B" w:rsidR="004119B7" w:rsidRDefault="004119B7">
          <w:pPr>
            <w:pStyle w:val="TOC3"/>
            <w:tabs>
              <w:tab w:val="left" w:pos="1440"/>
              <w:tab w:val="right" w:leader="dot" w:pos="9016"/>
            </w:tabs>
            <w:rPr>
              <w:rFonts w:asciiTheme="minorHAnsi" w:hAnsiTheme="minorHAnsi"/>
              <w:noProof/>
              <w:kern w:val="2"/>
              <w:szCs w:val="30"/>
              <w:lang w:bidi="bn-IN"/>
              <w14:ligatures w14:val="standardContextual"/>
            </w:rPr>
          </w:pPr>
          <w:hyperlink w:anchor="_Toc210939008" w:history="1">
            <w:r w:rsidRPr="008C40DB">
              <w:rPr>
                <w:rStyle w:val="Hyperlink"/>
                <w:noProof/>
              </w:rPr>
              <w:t>2.3.2</w:t>
            </w:r>
            <w:r>
              <w:rPr>
                <w:rFonts w:asciiTheme="minorHAnsi" w:hAnsiTheme="minorHAnsi"/>
                <w:noProof/>
                <w:kern w:val="2"/>
                <w:szCs w:val="30"/>
                <w:lang w:bidi="bn-IN"/>
                <w14:ligatures w14:val="standardContextual"/>
              </w:rPr>
              <w:tab/>
            </w:r>
            <w:r w:rsidRPr="008C40DB">
              <w:rPr>
                <w:rStyle w:val="Hyperlink"/>
                <w:noProof/>
              </w:rPr>
              <w:t>Social Practices</w:t>
            </w:r>
            <w:r>
              <w:rPr>
                <w:noProof/>
                <w:webHidden/>
              </w:rPr>
              <w:tab/>
            </w:r>
            <w:r>
              <w:rPr>
                <w:noProof/>
                <w:webHidden/>
              </w:rPr>
              <w:fldChar w:fldCharType="begin"/>
            </w:r>
            <w:r>
              <w:rPr>
                <w:noProof/>
                <w:webHidden/>
              </w:rPr>
              <w:instrText xml:space="preserve"> PAGEREF _Toc210939008 \h </w:instrText>
            </w:r>
            <w:r>
              <w:rPr>
                <w:noProof/>
                <w:webHidden/>
              </w:rPr>
            </w:r>
            <w:r>
              <w:rPr>
                <w:noProof/>
                <w:webHidden/>
              </w:rPr>
              <w:fldChar w:fldCharType="separate"/>
            </w:r>
            <w:r>
              <w:rPr>
                <w:noProof/>
                <w:webHidden/>
              </w:rPr>
              <w:t>8</w:t>
            </w:r>
            <w:r>
              <w:rPr>
                <w:noProof/>
                <w:webHidden/>
              </w:rPr>
              <w:fldChar w:fldCharType="end"/>
            </w:r>
          </w:hyperlink>
        </w:p>
        <w:p w14:paraId="60DE4E91" w14:textId="26BCAD19" w:rsidR="004119B7" w:rsidRDefault="004119B7">
          <w:pPr>
            <w:pStyle w:val="TOC3"/>
            <w:tabs>
              <w:tab w:val="left" w:pos="1440"/>
              <w:tab w:val="right" w:leader="dot" w:pos="9016"/>
            </w:tabs>
            <w:rPr>
              <w:rFonts w:asciiTheme="minorHAnsi" w:hAnsiTheme="minorHAnsi"/>
              <w:noProof/>
              <w:kern w:val="2"/>
              <w:szCs w:val="30"/>
              <w:lang w:bidi="bn-IN"/>
              <w14:ligatures w14:val="standardContextual"/>
            </w:rPr>
          </w:pPr>
          <w:hyperlink w:anchor="_Toc210939009" w:history="1">
            <w:r w:rsidRPr="008C40DB">
              <w:rPr>
                <w:rStyle w:val="Hyperlink"/>
                <w:noProof/>
              </w:rPr>
              <w:t>2.3.3</w:t>
            </w:r>
            <w:r>
              <w:rPr>
                <w:rFonts w:asciiTheme="minorHAnsi" w:hAnsiTheme="minorHAnsi"/>
                <w:noProof/>
                <w:kern w:val="2"/>
                <w:szCs w:val="30"/>
                <w:lang w:bidi="bn-IN"/>
                <w14:ligatures w14:val="standardContextual"/>
              </w:rPr>
              <w:tab/>
            </w:r>
            <w:r w:rsidRPr="008C40DB">
              <w:rPr>
                <w:rStyle w:val="Hyperlink"/>
                <w:noProof/>
              </w:rPr>
              <w:t>Governance Practices</w:t>
            </w:r>
            <w:r>
              <w:rPr>
                <w:noProof/>
                <w:webHidden/>
              </w:rPr>
              <w:tab/>
            </w:r>
            <w:r>
              <w:rPr>
                <w:noProof/>
                <w:webHidden/>
              </w:rPr>
              <w:fldChar w:fldCharType="begin"/>
            </w:r>
            <w:r>
              <w:rPr>
                <w:noProof/>
                <w:webHidden/>
              </w:rPr>
              <w:instrText xml:space="preserve"> PAGEREF _Toc210939009 \h </w:instrText>
            </w:r>
            <w:r>
              <w:rPr>
                <w:noProof/>
                <w:webHidden/>
              </w:rPr>
            </w:r>
            <w:r>
              <w:rPr>
                <w:noProof/>
                <w:webHidden/>
              </w:rPr>
              <w:fldChar w:fldCharType="separate"/>
            </w:r>
            <w:r>
              <w:rPr>
                <w:noProof/>
                <w:webHidden/>
              </w:rPr>
              <w:t>8</w:t>
            </w:r>
            <w:r>
              <w:rPr>
                <w:noProof/>
                <w:webHidden/>
              </w:rPr>
              <w:fldChar w:fldCharType="end"/>
            </w:r>
          </w:hyperlink>
        </w:p>
        <w:p w14:paraId="4B78E977" w14:textId="2CD2BCDE"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10" w:history="1">
            <w:r w:rsidRPr="008C40DB">
              <w:rPr>
                <w:rStyle w:val="Hyperlink"/>
                <w:noProof/>
              </w:rPr>
              <w:t>2.4</w:t>
            </w:r>
            <w:r>
              <w:rPr>
                <w:rFonts w:asciiTheme="minorHAnsi" w:hAnsiTheme="minorHAnsi"/>
                <w:noProof/>
                <w:kern w:val="2"/>
                <w:szCs w:val="30"/>
                <w:lang w:bidi="bn-IN"/>
                <w14:ligatures w14:val="standardContextual"/>
              </w:rPr>
              <w:tab/>
            </w:r>
            <w:r w:rsidRPr="008C40DB">
              <w:rPr>
                <w:rStyle w:val="Hyperlink"/>
                <w:noProof/>
              </w:rPr>
              <w:t>Research Gaps</w:t>
            </w:r>
            <w:r>
              <w:rPr>
                <w:noProof/>
                <w:webHidden/>
              </w:rPr>
              <w:tab/>
            </w:r>
            <w:r>
              <w:rPr>
                <w:noProof/>
                <w:webHidden/>
              </w:rPr>
              <w:fldChar w:fldCharType="begin"/>
            </w:r>
            <w:r>
              <w:rPr>
                <w:noProof/>
                <w:webHidden/>
              </w:rPr>
              <w:instrText xml:space="preserve"> PAGEREF _Toc210939010 \h </w:instrText>
            </w:r>
            <w:r>
              <w:rPr>
                <w:noProof/>
                <w:webHidden/>
              </w:rPr>
            </w:r>
            <w:r>
              <w:rPr>
                <w:noProof/>
                <w:webHidden/>
              </w:rPr>
              <w:fldChar w:fldCharType="separate"/>
            </w:r>
            <w:r>
              <w:rPr>
                <w:noProof/>
                <w:webHidden/>
              </w:rPr>
              <w:t>9</w:t>
            </w:r>
            <w:r>
              <w:rPr>
                <w:noProof/>
                <w:webHidden/>
              </w:rPr>
              <w:fldChar w:fldCharType="end"/>
            </w:r>
          </w:hyperlink>
        </w:p>
        <w:p w14:paraId="78A15D6F" w14:textId="5D4E3250" w:rsidR="004119B7" w:rsidRDefault="004119B7">
          <w:pPr>
            <w:pStyle w:val="TOC1"/>
            <w:tabs>
              <w:tab w:val="left" w:pos="480"/>
              <w:tab w:val="right" w:leader="dot" w:pos="9016"/>
            </w:tabs>
            <w:rPr>
              <w:rFonts w:asciiTheme="minorHAnsi" w:hAnsiTheme="minorHAnsi"/>
              <w:noProof/>
              <w:kern w:val="2"/>
              <w:szCs w:val="30"/>
              <w:lang w:bidi="bn-IN"/>
              <w14:ligatures w14:val="standardContextual"/>
            </w:rPr>
          </w:pPr>
          <w:hyperlink w:anchor="_Toc210939011" w:history="1">
            <w:r w:rsidRPr="008C40DB">
              <w:rPr>
                <w:rStyle w:val="Hyperlink"/>
                <w:noProof/>
              </w:rPr>
              <w:t>3</w:t>
            </w:r>
            <w:r>
              <w:rPr>
                <w:rFonts w:asciiTheme="minorHAnsi" w:hAnsiTheme="minorHAnsi"/>
                <w:noProof/>
                <w:kern w:val="2"/>
                <w:szCs w:val="30"/>
                <w:lang w:bidi="bn-IN"/>
                <w14:ligatures w14:val="standardContextual"/>
              </w:rPr>
              <w:tab/>
            </w:r>
            <w:r w:rsidRPr="008C40DB">
              <w:rPr>
                <w:rStyle w:val="Hyperlink"/>
                <w:noProof/>
              </w:rPr>
              <w:t>Research Methodology</w:t>
            </w:r>
            <w:r>
              <w:rPr>
                <w:noProof/>
                <w:webHidden/>
              </w:rPr>
              <w:tab/>
            </w:r>
            <w:r>
              <w:rPr>
                <w:noProof/>
                <w:webHidden/>
              </w:rPr>
              <w:fldChar w:fldCharType="begin"/>
            </w:r>
            <w:r>
              <w:rPr>
                <w:noProof/>
                <w:webHidden/>
              </w:rPr>
              <w:instrText xml:space="preserve"> PAGEREF _Toc210939011 \h </w:instrText>
            </w:r>
            <w:r>
              <w:rPr>
                <w:noProof/>
                <w:webHidden/>
              </w:rPr>
            </w:r>
            <w:r>
              <w:rPr>
                <w:noProof/>
                <w:webHidden/>
              </w:rPr>
              <w:fldChar w:fldCharType="separate"/>
            </w:r>
            <w:r>
              <w:rPr>
                <w:noProof/>
                <w:webHidden/>
              </w:rPr>
              <w:t>9</w:t>
            </w:r>
            <w:r>
              <w:rPr>
                <w:noProof/>
                <w:webHidden/>
              </w:rPr>
              <w:fldChar w:fldCharType="end"/>
            </w:r>
          </w:hyperlink>
        </w:p>
        <w:p w14:paraId="618A580B" w14:textId="722822F8"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12" w:history="1">
            <w:r w:rsidRPr="008C40DB">
              <w:rPr>
                <w:rStyle w:val="Hyperlink"/>
                <w:noProof/>
              </w:rPr>
              <w:t>3.1</w:t>
            </w:r>
            <w:r>
              <w:rPr>
                <w:rFonts w:asciiTheme="minorHAnsi" w:hAnsiTheme="minorHAnsi"/>
                <w:noProof/>
                <w:kern w:val="2"/>
                <w:szCs w:val="30"/>
                <w:lang w:bidi="bn-IN"/>
                <w14:ligatures w14:val="standardContextual"/>
              </w:rPr>
              <w:tab/>
            </w:r>
            <w:r w:rsidRPr="008C40DB">
              <w:rPr>
                <w:rStyle w:val="Hyperlink"/>
                <w:noProof/>
              </w:rPr>
              <w:t>Research Design</w:t>
            </w:r>
            <w:r>
              <w:rPr>
                <w:noProof/>
                <w:webHidden/>
              </w:rPr>
              <w:tab/>
            </w:r>
            <w:r>
              <w:rPr>
                <w:noProof/>
                <w:webHidden/>
              </w:rPr>
              <w:fldChar w:fldCharType="begin"/>
            </w:r>
            <w:r>
              <w:rPr>
                <w:noProof/>
                <w:webHidden/>
              </w:rPr>
              <w:instrText xml:space="preserve"> PAGEREF _Toc210939012 \h </w:instrText>
            </w:r>
            <w:r>
              <w:rPr>
                <w:noProof/>
                <w:webHidden/>
              </w:rPr>
            </w:r>
            <w:r>
              <w:rPr>
                <w:noProof/>
                <w:webHidden/>
              </w:rPr>
              <w:fldChar w:fldCharType="separate"/>
            </w:r>
            <w:r>
              <w:rPr>
                <w:noProof/>
                <w:webHidden/>
              </w:rPr>
              <w:t>9</w:t>
            </w:r>
            <w:r>
              <w:rPr>
                <w:noProof/>
                <w:webHidden/>
              </w:rPr>
              <w:fldChar w:fldCharType="end"/>
            </w:r>
          </w:hyperlink>
        </w:p>
        <w:p w14:paraId="13608D6B" w14:textId="0EBFCE38"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13" w:history="1">
            <w:r w:rsidRPr="008C40DB">
              <w:rPr>
                <w:rStyle w:val="Hyperlink"/>
                <w:noProof/>
              </w:rPr>
              <w:t>3.2</w:t>
            </w:r>
            <w:r>
              <w:rPr>
                <w:rFonts w:asciiTheme="minorHAnsi" w:hAnsiTheme="minorHAnsi"/>
                <w:noProof/>
                <w:kern w:val="2"/>
                <w:szCs w:val="30"/>
                <w:lang w:bidi="bn-IN"/>
                <w14:ligatures w14:val="standardContextual"/>
              </w:rPr>
              <w:tab/>
            </w:r>
            <w:r w:rsidRPr="008C40DB">
              <w:rPr>
                <w:rStyle w:val="Hyperlink"/>
                <w:noProof/>
              </w:rPr>
              <w:t>Databases and Search Strategy</w:t>
            </w:r>
            <w:r>
              <w:rPr>
                <w:noProof/>
                <w:webHidden/>
              </w:rPr>
              <w:tab/>
            </w:r>
            <w:r>
              <w:rPr>
                <w:noProof/>
                <w:webHidden/>
              </w:rPr>
              <w:fldChar w:fldCharType="begin"/>
            </w:r>
            <w:r>
              <w:rPr>
                <w:noProof/>
                <w:webHidden/>
              </w:rPr>
              <w:instrText xml:space="preserve"> PAGEREF _Toc210939013 \h </w:instrText>
            </w:r>
            <w:r>
              <w:rPr>
                <w:noProof/>
                <w:webHidden/>
              </w:rPr>
            </w:r>
            <w:r>
              <w:rPr>
                <w:noProof/>
                <w:webHidden/>
              </w:rPr>
              <w:fldChar w:fldCharType="separate"/>
            </w:r>
            <w:r>
              <w:rPr>
                <w:noProof/>
                <w:webHidden/>
              </w:rPr>
              <w:t>10</w:t>
            </w:r>
            <w:r>
              <w:rPr>
                <w:noProof/>
                <w:webHidden/>
              </w:rPr>
              <w:fldChar w:fldCharType="end"/>
            </w:r>
          </w:hyperlink>
        </w:p>
        <w:p w14:paraId="7A1DF92A" w14:textId="76CE6D5C"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14" w:history="1">
            <w:r w:rsidRPr="008C40DB">
              <w:rPr>
                <w:rStyle w:val="Hyperlink"/>
                <w:noProof/>
              </w:rPr>
              <w:t>3.3</w:t>
            </w:r>
            <w:r>
              <w:rPr>
                <w:rFonts w:asciiTheme="minorHAnsi" w:hAnsiTheme="minorHAnsi"/>
                <w:noProof/>
                <w:kern w:val="2"/>
                <w:szCs w:val="30"/>
                <w:lang w:bidi="bn-IN"/>
                <w14:ligatures w14:val="standardContextual"/>
              </w:rPr>
              <w:tab/>
            </w:r>
            <w:r w:rsidRPr="008C40DB">
              <w:rPr>
                <w:rStyle w:val="Hyperlink"/>
                <w:noProof/>
              </w:rPr>
              <w:t>Eligibility Criteria</w:t>
            </w:r>
            <w:r>
              <w:rPr>
                <w:noProof/>
                <w:webHidden/>
              </w:rPr>
              <w:tab/>
            </w:r>
            <w:r>
              <w:rPr>
                <w:noProof/>
                <w:webHidden/>
              </w:rPr>
              <w:fldChar w:fldCharType="begin"/>
            </w:r>
            <w:r>
              <w:rPr>
                <w:noProof/>
                <w:webHidden/>
              </w:rPr>
              <w:instrText xml:space="preserve"> PAGEREF _Toc210939014 \h </w:instrText>
            </w:r>
            <w:r>
              <w:rPr>
                <w:noProof/>
                <w:webHidden/>
              </w:rPr>
            </w:r>
            <w:r>
              <w:rPr>
                <w:noProof/>
                <w:webHidden/>
              </w:rPr>
              <w:fldChar w:fldCharType="separate"/>
            </w:r>
            <w:r>
              <w:rPr>
                <w:noProof/>
                <w:webHidden/>
              </w:rPr>
              <w:t>10</w:t>
            </w:r>
            <w:r>
              <w:rPr>
                <w:noProof/>
                <w:webHidden/>
              </w:rPr>
              <w:fldChar w:fldCharType="end"/>
            </w:r>
          </w:hyperlink>
        </w:p>
        <w:p w14:paraId="6AECC268" w14:textId="6F8D2282"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15" w:history="1">
            <w:r w:rsidRPr="008C40DB">
              <w:rPr>
                <w:rStyle w:val="Hyperlink"/>
                <w:noProof/>
              </w:rPr>
              <w:t>3.4</w:t>
            </w:r>
            <w:r>
              <w:rPr>
                <w:rFonts w:asciiTheme="minorHAnsi" w:hAnsiTheme="minorHAnsi"/>
                <w:noProof/>
                <w:kern w:val="2"/>
                <w:szCs w:val="30"/>
                <w:lang w:bidi="bn-IN"/>
                <w14:ligatures w14:val="standardContextual"/>
              </w:rPr>
              <w:tab/>
            </w:r>
            <w:r w:rsidRPr="008C40DB">
              <w:rPr>
                <w:rStyle w:val="Hyperlink"/>
                <w:noProof/>
              </w:rPr>
              <w:t>Article Selection, Data Extraction, and Quality Appraisal</w:t>
            </w:r>
            <w:r>
              <w:rPr>
                <w:noProof/>
                <w:webHidden/>
              </w:rPr>
              <w:tab/>
            </w:r>
            <w:r>
              <w:rPr>
                <w:noProof/>
                <w:webHidden/>
              </w:rPr>
              <w:fldChar w:fldCharType="begin"/>
            </w:r>
            <w:r>
              <w:rPr>
                <w:noProof/>
                <w:webHidden/>
              </w:rPr>
              <w:instrText xml:space="preserve"> PAGEREF _Toc210939015 \h </w:instrText>
            </w:r>
            <w:r>
              <w:rPr>
                <w:noProof/>
                <w:webHidden/>
              </w:rPr>
            </w:r>
            <w:r>
              <w:rPr>
                <w:noProof/>
                <w:webHidden/>
              </w:rPr>
              <w:fldChar w:fldCharType="separate"/>
            </w:r>
            <w:r>
              <w:rPr>
                <w:noProof/>
                <w:webHidden/>
              </w:rPr>
              <w:t>10</w:t>
            </w:r>
            <w:r>
              <w:rPr>
                <w:noProof/>
                <w:webHidden/>
              </w:rPr>
              <w:fldChar w:fldCharType="end"/>
            </w:r>
          </w:hyperlink>
        </w:p>
        <w:p w14:paraId="17EAFD41" w14:textId="6A80B7E3"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16" w:history="1">
            <w:r w:rsidRPr="008C40DB">
              <w:rPr>
                <w:rStyle w:val="Hyperlink"/>
                <w:noProof/>
              </w:rPr>
              <w:t>3.5</w:t>
            </w:r>
            <w:r>
              <w:rPr>
                <w:rFonts w:asciiTheme="minorHAnsi" w:hAnsiTheme="minorHAnsi"/>
                <w:noProof/>
                <w:kern w:val="2"/>
                <w:szCs w:val="30"/>
                <w:lang w:bidi="bn-IN"/>
                <w14:ligatures w14:val="standardContextual"/>
              </w:rPr>
              <w:tab/>
            </w:r>
            <w:r w:rsidRPr="008C40DB">
              <w:rPr>
                <w:rStyle w:val="Hyperlink"/>
                <w:noProof/>
              </w:rPr>
              <w:t>Data Synthesis, Ethical Considerations and Limitations</w:t>
            </w:r>
            <w:r>
              <w:rPr>
                <w:noProof/>
                <w:webHidden/>
              </w:rPr>
              <w:tab/>
            </w:r>
            <w:r>
              <w:rPr>
                <w:noProof/>
                <w:webHidden/>
              </w:rPr>
              <w:fldChar w:fldCharType="begin"/>
            </w:r>
            <w:r>
              <w:rPr>
                <w:noProof/>
                <w:webHidden/>
              </w:rPr>
              <w:instrText xml:space="preserve"> PAGEREF _Toc210939016 \h </w:instrText>
            </w:r>
            <w:r>
              <w:rPr>
                <w:noProof/>
                <w:webHidden/>
              </w:rPr>
            </w:r>
            <w:r>
              <w:rPr>
                <w:noProof/>
                <w:webHidden/>
              </w:rPr>
              <w:fldChar w:fldCharType="separate"/>
            </w:r>
            <w:r>
              <w:rPr>
                <w:noProof/>
                <w:webHidden/>
              </w:rPr>
              <w:t>11</w:t>
            </w:r>
            <w:r>
              <w:rPr>
                <w:noProof/>
                <w:webHidden/>
              </w:rPr>
              <w:fldChar w:fldCharType="end"/>
            </w:r>
          </w:hyperlink>
        </w:p>
        <w:p w14:paraId="2D0268A0" w14:textId="20B66611" w:rsidR="004119B7" w:rsidRDefault="004119B7">
          <w:pPr>
            <w:pStyle w:val="TOC2"/>
            <w:tabs>
              <w:tab w:val="left" w:pos="960"/>
              <w:tab w:val="right" w:leader="dot" w:pos="9016"/>
            </w:tabs>
            <w:rPr>
              <w:rFonts w:asciiTheme="minorHAnsi" w:hAnsiTheme="minorHAnsi"/>
              <w:noProof/>
              <w:kern w:val="2"/>
              <w:szCs w:val="30"/>
              <w:lang w:bidi="bn-IN"/>
              <w14:ligatures w14:val="standardContextual"/>
            </w:rPr>
          </w:pPr>
          <w:hyperlink w:anchor="_Toc210939017" w:history="1">
            <w:r w:rsidRPr="008C40DB">
              <w:rPr>
                <w:rStyle w:val="Hyperlink"/>
                <w:noProof/>
              </w:rPr>
              <w:t>3.6</w:t>
            </w:r>
            <w:r>
              <w:rPr>
                <w:rFonts w:asciiTheme="minorHAnsi" w:hAnsiTheme="minorHAnsi"/>
                <w:noProof/>
                <w:kern w:val="2"/>
                <w:szCs w:val="30"/>
                <w:lang w:bidi="bn-IN"/>
                <w14:ligatures w14:val="standardContextual"/>
              </w:rPr>
              <w:tab/>
            </w:r>
            <w:r w:rsidRPr="008C40DB">
              <w:rPr>
                <w:rStyle w:val="Hyperlink"/>
                <w:noProof/>
              </w:rPr>
              <w:t>Research Timeline</w:t>
            </w:r>
            <w:r>
              <w:rPr>
                <w:noProof/>
                <w:webHidden/>
              </w:rPr>
              <w:tab/>
            </w:r>
            <w:r>
              <w:rPr>
                <w:noProof/>
                <w:webHidden/>
              </w:rPr>
              <w:fldChar w:fldCharType="begin"/>
            </w:r>
            <w:r>
              <w:rPr>
                <w:noProof/>
                <w:webHidden/>
              </w:rPr>
              <w:instrText xml:space="preserve"> PAGEREF _Toc210939017 \h </w:instrText>
            </w:r>
            <w:r>
              <w:rPr>
                <w:noProof/>
                <w:webHidden/>
              </w:rPr>
            </w:r>
            <w:r>
              <w:rPr>
                <w:noProof/>
                <w:webHidden/>
              </w:rPr>
              <w:fldChar w:fldCharType="separate"/>
            </w:r>
            <w:r>
              <w:rPr>
                <w:noProof/>
                <w:webHidden/>
              </w:rPr>
              <w:t>12</w:t>
            </w:r>
            <w:r>
              <w:rPr>
                <w:noProof/>
                <w:webHidden/>
              </w:rPr>
              <w:fldChar w:fldCharType="end"/>
            </w:r>
          </w:hyperlink>
        </w:p>
        <w:p w14:paraId="50749CF0" w14:textId="2AD1F4B0" w:rsidR="004119B7" w:rsidRDefault="004119B7">
          <w:pPr>
            <w:pStyle w:val="TOC1"/>
            <w:tabs>
              <w:tab w:val="left" w:pos="480"/>
              <w:tab w:val="right" w:leader="dot" w:pos="9016"/>
            </w:tabs>
            <w:rPr>
              <w:rFonts w:asciiTheme="minorHAnsi" w:hAnsiTheme="minorHAnsi"/>
              <w:noProof/>
              <w:kern w:val="2"/>
              <w:szCs w:val="30"/>
              <w:lang w:bidi="bn-IN"/>
              <w14:ligatures w14:val="standardContextual"/>
            </w:rPr>
          </w:pPr>
          <w:hyperlink w:anchor="_Toc210939018" w:history="1">
            <w:r w:rsidRPr="008C40DB">
              <w:rPr>
                <w:rStyle w:val="Hyperlink"/>
                <w:noProof/>
              </w:rPr>
              <w:t>4</w:t>
            </w:r>
            <w:r>
              <w:rPr>
                <w:rFonts w:asciiTheme="minorHAnsi" w:hAnsiTheme="minorHAnsi"/>
                <w:noProof/>
                <w:kern w:val="2"/>
                <w:szCs w:val="30"/>
                <w:lang w:bidi="bn-IN"/>
                <w14:ligatures w14:val="standardContextual"/>
              </w:rPr>
              <w:tab/>
            </w:r>
            <w:r w:rsidRPr="008C40DB">
              <w:rPr>
                <w:rStyle w:val="Hyperlink"/>
                <w:noProof/>
              </w:rPr>
              <w:t>References</w:t>
            </w:r>
            <w:r>
              <w:rPr>
                <w:noProof/>
                <w:webHidden/>
              </w:rPr>
              <w:tab/>
            </w:r>
            <w:r>
              <w:rPr>
                <w:noProof/>
                <w:webHidden/>
              </w:rPr>
              <w:fldChar w:fldCharType="begin"/>
            </w:r>
            <w:r>
              <w:rPr>
                <w:noProof/>
                <w:webHidden/>
              </w:rPr>
              <w:instrText xml:space="preserve"> PAGEREF _Toc210939018 \h </w:instrText>
            </w:r>
            <w:r>
              <w:rPr>
                <w:noProof/>
                <w:webHidden/>
              </w:rPr>
            </w:r>
            <w:r>
              <w:rPr>
                <w:noProof/>
                <w:webHidden/>
              </w:rPr>
              <w:fldChar w:fldCharType="separate"/>
            </w:r>
            <w:r>
              <w:rPr>
                <w:noProof/>
                <w:webHidden/>
              </w:rPr>
              <w:t>13</w:t>
            </w:r>
            <w:r>
              <w:rPr>
                <w:noProof/>
                <w:webHidden/>
              </w:rPr>
              <w:fldChar w:fldCharType="end"/>
            </w:r>
          </w:hyperlink>
        </w:p>
        <w:p w14:paraId="5B065DC4" w14:textId="24B582B9" w:rsidR="0020548F" w:rsidRDefault="0020548F">
          <w:r>
            <w:rPr>
              <w:b/>
              <w:bCs/>
              <w:noProof/>
            </w:rPr>
            <w:fldChar w:fldCharType="end"/>
          </w:r>
        </w:p>
      </w:sdtContent>
    </w:sdt>
    <w:p w14:paraId="5AF47AFB" w14:textId="77777777" w:rsidR="00110E8B" w:rsidRDefault="00110E8B" w:rsidP="00524D01">
      <w:pPr>
        <w:spacing w:after="0"/>
        <w:jc w:val="center"/>
        <w:rPr>
          <w:rFonts w:ascii="Verdana" w:hAnsi="Verdana"/>
          <w:b/>
          <w:bCs/>
          <w:i/>
          <w:iCs/>
        </w:rPr>
      </w:pPr>
    </w:p>
    <w:p w14:paraId="0230C498" w14:textId="77777777" w:rsidR="00110E8B" w:rsidRDefault="00110E8B">
      <w:pPr>
        <w:rPr>
          <w:rFonts w:ascii="Verdana" w:hAnsi="Verdana"/>
          <w:b/>
          <w:bCs/>
          <w:i/>
          <w:iCs/>
        </w:rPr>
      </w:pPr>
      <w:r>
        <w:rPr>
          <w:rFonts w:ascii="Verdana" w:hAnsi="Verdana"/>
          <w:b/>
          <w:bCs/>
          <w:i/>
          <w:iCs/>
        </w:rPr>
        <w:br w:type="page"/>
      </w:r>
    </w:p>
    <w:p w14:paraId="0BBE68C0" w14:textId="644C902F" w:rsidR="00661E5F" w:rsidRDefault="00110E8B" w:rsidP="00A81685">
      <w:pPr>
        <w:pStyle w:val="Heading1"/>
      </w:pPr>
      <w:bookmarkStart w:id="0" w:name="_Toc210938997"/>
      <w:r w:rsidRPr="00A81685">
        <w:lastRenderedPageBreak/>
        <w:t>Introduction</w:t>
      </w:r>
      <w:bookmarkEnd w:id="0"/>
    </w:p>
    <w:p w14:paraId="0DEA2152" w14:textId="73157627" w:rsidR="00110E8B" w:rsidRDefault="00110E8B" w:rsidP="004F1D6B">
      <w:pPr>
        <w:pStyle w:val="Heading2"/>
        <w:spacing w:after="0"/>
      </w:pPr>
      <w:bookmarkStart w:id="1" w:name="_Toc210938998"/>
      <w:r>
        <w:t>Research Background</w:t>
      </w:r>
      <w:bookmarkEnd w:id="1"/>
    </w:p>
    <w:p w14:paraId="17BB2DB6" w14:textId="77777777" w:rsidR="004F1D6B" w:rsidRDefault="004F1D6B" w:rsidP="004F1D6B">
      <w:pPr>
        <w:spacing w:after="120"/>
        <w:rPr>
          <w:lang w:bidi="bn-IN"/>
        </w:rPr>
      </w:pPr>
      <w:r>
        <w:rPr>
          <w:lang w:bidi="bn-IN"/>
        </w:rPr>
        <w:t>Electrification and the changing regulatory and market pressures have led to the rapid transformation of the automotive sector, which has put environmental, social and governance (ESG) performance as the primary determinant of corporate legitimacy and competitiveness (Veza et al., 2023). It is thus timely to have a systematic comparison of ESG practices by internal combustion engine manufacturing firms and electric vehicle (EV) firms. In the literature, convergence and divergence are found in the approaches of these firms towards addressing the externalities associated with the environment, the social responsibilities and governance mechanisms, as well as methodological caveats which any systematic review has to take into account.</w:t>
      </w:r>
    </w:p>
    <w:p w14:paraId="305C95E7" w14:textId="55D13883" w:rsidR="00A3189D" w:rsidRPr="00A3189D" w:rsidRDefault="004F1D6B" w:rsidP="00A3189D">
      <w:pPr>
        <w:spacing w:after="120"/>
        <w:rPr>
          <w:lang w:bidi="bn-IN"/>
        </w:rPr>
      </w:pPr>
      <w:r>
        <w:rPr>
          <w:lang w:bidi="bn-IN"/>
        </w:rPr>
        <w:t xml:space="preserve">Scholars focus on environmental dimensions. LCAs indicate that EVs tend to have lower global warming potential than internal combustion vehicles but are characterized by trade-offs in acidification, particulate emissions and minerals depletion as a result of battery manufacturing (Pipitone, </w:t>
      </w:r>
      <w:proofErr w:type="spellStart"/>
      <w:r>
        <w:rPr>
          <w:lang w:bidi="bn-IN"/>
        </w:rPr>
        <w:t>Caltabellotta</w:t>
      </w:r>
      <w:proofErr w:type="spellEnd"/>
      <w:r>
        <w:rPr>
          <w:lang w:bidi="bn-IN"/>
        </w:rPr>
        <w:t xml:space="preserve"> &amp; Occhipinti, 2021; Zeng et al., 2020). </w:t>
      </w:r>
      <w:r w:rsidR="00A3189D" w:rsidRPr="00A3189D">
        <w:rPr>
          <w:lang w:bidi="bn-IN"/>
        </w:rPr>
        <w:t xml:space="preserve">Regional electricity profiles significantly affect outcomes, indicating that EVs are not universally “zero emission” (Guha </w:t>
      </w:r>
      <w:r w:rsidR="00A3189D" w:rsidRPr="00A3189D">
        <w:rPr>
          <w:i/>
          <w:iCs/>
          <w:lang w:bidi="bn-IN"/>
        </w:rPr>
        <w:t>et al</w:t>
      </w:r>
      <w:r w:rsidR="00A3189D" w:rsidRPr="00A3189D">
        <w:rPr>
          <w:lang w:bidi="bn-IN"/>
        </w:rPr>
        <w:t>., 2018; Komiyama &amp; Fujii, 2015). Contextual factors such as energy mix, battery technology and end-of-life management thus require systematic synthesis.</w:t>
      </w:r>
    </w:p>
    <w:p w14:paraId="6AEF8439" w14:textId="1B509A5F" w:rsidR="00A3189D" w:rsidRPr="00A3189D" w:rsidRDefault="00A3189D" w:rsidP="00A3189D">
      <w:pPr>
        <w:spacing w:after="120"/>
        <w:rPr>
          <w:lang w:bidi="bn-IN"/>
        </w:rPr>
      </w:pPr>
      <w:r w:rsidRPr="00A3189D">
        <w:rPr>
          <w:lang w:bidi="bn-IN"/>
        </w:rPr>
        <w:t xml:space="preserve">Social aspects remain unevenly integrated into ESG strategies. While labour practices and community relations can enhance firm performance, their influence varies by context (Glova &amp; Panko, 2025). EV firms tend to highlight employment creation and workforce skills; Yu </w:t>
      </w:r>
      <w:r w:rsidRPr="00A3189D">
        <w:rPr>
          <w:i/>
          <w:iCs/>
          <w:lang w:bidi="bn-IN"/>
        </w:rPr>
        <w:t>et al</w:t>
      </w:r>
      <w:r w:rsidRPr="00A3189D">
        <w:rPr>
          <w:lang w:bidi="bn-IN"/>
        </w:rPr>
        <w:t>. (2025) provided a comprehensive competency framework reflecting these shifts. However, social impacts of supply chains, particularly in mineral extraction, remain underexamined.</w:t>
      </w:r>
    </w:p>
    <w:p w14:paraId="01B07F96" w14:textId="51DA25C2" w:rsidR="00A3189D" w:rsidRPr="00A3189D" w:rsidRDefault="00A3189D" w:rsidP="00A3189D">
      <w:pPr>
        <w:spacing w:after="120"/>
        <w:rPr>
          <w:lang w:bidi="bn-IN"/>
        </w:rPr>
      </w:pPr>
      <w:r w:rsidRPr="00A3189D">
        <w:rPr>
          <w:lang w:bidi="bn-IN"/>
        </w:rPr>
        <w:t xml:space="preserve">Governance and transparency determine how environmental and social goals are </w:t>
      </w:r>
      <w:proofErr w:type="spellStart"/>
      <w:r w:rsidRPr="00A3189D">
        <w:rPr>
          <w:lang w:bidi="bn-IN"/>
        </w:rPr>
        <w:t>operationalised</w:t>
      </w:r>
      <w:proofErr w:type="spellEnd"/>
      <w:r w:rsidRPr="00A3189D">
        <w:rPr>
          <w:lang w:bidi="bn-IN"/>
        </w:rPr>
        <w:t xml:space="preserve">. Transparent governance enhances efficiency and market outcomes in the EV ecosystem (Lu </w:t>
      </w:r>
      <w:r w:rsidRPr="00A3189D">
        <w:rPr>
          <w:i/>
          <w:iCs/>
          <w:lang w:bidi="bn-IN"/>
        </w:rPr>
        <w:t>et al</w:t>
      </w:r>
      <w:r w:rsidRPr="00A3189D">
        <w:rPr>
          <w:lang w:bidi="bn-IN"/>
        </w:rPr>
        <w:t>., 2025), though profitability effects vary, reflecting differences in board practices and disclosure quality (Glova &amp; Panko, 2025). Policy interventions, including subsidies, can strengthen resilience and sustainability, especially where technological capabilities exist (Zhao, Zhang &amp; Li, 2024). The interaction between public policy and corporate ESG warrants further synthesis.</w:t>
      </w:r>
    </w:p>
    <w:p w14:paraId="3DFF884F" w14:textId="444ACB8E" w:rsidR="004F1D6B" w:rsidRDefault="00A3189D" w:rsidP="004F1D6B">
      <w:pPr>
        <w:spacing w:after="120"/>
        <w:rPr>
          <w:lang w:bidi="bn-IN"/>
        </w:rPr>
      </w:pPr>
      <w:r w:rsidRPr="00A3189D">
        <w:rPr>
          <w:lang w:bidi="bn-IN"/>
        </w:rPr>
        <w:lastRenderedPageBreak/>
        <w:t>Scenario-based studies highlight uncertainty and the need for tailored ESG strategies.</w:t>
      </w:r>
      <w:r w:rsidR="004F1D6B">
        <w:rPr>
          <w:lang w:bidi="bn-IN"/>
        </w:rPr>
        <w:t xml:space="preserve"> Economic and social uncertainties, as well as uncertainties based on transparency, were found by Choi and Cho (2025), and they are promoting forward-looking governance structures. Additional elements that mix up differences between conventional and EV companies include market and policy incentives, like the priority of EVs or hybrids (</w:t>
      </w:r>
      <w:proofErr w:type="spellStart"/>
      <w:r w:rsidR="004F1D6B">
        <w:rPr>
          <w:lang w:bidi="bn-IN"/>
        </w:rPr>
        <w:t>Nuryakin</w:t>
      </w:r>
      <w:proofErr w:type="spellEnd"/>
      <w:r w:rsidR="004F1D6B">
        <w:rPr>
          <w:lang w:bidi="bn-IN"/>
        </w:rPr>
        <w:t xml:space="preserve"> et al., 2019; </w:t>
      </w:r>
      <w:proofErr w:type="spellStart"/>
      <w:r w:rsidR="004F1D6B">
        <w:rPr>
          <w:lang w:bidi="bn-IN"/>
        </w:rPr>
        <w:t>Helfaya</w:t>
      </w:r>
      <w:proofErr w:type="spellEnd"/>
      <w:r w:rsidR="004F1D6B">
        <w:rPr>
          <w:lang w:bidi="bn-IN"/>
        </w:rPr>
        <w:t xml:space="preserve"> and Bui, 2025).</w:t>
      </w:r>
    </w:p>
    <w:p w14:paraId="0F409655" w14:textId="0F1D177E" w:rsidR="004F1D6B" w:rsidRPr="00110E8B" w:rsidRDefault="004F1D6B" w:rsidP="004F1D6B">
      <w:pPr>
        <w:spacing w:after="120"/>
        <w:rPr>
          <w:lang w:bidi="bn-IN"/>
        </w:rPr>
      </w:pPr>
      <w:r>
        <w:rPr>
          <w:lang w:bidi="bn-IN"/>
        </w:rPr>
        <w:t>Heterogeneity in the spectrum of methodological focus, limits and indicators results in disparate resolutions (Zeng et al., 2020). A systematic review should thus employ explicit inclusion criteria, contextual disaggregation and critical indicators analysis to demystify divergences, synergies and policy leverages that direct the sustainable change of the sector.</w:t>
      </w:r>
    </w:p>
    <w:p w14:paraId="4CD6E59E" w14:textId="77777777" w:rsidR="00EC5E22" w:rsidRDefault="00A876C4" w:rsidP="00EC5E22">
      <w:pPr>
        <w:pStyle w:val="Heading2"/>
      </w:pPr>
      <w:bookmarkStart w:id="2" w:name="_Toc210938999"/>
      <w:r w:rsidRPr="00524D01">
        <w:t>Research Aim</w:t>
      </w:r>
      <w:bookmarkEnd w:id="2"/>
    </w:p>
    <w:p w14:paraId="66170A4D" w14:textId="58123FAB" w:rsidR="00A876C4" w:rsidRPr="00232360" w:rsidRDefault="00232360" w:rsidP="00EC5E22">
      <w:r w:rsidRPr="00232360">
        <w:t>This study aims to systematically review and compare the environmental, social, and governance (ESG) practices of traditional automotive companies and electric vehicle manufacturers.</w:t>
      </w:r>
    </w:p>
    <w:p w14:paraId="0715B7CD" w14:textId="77777777" w:rsidR="00A81685" w:rsidRDefault="00A876C4" w:rsidP="00A81685">
      <w:pPr>
        <w:pStyle w:val="Heading2"/>
      </w:pPr>
      <w:bookmarkStart w:id="3" w:name="_Toc210939000"/>
      <w:r w:rsidRPr="00524D01">
        <w:t>Research Questions</w:t>
      </w:r>
      <w:bookmarkEnd w:id="3"/>
    </w:p>
    <w:p w14:paraId="4902DE4D" w14:textId="703D9F50" w:rsidR="00524D01" w:rsidRPr="00A81685" w:rsidRDefault="00A81685" w:rsidP="00A3189D">
      <w:pPr>
        <w:pStyle w:val="ListParagraph"/>
        <w:numPr>
          <w:ilvl w:val="0"/>
          <w:numId w:val="26"/>
        </w:numPr>
        <w:ind w:left="792"/>
        <w:rPr>
          <w:rFonts w:eastAsiaTheme="majorEastAsia" w:cstheme="majorBidi"/>
          <w:szCs w:val="28"/>
        </w:rPr>
      </w:pPr>
      <w:r w:rsidRPr="00A81685">
        <w:rPr>
          <w:lang w:bidi="bn-IN"/>
        </w:rPr>
        <w:t>How do environmental, social, and governance (ESG) practices differ between traditional automotive companies and electric vehicle (EV) companies?</w:t>
      </w:r>
    </w:p>
    <w:p w14:paraId="4162E7DF" w14:textId="77777777" w:rsidR="00A81685" w:rsidRDefault="00524D01" w:rsidP="00A3189D">
      <w:pPr>
        <w:pStyle w:val="ListParagraph"/>
        <w:numPr>
          <w:ilvl w:val="0"/>
          <w:numId w:val="26"/>
        </w:numPr>
        <w:ind w:left="792"/>
      </w:pPr>
      <w:r w:rsidRPr="00524D01">
        <w:t>What are the key drivers and barriers influencing the adoption and effectiveness of ESG practices in electric vehicle companies compared to traditional automotive firms?</w:t>
      </w:r>
    </w:p>
    <w:p w14:paraId="49A1E125" w14:textId="1A4E1AB2" w:rsidR="00A81685" w:rsidRPr="00A81685" w:rsidRDefault="00A81685" w:rsidP="00A3189D">
      <w:pPr>
        <w:pStyle w:val="ListParagraph"/>
        <w:numPr>
          <w:ilvl w:val="0"/>
          <w:numId w:val="26"/>
        </w:numPr>
        <w:ind w:left="792"/>
      </w:pPr>
      <w:r w:rsidRPr="00A81685">
        <w:rPr>
          <w:lang w:bidi="bn-IN"/>
        </w:rPr>
        <w:t>What is the impact of environmental, social, and governance (ESG) considerations on the financial performance of automotive companie</w:t>
      </w:r>
      <w:r>
        <w:rPr>
          <w:lang w:bidi="bn-IN"/>
        </w:rPr>
        <w:t>s?</w:t>
      </w:r>
    </w:p>
    <w:p w14:paraId="51D8C6B6" w14:textId="3D3948D0" w:rsidR="00A876C4" w:rsidRPr="00524D01" w:rsidRDefault="00A876C4" w:rsidP="00EC5E22">
      <w:pPr>
        <w:pStyle w:val="Heading2"/>
      </w:pPr>
      <w:bookmarkStart w:id="4" w:name="_Toc210939001"/>
      <w:r w:rsidRPr="00524D01">
        <w:t>Research Objectives</w:t>
      </w:r>
      <w:bookmarkEnd w:id="4"/>
    </w:p>
    <w:p w14:paraId="70B8255B" w14:textId="74E7BC64" w:rsidR="00524D01" w:rsidRPr="00A81685" w:rsidRDefault="00A81685" w:rsidP="00A3189D">
      <w:pPr>
        <w:pStyle w:val="ListParagraph"/>
        <w:numPr>
          <w:ilvl w:val="0"/>
          <w:numId w:val="27"/>
        </w:numPr>
        <w:ind w:left="792"/>
        <w:rPr>
          <w:lang w:bidi="bn-IN"/>
        </w:rPr>
      </w:pPr>
      <w:r w:rsidRPr="00A81685">
        <w:rPr>
          <w:lang w:bidi="bn-IN"/>
        </w:rPr>
        <w:t>To examine and compare the environmental, social, and governance (ESG) practices of traditional automotive companies and electric vehicle (EV) companies, identifying key differences and trends in their sustainability approaches.</w:t>
      </w:r>
      <w:r>
        <w:t xml:space="preserve"> </w:t>
      </w:r>
    </w:p>
    <w:p w14:paraId="755383B4" w14:textId="77777777" w:rsidR="00A81685" w:rsidRDefault="00524D01" w:rsidP="00A3189D">
      <w:pPr>
        <w:pStyle w:val="ListParagraph"/>
        <w:numPr>
          <w:ilvl w:val="0"/>
          <w:numId w:val="27"/>
        </w:numPr>
        <w:ind w:left="792"/>
      </w:pPr>
      <w:r w:rsidRPr="00524D01">
        <w:t>To identify the key drivers and barriers affecting the adoption and effectiveness of ESG practices in electric vehicle companies compared to traditional automotive firms.</w:t>
      </w:r>
    </w:p>
    <w:p w14:paraId="0D8E1005" w14:textId="0AC8F48B" w:rsidR="00524D01" w:rsidRPr="00A3189D" w:rsidRDefault="00A81685" w:rsidP="00A3189D">
      <w:pPr>
        <w:pStyle w:val="ListParagraph"/>
        <w:numPr>
          <w:ilvl w:val="0"/>
          <w:numId w:val="27"/>
        </w:numPr>
        <w:ind w:left="792"/>
      </w:pPr>
      <w:r w:rsidRPr="00A81685">
        <w:rPr>
          <w:lang w:bidi="bn-IN"/>
        </w:rPr>
        <w:lastRenderedPageBreak/>
        <w:t>To investigate the impact of environmental, social, and governance (ESG) considerations on the financial performance of automotive companies, analysing how sustainable practices influence profitability and long-term value creation.</w:t>
      </w:r>
    </w:p>
    <w:p w14:paraId="0AFBF6B0" w14:textId="17E028E8" w:rsidR="00A876C4" w:rsidRPr="00524D01" w:rsidRDefault="00A876C4" w:rsidP="00EC5E22">
      <w:pPr>
        <w:pStyle w:val="Heading2"/>
      </w:pPr>
      <w:bookmarkStart w:id="5" w:name="_Toc210939002"/>
      <w:r w:rsidRPr="00524D01">
        <w:t>Summary of the Proposed Methodology</w:t>
      </w:r>
      <w:bookmarkEnd w:id="5"/>
    </w:p>
    <w:p w14:paraId="1F67EA34" w14:textId="59B4A495" w:rsidR="001360E6" w:rsidRDefault="004F1D6B" w:rsidP="001718B0">
      <w:r w:rsidRPr="004F1D6B">
        <w:t xml:space="preserve">The present study will utilise the systematic review methodology to conduct a systematic review and comparative study on the environmental, social, and governance (ESG) </w:t>
      </w:r>
      <w:proofErr w:type="spellStart"/>
      <w:r w:rsidRPr="004F1D6B">
        <w:t>practises</w:t>
      </w:r>
      <w:proofErr w:type="spellEnd"/>
      <w:r w:rsidRPr="004F1D6B">
        <w:t xml:space="preserve"> of traditional automotive firms and electric vehicle manufacturers. Scopus and Google Scholar will be used to find literature related to the keywords, namely, the electric vehicles, the traditional automotive, the ESG </w:t>
      </w:r>
      <w:proofErr w:type="spellStart"/>
      <w:r w:rsidRPr="004F1D6B">
        <w:t>practises</w:t>
      </w:r>
      <w:proofErr w:type="spellEnd"/>
      <w:r w:rsidRPr="004F1D6B">
        <w:t xml:space="preserve">, the environmental sustainability, the social responsibility, the governance, the drivers, and the barriers. The inclusion criteria will include peer-reviewed articles, conference papers, and credible reports published in the English language between 2015 and 2025 studying ESG </w:t>
      </w:r>
      <w:proofErr w:type="spellStart"/>
      <w:r w:rsidRPr="004F1D6B">
        <w:t>practises</w:t>
      </w:r>
      <w:proofErr w:type="spellEnd"/>
      <w:r w:rsidRPr="004F1D6B">
        <w:t xml:space="preserve"> in automotive companies directly, and non-scholarly articles and irrelevant studies will be excluded. The choice will be performed according to PRISMA, and duplicates will be eliminated, and records will be filtered by titles, abstracts, and full texts. </w:t>
      </w:r>
      <w:r w:rsidR="00524D01" w:rsidRPr="00524D01">
        <w:t xml:space="preserve">A data extraction table will be used to collate study details, methodologies, findings, and limitations, with results </w:t>
      </w:r>
      <w:proofErr w:type="spellStart"/>
      <w:r w:rsidR="00524D01" w:rsidRPr="00524D01">
        <w:t>synthesised</w:t>
      </w:r>
      <w:proofErr w:type="spellEnd"/>
      <w:r w:rsidR="00524D01" w:rsidRPr="00524D01">
        <w:t xml:space="preserve"> narratively to identify differences in ESG practices, changes in social and governance priorities, and the drivers and barriers affecting ESG adoption. Ethical considerations are minimal as the study uses secondary data; however, integrity will be maintained through accurate reporting, transparency, and appropriate referencing.</w:t>
      </w:r>
    </w:p>
    <w:p w14:paraId="740DD7D6" w14:textId="77777777" w:rsidR="001360E6" w:rsidRDefault="001360E6">
      <w:pPr>
        <w:spacing w:line="278" w:lineRule="auto"/>
        <w:jc w:val="left"/>
      </w:pPr>
      <w:r>
        <w:br w:type="page"/>
      </w:r>
    </w:p>
    <w:p w14:paraId="0F186207" w14:textId="207E6948" w:rsidR="00A876C4" w:rsidRDefault="001360E6" w:rsidP="001360E6">
      <w:pPr>
        <w:pStyle w:val="Heading1"/>
      </w:pPr>
      <w:bookmarkStart w:id="6" w:name="_Toc210939003"/>
      <w:r>
        <w:lastRenderedPageBreak/>
        <w:t>Preliminary Literature Review</w:t>
      </w:r>
      <w:bookmarkEnd w:id="6"/>
    </w:p>
    <w:p w14:paraId="1D686DDF" w14:textId="304B7A0F" w:rsidR="001360E6" w:rsidRDefault="001360E6" w:rsidP="001360E6">
      <w:pPr>
        <w:pStyle w:val="Heading2"/>
      </w:pPr>
      <w:bookmarkStart w:id="7" w:name="_Toc210939004"/>
      <w:r>
        <w:t>Definition of the Key Concepts</w:t>
      </w:r>
      <w:bookmarkEnd w:id="7"/>
    </w:p>
    <w:p w14:paraId="309DB98A" w14:textId="6CF17833" w:rsidR="00565985" w:rsidRPr="00565985" w:rsidRDefault="00565985" w:rsidP="00A3189D">
      <w:pPr>
        <w:spacing w:after="120"/>
      </w:pPr>
      <w:r w:rsidRPr="00565985">
        <w:rPr>
          <w:b/>
          <w:bCs/>
        </w:rPr>
        <w:t>Traditional Automotive</w:t>
      </w:r>
      <w:r>
        <w:t xml:space="preserve">: </w:t>
      </w:r>
      <w:r w:rsidRPr="00565985">
        <w:t xml:space="preserve">Traditional automotive refers to firms producing vehicles powered by internal combustion engines reliant on fossil fuels, often associated with significant carbon emissions and air pollution (Komiyama &amp; Fujii, 2015; Guha </w:t>
      </w:r>
      <w:r w:rsidR="00A3189D" w:rsidRPr="00A3189D">
        <w:rPr>
          <w:i/>
          <w:iCs/>
        </w:rPr>
        <w:t>et al</w:t>
      </w:r>
      <w:r w:rsidRPr="00565985">
        <w:t>., 2018).</w:t>
      </w:r>
    </w:p>
    <w:p w14:paraId="2DE3ABE4" w14:textId="5797760B" w:rsidR="00565985" w:rsidRPr="00565985" w:rsidRDefault="00565985" w:rsidP="00A3189D">
      <w:pPr>
        <w:spacing w:after="120"/>
      </w:pPr>
      <w:r w:rsidRPr="00565985">
        <w:rPr>
          <w:b/>
          <w:bCs/>
        </w:rPr>
        <w:t>Electric Vehicle Companies</w:t>
      </w:r>
      <w:r>
        <w:t xml:space="preserve">: </w:t>
      </w:r>
      <w:r w:rsidRPr="00565985">
        <w:t xml:space="preserve">Electric vehicle companies design and manufacture vehicles powered fully or partially by electric drivetrains, promoting sustainability while facing challenges of battery production and resource use (Pipitone, </w:t>
      </w:r>
      <w:proofErr w:type="spellStart"/>
      <w:r w:rsidRPr="00565985">
        <w:t>Caltabellotta</w:t>
      </w:r>
      <w:proofErr w:type="spellEnd"/>
      <w:r w:rsidRPr="00565985">
        <w:t xml:space="preserve"> &amp; Occhipinti, 2021; Zeng </w:t>
      </w:r>
      <w:r w:rsidR="00A3189D" w:rsidRPr="00A3189D">
        <w:rPr>
          <w:i/>
          <w:iCs/>
        </w:rPr>
        <w:t>et al</w:t>
      </w:r>
      <w:r w:rsidRPr="00565985">
        <w:t>., 2020).</w:t>
      </w:r>
    </w:p>
    <w:p w14:paraId="1246171F" w14:textId="16DACCFE" w:rsidR="00565985" w:rsidRPr="00565985" w:rsidRDefault="00565985" w:rsidP="00A3189D">
      <w:pPr>
        <w:spacing w:after="120"/>
      </w:pPr>
      <w:r w:rsidRPr="00565985">
        <w:rPr>
          <w:b/>
          <w:bCs/>
        </w:rPr>
        <w:t>Environmental</w:t>
      </w:r>
      <w:r>
        <w:t xml:space="preserve">: </w:t>
      </w:r>
      <w:r w:rsidRPr="00565985">
        <w:t>The environmental dimension of ESG relates to strategies for reducing ecological harm, including lowering emissions, improving efficiency, and managing lifecycle impacts in production and disposal (Alanazi, 2023; Ha, 2019).</w:t>
      </w:r>
    </w:p>
    <w:p w14:paraId="25F1AE75" w14:textId="3AC4705A" w:rsidR="00565985" w:rsidRPr="00565985" w:rsidRDefault="00565985" w:rsidP="00A3189D">
      <w:pPr>
        <w:spacing w:after="120"/>
      </w:pPr>
      <w:r w:rsidRPr="00565985">
        <w:rPr>
          <w:b/>
          <w:bCs/>
        </w:rPr>
        <w:t>Social</w:t>
      </w:r>
      <w:r>
        <w:t xml:space="preserve">: </w:t>
      </w:r>
      <w:r w:rsidRPr="00565985">
        <w:t xml:space="preserve">The social component of ESG concerns how firms manage relationships with stakeholders through labour rights, diversity, community engagement, and responsible supply chains (Glova &amp; Panko, 2025; Yu </w:t>
      </w:r>
      <w:r w:rsidR="00A3189D" w:rsidRPr="00A3189D">
        <w:rPr>
          <w:i/>
          <w:iCs/>
        </w:rPr>
        <w:t>et al</w:t>
      </w:r>
      <w:r w:rsidRPr="00565985">
        <w:t>., 2025).</w:t>
      </w:r>
    </w:p>
    <w:p w14:paraId="7957EFB8" w14:textId="5B453184" w:rsidR="00565985" w:rsidRPr="00565985" w:rsidRDefault="00565985" w:rsidP="00A3189D">
      <w:pPr>
        <w:spacing w:after="120"/>
      </w:pPr>
      <w:r w:rsidRPr="00565985">
        <w:rPr>
          <w:b/>
          <w:bCs/>
        </w:rPr>
        <w:t>Governance</w:t>
      </w:r>
      <w:r>
        <w:t>:</w:t>
      </w:r>
      <w:r w:rsidR="00693D87">
        <w:t xml:space="preserve"> </w:t>
      </w:r>
      <w:r w:rsidR="00693D87" w:rsidRPr="00693D87">
        <w:t>Governance denotes business systems of decision making, transparency, and accountability that incorporate environmental and social goals into business strategy</w:t>
      </w:r>
      <w:r w:rsidR="00693D87">
        <w:t xml:space="preserve"> </w:t>
      </w:r>
      <w:r w:rsidRPr="00565985">
        <w:t xml:space="preserve">(Lu </w:t>
      </w:r>
      <w:r w:rsidR="00A3189D" w:rsidRPr="00A3189D">
        <w:rPr>
          <w:i/>
          <w:iCs/>
        </w:rPr>
        <w:t>et al</w:t>
      </w:r>
      <w:r w:rsidRPr="00565985">
        <w:t>., 2025; Zhao, Zhang &amp; Li, 2024).</w:t>
      </w:r>
    </w:p>
    <w:p w14:paraId="55A4DE51" w14:textId="32FFB3FE" w:rsidR="001360E6" w:rsidRDefault="001360E6" w:rsidP="001360E6">
      <w:pPr>
        <w:pStyle w:val="Heading2"/>
      </w:pPr>
      <w:bookmarkStart w:id="8" w:name="_Toc210939005"/>
      <w:r>
        <w:t>Theoretical Frameworks</w:t>
      </w:r>
      <w:bookmarkEnd w:id="8"/>
    </w:p>
    <w:p w14:paraId="7BADE7A5" w14:textId="09624993" w:rsidR="001360E6" w:rsidRPr="001360E6" w:rsidRDefault="00693D87" w:rsidP="001360E6">
      <w:r w:rsidRPr="00693D87">
        <w:t xml:space="preserve">When analysing ESG </w:t>
      </w:r>
      <w:proofErr w:type="spellStart"/>
      <w:r w:rsidRPr="00693D87">
        <w:t>practises</w:t>
      </w:r>
      <w:proofErr w:type="spellEnd"/>
      <w:r w:rsidRPr="00693D87">
        <w:t xml:space="preserve"> of conventional automotive companies and EV companies, a number of theoretical frameworks can be useful in this analysis. According to the Stakeholder Theory (Freeman, 1984), companies are supposed to reconcile the needs of various stakeholders including investors, employees, regulators and local communities. This especially applies in the case of automotive industry which is subjected to regulatory forces, labour issues and changing consumer demands in sustainability aspects. The Insight offered by the Legitimacy Theory (Suchman, 1995; Deegan, 2002) also proves useful as traditional and EV manufacturers aim to preserve their relevance in the society by ensuring that their </w:t>
      </w:r>
      <w:proofErr w:type="spellStart"/>
      <w:r w:rsidRPr="00693D87">
        <w:t>practises</w:t>
      </w:r>
      <w:proofErr w:type="spellEnd"/>
      <w:r w:rsidRPr="00693D87">
        <w:t xml:space="preserve"> are consistent with the societal norms of environmental and social behaviour. </w:t>
      </w:r>
      <w:r w:rsidRPr="00693D87">
        <w:lastRenderedPageBreak/>
        <w:t xml:space="preserve">Conventional automakers, who frequently struggle to overcome their history of high emissions, can utilise ESG disclosure as part of the legitimacy repair, and EV companies can be strategic in </w:t>
      </w:r>
      <w:proofErr w:type="spellStart"/>
      <w:r w:rsidRPr="00693D87">
        <w:t>emphasising</w:t>
      </w:r>
      <w:proofErr w:type="spellEnd"/>
      <w:r w:rsidRPr="00693D87">
        <w:t xml:space="preserve"> sustainability </w:t>
      </w:r>
      <w:proofErr w:type="spellStart"/>
      <w:r w:rsidRPr="00693D87">
        <w:t>storeys</w:t>
      </w:r>
      <w:proofErr w:type="spellEnd"/>
      <w:r w:rsidRPr="00693D87">
        <w:t xml:space="preserve"> to affirm their innovative identity. The reason why the adoption of ESG varies across situations is further elucidated by the Institutional Theory (DiMaggio and Powell, 1983), which explains the implications of regulatory environments, market forces, and cultural expectations on ESG adoption. As the example, the companies in the countries where policies are stricter on carbon are more likely to implement powerful ESG </w:t>
      </w:r>
      <w:proofErr w:type="spellStart"/>
      <w:r w:rsidRPr="00693D87">
        <w:t>practise</w:t>
      </w:r>
      <w:proofErr w:type="spellEnd"/>
      <w:r w:rsidRPr="00693D87">
        <w:t xml:space="preserve"> than those in less-regulated countries. Lastly, the Resource-Based View (RBV) (Barney, 1991) and the Dynamic Capabilities Theory (Teece, Pisano and </w:t>
      </w:r>
      <w:proofErr w:type="spellStart"/>
      <w:r w:rsidRPr="00693D87">
        <w:t>Shuen</w:t>
      </w:r>
      <w:proofErr w:type="spellEnd"/>
      <w:r w:rsidRPr="00693D87">
        <w:t xml:space="preserve">, 1997) can help understand how firms use internal resources, including technological skills, governance systems, or supply chain ties, to develop ESG competitiveness. More flexible EV companies can use dynamic capabilities to incorporate sustainability into innovation, whereas traditional firms have fallopian inertia but operate with well-established supply chains. Together, these structures can be used to understand why ESG </w:t>
      </w:r>
      <w:proofErr w:type="spellStart"/>
      <w:r w:rsidRPr="00693D87">
        <w:t>practises</w:t>
      </w:r>
      <w:proofErr w:type="spellEnd"/>
      <w:r w:rsidRPr="00693D87">
        <w:t xml:space="preserve"> vary among conventional and EV companies and the role of these </w:t>
      </w:r>
      <w:proofErr w:type="spellStart"/>
      <w:r w:rsidRPr="00693D87">
        <w:t>practises</w:t>
      </w:r>
      <w:proofErr w:type="spellEnd"/>
      <w:r w:rsidRPr="00693D87">
        <w:t xml:space="preserve"> in long-run competitiveness and corporate sustainability.</w:t>
      </w:r>
    </w:p>
    <w:p w14:paraId="5088CF93" w14:textId="568C3EF6" w:rsidR="001360E6" w:rsidRDefault="001360E6" w:rsidP="001360E6">
      <w:pPr>
        <w:pStyle w:val="Heading2"/>
      </w:pPr>
      <w:bookmarkStart w:id="9" w:name="_Toc210939006"/>
      <w:r>
        <w:t xml:space="preserve">Empirical Evidence on the </w:t>
      </w:r>
      <w:r w:rsidRPr="001360E6">
        <w:t>ESG Practices of Traditional Automotive vs Electric Vehicle Companies</w:t>
      </w:r>
      <w:bookmarkEnd w:id="9"/>
    </w:p>
    <w:p w14:paraId="25F3470C" w14:textId="77777777" w:rsidR="00693D87" w:rsidRDefault="00693D87" w:rsidP="00693D87">
      <w:r>
        <w:t xml:space="preserve">The analysis of ESG </w:t>
      </w:r>
      <w:proofErr w:type="spellStart"/>
      <w:r>
        <w:t>practises</w:t>
      </w:r>
      <w:proofErr w:type="spellEnd"/>
      <w:r>
        <w:t xml:space="preserve"> of the traditional automotive and electric vehicle (EV) companies exposes common issues and different approaches. The available body of literature identifies major areas of consensus in environmental objectives, yet in addition significant areas of conflict regarding environmental trade-offs, social priorities, and governance outcomes are also established.</w:t>
      </w:r>
    </w:p>
    <w:p w14:paraId="00F95BC6" w14:textId="6D2C8F1D" w:rsidR="00693D87" w:rsidRDefault="00693D87" w:rsidP="004119B7">
      <w:pPr>
        <w:pStyle w:val="Heading3"/>
      </w:pPr>
      <w:bookmarkStart w:id="10" w:name="_Toc210939007"/>
      <w:r>
        <w:t>Environmental Practices</w:t>
      </w:r>
      <w:bookmarkEnd w:id="10"/>
    </w:p>
    <w:p w14:paraId="7942682F" w14:textId="77777777" w:rsidR="00693D87" w:rsidRDefault="00693D87" w:rsidP="00693D87">
      <w:r>
        <w:t xml:space="preserve">It is consistently stated in the literature that EVs produce massive decreases in greenhouse gas emissions in comparison with internal combustion engine vehicles (ICEVs). Research indicates that battery electric vehicles (BEVs) have up to 60 lower global warming potential (Pipitone, </w:t>
      </w:r>
      <w:proofErr w:type="spellStart"/>
      <w:r>
        <w:t>Caltabellotta</w:t>
      </w:r>
      <w:proofErr w:type="spellEnd"/>
      <w:r>
        <w:t xml:space="preserve">, and Occhipinti, 2021) and lower CO2 emissions significantly (Alanazi, 2023; Zeng et al., 2020). The level of these advantages is however in dispute. Guha et al. (2018) and Komiyama and Fujii (2015) point out that EVs are not always zero emission since their environmental advantages </w:t>
      </w:r>
      <w:r>
        <w:lastRenderedPageBreak/>
        <w:t xml:space="preserve">largely rely on the mix of electricity generation. Besides, some sources indicate that EVs bring about new environmental costs: acidification, particulate pollution, and lack of resources because of the heavy use of minerals in battery manufacturing (Pipitone et al., 2021; Zeng et al., 2020; Ha, 2019). Conversely, hybrid electric vehicles (HEVs) are usually known to offer a more balanced tradeoff of emissions, cost, and resource consumption (Veza et al., 2023). Therefore, whereas the established companies are grappling with the large emission of CO2 and air pollutants, the EV companies are being </w:t>
      </w:r>
      <w:proofErr w:type="spellStart"/>
      <w:r>
        <w:t>criticised</w:t>
      </w:r>
      <w:proofErr w:type="spellEnd"/>
      <w:r>
        <w:t xml:space="preserve"> because of their concealed environmental costs and supply chains.</w:t>
      </w:r>
    </w:p>
    <w:p w14:paraId="03A3C831" w14:textId="180892A6" w:rsidR="00693D87" w:rsidRDefault="00693D87" w:rsidP="004119B7">
      <w:pPr>
        <w:pStyle w:val="Heading3"/>
      </w:pPr>
      <w:bookmarkStart w:id="11" w:name="_Toc210939008"/>
      <w:r>
        <w:t>Social Practices</w:t>
      </w:r>
      <w:bookmarkEnd w:id="11"/>
    </w:p>
    <w:p w14:paraId="60692BE6" w14:textId="39789308" w:rsidR="001360E6" w:rsidRPr="001360E6" w:rsidRDefault="00693D87" w:rsidP="001360E6">
      <w:r>
        <w:t xml:space="preserve">Traditional and EV companies differ in focus on the social dimension. According to Glova and Panko (2025), the social factors like labour </w:t>
      </w:r>
      <w:proofErr w:type="spellStart"/>
      <w:r>
        <w:t>practises</w:t>
      </w:r>
      <w:proofErr w:type="spellEnd"/>
      <w:r>
        <w:t xml:space="preserve"> have a positive impact on the profitability within the automotive industry, whereas governance and environmental factors demonstrate less significant effects. EV companies, in turn, are increasingly associated with job creation and labour restructuring.</w:t>
      </w:r>
      <w:r w:rsidR="001360E6" w:rsidRPr="001360E6">
        <w:t xml:space="preserve"> Yu </w:t>
      </w:r>
      <w:r w:rsidR="00A3189D" w:rsidRPr="00A3189D">
        <w:rPr>
          <w:i/>
          <w:iCs/>
        </w:rPr>
        <w:t>et al</w:t>
      </w:r>
      <w:r w:rsidR="001360E6" w:rsidRPr="001360E6">
        <w:t xml:space="preserve">. (2025) developed a detailed competency framework that underlines EV firms’ emphasis on technician training and readiness. Nonetheless, EV companies have been </w:t>
      </w:r>
      <w:proofErr w:type="spellStart"/>
      <w:r w:rsidR="001360E6" w:rsidRPr="001360E6">
        <w:t>criticised</w:t>
      </w:r>
      <w:proofErr w:type="spellEnd"/>
      <w:r w:rsidR="001360E6" w:rsidRPr="001360E6">
        <w:t xml:space="preserve"> for insufficient attention to broader social issues, particularly those linked to mining practices and community impacts of mineral extraction (Pipitone </w:t>
      </w:r>
      <w:r w:rsidR="00A3189D" w:rsidRPr="00A3189D">
        <w:rPr>
          <w:i/>
          <w:iCs/>
        </w:rPr>
        <w:t>et al</w:t>
      </w:r>
      <w:r w:rsidR="001360E6" w:rsidRPr="001360E6">
        <w:t xml:space="preserve">., 2021). Meanwhile, traditional firms often frame social responsibility around established labour standards but lag in integrating social issues into innovation strategies (Annas Vijaya </w:t>
      </w:r>
      <w:r w:rsidR="00A3189D" w:rsidRPr="00A3189D">
        <w:rPr>
          <w:i/>
          <w:iCs/>
        </w:rPr>
        <w:t>et al</w:t>
      </w:r>
      <w:r w:rsidR="001360E6" w:rsidRPr="001360E6">
        <w:t>., 2024). This indicates partial alignment but persistent gaps in comprehensive social responsibility across both groups.</w:t>
      </w:r>
    </w:p>
    <w:p w14:paraId="52BB5B60" w14:textId="77777777" w:rsidR="001360E6" w:rsidRDefault="001360E6" w:rsidP="001360E6">
      <w:pPr>
        <w:pStyle w:val="Heading3"/>
      </w:pPr>
      <w:bookmarkStart w:id="12" w:name="_Toc210939009"/>
      <w:r w:rsidRPr="001360E6">
        <w:t>Governance Practices</w:t>
      </w:r>
      <w:bookmarkEnd w:id="12"/>
    </w:p>
    <w:p w14:paraId="3B91D7BB" w14:textId="70338236" w:rsidR="001360E6" w:rsidRPr="001360E6" w:rsidRDefault="001360E6" w:rsidP="001360E6">
      <w:r w:rsidRPr="001360E6">
        <w:t xml:space="preserve">In governance, the evidence is mixed. EV-related sectors such as charging infrastructure and battery manufacturing benefit from transparency and governance mechanisms that improve efficiency and market outcomes (Lu </w:t>
      </w:r>
      <w:r w:rsidR="00A3189D" w:rsidRPr="00A3189D">
        <w:rPr>
          <w:i/>
          <w:iCs/>
        </w:rPr>
        <w:t>et al</w:t>
      </w:r>
      <w:r w:rsidRPr="001360E6">
        <w:t>., 2025). Similarly, scenario planning studies demonstrate that firms</w:t>
      </w:r>
      <w:r>
        <w:t xml:space="preserve">, </w:t>
      </w:r>
      <w:r w:rsidRPr="001360E6">
        <w:t>particularly EV companies</w:t>
      </w:r>
      <w:r>
        <w:t xml:space="preserve">, </w:t>
      </w:r>
      <w:r w:rsidRPr="001360E6">
        <w:t xml:space="preserve">integrate governance into long-term ESG strategies to manage uncertainties (Choi &amp; Cho, 2025). Traditional firms, by contrast, appear less consistent. Glova and Panko (2025) found governance factors largely insignificant for profitability, while </w:t>
      </w:r>
      <w:proofErr w:type="spellStart"/>
      <w:r w:rsidRPr="001360E6">
        <w:t>Helfaya</w:t>
      </w:r>
      <w:proofErr w:type="spellEnd"/>
      <w:r w:rsidRPr="001360E6">
        <w:t xml:space="preserve"> and Bui (2025) note that some firms strategically prioritise hybrids over BEVs, reflecting governance choices tied to identity and risk aversion. Policy interventions strongly shape governance outcomes across both groups. Subsidies significantly strengthen </w:t>
      </w:r>
      <w:r w:rsidRPr="001360E6">
        <w:lastRenderedPageBreak/>
        <w:t>firm resilience, particularly when combined with strong ESG and technological capacity (Zhao, Zhang, &amp; Li, 2024).</w:t>
      </w:r>
    </w:p>
    <w:p w14:paraId="1FB8A317" w14:textId="7F2AF5B3" w:rsidR="001360E6" w:rsidRDefault="001360E6" w:rsidP="001360E6">
      <w:pPr>
        <w:pStyle w:val="Heading2"/>
      </w:pPr>
      <w:bookmarkStart w:id="13" w:name="_Toc210939010"/>
      <w:r>
        <w:t>Research Gaps</w:t>
      </w:r>
      <w:bookmarkEnd w:id="13"/>
    </w:p>
    <w:p w14:paraId="538D00AA" w14:textId="4C11DD8E" w:rsidR="001360E6" w:rsidRDefault="001360E6" w:rsidP="00A3189D">
      <w:r w:rsidRPr="001360E6">
        <w:t>Although the literature acknowledges the indispensability of ESG practices for competitiveness in both traditional and EV firms, several gaps remain. First, existing studies provide an incomplete environmental assessment of EVs, focusing primarily on greenhouse gas reductions while neglecting trade-offs linked to mineral extraction, battery production, and end-of-life management. Second, social dimensions, such as labour standards, human rights in supply chains, and community impacts of resource sourcing, are underexplored compared to environmental outcomes. Third, findings on the role of governance in driving profitability and resilience remain inconsistent, with little longitudinal or comparative evidence. Fourth, ESG outcomes are highly context-dependent, yet few studies systematically analyse the influence of differing policy regimes, market conditions, and energy mixes across regions. Fifth, the transition pathways of traditional firms, constrained by legacy systems but experimenting with hybrid strategies, remain underexamined. Finally, methodological inconsistencies</w:t>
      </w:r>
      <w:r>
        <w:t xml:space="preserve">, </w:t>
      </w:r>
      <w:r w:rsidRPr="001360E6">
        <w:t>particularly in ESG indicators, system boundaries, and measurement frameworks</w:t>
      </w:r>
      <w:r>
        <w:t xml:space="preserve">, </w:t>
      </w:r>
      <w:r w:rsidRPr="001360E6">
        <w:t xml:space="preserve">limit comparability across studies, underscoring the need for </w:t>
      </w:r>
      <w:proofErr w:type="spellStart"/>
      <w:r w:rsidRPr="001360E6">
        <w:t>harmonised</w:t>
      </w:r>
      <w:proofErr w:type="spellEnd"/>
      <w:r w:rsidRPr="001360E6">
        <w:t xml:space="preserve"> approaches to evaluate ESG practices between traditional and EV companies.</w:t>
      </w:r>
    </w:p>
    <w:p w14:paraId="36082C75" w14:textId="6D50C50E" w:rsidR="00565985" w:rsidRDefault="00565985" w:rsidP="00A3189D">
      <w:pPr>
        <w:pStyle w:val="Heading1"/>
        <w:spacing w:before="240"/>
      </w:pPr>
      <w:bookmarkStart w:id="14" w:name="_Toc210939011"/>
      <w:r>
        <w:t>Research Methodology</w:t>
      </w:r>
      <w:bookmarkEnd w:id="14"/>
    </w:p>
    <w:p w14:paraId="2454E3D8" w14:textId="4F08327C" w:rsidR="009016B8" w:rsidRDefault="009016B8" w:rsidP="009016B8">
      <w:pPr>
        <w:pStyle w:val="Heading2"/>
      </w:pPr>
      <w:bookmarkStart w:id="15" w:name="_Toc210939012"/>
      <w:r>
        <w:t>Research Design</w:t>
      </w:r>
      <w:bookmarkEnd w:id="15"/>
    </w:p>
    <w:p w14:paraId="74B0CB92" w14:textId="0F7341E9" w:rsidR="009016B8" w:rsidRDefault="009016B8" w:rsidP="009016B8">
      <w:r w:rsidRPr="009016B8">
        <w:t xml:space="preserve">This study will adopt a systematic review methodology to compare the ESG practices of traditional automotive manufacturers and electric vehicle (EV) companies, as this approach allows for the comprehensive collection, critical evaluation, and synthesis of existing research, thereby reducing bias and ensuring transparency (Moher </w:t>
      </w:r>
      <w:r w:rsidR="00A3189D" w:rsidRPr="00A3189D">
        <w:rPr>
          <w:i/>
          <w:iCs/>
        </w:rPr>
        <w:t>et al</w:t>
      </w:r>
      <w:r w:rsidRPr="009016B8">
        <w:t xml:space="preserve">., 2009). Guided by the PRISMA framework, the review will follow a transparent and replicable process for screening, inclusion, and reporting of studies (Page </w:t>
      </w:r>
      <w:r w:rsidR="00A3189D" w:rsidRPr="00A3189D">
        <w:rPr>
          <w:i/>
          <w:iCs/>
        </w:rPr>
        <w:t>et al</w:t>
      </w:r>
      <w:r w:rsidRPr="009016B8">
        <w:t>., 2021), focusing on differences and similarities in environmental, social, and governance dimensions between traditional and EV firms. This design is appropriate because it enables the integration of diverse findings, providing a holistic understanding of the sector that individual case studies or sector-specific research alone cannot achieve.</w:t>
      </w:r>
    </w:p>
    <w:p w14:paraId="3A5B245D" w14:textId="195D265A" w:rsidR="009016B8" w:rsidRDefault="009016B8" w:rsidP="009016B8">
      <w:pPr>
        <w:pStyle w:val="Heading2"/>
      </w:pPr>
      <w:bookmarkStart w:id="16" w:name="_Toc210939013"/>
      <w:r>
        <w:lastRenderedPageBreak/>
        <w:t>Databases and Search Strategy</w:t>
      </w:r>
      <w:bookmarkEnd w:id="16"/>
    </w:p>
    <w:p w14:paraId="3C6ACBDE" w14:textId="52D27DB4" w:rsidR="009016B8" w:rsidRPr="009016B8" w:rsidRDefault="009016B8" w:rsidP="00A3189D">
      <w:r w:rsidRPr="009016B8">
        <w:t>Literature will be identified through searches of Scopus and Google Scholar. Scopus will be selected due to its extensive coverage of peer-reviewed journals across business, management, and environmental studies, while Google Scholar will provide access to grey literature and recent publications not yet indexed elsewhere (</w:t>
      </w:r>
      <w:proofErr w:type="spellStart"/>
      <w:r w:rsidRPr="009016B8">
        <w:t>Falagas</w:t>
      </w:r>
      <w:proofErr w:type="spellEnd"/>
      <w:r w:rsidRPr="009016B8">
        <w:t xml:space="preserve"> </w:t>
      </w:r>
      <w:r w:rsidR="00A3189D" w:rsidRPr="00A3189D">
        <w:rPr>
          <w:i/>
          <w:iCs/>
        </w:rPr>
        <w:t>et al</w:t>
      </w:r>
      <w:r w:rsidRPr="009016B8">
        <w:t>., 2008). Search strings will combine keywords such as “ESG practices,” “traditional automotive,” “electric vehicles,” “sustainability,” “corporate governance,” and “social responsibility” using Boolean operators (AND, OR). Searches will be limited to English-language publications published between 2010 and 2025 to ensure relevance to contemporary ESG practices in the automotive sector.</w:t>
      </w:r>
    </w:p>
    <w:p w14:paraId="1A86EAC1" w14:textId="6AB12583" w:rsidR="009016B8" w:rsidRDefault="009016B8" w:rsidP="009016B8">
      <w:pPr>
        <w:pStyle w:val="Heading2"/>
      </w:pPr>
      <w:bookmarkStart w:id="17" w:name="_Toc210939014"/>
      <w:r>
        <w:t>Eligibility Criteria</w:t>
      </w:r>
      <w:bookmarkEnd w:id="17"/>
    </w:p>
    <w:tbl>
      <w:tblPr>
        <w:tblStyle w:val="TableGridLight"/>
        <w:tblW w:w="0" w:type="auto"/>
        <w:tblLook w:val="04A0" w:firstRow="1" w:lastRow="0" w:firstColumn="1" w:lastColumn="0" w:noHBand="0" w:noVBand="1"/>
      </w:tblPr>
      <w:tblGrid>
        <w:gridCol w:w="1422"/>
        <w:gridCol w:w="3703"/>
        <w:gridCol w:w="3891"/>
      </w:tblGrid>
      <w:tr w:rsidR="009016B8" w:rsidRPr="009016B8" w14:paraId="303DA13E" w14:textId="77777777" w:rsidTr="00DA5777">
        <w:tc>
          <w:tcPr>
            <w:tcW w:w="0" w:type="auto"/>
            <w:vAlign w:val="center"/>
            <w:hideMark/>
          </w:tcPr>
          <w:p w14:paraId="1C6BD902" w14:textId="77777777" w:rsidR="009016B8" w:rsidRPr="009016B8" w:rsidRDefault="009016B8" w:rsidP="00DA5777">
            <w:pPr>
              <w:spacing w:before="80" w:after="80" w:line="276" w:lineRule="auto"/>
              <w:jc w:val="left"/>
              <w:rPr>
                <w:b/>
                <w:bCs/>
              </w:rPr>
            </w:pPr>
            <w:r w:rsidRPr="009016B8">
              <w:rPr>
                <w:b/>
                <w:bCs/>
              </w:rPr>
              <w:t>Criteria Type</w:t>
            </w:r>
          </w:p>
        </w:tc>
        <w:tc>
          <w:tcPr>
            <w:tcW w:w="3703" w:type="dxa"/>
            <w:vAlign w:val="center"/>
            <w:hideMark/>
          </w:tcPr>
          <w:p w14:paraId="7070EEFA" w14:textId="77777777" w:rsidR="009016B8" w:rsidRPr="009016B8" w:rsidRDefault="009016B8" w:rsidP="00DA5777">
            <w:pPr>
              <w:spacing w:before="80" w:after="80" w:line="276" w:lineRule="auto"/>
              <w:jc w:val="left"/>
              <w:rPr>
                <w:b/>
                <w:bCs/>
              </w:rPr>
            </w:pPr>
            <w:r w:rsidRPr="009016B8">
              <w:rPr>
                <w:b/>
                <w:bCs/>
              </w:rPr>
              <w:t>Inclusion Criteria</w:t>
            </w:r>
          </w:p>
        </w:tc>
        <w:tc>
          <w:tcPr>
            <w:tcW w:w="3891" w:type="dxa"/>
            <w:vAlign w:val="center"/>
            <w:hideMark/>
          </w:tcPr>
          <w:p w14:paraId="378CD113" w14:textId="77777777" w:rsidR="009016B8" w:rsidRPr="009016B8" w:rsidRDefault="009016B8" w:rsidP="00DA5777">
            <w:pPr>
              <w:spacing w:before="80" w:after="80" w:line="276" w:lineRule="auto"/>
              <w:jc w:val="left"/>
              <w:rPr>
                <w:b/>
                <w:bCs/>
              </w:rPr>
            </w:pPr>
            <w:r w:rsidRPr="009016B8">
              <w:rPr>
                <w:b/>
                <w:bCs/>
              </w:rPr>
              <w:t>Exclusion Criteria</w:t>
            </w:r>
          </w:p>
        </w:tc>
      </w:tr>
      <w:tr w:rsidR="009016B8" w:rsidRPr="009016B8" w14:paraId="7939FE31" w14:textId="77777777" w:rsidTr="00DA5777">
        <w:tc>
          <w:tcPr>
            <w:tcW w:w="0" w:type="auto"/>
            <w:vAlign w:val="center"/>
            <w:hideMark/>
          </w:tcPr>
          <w:p w14:paraId="475F8B1C" w14:textId="33A417EA" w:rsidR="009016B8" w:rsidRPr="009016B8" w:rsidRDefault="009016B8" w:rsidP="00DA5777">
            <w:pPr>
              <w:spacing w:before="80" w:after="80" w:line="276" w:lineRule="auto"/>
              <w:jc w:val="left"/>
            </w:pPr>
            <w:r w:rsidRPr="009016B8">
              <w:rPr>
                <w:b/>
                <w:bCs/>
              </w:rPr>
              <w:t>Context</w:t>
            </w:r>
          </w:p>
        </w:tc>
        <w:tc>
          <w:tcPr>
            <w:tcW w:w="3703" w:type="dxa"/>
            <w:vAlign w:val="center"/>
            <w:hideMark/>
          </w:tcPr>
          <w:p w14:paraId="376884DE" w14:textId="77777777" w:rsidR="009016B8" w:rsidRPr="009016B8" w:rsidRDefault="009016B8" w:rsidP="00DA5777">
            <w:pPr>
              <w:spacing w:before="80" w:after="80" w:line="276" w:lineRule="auto"/>
              <w:jc w:val="left"/>
            </w:pPr>
            <w:r w:rsidRPr="009016B8">
              <w:t>Studies focused on traditional automotive manufacturers or electric vehicle companies.</w:t>
            </w:r>
          </w:p>
        </w:tc>
        <w:tc>
          <w:tcPr>
            <w:tcW w:w="3891" w:type="dxa"/>
            <w:vAlign w:val="center"/>
            <w:hideMark/>
          </w:tcPr>
          <w:p w14:paraId="3FBE0E5E" w14:textId="77777777" w:rsidR="009016B8" w:rsidRPr="009016B8" w:rsidRDefault="009016B8" w:rsidP="00DA5777">
            <w:pPr>
              <w:spacing w:before="80" w:after="80" w:line="276" w:lineRule="auto"/>
              <w:jc w:val="left"/>
            </w:pPr>
            <w:r w:rsidRPr="009016B8">
              <w:t>Studies unrelated to the automotive industry or ESG practices.</w:t>
            </w:r>
          </w:p>
        </w:tc>
      </w:tr>
      <w:tr w:rsidR="009016B8" w:rsidRPr="009016B8" w14:paraId="127152CF" w14:textId="77777777" w:rsidTr="00DA5777">
        <w:tc>
          <w:tcPr>
            <w:tcW w:w="0" w:type="auto"/>
            <w:vAlign w:val="center"/>
            <w:hideMark/>
          </w:tcPr>
          <w:p w14:paraId="40D99A08" w14:textId="710E73EB" w:rsidR="009016B8" w:rsidRPr="009016B8" w:rsidRDefault="009016B8" w:rsidP="00DA5777">
            <w:pPr>
              <w:spacing w:before="80" w:after="80" w:line="276" w:lineRule="auto"/>
              <w:jc w:val="left"/>
            </w:pPr>
            <w:r w:rsidRPr="009016B8">
              <w:rPr>
                <w:b/>
                <w:bCs/>
              </w:rPr>
              <w:t>Content</w:t>
            </w:r>
          </w:p>
        </w:tc>
        <w:tc>
          <w:tcPr>
            <w:tcW w:w="3703" w:type="dxa"/>
            <w:vAlign w:val="center"/>
            <w:hideMark/>
          </w:tcPr>
          <w:p w14:paraId="76F70509" w14:textId="77777777" w:rsidR="009016B8" w:rsidRPr="009016B8" w:rsidRDefault="009016B8" w:rsidP="00DA5777">
            <w:pPr>
              <w:spacing w:before="80" w:after="80" w:line="276" w:lineRule="auto"/>
              <w:jc w:val="left"/>
            </w:pPr>
            <w:r w:rsidRPr="009016B8">
              <w:t>Studies addressing at least one ESG dimension (Environmental, Social, Governance).</w:t>
            </w:r>
          </w:p>
        </w:tc>
        <w:tc>
          <w:tcPr>
            <w:tcW w:w="3891" w:type="dxa"/>
            <w:vAlign w:val="center"/>
            <w:hideMark/>
          </w:tcPr>
          <w:p w14:paraId="7D892C31" w14:textId="77777777" w:rsidR="009016B8" w:rsidRPr="009016B8" w:rsidRDefault="009016B8" w:rsidP="00DA5777">
            <w:pPr>
              <w:spacing w:before="80" w:after="80" w:line="276" w:lineRule="auto"/>
              <w:jc w:val="left"/>
            </w:pPr>
            <w:r w:rsidRPr="009016B8">
              <w:t>Opinion pieces, editorials, or studies without explicit ESG focus.</w:t>
            </w:r>
          </w:p>
        </w:tc>
      </w:tr>
      <w:tr w:rsidR="009016B8" w:rsidRPr="009016B8" w14:paraId="798524CF" w14:textId="77777777" w:rsidTr="00DA5777">
        <w:tc>
          <w:tcPr>
            <w:tcW w:w="0" w:type="auto"/>
            <w:vAlign w:val="center"/>
            <w:hideMark/>
          </w:tcPr>
          <w:p w14:paraId="20827E2E" w14:textId="77777777" w:rsidR="009016B8" w:rsidRPr="009016B8" w:rsidRDefault="009016B8" w:rsidP="00DA5777">
            <w:pPr>
              <w:spacing w:before="80" w:after="80" w:line="276" w:lineRule="auto"/>
              <w:jc w:val="left"/>
            </w:pPr>
            <w:r w:rsidRPr="009016B8">
              <w:rPr>
                <w:b/>
                <w:bCs/>
              </w:rPr>
              <w:t>Study Type</w:t>
            </w:r>
          </w:p>
        </w:tc>
        <w:tc>
          <w:tcPr>
            <w:tcW w:w="3703" w:type="dxa"/>
            <w:vAlign w:val="center"/>
            <w:hideMark/>
          </w:tcPr>
          <w:p w14:paraId="492F8047" w14:textId="77777777" w:rsidR="009016B8" w:rsidRPr="009016B8" w:rsidRDefault="009016B8" w:rsidP="00DA5777">
            <w:pPr>
              <w:spacing w:before="80" w:after="80" w:line="276" w:lineRule="auto"/>
              <w:jc w:val="left"/>
            </w:pPr>
            <w:r w:rsidRPr="009016B8">
              <w:t>Peer-reviewed journal articles, conference papers, and credible reports.</w:t>
            </w:r>
          </w:p>
        </w:tc>
        <w:tc>
          <w:tcPr>
            <w:tcW w:w="3891" w:type="dxa"/>
            <w:vAlign w:val="center"/>
            <w:hideMark/>
          </w:tcPr>
          <w:p w14:paraId="3E590E44" w14:textId="77777777" w:rsidR="009016B8" w:rsidRPr="009016B8" w:rsidRDefault="009016B8" w:rsidP="00DA5777">
            <w:pPr>
              <w:spacing w:before="80" w:after="80" w:line="276" w:lineRule="auto"/>
              <w:jc w:val="left"/>
            </w:pPr>
            <w:r w:rsidRPr="009016B8">
              <w:t>Non-peer-reviewed publications, grey literature without credibility, or blogs.</w:t>
            </w:r>
          </w:p>
        </w:tc>
      </w:tr>
      <w:tr w:rsidR="009016B8" w:rsidRPr="009016B8" w14:paraId="2D122B1A" w14:textId="77777777" w:rsidTr="00DA5777">
        <w:tc>
          <w:tcPr>
            <w:tcW w:w="0" w:type="auto"/>
            <w:vAlign w:val="center"/>
            <w:hideMark/>
          </w:tcPr>
          <w:p w14:paraId="03E21ECD" w14:textId="77777777" w:rsidR="009016B8" w:rsidRPr="009016B8" w:rsidRDefault="009016B8" w:rsidP="00DA5777">
            <w:pPr>
              <w:spacing w:before="80" w:after="80" w:line="276" w:lineRule="auto"/>
              <w:jc w:val="left"/>
            </w:pPr>
            <w:r w:rsidRPr="009016B8">
              <w:rPr>
                <w:b/>
                <w:bCs/>
              </w:rPr>
              <w:t>Language</w:t>
            </w:r>
          </w:p>
        </w:tc>
        <w:tc>
          <w:tcPr>
            <w:tcW w:w="3703" w:type="dxa"/>
            <w:vAlign w:val="center"/>
            <w:hideMark/>
          </w:tcPr>
          <w:p w14:paraId="14C44CDB" w14:textId="77777777" w:rsidR="009016B8" w:rsidRPr="009016B8" w:rsidRDefault="009016B8" w:rsidP="00DA5777">
            <w:pPr>
              <w:spacing w:before="80" w:after="80" w:line="276" w:lineRule="auto"/>
              <w:jc w:val="left"/>
            </w:pPr>
            <w:r w:rsidRPr="009016B8">
              <w:t>English-language publications.</w:t>
            </w:r>
          </w:p>
        </w:tc>
        <w:tc>
          <w:tcPr>
            <w:tcW w:w="3891" w:type="dxa"/>
            <w:vAlign w:val="center"/>
            <w:hideMark/>
          </w:tcPr>
          <w:p w14:paraId="49C531BE" w14:textId="77777777" w:rsidR="009016B8" w:rsidRPr="009016B8" w:rsidRDefault="009016B8" w:rsidP="00DA5777">
            <w:pPr>
              <w:spacing w:before="80" w:after="80" w:line="276" w:lineRule="auto"/>
              <w:jc w:val="left"/>
            </w:pPr>
            <w:r w:rsidRPr="009016B8">
              <w:t>Non-English publications.</w:t>
            </w:r>
          </w:p>
        </w:tc>
      </w:tr>
      <w:tr w:rsidR="009016B8" w:rsidRPr="009016B8" w14:paraId="3B506E79" w14:textId="77777777" w:rsidTr="00DA5777">
        <w:tc>
          <w:tcPr>
            <w:tcW w:w="0" w:type="auto"/>
            <w:vAlign w:val="center"/>
            <w:hideMark/>
          </w:tcPr>
          <w:p w14:paraId="2D0C5F8F" w14:textId="77777777" w:rsidR="009016B8" w:rsidRPr="009016B8" w:rsidRDefault="009016B8" w:rsidP="00DA5777">
            <w:pPr>
              <w:spacing w:before="80" w:after="80" w:line="276" w:lineRule="auto"/>
              <w:jc w:val="left"/>
            </w:pPr>
            <w:r w:rsidRPr="009016B8">
              <w:rPr>
                <w:b/>
                <w:bCs/>
              </w:rPr>
              <w:t>Time Frame</w:t>
            </w:r>
          </w:p>
        </w:tc>
        <w:tc>
          <w:tcPr>
            <w:tcW w:w="3703" w:type="dxa"/>
            <w:vAlign w:val="center"/>
            <w:hideMark/>
          </w:tcPr>
          <w:p w14:paraId="4EBAC5FE" w14:textId="52C1095B" w:rsidR="009016B8" w:rsidRPr="009016B8" w:rsidRDefault="009016B8" w:rsidP="00DA5777">
            <w:pPr>
              <w:spacing w:before="80" w:after="80" w:line="276" w:lineRule="auto"/>
              <w:jc w:val="left"/>
            </w:pPr>
            <w:r w:rsidRPr="009016B8">
              <w:t>Published between 201</w:t>
            </w:r>
            <w:r w:rsidR="00BF7F61">
              <w:t>5</w:t>
            </w:r>
            <w:r w:rsidRPr="009016B8">
              <w:t>–2025.</w:t>
            </w:r>
          </w:p>
        </w:tc>
        <w:tc>
          <w:tcPr>
            <w:tcW w:w="3891" w:type="dxa"/>
            <w:vAlign w:val="center"/>
            <w:hideMark/>
          </w:tcPr>
          <w:p w14:paraId="6E4A8154" w14:textId="77777777" w:rsidR="009016B8" w:rsidRPr="009016B8" w:rsidRDefault="009016B8" w:rsidP="00DA5777">
            <w:pPr>
              <w:spacing w:before="80" w:after="80" w:line="276" w:lineRule="auto"/>
              <w:jc w:val="left"/>
            </w:pPr>
            <w:r w:rsidRPr="009016B8">
              <w:t>Published before 2010 or outside the specified timeframe.</w:t>
            </w:r>
          </w:p>
        </w:tc>
      </w:tr>
      <w:tr w:rsidR="009016B8" w:rsidRPr="009016B8" w14:paraId="31E33C4A" w14:textId="77777777" w:rsidTr="00DA5777">
        <w:tc>
          <w:tcPr>
            <w:tcW w:w="0" w:type="auto"/>
            <w:vAlign w:val="center"/>
            <w:hideMark/>
          </w:tcPr>
          <w:p w14:paraId="17AAF4A5" w14:textId="2D9069ED" w:rsidR="009016B8" w:rsidRPr="009016B8" w:rsidRDefault="009016B8" w:rsidP="00DA5777">
            <w:pPr>
              <w:spacing w:before="80" w:after="80" w:line="276" w:lineRule="auto"/>
              <w:jc w:val="left"/>
            </w:pPr>
            <w:r>
              <w:rPr>
                <w:b/>
                <w:bCs/>
              </w:rPr>
              <w:t>Design</w:t>
            </w:r>
          </w:p>
        </w:tc>
        <w:tc>
          <w:tcPr>
            <w:tcW w:w="3703" w:type="dxa"/>
            <w:vAlign w:val="center"/>
            <w:hideMark/>
          </w:tcPr>
          <w:p w14:paraId="14782BDF" w14:textId="77777777" w:rsidR="009016B8" w:rsidRPr="009016B8" w:rsidRDefault="009016B8" w:rsidP="00DA5777">
            <w:pPr>
              <w:spacing w:before="80" w:after="80" w:line="276" w:lineRule="auto"/>
              <w:jc w:val="left"/>
            </w:pPr>
            <w:r w:rsidRPr="009016B8">
              <w:t>Quantitative, qualitative, or mixed-method studies providing relevant ESG data.</w:t>
            </w:r>
          </w:p>
        </w:tc>
        <w:tc>
          <w:tcPr>
            <w:tcW w:w="3891" w:type="dxa"/>
            <w:vAlign w:val="center"/>
            <w:hideMark/>
          </w:tcPr>
          <w:p w14:paraId="6137B9E4" w14:textId="77777777" w:rsidR="009016B8" w:rsidRPr="009016B8" w:rsidRDefault="009016B8" w:rsidP="00DA5777">
            <w:pPr>
              <w:spacing w:before="80" w:after="80" w:line="276" w:lineRule="auto"/>
              <w:jc w:val="left"/>
            </w:pPr>
            <w:r w:rsidRPr="009016B8">
              <w:t>Studies lacking methodological clarity or not providing empirical or theoretical insights on ESG practices.</w:t>
            </w:r>
          </w:p>
        </w:tc>
      </w:tr>
    </w:tbl>
    <w:p w14:paraId="04CDFC71" w14:textId="481F0BA6" w:rsidR="00A3189D" w:rsidRDefault="00A3189D">
      <w:pPr>
        <w:spacing w:line="259" w:lineRule="auto"/>
        <w:jc w:val="left"/>
        <w:rPr>
          <w:rFonts w:eastAsiaTheme="majorEastAsia" w:cstheme="majorBidi"/>
          <w:b/>
          <w:bCs/>
          <w:color w:val="000000" w:themeColor="text1"/>
          <w:sz w:val="28"/>
          <w:szCs w:val="28"/>
        </w:rPr>
      </w:pPr>
    </w:p>
    <w:p w14:paraId="2C971351" w14:textId="48552089" w:rsidR="00DA5777" w:rsidRDefault="00DA5777" w:rsidP="00A3189D">
      <w:pPr>
        <w:pStyle w:val="Heading2"/>
      </w:pPr>
      <w:bookmarkStart w:id="18" w:name="_Toc210939015"/>
      <w:r>
        <w:t>Article Selection, Data Extraction, and Quality Appraisal</w:t>
      </w:r>
      <w:bookmarkEnd w:id="18"/>
    </w:p>
    <w:p w14:paraId="236FB8FB" w14:textId="43BFFCFE" w:rsidR="00DA5777" w:rsidRDefault="00DA5777" w:rsidP="00DA5777">
      <w:r w:rsidRPr="00DA5777">
        <w:t xml:space="preserve">PRISMA will be used to screen and select approximately 50 relevant articles for inclusion in the review. A structured data extraction framework will then collect details </w:t>
      </w:r>
      <w:r w:rsidRPr="00DA5777">
        <w:lastRenderedPageBreak/>
        <w:t xml:space="preserve">from each study, including author, year, methodology, geographic context, ESG dimension, and main findings, which will be </w:t>
      </w:r>
      <w:proofErr w:type="spellStart"/>
      <w:r w:rsidRPr="00DA5777">
        <w:t>categorised</w:t>
      </w:r>
      <w:proofErr w:type="spellEnd"/>
      <w:r w:rsidRPr="00DA5777">
        <w:t xml:space="preserve"> into environmental, social, and governance themes to enable comparative synthesis of traditional and EV companies. The methodological quality of the included studies will be appraised using the Critical Appraisal Skills </w:t>
      </w:r>
      <w:proofErr w:type="spellStart"/>
      <w:r w:rsidRPr="00DA5777">
        <w:t>Programme</w:t>
      </w:r>
      <w:proofErr w:type="spellEnd"/>
      <w:r w:rsidRPr="00DA5777">
        <w:t xml:space="preserve"> (CASP) checklist (Singh, 2013), assessing clarity of aims, methodological appropriateness, data robustness, and validity of conclusions to ensure only high-quality studies inform the synthesis.</w:t>
      </w:r>
    </w:p>
    <w:p w14:paraId="5374B213" w14:textId="6B803BD2" w:rsidR="00DA5777" w:rsidRDefault="00DA5777" w:rsidP="00DA5777">
      <w:pPr>
        <w:pStyle w:val="Heading2"/>
      </w:pPr>
      <w:bookmarkStart w:id="19" w:name="_Toc210939016"/>
      <w:r>
        <w:t>Data Synthesis, Ethical Considerations and Limitations</w:t>
      </w:r>
      <w:bookmarkEnd w:id="19"/>
    </w:p>
    <w:p w14:paraId="505D8345" w14:textId="5552839E" w:rsidR="00A3189D" w:rsidRDefault="00DA5777" w:rsidP="0020548F">
      <w:r w:rsidRPr="00DA5777">
        <w:t xml:space="preserve">Data will be </w:t>
      </w:r>
      <w:proofErr w:type="spellStart"/>
      <w:r w:rsidRPr="00DA5777">
        <w:t>synthesised</w:t>
      </w:r>
      <w:proofErr w:type="spellEnd"/>
      <w:r w:rsidRPr="00DA5777">
        <w:t xml:space="preserve"> using a narrative approach, appropriate for the expected heterogeneity in study designs and contexts (Popay </w:t>
      </w:r>
      <w:r w:rsidR="00A3189D" w:rsidRPr="00A3189D">
        <w:rPr>
          <w:i/>
          <w:iCs/>
        </w:rPr>
        <w:t>et al</w:t>
      </w:r>
      <w:r w:rsidRPr="00DA5777">
        <w:t>., 2006), allowing identification of patterns, agreements, disagreements, and research gaps in ESG practices. Although the study relies on secondary data, ethical standards will be maintained in line with the UWTSD Research Ethics &amp; Integrity Code of Practice, ensuring transparency, objectivity, and accurate attribution. Potential limitations include publication bias from the selected databases, language bias due to exclusion of non-English studies, and interpretive subjectivity inherent in narrative synthesis, which will be acknowledged and addressed where possible.</w:t>
      </w:r>
    </w:p>
    <w:p w14:paraId="4F2B907A" w14:textId="0985D498" w:rsidR="00DA5777" w:rsidRDefault="00A3189D" w:rsidP="00A3189D">
      <w:pPr>
        <w:spacing w:line="259" w:lineRule="auto"/>
        <w:jc w:val="left"/>
      </w:pPr>
      <w:r>
        <w:br w:type="page"/>
      </w:r>
    </w:p>
    <w:p w14:paraId="3A77A7B8" w14:textId="40F05484" w:rsidR="00DA5777" w:rsidRDefault="00DA5777" w:rsidP="00DA5777">
      <w:pPr>
        <w:pStyle w:val="Heading2"/>
      </w:pPr>
      <w:bookmarkStart w:id="20" w:name="_Toc210939017"/>
      <w:r>
        <w:lastRenderedPageBreak/>
        <w:t>Research Timeline</w:t>
      </w:r>
      <w:bookmarkEnd w:id="20"/>
    </w:p>
    <w:p w14:paraId="014F42B9" w14:textId="4F495693" w:rsidR="0020548F" w:rsidRPr="0020548F" w:rsidRDefault="0020548F" w:rsidP="00A3189D">
      <w:pPr>
        <w:spacing w:after="120"/>
      </w:pPr>
      <w:r w:rsidRPr="0020548F">
        <w:t>The following Gantt chart visualises the 12-week timeline of the proposed research.</w:t>
      </w:r>
    </w:p>
    <w:p w14:paraId="2C8349F0" w14:textId="5AA436B0" w:rsidR="00DA5777" w:rsidRPr="00DA5777" w:rsidRDefault="00A3189D" w:rsidP="00DA5777">
      <w:r w:rsidRPr="00A3189D">
        <w:rPr>
          <w:noProof/>
        </w:rPr>
        <w:drawing>
          <wp:inline distT="0" distB="0" distL="0" distR="0" wp14:anchorId="2EAACE91" wp14:editId="13DCE1DC">
            <wp:extent cx="5731510" cy="5212080"/>
            <wp:effectExtent l="19050" t="19050" r="21590" b="26670"/>
            <wp:docPr id="17880188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b="6419"/>
                    <a:stretch>
                      <a:fillRect/>
                    </a:stretch>
                  </pic:blipFill>
                  <pic:spPr bwMode="auto">
                    <a:xfrm>
                      <a:off x="0" y="0"/>
                      <a:ext cx="5731510" cy="5212080"/>
                    </a:xfrm>
                    <a:prstGeom prst="rect">
                      <a:avLst/>
                    </a:prstGeom>
                    <a:noFill/>
                    <a:ln w="12700">
                      <a:solidFill>
                        <a:schemeClr val="tx1">
                          <a:lumMod val="95000"/>
                          <a:lumOff val="5000"/>
                        </a:schemeClr>
                      </a:solidFill>
                    </a:ln>
                    <a:extLst>
                      <a:ext uri="{53640926-AAD7-44D8-BBD7-CCE9431645EC}">
                        <a14:shadowObscured xmlns:a14="http://schemas.microsoft.com/office/drawing/2010/main"/>
                      </a:ext>
                    </a:extLst>
                  </pic:spPr>
                </pic:pic>
              </a:graphicData>
            </a:graphic>
          </wp:inline>
        </w:drawing>
      </w:r>
    </w:p>
    <w:p w14:paraId="2FCC9BC5" w14:textId="46936D58" w:rsidR="009016B8" w:rsidRPr="009016B8" w:rsidRDefault="009016B8" w:rsidP="009016B8">
      <w:pPr>
        <w:spacing w:line="278" w:lineRule="auto"/>
        <w:jc w:val="left"/>
      </w:pPr>
      <w:r>
        <w:br w:type="page"/>
      </w:r>
    </w:p>
    <w:p w14:paraId="0FF5BCE5" w14:textId="19AD4F7B" w:rsidR="0020548F" w:rsidRDefault="0020548F" w:rsidP="0020548F">
      <w:pPr>
        <w:pStyle w:val="Heading1"/>
      </w:pPr>
      <w:bookmarkStart w:id="21" w:name="_Toc210939018"/>
      <w:r>
        <w:lastRenderedPageBreak/>
        <w:t>References</w:t>
      </w:r>
      <w:bookmarkEnd w:id="21"/>
    </w:p>
    <w:p w14:paraId="05BCD9A8" w14:textId="39EB38FB" w:rsidR="0020548F" w:rsidRPr="0020548F" w:rsidRDefault="0020548F" w:rsidP="0020548F">
      <w:pPr>
        <w:spacing w:line="276" w:lineRule="auto"/>
        <w:jc w:val="left"/>
        <w:rPr>
          <w:rFonts w:cs="Arial"/>
        </w:rPr>
      </w:pPr>
      <w:r w:rsidRPr="0020548F">
        <w:rPr>
          <w:rFonts w:cs="Arial"/>
        </w:rPr>
        <w:t xml:space="preserve">Alanazi, F. (2023) ‘Electric vehicles: Benefits, challenges, and potential solutions for widespread adaptation’, </w:t>
      </w:r>
      <w:r w:rsidRPr="0020548F">
        <w:rPr>
          <w:rFonts w:cs="Arial"/>
          <w:i/>
          <w:iCs/>
        </w:rPr>
        <w:t>Applied Sciences</w:t>
      </w:r>
      <w:r w:rsidRPr="0020548F">
        <w:rPr>
          <w:rFonts w:cs="Arial"/>
        </w:rPr>
        <w:t xml:space="preserve">, 13(10), p. 6016. </w:t>
      </w:r>
      <w:proofErr w:type="spellStart"/>
      <w:r w:rsidRPr="0020548F">
        <w:rPr>
          <w:rFonts w:cs="Arial"/>
        </w:rPr>
        <w:t>doi</w:t>
      </w:r>
      <w:proofErr w:type="spellEnd"/>
      <w:r w:rsidRPr="0020548F">
        <w:rPr>
          <w:rFonts w:cs="Arial"/>
        </w:rPr>
        <w:t>: 10.3390/app13106016.</w:t>
      </w:r>
    </w:p>
    <w:p w14:paraId="38F6A27A" w14:textId="37BEB9C2" w:rsidR="0020548F" w:rsidRPr="0020548F" w:rsidRDefault="0020548F" w:rsidP="0020548F">
      <w:pPr>
        <w:spacing w:before="160" w:line="276" w:lineRule="auto"/>
        <w:jc w:val="left"/>
        <w:rPr>
          <w:rFonts w:cs="Arial"/>
        </w:rPr>
      </w:pPr>
      <w:r w:rsidRPr="0020548F">
        <w:rPr>
          <w:rFonts w:cs="Arial"/>
        </w:rPr>
        <w:t xml:space="preserve">Annas Vijaya, </w:t>
      </w:r>
      <w:r w:rsidR="00A3189D" w:rsidRPr="00A3189D">
        <w:rPr>
          <w:rFonts w:cs="Arial"/>
          <w:i/>
          <w:iCs/>
        </w:rPr>
        <w:t>et al</w:t>
      </w:r>
      <w:r w:rsidRPr="0020548F">
        <w:rPr>
          <w:rFonts w:cs="Arial"/>
        </w:rPr>
        <w:t xml:space="preserve">. (2024) ‘Advancing sustainability in the automotive sector: A critical analysis of environmental, social, and governance (ESG) performance indicators’, </w:t>
      </w:r>
      <w:r w:rsidRPr="0020548F">
        <w:rPr>
          <w:rFonts w:cs="Arial"/>
          <w:i/>
          <w:iCs/>
        </w:rPr>
        <w:t>Cleaner Environmental Systems</w:t>
      </w:r>
      <w:r w:rsidRPr="0020548F">
        <w:rPr>
          <w:rFonts w:cs="Arial"/>
        </w:rPr>
        <w:t xml:space="preserve">, pp. 100248–100248. </w:t>
      </w:r>
      <w:proofErr w:type="spellStart"/>
      <w:r w:rsidRPr="0020548F">
        <w:rPr>
          <w:rFonts w:cs="Arial"/>
        </w:rPr>
        <w:t>doi</w:t>
      </w:r>
      <w:proofErr w:type="spellEnd"/>
      <w:r w:rsidRPr="0020548F">
        <w:rPr>
          <w:rFonts w:cs="Arial"/>
        </w:rPr>
        <w:t>: 10.1016/j.cesys.2024.100248.</w:t>
      </w:r>
    </w:p>
    <w:p w14:paraId="68C3EEBF" w14:textId="77777777" w:rsidR="0020548F" w:rsidRPr="0020548F" w:rsidRDefault="0020548F" w:rsidP="0020548F">
      <w:pPr>
        <w:spacing w:before="160" w:line="276" w:lineRule="auto"/>
        <w:jc w:val="left"/>
        <w:rPr>
          <w:rFonts w:cs="Arial"/>
        </w:rPr>
      </w:pPr>
      <w:r w:rsidRPr="0020548F">
        <w:rPr>
          <w:rFonts w:cs="Arial"/>
        </w:rPr>
        <w:t xml:space="preserve">Choi, S. and Cho, K. (2025) ‘A scenario-based approach to using electric vehicle batteries in virtual power plants: Insights from environmental, social, and governance and Monte Carlo simulations’, </w:t>
      </w:r>
      <w:r w:rsidRPr="0020548F">
        <w:rPr>
          <w:rFonts w:cs="Arial"/>
          <w:i/>
          <w:iCs/>
        </w:rPr>
        <w:t>Sustainability</w:t>
      </w:r>
      <w:r w:rsidRPr="0020548F">
        <w:rPr>
          <w:rFonts w:cs="Arial"/>
        </w:rPr>
        <w:t xml:space="preserve">, 17(7), 3224. </w:t>
      </w:r>
      <w:proofErr w:type="spellStart"/>
      <w:r w:rsidRPr="0020548F">
        <w:rPr>
          <w:rFonts w:cs="Arial"/>
        </w:rPr>
        <w:t>doi</w:t>
      </w:r>
      <w:proofErr w:type="spellEnd"/>
      <w:r w:rsidRPr="0020548F">
        <w:rPr>
          <w:rFonts w:cs="Arial"/>
        </w:rPr>
        <w:t>: 10.3390/su17073224.</w:t>
      </w:r>
    </w:p>
    <w:p w14:paraId="3FAAF9B7" w14:textId="4E1A21CD" w:rsidR="0020548F" w:rsidRPr="0020548F" w:rsidRDefault="0020548F" w:rsidP="0020548F">
      <w:pPr>
        <w:spacing w:before="160" w:line="276" w:lineRule="auto"/>
        <w:jc w:val="left"/>
        <w:rPr>
          <w:rFonts w:cs="Arial"/>
        </w:rPr>
      </w:pPr>
      <w:r w:rsidRPr="0020548F">
        <w:rPr>
          <w:rFonts w:cs="Arial"/>
        </w:rPr>
        <w:t xml:space="preserve">Fu, Z., </w:t>
      </w:r>
      <w:r w:rsidR="00A3189D" w:rsidRPr="00A3189D">
        <w:rPr>
          <w:rFonts w:cs="Arial"/>
          <w:i/>
          <w:iCs/>
        </w:rPr>
        <w:t>et al</w:t>
      </w:r>
      <w:r w:rsidRPr="0020548F">
        <w:rPr>
          <w:rFonts w:cs="Arial"/>
        </w:rPr>
        <w:t xml:space="preserve">. (2023) ‘The influence of the attributes of electric vehicles on brand image, consumer attitude, and purchase intention: Focusing on the moderating effects of ESG management’, </w:t>
      </w:r>
      <w:r w:rsidRPr="0020548F">
        <w:rPr>
          <w:rFonts w:cs="Arial"/>
          <w:i/>
          <w:iCs/>
        </w:rPr>
        <w:t>International Academy of Global Business and Trade</w:t>
      </w:r>
      <w:r w:rsidRPr="0020548F">
        <w:rPr>
          <w:rFonts w:cs="Arial"/>
        </w:rPr>
        <w:t xml:space="preserve">, 19(3), pp. 1–23. </w:t>
      </w:r>
      <w:proofErr w:type="spellStart"/>
      <w:r w:rsidRPr="0020548F">
        <w:rPr>
          <w:rFonts w:cs="Arial"/>
        </w:rPr>
        <w:t>doi</w:t>
      </w:r>
      <w:proofErr w:type="spellEnd"/>
      <w:r w:rsidRPr="0020548F">
        <w:rPr>
          <w:rFonts w:cs="Arial"/>
        </w:rPr>
        <w:t>: 10.20294/jgbt.2023.19.3.1.</w:t>
      </w:r>
    </w:p>
    <w:p w14:paraId="1D3AC3A4" w14:textId="77777777" w:rsidR="0020548F" w:rsidRPr="0020548F" w:rsidRDefault="0020548F" w:rsidP="0020548F">
      <w:pPr>
        <w:spacing w:before="160" w:line="276" w:lineRule="auto"/>
        <w:jc w:val="left"/>
        <w:rPr>
          <w:rFonts w:cs="Arial"/>
        </w:rPr>
      </w:pPr>
      <w:r w:rsidRPr="0020548F">
        <w:rPr>
          <w:rFonts w:cs="Arial"/>
        </w:rPr>
        <w:t xml:space="preserve">Glova, J. and Panko, M. (2025) ‘The effects of environmental, social, and governance factors on financial performance and market valuation in the European automotive industry’, </w:t>
      </w:r>
      <w:r w:rsidRPr="0020548F">
        <w:rPr>
          <w:rFonts w:cs="Arial"/>
          <w:i/>
          <w:iCs/>
        </w:rPr>
        <w:t>International Journal of Financial Studies</w:t>
      </w:r>
      <w:r w:rsidRPr="0020548F">
        <w:rPr>
          <w:rFonts w:cs="Arial"/>
        </w:rPr>
        <w:t xml:space="preserve">, 13(2), pp. 82–82. </w:t>
      </w:r>
      <w:proofErr w:type="spellStart"/>
      <w:r w:rsidRPr="0020548F">
        <w:rPr>
          <w:rFonts w:cs="Arial"/>
        </w:rPr>
        <w:t>doi</w:t>
      </w:r>
      <w:proofErr w:type="spellEnd"/>
      <w:r w:rsidRPr="0020548F">
        <w:rPr>
          <w:rFonts w:cs="Arial"/>
        </w:rPr>
        <w:t>: 10.3390/ijfs13020082.</w:t>
      </w:r>
    </w:p>
    <w:p w14:paraId="72701C1A" w14:textId="3014A3BB" w:rsidR="0020548F" w:rsidRPr="0020548F" w:rsidRDefault="0020548F" w:rsidP="0020548F">
      <w:pPr>
        <w:spacing w:before="160" w:line="276" w:lineRule="auto"/>
        <w:jc w:val="left"/>
        <w:rPr>
          <w:rFonts w:cs="Arial"/>
        </w:rPr>
      </w:pPr>
      <w:r w:rsidRPr="0020548F">
        <w:rPr>
          <w:rFonts w:cs="Arial"/>
        </w:rPr>
        <w:t xml:space="preserve">Guha, A., </w:t>
      </w:r>
      <w:r w:rsidR="00A3189D" w:rsidRPr="00A3189D">
        <w:rPr>
          <w:rFonts w:cs="Arial"/>
          <w:i/>
          <w:iCs/>
        </w:rPr>
        <w:t>et al</w:t>
      </w:r>
      <w:r w:rsidRPr="0020548F">
        <w:rPr>
          <w:rFonts w:cs="Arial"/>
        </w:rPr>
        <w:t xml:space="preserve">. (2018) ‘Indices to determine the environmental and economic impact of using an electric vehicle over gasoline or hybrid vehicles on a regional basis’, </w:t>
      </w:r>
      <w:r w:rsidRPr="0020548F">
        <w:rPr>
          <w:rFonts w:cs="Arial"/>
          <w:i/>
          <w:iCs/>
        </w:rPr>
        <w:t>2018 IEEE Transportation Electrification Conference (ITEC)</w:t>
      </w:r>
      <w:r w:rsidRPr="0020548F">
        <w:rPr>
          <w:rFonts w:cs="Arial"/>
        </w:rPr>
        <w:t xml:space="preserve">, pp. 731–736. </w:t>
      </w:r>
      <w:proofErr w:type="spellStart"/>
      <w:r w:rsidRPr="0020548F">
        <w:rPr>
          <w:rFonts w:cs="Arial"/>
        </w:rPr>
        <w:t>doi</w:t>
      </w:r>
      <w:proofErr w:type="spellEnd"/>
      <w:r w:rsidRPr="0020548F">
        <w:rPr>
          <w:rFonts w:cs="Arial"/>
        </w:rPr>
        <w:t>: 10.1109/itec.2018.8450105.</w:t>
      </w:r>
    </w:p>
    <w:p w14:paraId="51F3141F" w14:textId="77777777" w:rsidR="0020548F" w:rsidRPr="0020548F" w:rsidRDefault="0020548F" w:rsidP="0020548F">
      <w:pPr>
        <w:spacing w:before="160" w:line="276" w:lineRule="auto"/>
        <w:jc w:val="left"/>
        <w:rPr>
          <w:rFonts w:cs="Arial"/>
        </w:rPr>
      </w:pPr>
      <w:r w:rsidRPr="0020548F">
        <w:rPr>
          <w:rFonts w:cs="Arial"/>
        </w:rPr>
        <w:t xml:space="preserve">Ha, N. (2019) ‘Comparative environmental impacts of Internal Combustion Engine Vehicles with Hybrid Vehicles and Electric Vehicles in China—Based on Life Cycle Assessment’, </w:t>
      </w:r>
      <w:r w:rsidRPr="0020548F">
        <w:rPr>
          <w:rFonts w:cs="Arial"/>
          <w:i/>
          <w:iCs/>
        </w:rPr>
        <w:t>E3S Web of Conferences</w:t>
      </w:r>
      <w:r w:rsidRPr="0020548F">
        <w:rPr>
          <w:rFonts w:cs="Arial"/>
        </w:rPr>
        <w:t xml:space="preserve">, 118, p. 02010. </w:t>
      </w:r>
      <w:proofErr w:type="spellStart"/>
      <w:r w:rsidRPr="0020548F">
        <w:rPr>
          <w:rFonts w:cs="Arial"/>
        </w:rPr>
        <w:t>doi</w:t>
      </w:r>
      <w:proofErr w:type="spellEnd"/>
      <w:r w:rsidRPr="0020548F">
        <w:rPr>
          <w:rFonts w:cs="Arial"/>
        </w:rPr>
        <w:t>: 10.1051/e3sconf/201911802010.</w:t>
      </w:r>
    </w:p>
    <w:p w14:paraId="7557BAB5" w14:textId="77777777" w:rsidR="0020548F" w:rsidRPr="0020548F" w:rsidRDefault="0020548F" w:rsidP="0020548F">
      <w:pPr>
        <w:spacing w:before="160" w:line="276" w:lineRule="auto"/>
        <w:jc w:val="left"/>
        <w:rPr>
          <w:rFonts w:cs="Arial"/>
        </w:rPr>
      </w:pPr>
      <w:proofErr w:type="spellStart"/>
      <w:r w:rsidRPr="0020548F">
        <w:rPr>
          <w:rFonts w:cs="Arial"/>
        </w:rPr>
        <w:t>Helfaya</w:t>
      </w:r>
      <w:proofErr w:type="spellEnd"/>
      <w:r w:rsidRPr="0020548F">
        <w:rPr>
          <w:rFonts w:cs="Arial"/>
        </w:rPr>
        <w:t xml:space="preserve">, A. and Bui, P. (2025) ‘Pursuing a corporate sustainable identity: Green governance strategy, hybrid vehicle development, knowledge and sustainability performance’, </w:t>
      </w:r>
      <w:r w:rsidRPr="0020548F">
        <w:rPr>
          <w:rFonts w:cs="Arial"/>
          <w:i/>
          <w:iCs/>
        </w:rPr>
        <w:t>Journal of Innovation &amp; Knowledge</w:t>
      </w:r>
      <w:r w:rsidRPr="0020548F">
        <w:rPr>
          <w:rFonts w:cs="Arial"/>
        </w:rPr>
        <w:t xml:space="preserve">, 10(2), pp. 100660–100660. </w:t>
      </w:r>
      <w:proofErr w:type="spellStart"/>
      <w:r w:rsidRPr="0020548F">
        <w:rPr>
          <w:rFonts w:cs="Arial"/>
        </w:rPr>
        <w:t>doi</w:t>
      </w:r>
      <w:proofErr w:type="spellEnd"/>
      <w:r w:rsidRPr="0020548F">
        <w:rPr>
          <w:rFonts w:cs="Arial"/>
        </w:rPr>
        <w:t>: 10.1016/j.jik.2025.100660.</w:t>
      </w:r>
    </w:p>
    <w:p w14:paraId="41A29C9A" w14:textId="77777777" w:rsidR="0020548F" w:rsidRPr="0020548F" w:rsidRDefault="0020548F" w:rsidP="0020548F">
      <w:pPr>
        <w:spacing w:before="160" w:line="276" w:lineRule="auto"/>
        <w:jc w:val="left"/>
        <w:rPr>
          <w:rFonts w:cs="Arial"/>
        </w:rPr>
      </w:pPr>
      <w:r w:rsidRPr="0020548F">
        <w:rPr>
          <w:rFonts w:cs="Arial"/>
        </w:rPr>
        <w:t>Komiyama, R. and Fujii, Y. (2015) ‘Assessment of energy saving and CO</w:t>
      </w:r>
      <w:r w:rsidRPr="0020548F">
        <w:rPr>
          <w:rFonts w:ascii="Cambria Math" w:hAnsi="Cambria Math" w:cs="Cambria Math"/>
        </w:rPr>
        <w:t>₂</w:t>
      </w:r>
      <w:r w:rsidRPr="0020548F">
        <w:rPr>
          <w:rFonts w:cs="Arial"/>
        </w:rPr>
        <w:t xml:space="preserve"> mitigation potential of electric vehicles and plug</w:t>
      </w:r>
      <w:r w:rsidRPr="0020548F">
        <w:rPr>
          <w:rFonts w:ascii="Cambria Math" w:hAnsi="Cambria Math" w:cs="Cambria Math"/>
        </w:rPr>
        <w:t>‐</w:t>
      </w:r>
      <w:r w:rsidRPr="0020548F">
        <w:rPr>
          <w:rFonts w:cs="Arial"/>
        </w:rPr>
        <w:t xml:space="preserve">in hybrid vehicles under Japan’s power generation mix’, </w:t>
      </w:r>
      <w:r w:rsidRPr="0020548F">
        <w:rPr>
          <w:rFonts w:cs="Arial"/>
          <w:i/>
          <w:iCs/>
        </w:rPr>
        <w:t>Electrical Engineering in Japan</w:t>
      </w:r>
      <w:r w:rsidRPr="0020548F">
        <w:rPr>
          <w:rFonts w:cs="Arial"/>
        </w:rPr>
        <w:t xml:space="preserve">, 192(1), pp. 1–12. </w:t>
      </w:r>
      <w:proofErr w:type="spellStart"/>
      <w:r w:rsidRPr="0020548F">
        <w:rPr>
          <w:rFonts w:cs="Arial"/>
        </w:rPr>
        <w:t>doi</w:t>
      </w:r>
      <w:proofErr w:type="spellEnd"/>
      <w:r w:rsidRPr="0020548F">
        <w:rPr>
          <w:rFonts w:cs="Arial"/>
        </w:rPr>
        <w:t>: 10.1002/eej.22546.</w:t>
      </w:r>
    </w:p>
    <w:p w14:paraId="165E9AB0" w14:textId="240A3735" w:rsidR="0020548F" w:rsidRPr="0020548F" w:rsidRDefault="0020548F" w:rsidP="0020548F">
      <w:pPr>
        <w:spacing w:before="160" w:line="276" w:lineRule="auto"/>
        <w:jc w:val="left"/>
        <w:rPr>
          <w:rFonts w:cs="Arial"/>
        </w:rPr>
      </w:pPr>
      <w:r w:rsidRPr="0020548F">
        <w:rPr>
          <w:rFonts w:cs="Arial"/>
        </w:rPr>
        <w:lastRenderedPageBreak/>
        <w:t xml:space="preserve">Lu, W.-M., </w:t>
      </w:r>
      <w:r w:rsidR="00A3189D" w:rsidRPr="00A3189D">
        <w:rPr>
          <w:rFonts w:cs="Arial"/>
          <w:i/>
          <w:iCs/>
        </w:rPr>
        <w:t>et al</w:t>
      </w:r>
      <w:r w:rsidRPr="0020548F">
        <w:rPr>
          <w:rFonts w:cs="Arial"/>
        </w:rPr>
        <w:t xml:space="preserve">. (2025) ‘A new integrated approach for evaluating sustainable development in the electric vehicle sector’, </w:t>
      </w:r>
      <w:r w:rsidRPr="0020548F">
        <w:rPr>
          <w:rFonts w:cs="Arial"/>
          <w:i/>
          <w:iCs/>
        </w:rPr>
        <w:t>Omega</w:t>
      </w:r>
      <w:r w:rsidRPr="0020548F">
        <w:rPr>
          <w:rFonts w:cs="Arial"/>
        </w:rPr>
        <w:t xml:space="preserve">, 133, p. 103247. </w:t>
      </w:r>
      <w:proofErr w:type="spellStart"/>
      <w:r w:rsidRPr="0020548F">
        <w:rPr>
          <w:rFonts w:cs="Arial"/>
        </w:rPr>
        <w:t>doi</w:t>
      </w:r>
      <w:proofErr w:type="spellEnd"/>
      <w:r w:rsidRPr="0020548F">
        <w:rPr>
          <w:rFonts w:cs="Arial"/>
        </w:rPr>
        <w:t>: 10.1016/j.omega.2024.103247.</w:t>
      </w:r>
    </w:p>
    <w:p w14:paraId="46610424" w14:textId="77777777" w:rsidR="0020548F" w:rsidRDefault="0020548F" w:rsidP="0020548F">
      <w:pPr>
        <w:spacing w:before="160" w:line="276" w:lineRule="auto"/>
        <w:jc w:val="left"/>
        <w:rPr>
          <w:rFonts w:cs="Arial"/>
        </w:rPr>
      </w:pPr>
      <w:r w:rsidRPr="009016B8">
        <w:rPr>
          <w:rFonts w:cs="Arial"/>
        </w:rPr>
        <w:t xml:space="preserve">Moher, D., Liberati, A., Tetzlaff, J. &amp; Altman, D. G. (2009) ‘Preferred reporting items for systematic reviews and meta-analyses: the PRISMA statement’, </w:t>
      </w:r>
      <w:proofErr w:type="spellStart"/>
      <w:r w:rsidRPr="009016B8">
        <w:rPr>
          <w:rFonts w:cs="Arial"/>
          <w:i/>
          <w:iCs/>
        </w:rPr>
        <w:t>PLoS</w:t>
      </w:r>
      <w:proofErr w:type="spellEnd"/>
      <w:r w:rsidRPr="009016B8">
        <w:rPr>
          <w:rFonts w:cs="Arial"/>
          <w:i/>
          <w:iCs/>
        </w:rPr>
        <w:t xml:space="preserve"> Medicine</w:t>
      </w:r>
      <w:r w:rsidRPr="009016B8">
        <w:rPr>
          <w:rFonts w:cs="Arial"/>
        </w:rPr>
        <w:t>, 6(7), p. e1000097.</w:t>
      </w:r>
    </w:p>
    <w:p w14:paraId="12E8A762" w14:textId="638F045C" w:rsidR="0020548F" w:rsidRPr="0020548F" w:rsidRDefault="0020548F" w:rsidP="0020548F">
      <w:pPr>
        <w:spacing w:before="160" w:line="276" w:lineRule="auto"/>
        <w:jc w:val="left"/>
        <w:rPr>
          <w:rFonts w:cs="Arial"/>
        </w:rPr>
      </w:pPr>
      <w:proofErr w:type="spellStart"/>
      <w:r w:rsidRPr="0020548F">
        <w:rPr>
          <w:rFonts w:cs="Arial"/>
        </w:rPr>
        <w:t>Nuryakin</w:t>
      </w:r>
      <w:proofErr w:type="spellEnd"/>
      <w:r w:rsidRPr="0020548F">
        <w:rPr>
          <w:rFonts w:cs="Arial"/>
        </w:rPr>
        <w:t xml:space="preserve">, C., </w:t>
      </w:r>
      <w:r w:rsidR="00A3189D" w:rsidRPr="00A3189D">
        <w:rPr>
          <w:rFonts w:cs="Arial"/>
          <w:i/>
          <w:iCs/>
        </w:rPr>
        <w:t>et al</w:t>
      </w:r>
      <w:r w:rsidRPr="0020548F">
        <w:rPr>
          <w:rFonts w:cs="Arial"/>
        </w:rPr>
        <w:t xml:space="preserve">. (2019) ‘Socioeconomic impacts and consumer preferences analysis of electrified vehicle in Indonesia’, </w:t>
      </w:r>
      <w:r w:rsidRPr="0020548F">
        <w:rPr>
          <w:rFonts w:cs="Arial"/>
          <w:i/>
          <w:iCs/>
        </w:rPr>
        <w:t>2019 IEEE Conference on Electric Vehicles and Technologies (ICEVT)</w:t>
      </w:r>
      <w:r w:rsidRPr="0020548F">
        <w:rPr>
          <w:rFonts w:cs="Arial"/>
        </w:rPr>
        <w:t xml:space="preserve">, pp. 80–93. </w:t>
      </w:r>
      <w:proofErr w:type="spellStart"/>
      <w:r w:rsidRPr="0020548F">
        <w:rPr>
          <w:rFonts w:cs="Arial"/>
        </w:rPr>
        <w:t>doi</w:t>
      </w:r>
      <w:proofErr w:type="spellEnd"/>
      <w:r w:rsidRPr="0020548F">
        <w:rPr>
          <w:rFonts w:cs="Arial"/>
        </w:rPr>
        <w:t>: 10.1109/icevt48285.2019.8993989.</w:t>
      </w:r>
    </w:p>
    <w:p w14:paraId="026A06F7" w14:textId="28255521" w:rsidR="0020548F" w:rsidRDefault="0020548F" w:rsidP="0020548F">
      <w:pPr>
        <w:spacing w:before="160" w:line="276" w:lineRule="auto"/>
        <w:jc w:val="left"/>
        <w:rPr>
          <w:rFonts w:cs="Arial"/>
        </w:rPr>
      </w:pPr>
      <w:r w:rsidRPr="009016B8">
        <w:rPr>
          <w:rFonts w:cs="Arial"/>
          <w:lang w:val="nl-NL"/>
        </w:rPr>
        <w:t xml:space="preserve">Page, M. J. </w:t>
      </w:r>
      <w:r w:rsidR="00A3189D" w:rsidRPr="00A3189D">
        <w:rPr>
          <w:rFonts w:cs="Arial"/>
          <w:i/>
          <w:iCs/>
          <w:lang w:val="nl-NL"/>
        </w:rPr>
        <w:t>et al</w:t>
      </w:r>
      <w:r w:rsidRPr="009016B8">
        <w:rPr>
          <w:rFonts w:cs="Arial"/>
          <w:lang w:val="nl-NL"/>
        </w:rPr>
        <w:t xml:space="preserve">. </w:t>
      </w:r>
      <w:r w:rsidRPr="009016B8">
        <w:rPr>
          <w:rFonts w:cs="Arial"/>
        </w:rPr>
        <w:t xml:space="preserve">(2021) ‘PRISMA 2020 explanation and elaboration: updated guidance and exemplars for reporting systematic reviews’, </w:t>
      </w:r>
      <w:r w:rsidRPr="009016B8">
        <w:rPr>
          <w:rFonts w:cs="Arial"/>
          <w:i/>
          <w:iCs/>
        </w:rPr>
        <w:t>BMJ</w:t>
      </w:r>
      <w:r w:rsidRPr="009016B8">
        <w:rPr>
          <w:rFonts w:cs="Arial"/>
        </w:rPr>
        <w:t>, 372, p. n160.</w:t>
      </w:r>
    </w:p>
    <w:p w14:paraId="3899D339" w14:textId="77777777" w:rsidR="0020548F" w:rsidRPr="0020548F" w:rsidRDefault="0020548F" w:rsidP="0020548F">
      <w:pPr>
        <w:spacing w:before="160" w:line="276" w:lineRule="auto"/>
        <w:jc w:val="left"/>
        <w:rPr>
          <w:rFonts w:cs="Arial"/>
        </w:rPr>
      </w:pPr>
      <w:r w:rsidRPr="0020548F">
        <w:rPr>
          <w:rFonts w:cs="Arial"/>
        </w:rPr>
        <w:t xml:space="preserve">Pipitone, E., </w:t>
      </w:r>
      <w:proofErr w:type="spellStart"/>
      <w:r w:rsidRPr="0020548F">
        <w:rPr>
          <w:rFonts w:cs="Arial"/>
        </w:rPr>
        <w:t>Caltabellotta</w:t>
      </w:r>
      <w:proofErr w:type="spellEnd"/>
      <w:r w:rsidRPr="0020548F">
        <w:rPr>
          <w:rFonts w:cs="Arial"/>
        </w:rPr>
        <w:t xml:space="preserve">, S. and Occhipinti, L. (2021) ‘A life cycle environmental impact comparison between traditional, hybrid, and electric vehicles in the European context’, </w:t>
      </w:r>
      <w:r w:rsidRPr="0020548F">
        <w:rPr>
          <w:rFonts w:cs="Arial"/>
          <w:i/>
          <w:iCs/>
        </w:rPr>
        <w:t>Sustainability</w:t>
      </w:r>
      <w:r w:rsidRPr="0020548F">
        <w:rPr>
          <w:rFonts w:cs="Arial"/>
        </w:rPr>
        <w:t xml:space="preserve">, 13(19), p. 10992. </w:t>
      </w:r>
      <w:proofErr w:type="spellStart"/>
      <w:r w:rsidRPr="0020548F">
        <w:rPr>
          <w:rFonts w:cs="Arial"/>
        </w:rPr>
        <w:t>doi</w:t>
      </w:r>
      <w:proofErr w:type="spellEnd"/>
      <w:r w:rsidRPr="0020548F">
        <w:rPr>
          <w:rFonts w:cs="Arial"/>
        </w:rPr>
        <w:t>: 10.3390/su131910992.</w:t>
      </w:r>
    </w:p>
    <w:p w14:paraId="08CCF54D" w14:textId="77777777" w:rsidR="0020548F" w:rsidRDefault="0020548F" w:rsidP="0020548F">
      <w:pPr>
        <w:spacing w:before="160" w:line="276" w:lineRule="auto"/>
        <w:jc w:val="left"/>
        <w:rPr>
          <w:rFonts w:cs="Arial"/>
        </w:rPr>
      </w:pPr>
      <w:r w:rsidRPr="009016B8">
        <w:rPr>
          <w:rFonts w:cs="Arial"/>
        </w:rPr>
        <w:t xml:space="preserve">Popay, J., Roberts, H., Sowden, A., Petticrew, M., Arai, L., Rodgers, M., Britten, N., Roen, K. &amp; Duffy, S. (2006) </w:t>
      </w:r>
      <w:r w:rsidRPr="009016B8">
        <w:rPr>
          <w:rFonts w:cs="Arial"/>
          <w:i/>
          <w:iCs/>
        </w:rPr>
        <w:t>Guidance on the Conduct of Narrative Synthesis in Systematic Reviews</w:t>
      </w:r>
      <w:r w:rsidRPr="009016B8">
        <w:rPr>
          <w:rFonts w:cs="Arial"/>
        </w:rPr>
        <w:t>. Swindon: ESRC.</w:t>
      </w:r>
    </w:p>
    <w:p w14:paraId="0E6975BC" w14:textId="63492994" w:rsidR="0020548F" w:rsidRDefault="0020548F" w:rsidP="0020548F">
      <w:pPr>
        <w:spacing w:before="160" w:line="276" w:lineRule="auto"/>
        <w:jc w:val="left"/>
        <w:rPr>
          <w:rFonts w:cs="Arial"/>
        </w:rPr>
      </w:pPr>
      <w:proofErr w:type="spellStart"/>
      <w:r w:rsidRPr="009016B8">
        <w:rPr>
          <w:rFonts w:cs="Arial"/>
        </w:rPr>
        <w:t>Falagas</w:t>
      </w:r>
      <w:proofErr w:type="spellEnd"/>
      <w:r w:rsidRPr="009016B8">
        <w:rPr>
          <w:rFonts w:cs="Arial"/>
        </w:rPr>
        <w:t xml:space="preserve">, M. E., </w:t>
      </w:r>
      <w:proofErr w:type="spellStart"/>
      <w:r w:rsidRPr="009016B8">
        <w:rPr>
          <w:rFonts w:cs="Arial"/>
        </w:rPr>
        <w:t>Pitsouni</w:t>
      </w:r>
      <w:proofErr w:type="spellEnd"/>
      <w:r w:rsidRPr="009016B8">
        <w:rPr>
          <w:rFonts w:cs="Arial"/>
        </w:rPr>
        <w:t xml:space="preserve">, E. I., </w:t>
      </w:r>
      <w:proofErr w:type="spellStart"/>
      <w:r w:rsidRPr="009016B8">
        <w:rPr>
          <w:rFonts w:cs="Arial"/>
        </w:rPr>
        <w:t>Malietzis</w:t>
      </w:r>
      <w:proofErr w:type="spellEnd"/>
      <w:r w:rsidRPr="009016B8">
        <w:rPr>
          <w:rFonts w:cs="Arial"/>
        </w:rPr>
        <w:t xml:space="preserve">, G. A. &amp; Pappas, G. (2008) ‘Comparison of PubMed, Scopus, Web of Science, and Google Scholar: strengths and weaknesses’, </w:t>
      </w:r>
      <w:r w:rsidRPr="009016B8">
        <w:rPr>
          <w:rFonts w:cs="Arial"/>
          <w:i/>
          <w:iCs/>
        </w:rPr>
        <w:t>The FASEB Journal</w:t>
      </w:r>
      <w:r w:rsidRPr="009016B8">
        <w:rPr>
          <w:rFonts w:cs="Arial"/>
        </w:rPr>
        <w:t>, 22(2), pp. 338–342.</w:t>
      </w:r>
    </w:p>
    <w:p w14:paraId="7ED66544" w14:textId="77777777" w:rsidR="0020548F" w:rsidRPr="0020548F" w:rsidRDefault="0020548F" w:rsidP="0020548F">
      <w:pPr>
        <w:spacing w:before="160" w:line="276" w:lineRule="auto"/>
        <w:jc w:val="left"/>
        <w:rPr>
          <w:rFonts w:cs="Arial"/>
        </w:rPr>
      </w:pPr>
      <w:r w:rsidRPr="009016B8">
        <w:rPr>
          <w:rFonts w:cs="Arial"/>
        </w:rPr>
        <w:t xml:space="preserve">Singh, J. (2013) ‘Critical appraisal skills </w:t>
      </w:r>
      <w:proofErr w:type="spellStart"/>
      <w:r w:rsidRPr="009016B8">
        <w:rPr>
          <w:rFonts w:cs="Arial"/>
        </w:rPr>
        <w:t>programme</w:t>
      </w:r>
      <w:proofErr w:type="spellEnd"/>
      <w:r w:rsidRPr="009016B8">
        <w:rPr>
          <w:rFonts w:cs="Arial"/>
        </w:rPr>
        <w:t xml:space="preserve">’, </w:t>
      </w:r>
      <w:r w:rsidRPr="009016B8">
        <w:rPr>
          <w:rFonts w:cs="Arial"/>
          <w:i/>
          <w:iCs/>
        </w:rPr>
        <w:t>Journal of Pharmacology and Pharmacotherapeutics</w:t>
      </w:r>
      <w:r w:rsidRPr="009016B8">
        <w:rPr>
          <w:rFonts w:cs="Arial"/>
        </w:rPr>
        <w:t>, 4(1), pp. 76–77.</w:t>
      </w:r>
    </w:p>
    <w:p w14:paraId="01F7E437" w14:textId="77777777" w:rsidR="0020548F" w:rsidRPr="0020548F" w:rsidRDefault="0020548F" w:rsidP="0020548F">
      <w:pPr>
        <w:spacing w:before="160" w:line="276" w:lineRule="auto"/>
        <w:jc w:val="left"/>
        <w:rPr>
          <w:rFonts w:cs="Arial"/>
        </w:rPr>
      </w:pPr>
      <w:r w:rsidRPr="0020548F">
        <w:rPr>
          <w:rFonts w:cs="Arial"/>
        </w:rPr>
        <w:t xml:space="preserve">Thorat, J.S., Kumar, D. and Sandhu, J.S. (2024) ‘Powering sustainable mobility: Electric and hybrid vehicles leading the way’, </w:t>
      </w:r>
      <w:r w:rsidRPr="0020548F">
        <w:rPr>
          <w:rFonts w:cs="Arial"/>
          <w:i/>
          <w:iCs/>
        </w:rPr>
        <w:t>SAE Technical Paper Series</w:t>
      </w:r>
      <w:r w:rsidRPr="0020548F">
        <w:rPr>
          <w:rFonts w:cs="Arial"/>
        </w:rPr>
        <w:t xml:space="preserve">, 1. </w:t>
      </w:r>
      <w:proofErr w:type="spellStart"/>
      <w:r w:rsidRPr="0020548F">
        <w:rPr>
          <w:rFonts w:cs="Arial"/>
        </w:rPr>
        <w:t>doi</w:t>
      </w:r>
      <w:proofErr w:type="spellEnd"/>
      <w:r w:rsidRPr="0020548F">
        <w:rPr>
          <w:rFonts w:cs="Arial"/>
        </w:rPr>
        <w:t>: 10.4271/2024-28-0137.</w:t>
      </w:r>
    </w:p>
    <w:p w14:paraId="1DFAB713" w14:textId="13F0288A" w:rsidR="0020548F" w:rsidRPr="0020548F" w:rsidRDefault="0020548F" w:rsidP="0020548F">
      <w:pPr>
        <w:spacing w:before="160" w:line="276" w:lineRule="auto"/>
        <w:jc w:val="left"/>
        <w:rPr>
          <w:rFonts w:cs="Arial"/>
        </w:rPr>
      </w:pPr>
      <w:r w:rsidRPr="0020548F">
        <w:rPr>
          <w:rFonts w:cs="Arial"/>
          <w:lang w:val="nl-NL"/>
        </w:rPr>
        <w:t xml:space="preserve">Tillu, P.G., </w:t>
      </w:r>
      <w:r w:rsidR="00A3189D" w:rsidRPr="00A3189D">
        <w:rPr>
          <w:rFonts w:cs="Arial"/>
          <w:i/>
          <w:iCs/>
          <w:lang w:val="nl-NL"/>
        </w:rPr>
        <w:t>et al</w:t>
      </w:r>
      <w:r w:rsidRPr="0020548F">
        <w:rPr>
          <w:rFonts w:cs="Arial"/>
          <w:lang w:val="nl-NL"/>
        </w:rPr>
        <w:t xml:space="preserve">. </w:t>
      </w:r>
      <w:r w:rsidRPr="0020548F">
        <w:rPr>
          <w:rFonts w:cs="Arial"/>
        </w:rPr>
        <w:t xml:space="preserve">(2024) ‘Towards sustainable automobile ecosystem in India: Integrated analysis of technical, economic, and ESG dimensions’, </w:t>
      </w:r>
      <w:r w:rsidRPr="0020548F">
        <w:rPr>
          <w:rFonts w:cs="Arial"/>
          <w:i/>
          <w:iCs/>
        </w:rPr>
        <w:t>Cleaner Environmental Systems</w:t>
      </w:r>
      <w:r w:rsidRPr="0020548F">
        <w:rPr>
          <w:rFonts w:cs="Arial"/>
        </w:rPr>
        <w:t xml:space="preserve">, 14, pp. 100210–100210. </w:t>
      </w:r>
      <w:proofErr w:type="spellStart"/>
      <w:r w:rsidRPr="0020548F">
        <w:rPr>
          <w:rFonts w:cs="Arial"/>
        </w:rPr>
        <w:t>doi</w:t>
      </w:r>
      <w:proofErr w:type="spellEnd"/>
      <w:r w:rsidRPr="0020548F">
        <w:rPr>
          <w:rFonts w:cs="Arial"/>
        </w:rPr>
        <w:t>: 10.1016/j.cesys.2024.100210.</w:t>
      </w:r>
    </w:p>
    <w:p w14:paraId="364E0402" w14:textId="378B39CD" w:rsidR="0020548F" w:rsidRPr="0020548F" w:rsidRDefault="0020548F" w:rsidP="0020548F">
      <w:pPr>
        <w:spacing w:before="160" w:line="276" w:lineRule="auto"/>
        <w:jc w:val="left"/>
        <w:rPr>
          <w:rFonts w:cs="Arial"/>
        </w:rPr>
      </w:pPr>
      <w:r w:rsidRPr="0020548F">
        <w:rPr>
          <w:rFonts w:cs="Arial"/>
        </w:rPr>
        <w:t xml:space="preserve">Veza, I., </w:t>
      </w:r>
      <w:r w:rsidR="00A3189D" w:rsidRPr="00A3189D">
        <w:rPr>
          <w:rFonts w:cs="Arial"/>
          <w:i/>
          <w:iCs/>
        </w:rPr>
        <w:t>et al</w:t>
      </w:r>
      <w:r w:rsidRPr="0020548F">
        <w:rPr>
          <w:rFonts w:cs="Arial"/>
        </w:rPr>
        <w:t xml:space="preserve">. (2023) ‘Electric vehicle (EV) and driving towards sustainability: Comparison between EV, HEV, PHEV, and ICE vehicles to achieve net zero emissions by 2050 from EV’, </w:t>
      </w:r>
      <w:r w:rsidRPr="0020548F">
        <w:rPr>
          <w:rFonts w:cs="Arial"/>
          <w:i/>
          <w:iCs/>
        </w:rPr>
        <w:t>Alexandria Engineering Journal</w:t>
      </w:r>
      <w:r w:rsidRPr="0020548F">
        <w:rPr>
          <w:rFonts w:cs="Arial"/>
        </w:rPr>
        <w:t xml:space="preserve">, 82, pp. 459–467. </w:t>
      </w:r>
      <w:proofErr w:type="spellStart"/>
      <w:r w:rsidRPr="0020548F">
        <w:rPr>
          <w:rFonts w:cs="Arial"/>
        </w:rPr>
        <w:t>doi</w:t>
      </w:r>
      <w:proofErr w:type="spellEnd"/>
      <w:r w:rsidRPr="0020548F">
        <w:rPr>
          <w:rFonts w:cs="Arial"/>
        </w:rPr>
        <w:t>: 10.1016/j.aej.2023.10.020.</w:t>
      </w:r>
    </w:p>
    <w:p w14:paraId="69FCA2BB" w14:textId="5E2B97AA" w:rsidR="0020548F" w:rsidRPr="0020548F" w:rsidRDefault="0020548F" w:rsidP="0020548F">
      <w:pPr>
        <w:spacing w:before="160" w:line="276" w:lineRule="auto"/>
        <w:jc w:val="left"/>
        <w:rPr>
          <w:rFonts w:cs="Arial"/>
        </w:rPr>
      </w:pPr>
      <w:r w:rsidRPr="0020548F">
        <w:rPr>
          <w:rFonts w:cs="Arial"/>
        </w:rPr>
        <w:t xml:space="preserve">Yu, H.-C., </w:t>
      </w:r>
      <w:r w:rsidR="00A3189D" w:rsidRPr="00A3189D">
        <w:rPr>
          <w:rFonts w:cs="Arial"/>
          <w:i/>
          <w:iCs/>
        </w:rPr>
        <w:t>et al</w:t>
      </w:r>
      <w:r w:rsidRPr="0020548F">
        <w:rPr>
          <w:rFonts w:cs="Arial"/>
        </w:rPr>
        <w:t xml:space="preserve">. (2025) ‘A competency framework for electric vehicle maintenance technicians: Addressing the environmental, social, and governance (ESG) imperatives of the BEV industry’, </w:t>
      </w:r>
      <w:r w:rsidRPr="0020548F">
        <w:rPr>
          <w:rFonts w:cs="Arial"/>
          <w:i/>
          <w:iCs/>
        </w:rPr>
        <w:t>World Electric Vehicle Journal</w:t>
      </w:r>
      <w:r w:rsidRPr="0020548F">
        <w:rPr>
          <w:rFonts w:cs="Arial"/>
        </w:rPr>
        <w:t xml:space="preserve">, 16(6), p. 314. </w:t>
      </w:r>
      <w:proofErr w:type="spellStart"/>
      <w:r w:rsidRPr="0020548F">
        <w:rPr>
          <w:rFonts w:cs="Arial"/>
        </w:rPr>
        <w:t>doi</w:t>
      </w:r>
      <w:proofErr w:type="spellEnd"/>
      <w:r w:rsidRPr="0020548F">
        <w:rPr>
          <w:rFonts w:cs="Arial"/>
        </w:rPr>
        <w:t>: 10.3390/wevj16060314.</w:t>
      </w:r>
    </w:p>
    <w:p w14:paraId="1BFBD041" w14:textId="71A8E325" w:rsidR="0020548F" w:rsidRPr="0020548F" w:rsidRDefault="0020548F" w:rsidP="0020548F">
      <w:pPr>
        <w:spacing w:before="160" w:line="276" w:lineRule="auto"/>
        <w:jc w:val="left"/>
        <w:rPr>
          <w:rFonts w:cs="Arial"/>
        </w:rPr>
      </w:pPr>
      <w:r w:rsidRPr="0020548F">
        <w:rPr>
          <w:rFonts w:cs="Arial"/>
        </w:rPr>
        <w:lastRenderedPageBreak/>
        <w:t xml:space="preserve">Zeng, D., </w:t>
      </w:r>
      <w:r w:rsidR="00A3189D" w:rsidRPr="00A3189D">
        <w:rPr>
          <w:rFonts w:cs="Arial"/>
          <w:i/>
          <w:iCs/>
        </w:rPr>
        <w:t>et al</w:t>
      </w:r>
      <w:r w:rsidRPr="0020548F">
        <w:rPr>
          <w:rFonts w:cs="Arial"/>
        </w:rPr>
        <w:t xml:space="preserve">. (2020) ‘Are the electric vehicles more sustainable than the conventional ones? Influences of the assumptions and modeling approaches in the case of typical cars in China’, </w:t>
      </w:r>
      <w:r w:rsidRPr="0020548F">
        <w:rPr>
          <w:rFonts w:cs="Arial"/>
          <w:i/>
          <w:iCs/>
        </w:rPr>
        <w:t>Resources, Conservation and Recycling</w:t>
      </w:r>
      <w:r w:rsidRPr="0020548F">
        <w:rPr>
          <w:rFonts w:cs="Arial"/>
        </w:rPr>
        <w:t xml:space="preserve">, 167, p. 105210. </w:t>
      </w:r>
      <w:proofErr w:type="spellStart"/>
      <w:r w:rsidRPr="0020548F">
        <w:rPr>
          <w:rFonts w:cs="Arial"/>
        </w:rPr>
        <w:t>doi</w:t>
      </w:r>
      <w:proofErr w:type="spellEnd"/>
      <w:r w:rsidRPr="0020548F">
        <w:rPr>
          <w:rFonts w:cs="Arial"/>
        </w:rPr>
        <w:t>: 10.1016/j.resconrec.2020.105210.</w:t>
      </w:r>
    </w:p>
    <w:p w14:paraId="26710BCE" w14:textId="77777777" w:rsidR="0020548F" w:rsidRPr="0020548F" w:rsidRDefault="0020548F" w:rsidP="0020548F">
      <w:pPr>
        <w:spacing w:before="160" w:line="276" w:lineRule="auto"/>
        <w:jc w:val="left"/>
        <w:rPr>
          <w:rFonts w:cs="Arial"/>
        </w:rPr>
      </w:pPr>
      <w:r w:rsidRPr="0020548F">
        <w:rPr>
          <w:rFonts w:cs="Arial"/>
        </w:rPr>
        <w:t xml:space="preserve">Zhao, M. (2025) ‘Performance Analysis of Japanese Electric Vehicle Manufacturers in Environmental, Social, and Governance Using Text Mining and Predictive Methods’, </w:t>
      </w:r>
      <w:r w:rsidRPr="0020548F">
        <w:rPr>
          <w:rFonts w:cs="Arial"/>
          <w:i/>
          <w:iCs/>
        </w:rPr>
        <w:t>Engineering Proceedings</w:t>
      </w:r>
      <w:r w:rsidRPr="0020548F">
        <w:rPr>
          <w:rFonts w:cs="Arial"/>
        </w:rPr>
        <w:t xml:space="preserve">, 92(1), p. 35. </w:t>
      </w:r>
      <w:proofErr w:type="spellStart"/>
      <w:r w:rsidRPr="0020548F">
        <w:rPr>
          <w:rFonts w:cs="Arial"/>
        </w:rPr>
        <w:t>doi</w:t>
      </w:r>
      <w:proofErr w:type="spellEnd"/>
      <w:r w:rsidRPr="0020548F">
        <w:rPr>
          <w:rFonts w:cs="Arial"/>
        </w:rPr>
        <w:t>: 10.3390/engproc2025092035.</w:t>
      </w:r>
    </w:p>
    <w:p w14:paraId="59DEAE88" w14:textId="77777777" w:rsidR="0020548F" w:rsidRPr="0020548F" w:rsidRDefault="0020548F" w:rsidP="0020548F">
      <w:pPr>
        <w:spacing w:before="160" w:line="276" w:lineRule="auto"/>
        <w:jc w:val="left"/>
        <w:rPr>
          <w:rFonts w:cs="Arial"/>
        </w:rPr>
      </w:pPr>
      <w:r w:rsidRPr="0020548F">
        <w:rPr>
          <w:rFonts w:cs="Arial"/>
        </w:rPr>
        <w:t xml:space="preserve">Zhao, Q., Zhang, C. and Li, Z. (2024) ‘Government subsidies and business resilience of Chinese electric vehicle enterprises: The roles of ESG and technological capability’, </w:t>
      </w:r>
      <w:r w:rsidRPr="0020548F">
        <w:rPr>
          <w:rFonts w:cs="Arial"/>
          <w:i/>
          <w:iCs/>
        </w:rPr>
        <w:t>Energies</w:t>
      </w:r>
      <w:r w:rsidRPr="0020548F">
        <w:rPr>
          <w:rFonts w:cs="Arial"/>
        </w:rPr>
        <w:t xml:space="preserve">, 17(22), 5569. </w:t>
      </w:r>
      <w:proofErr w:type="spellStart"/>
      <w:r w:rsidRPr="0020548F">
        <w:rPr>
          <w:rFonts w:cs="Arial"/>
        </w:rPr>
        <w:t>doi</w:t>
      </w:r>
      <w:proofErr w:type="spellEnd"/>
      <w:r w:rsidRPr="0020548F">
        <w:rPr>
          <w:rFonts w:cs="Arial"/>
        </w:rPr>
        <w:t>: 10.3390/en17225569.</w:t>
      </w:r>
    </w:p>
    <w:p w14:paraId="4EDA894C" w14:textId="77777777" w:rsidR="0020548F" w:rsidRPr="009016B8" w:rsidRDefault="0020548F" w:rsidP="0020548F">
      <w:pPr>
        <w:spacing w:before="160" w:line="276" w:lineRule="auto"/>
        <w:jc w:val="left"/>
        <w:rPr>
          <w:rFonts w:cs="Arial"/>
        </w:rPr>
      </w:pPr>
      <w:r w:rsidRPr="0020548F">
        <w:rPr>
          <w:rFonts w:cs="Arial"/>
        </w:rPr>
        <w:t xml:space="preserve">Zhao, S., Han, Y., Zhou, Q. and Xia, X. (2025) ‘Collaborative management of battery manufacturer responsibility in electric vehicle production with ESG due diligence’, </w:t>
      </w:r>
      <w:r w:rsidRPr="0020548F">
        <w:rPr>
          <w:rFonts w:cs="Arial"/>
          <w:i/>
          <w:iCs/>
        </w:rPr>
        <w:t>Journal of Cleaner Production</w:t>
      </w:r>
      <w:r w:rsidRPr="0020548F">
        <w:rPr>
          <w:rFonts w:cs="Arial"/>
        </w:rPr>
        <w:t xml:space="preserve">, 486, 144591. </w:t>
      </w:r>
      <w:proofErr w:type="spellStart"/>
      <w:r w:rsidRPr="0020548F">
        <w:rPr>
          <w:rFonts w:cs="Arial"/>
        </w:rPr>
        <w:t>doi</w:t>
      </w:r>
      <w:proofErr w:type="spellEnd"/>
      <w:r w:rsidRPr="0020548F">
        <w:rPr>
          <w:rFonts w:cs="Arial"/>
        </w:rPr>
        <w:t>: 10.1016/j.jclepro.2024.144591.</w:t>
      </w:r>
    </w:p>
    <w:p w14:paraId="4C88CD7F" w14:textId="77777777" w:rsidR="00565985" w:rsidRPr="00565985" w:rsidRDefault="00565985" w:rsidP="00565985"/>
    <w:p w14:paraId="522E2EE0" w14:textId="77777777" w:rsidR="001360E6" w:rsidRPr="001360E6" w:rsidRDefault="001360E6" w:rsidP="001360E6"/>
    <w:sectPr w:rsidR="001360E6" w:rsidRPr="001360E6" w:rsidSect="00A3189D">
      <w:footerReference w:type="default" r:id="rId10"/>
      <w:pgSz w:w="11906" w:h="16838" w:code="9"/>
      <w:pgMar w:top="1440" w:right="1440" w:bottom="1440" w:left="1440" w:header="720" w:footer="720" w:gutter="0"/>
      <w:pgBorders w:offsetFrom="page">
        <w:top w:val="thinThickSmallGap" w:sz="18" w:space="24" w:color="auto"/>
        <w:left w:val="thinThickSmallGap" w:sz="18" w:space="24" w:color="auto"/>
        <w:bottom w:val="thickThinSmallGap" w:sz="18" w:space="24" w:color="auto"/>
        <w:right w:val="thickThinSmallGap" w:sz="18"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2BEC0" w14:textId="77777777" w:rsidR="001A3BE0" w:rsidRDefault="001A3BE0" w:rsidP="0020548F">
      <w:pPr>
        <w:spacing w:after="0" w:line="240" w:lineRule="auto"/>
      </w:pPr>
      <w:r>
        <w:separator/>
      </w:r>
    </w:p>
  </w:endnote>
  <w:endnote w:type="continuationSeparator" w:id="0">
    <w:p w14:paraId="275FC6E8" w14:textId="77777777" w:rsidR="001A3BE0" w:rsidRDefault="001A3BE0" w:rsidP="00205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8596484"/>
      <w:docPartObj>
        <w:docPartGallery w:val="Page Numbers (Bottom of Page)"/>
        <w:docPartUnique/>
      </w:docPartObj>
    </w:sdtPr>
    <w:sdtEndPr>
      <w:rPr>
        <w:noProof/>
      </w:rPr>
    </w:sdtEndPr>
    <w:sdtContent>
      <w:p w14:paraId="723DA74E" w14:textId="25CD6ECE" w:rsidR="0020548F" w:rsidRDefault="002054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5D589A" w14:textId="77777777" w:rsidR="0020548F" w:rsidRDefault="00205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46234" w14:textId="77777777" w:rsidR="001A3BE0" w:rsidRDefault="001A3BE0" w:rsidP="0020548F">
      <w:pPr>
        <w:spacing w:after="0" w:line="240" w:lineRule="auto"/>
      </w:pPr>
      <w:r>
        <w:separator/>
      </w:r>
    </w:p>
  </w:footnote>
  <w:footnote w:type="continuationSeparator" w:id="0">
    <w:p w14:paraId="412BD3D5" w14:textId="77777777" w:rsidR="001A3BE0" w:rsidRDefault="001A3BE0" w:rsidP="002054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B463E"/>
    <w:multiLevelType w:val="hybridMultilevel"/>
    <w:tmpl w:val="F40AA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203E36"/>
    <w:multiLevelType w:val="hybridMultilevel"/>
    <w:tmpl w:val="9C5C0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D85F5B"/>
    <w:multiLevelType w:val="hybridMultilevel"/>
    <w:tmpl w:val="1B1A0B64"/>
    <w:lvl w:ilvl="0" w:tplc="0409000F">
      <w:start w:val="1"/>
      <w:numFmt w:val="decimal"/>
      <w:lvlText w:val="%1."/>
      <w:lvlJc w:val="left"/>
      <w:pPr>
        <w:ind w:left="816" w:hanging="456"/>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4413208"/>
    <w:multiLevelType w:val="hybridMultilevel"/>
    <w:tmpl w:val="5EEC208C"/>
    <w:lvl w:ilvl="0" w:tplc="0409000F">
      <w:start w:val="1"/>
      <w:numFmt w:val="decimal"/>
      <w:lvlText w:val="%1."/>
      <w:lvlJc w:val="left"/>
      <w:pPr>
        <w:ind w:left="732" w:hanging="372"/>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28881A7E"/>
    <w:multiLevelType w:val="hybridMultilevel"/>
    <w:tmpl w:val="79FC1A9E"/>
    <w:lvl w:ilvl="0" w:tplc="CF34780A">
      <w:numFmt w:val="bullet"/>
      <w:lvlText w:val=""/>
      <w:lvlJc w:val="left"/>
      <w:pPr>
        <w:ind w:left="732" w:hanging="372"/>
      </w:pPr>
      <w:rPr>
        <w:rFonts w:ascii="Verdana" w:eastAsiaTheme="minorEastAsia" w:hAnsi="Verdan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935ADC"/>
    <w:multiLevelType w:val="hybridMultilevel"/>
    <w:tmpl w:val="0456D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C60DCF"/>
    <w:multiLevelType w:val="hybridMultilevel"/>
    <w:tmpl w:val="84A6623A"/>
    <w:lvl w:ilvl="0" w:tplc="7A8E0C9E">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607E99"/>
    <w:multiLevelType w:val="hybridMultilevel"/>
    <w:tmpl w:val="1A126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59511B"/>
    <w:multiLevelType w:val="hybridMultilevel"/>
    <w:tmpl w:val="5E22C4A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417B3FCF"/>
    <w:multiLevelType w:val="hybridMultilevel"/>
    <w:tmpl w:val="523E8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7C10710"/>
    <w:multiLevelType w:val="multilevel"/>
    <w:tmpl w:val="37E6C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78088E"/>
    <w:multiLevelType w:val="hybridMultilevel"/>
    <w:tmpl w:val="601A264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7075EE1"/>
    <w:multiLevelType w:val="hybridMultilevel"/>
    <w:tmpl w:val="27380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B0C1FAA"/>
    <w:multiLevelType w:val="hybridMultilevel"/>
    <w:tmpl w:val="B0F077C8"/>
    <w:lvl w:ilvl="0" w:tplc="0409000F">
      <w:start w:val="1"/>
      <w:numFmt w:val="decimal"/>
      <w:lvlText w:val="%1."/>
      <w:lvlJc w:val="left"/>
      <w:pPr>
        <w:ind w:left="1152" w:hanging="360"/>
      </w:pPr>
      <w:rPr>
        <w:rFonts w:hint="default"/>
      </w:rPr>
    </w:lvl>
    <w:lvl w:ilvl="1" w:tplc="FFFFFFFF" w:tentative="1">
      <w:start w:val="1"/>
      <w:numFmt w:val="bullet"/>
      <w:lvlText w:val="o"/>
      <w:lvlJc w:val="left"/>
      <w:pPr>
        <w:ind w:left="1872" w:hanging="360"/>
      </w:pPr>
      <w:rPr>
        <w:rFonts w:ascii="Courier New" w:hAnsi="Courier New" w:cs="Courier New" w:hint="default"/>
      </w:rPr>
    </w:lvl>
    <w:lvl w:ilvl="2" w:tplc="FFFFFFFF" w:tentative="1">
      <w:start w:val="1"/>
      <w:numFmt w:val="bullet"/>
      <w:lvlText w:val=""/>
      <w:lvlJc w:val="left"/>
      <w:pPr>
        <w:ind w:left="2592" w:hanging="360"/>
      </w:pPr>
      <w:rPr>
        <w:rFonts w:ascii="Wingdings" w:hAnsi="Wingdings" w:hint="default"/>
      </w:rPr>
    </w:lvl>
    <w:lvl w:ilvl="3" w:tplc="FFFFFFFF" w:tentative="1">
      <w:start w:val="1"/>
      <w:numFmt w:val="bullet"/>
      <w:lvlText w:val=""/>
      <w:lvlJc w:val="left"/>
      <w:pPr>
        <w:ind w:left="3312" w:hanging="360"/>
      </w:pPr>
      <w:rPr>
        <w:rFonts w:ascii="Symbol" w:hAnsi="Symbol" w:hint="default"/>
      </w:rPr>
    </w:lvl>
    <w:lvl w:ilvl="4" w:tplc="FFFFFFFF" w:tentative="1">
      <w:start w:val="1"/>
      <w:numFmt w:val="bullet"/>
      <w:lvlText w:val="o"/>
      <w:lvlJc w:val="left"/>
      <w:pPr>
        <w:ind w:left="4032" w:hanging="360"/>
      </w:pPr>
      <w:rPr>
        <w:rFonts w:ascii="Courier New" w:hAnsi="Courier New" w:cs="Courier New" w:hint="default"/>
      </w:rPr>
    </w:lvl>
    <w:lvl w:ilvl="5" w:tplc="FFFFFFFF" w:tentative="1">
      <w:start w:val="1"/>
      <w:numFmt w:val="bullet"/>
      <w:lvlText w:val=""/>
      <w:lvlJc w:val="left"/>
      <w:pPr>
        <w:ind w:left="4752" w:hanging="360"/>
      </w:pPr>
      <w:rPr>
        <w:rFonts w:ascii="Wingdings" w:hAnsi="Wingdings" w:hint="default"/>
      </w:rPr>
    </w:lvl>
    <w:lvl w:ilvl="6" w:tplc="FFFFFFFF" w:tentative="1">
      <w:start w:val="1"/>
      <w:numFmt w:val="bullet"/>
      <w:lvlText w:val=""/>
      <w:lvlJc w:val="left"/>
      <w:pPr>
        <w:ind w:left="5472" w:hanging="360"/>
      </w:pPr>
      <w:rPr>
        <w:rFonts w:ascii="Symbol" w:hAnsi="Symbol" w:hint="default"/>
      </w:rPr>
    </w:lvl>
    <w:lvl w:ilvl="7" w:tplc="FFFFFFFF" w:tentative="1">
      <w:start w:val="1"/>
      <w:numFmt w:val="bullet"/>
      <w:lvlText w:val="o"/>
      <w:lvlJc w:val="left"/>
      <w:pPr>
        <w:ind w:left="6192" w:hanging="360"/>
      </w:pPr>
      <w:rPr>
        <w:rFonts w:ascii="Courier New" w:hAnsi="Courier New" w:cs="Courier New" w:hint="default"/>
      </w:rPr>
    </w:lvl>
    <w:lvl w:ilvl="8" w:tplc="FFFFFFFF" w:tentative="1">
      <w:start w:val="1"/>
      <w:numFmt w:val="bullet"/>
      <w:lvlText w:val=""/>
      <w:lvlJc w:val="left"/>
      <w:pPr>
        <w:ind w:left="6912" w:hanging="360"/>
      </w:pPr>
      <w:rPr>
        <w:rFonts w:ascii="Wingdings" w:hAnsi="Wingdings" w:hint="default"/>
      </w:rPr>
    </w:lvl>
  </w:abstractNum>
  <w:abstractNum w:abstractNumId="15" w15:restartNumberingAfterBreak="0">
    <w:nsid w:val="5BE534A0"/>
    <w:multiLevelType w:val="hybridMultilevel"/>
    <w:tmpl w:val="5566B3DA"/>
    <w:lvl w:ilvl="0" w:tplc="8D2A119E">
      <w:numFmt w:val="bullet"/>
      <w:lvlText w:val=""/>
      <w:lvlJc w:val="left"/>
      <w:pPr>
        <w:ind w:left="816" w:hanging="456"/>
      </w:pPr>
      <w:rPr>
        <w:rFonts w:ascii="Verdana" w:eastAsiaTheme="minorEastAsia" w:hAnsi="Verdan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8386FED"/>
    <w:multiLevelType w:val="hybridMultilevel"/>
    <w:tmpl w:val="295C01D2"/>
    <w:lvl w:ilvl="0" w:tplc="8D2A119E">
      <w:numFmt w:val="bullet"/>
      <w:lvlText w:val=""/>
      <w:lvlJc w:val="left"/>
      <w:pPr>
        <w:ind w:left="816" w:hanging="456"/>
      </w:pPr>
      <w:rPr>
        <w:rFonts w:ascii="Verdana" w:eastAsiaTheme="minorEastAsia" w:hAnsi="Verdan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AB534BA"/>
    <w:multiLevelType w:val="hybridMultilevel"/>
    <w:tmpl w:val="0CF6AAC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426389553">
    <w:abstractNumId w:val="1"/>
  </w:num>
  <w:num w:numId="2" w16cid:durableId="440879577">
    <w:abstractNumId w:val="7"/>
  </w:num>
  <w:num w:numId="3" w16cid:durableId="1609660027">
    <w:abstractNumId w:val="12"/>
  </w:num>
  <w:num w:numId="4" w16cid:durableId="559025797">
    <w:abstractNumId w:val="8"/>
  </w:num>
  <w:num w:numId="5" w16cid:durableId="2060124348">
    <w:abstractNumId w:val="11"/>
  </w:num>
  <w:num w:numId="6" w16cid:durableId="539703030">
    <w:abstractNumId w:val="10"/>
  </w:num>
  <w:num w:numId="7" w16cid:durableId="1254555892">
    <w:abstractNumId w:val="15"/>
  </w:num>
  <w:num w:numId="8" w16cid:durableId="19474274">
    <w:abstractNumId w:val="2"/>
  </w:num>
  <w:num w:numId="9" w16cid:durableId="1948343390">
    <w:abstractNumId w:val="9"/>
  </w:num>
  <w:num w:numId="10" w16cid:durableId="359471344">
    <w:abstractNumId w:val="16"/>
  </w:num>
  <w:num w:numId="11" w16cid:durableId="364792662">
    <w:abstractNumId w:val="5"/>
  </w:num>
  <w:num w:numId="12" w16cid:durableId="345208080">
    <w:abstractNumId w:val="3"/>
  </w:num>
  <w:num w:numId="13" w16cid:durableId="1367678015">
    <w:abstractNumId w:val="13"/>
  </w:num>
  <w:num w:numId="14" w16cid:durableId="2120904966">
    <w:abstractNumId w:val="6"/>
  </w:num>
  <w:num w:numId="15" w16cid:durableId="412048705">
    <w:abstractNumId w:val="4"/>
  </w:num>
  <w:num w:numId="16" w16cid:durableId="1088310810">
    <w:abstractNumId w:val="4"/>
  </w:num>
  <w:num w:numId="17" w16cid:durableId="284776602">
    <w:abstractNumId w:val="4"/>
  </w:num>
  <w:num w:numId="18" w16cid:durableId="1396854185">
    <w:abstractNumId w:val="4"/>
  </w:num>
  <w:num w:numId="19" w16cid:durableId="441847053">
    <w:abstractNumId w:val="4"/>
  </w:num>
  <w:num w:numId="20" w16cid:durableId="1542591647">
    <w:abstractNumId w:val="4"/>
  </w:num>
  <w:num w:numId="21" w16cid:durableId="999886923">
    <w:abstractNumId w:val="4"/>
  </w:num>
  <w:num w:numId="22" w16cid:durableId="1152211140">
    <w:abstractNumId w:val="4"/>
  </w:num>
  <w:num w:numId="23" w16cid:durableId="225071076">
    <w:abstractNumId w:val="4"/>
  </w:num>
  <w:num w:numId="24" w16cid:durableId="606233271">
    <w:abstractNumId w:val="4"/>
  </w:num>
  <w:num w:numId="25" w16cid:durableId="2039623589">
    <w:abstractNumId w:val="0"/>
  </w:num>
  <w:num w:numId="26" w16cid:durableId="1821115513">
    <w:abstractNumId w:val="14"/>
  </w:num>
  <w:num w:numId="27" w16cid:durableId="153538540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6C4"/>
    <w:rsid w:val="00053843"/>
    <w:rsid w:val="000E3005"/>
    <w:rsid w:val="00110E8B"/>
    <w:rsid w:val="001360E6"/>
    <w:rsid w:val="001718B0"/>
    <w:rsid w:val="001A3BE0"/>
    <w:rsid w:val="0020548F"/>
    <w:rsid w:val="00232360"/>
    <w:rsid w:val="00276A19"/>
    <w:rsid w:val="002937DC"/>
    <w:rsid w:val="004119B7"/>
    <w:rsid w:val="004C7EFA"/>
    <w:rsid w:val="004D6B46"/>
    <w:rsid w:val="004F1D6B"/>
    <w:rsid w:val="00522D47"/>
    <w:rsid w:val="00524D01"/>
    <w:rsid w:val="005546CF"/>
    <w:rsid w:val="00565985"/>
    <w:rsid w:val="005E786D"/>
    <w:rsid w:val="006563AC"/>
    <w:rsid w:val="00661E5F"/>
    <w:rsid w:val="0068012B"/>
    <w:rsid w:val="00693D87"/>
    <w:rsid w:val="00747B7B"/>
    <w:rsid w:val="00803976"/>
    <w:rsid w:val="009016B8"/>
    <w:rsid w:val="00910599"/>
    <w:rsid w:val="0091593C"/>
    <w:rsid w:val="00A3189D"/>
    <w:rsid w:val="00A81685"/>
    <w:rsid w:val="00A876C4"/>
    <w:rsid w:val="00AE28B2"/>
    <w:rsid w:val="00BF710F"/>
    <w:rsid w:val="00BF7F61"/>
    <w:rsid w:val="00D22A9A"/>
    <w:rsid w:val="00DA5777"/>
    <w:rsid w:val="00E25D5F"/>
    <w:rsid w:val="00E54FDB"/>
    <w:rsid w:val="00EA1923"/>
    <w:rsid w:val="00EC5E22"/>
    <w:rsid w:val="00EF34EE"/>
    <w:rsid w:val="00F46771"/>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82C24"/>
  <w15:chartTrackingRefBased/>
  <w15:docId w15:val="{AD9DA498-6DA1-446F-8F71-250F15CE9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685"/>
    <w:pPr>
      <w:spacing w:line="360" w:lineRule="auto"/>
      <w:jc w:val="both"/>
    </w:pPr>
    <w:rPr>
      <w:rFonts w:ascii="Arial" w:hAnsi="Arial"/>
      <w:sz w:val="24"/>
    </w:rPr>
  </w:style>
  <w:style w:type="paragraph" w:styleId="Heading1">
    <w:name w:val="heading 1"/>
    <w:basedOn w:val="Normal"/>
    <w:next w:val="Normal"/>
    <w:link w:val="Heading1Char"/>
    <w:uiPriority w:val="9"/>
    <w:qFormat/>
    <w:rsid w:val="00A81685"/>
    <w:pPr>
      <w:keepNext/>
      <w:keepLines/>
      <w:numPr>
        <w:numId w:val="24"/>
      </w:numPr>
      <w:pBdr>
        <w:bottom w:val="single" w:sz="4" w:space="1" w:color="595959" w:themeColor="text1" w:themeTint="A6"/>
      </w:pBdr>
      <w:spacing w:before="360"/>
      <w:outlineLvl w:val="0"/>
    </w:pPr>
    <w:rPr>
      <w:rFonts w:eastAsiaTheme="majorEastAsia" w:cstheme="majorBidi"/>
      <w:b/>
      <w:bCs/>
      <w:color w:val="000000" w:themeColor="text1"/>
      <w:sz w:val="36"/>
      <w:szCs w:val="36"/>
    </w:rPr>
  </w:style>
  <w:style w:type="paragraph" w:styleId="Heading2">
    <w:name w:val="heading 2"/>
    <w:basedOn w:val="Normal"/>
    <w:next w:val="Normal"/>
    <w:link w:val="Heading2Char"/>
    <w:uiPriority w:val="9"/>
    <w:unhideWhenUsed/>
    <w:qFormat/>
    <w:rsid w:val="00A81685"/>
    <w:pPr>
      <w:keepNext/>
      <w:keepLines/>
      <w:numPr>
        <w:ilvl w:val="1"/>
        <w:numId w:val="24"/>
      </w:numPr>
      <w:spacing w:after="120"/>
      <w:outlineLvl w:val="1"/>
    </w:pPr>
    <w:rPr>
      <w:rFonts w:eastAsiaTheme="majorEastAsia" w:cstheme="majorBidi"/>
      <w:b/>
      <w:bCs/>
      <w:color w:val="000000" w:themeColor="text1"/>
      <w:sz w:val="28"/>
      <w:szCs w:val="28"/>
    </w:rPr>
  </w:style>
  <w:style w:type="paragraph" w:styleId="Heading3">
    <w:name w:val="heading 3"/>
    <w:basedOn w:val="Normal"/>
    <w:next w:val="Normal"/>
    <w:link w:val="Heading3Char"/>
    <w:uiPriority w:val="9"/>
    <w:unhideWhenUsed/>
    <w:qFormat/>
    <w:rsid w:val="00A81685"/>
    <w:pPr>
      <w:keepNext/>
      <w:keepLines/>
      <w:numPr>
        <w:ilvl w:val="2"/>
        <w:numId w:val="24"/>
      </w:numPr>
      <w:spacing w:before="120" w:after="0"/>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A81685"/>
    <w:pPr>
      <w:keepNext/>
      <w:keepLines/>
      <w:numPr>
        <w:ilvl w:val="3"/>
        <w:numId w:val="24"/>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A81685"/>
    <w:pPr>
      <w:keepNext/>
      <w:keepLines/>
      <w:numPr>
        <w:ilvl w:val="4"/>
        <w:numId w:val="24"/>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A81685"/>
    <w:pPr>
      <w:keepNext/>
      <w:keepLines/>
      <w:numPr>
        <w:ilvl w:val="5"/>
        <w:numId w:val="24"/>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A81685"/>
    <w:pPr>
      <w:keepNext/>
      <w:keepLines/>
      <w:numPr>
        <w:ilvl w:val="6"/>
        <w:numId w:val="2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81685"/>
    <w:pPr>
      <w:keepNext/>
      <w:keepLines/>
      <w:numPr>
        <w:ilvl w:val="7"/>
        <w:numId w:val="2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81685"/>
    <w:pPr>
      <w:keepNext/>
      <w:keepLines/>
      <w:numPr>
        <w:ilvl w:val="8"/>
        <w:numId w:val="2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685"/>
    <w:rPr>
      <w:rFonts w:ascii="Arial" w:eastAsiaTheme="majorEastAsia" w:hAnsi="Arial" w:cstheme="majorBidi"/>
      <w:b/>
      <w:bCs/>
      <w:color w:val="000000" w:themeColor="text1"/>
      <w:sz w:val="36"/>
      <w:szCs w:val="36"/>
    </w:rPr>
  </w:style>
  <w:style w:type="character" w:customStyle="1" w:styleId="Heading2Char">
    <w:name w:val="Heading 2 Char"/>
    <w:basedOn w:val="DefaultParagraphFont"/>
    <w:link w:val="Heading2"/>
    <w:uiPriority w:val="9"/>
    <w:rsid w:val="00A81685"/>
    <w:rPr>
      <w:rFonts w:ascii="Arial" w:eastAsiaTheme="majorEastAsia" w:hAnsi="Arial" w:cstheme="majorBidi"/>
      <w:b/>
      <w:bCs/>
      <w:color w:val="000000" w:themeColor="text1"/>
      <w:sz w:val="28"/>
      <w:szCs w:val="28"/>
    </w:rPr>
  </w:style>
  <w:style w:type="character" w:customStyle="1" w:styleId="Heading3Char">
    <w:name w:val="Heading 3 Char"/>
    <w:basedOn w:val="DefaultParagraphFont"/>
    <w:link w:val="Heading3"/>
    <w:uiPriority w:val="9"/>
    <w:rsid w:val="00A81685"/>
    <w:rPr>
      <w:rFonts w:ascii="Arial" w:eastAsiaTheme="majorEastAsia" w:hAnsi="Arial" w:cstheme="majorBidi"/>
      <w:b/>
      <w:bCs/>
      <w:color w:val="000000" w:themeColor="text1"/>
      <w:sz w:val="24"/>
    </w:rPr>
  </w:style>
  <w:style w:type="character" w:customStyle="1" w:styleId="Heading4Char">
    <w:name w:val="Heading 4 Char"/>
    <w:basedOn w:val="DefaultParagraphFont"/>
    <w:link w:val="Heading4"/>
    <w:uiPriority w:val="9"/>
    <w:semiHidden/>
    <w:rsid w:val="00A8168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A8168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A8168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A8168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8168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81685"/>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A8168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A8168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A8168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A81685"/>
    <w:rPr>
      <w:color w:val="5A5A5A" w:themeColor="text1" w:themeTint="A5"/>
      <w:spacing w:val="10"/>
    </w:rPr>
  </w:style>
  <w:style w:type="paragraph" w:styleId="Quote">
    <w:name w:val="Quote"/>
    <w:basedOn w:val="Normal"/>
    <w:next w:val="Normal"/>
    <w:link w:val="QuoteChar"/>
    <w:uiPriority w:val="29"/>
    <w:qFormat/>
    <w:rsid w:val="00A81685"/>
    <w:pPr>
      <w:spacing w:before="160"/>
      <w:ind w:left="720" w:right="720"/>
    </w:pPr>
    <w:rPr>
      <w:i/>
      <w:iCs/>
      <w:color w:val="000000" w:themeColor="text1"/>
    </w:rPr>
  </w:style>
  <w:style w:type="character" w:customStyle="1" w:styleId="QuoteChar">
    <w:name w:val="Quote Char"/>
    <w:basedOn w:val="DefaultParagraphFont"/>
    <w:link w:val="Quote"/>
    <w:uiPriority w:val="29"/>
    <w:rsid w:val="00A81685"/>
    <w:rPr>
      <w:i/>
      <w:iCs/>
      <w:color w:val="000000" w:themeColor="text1"/>
    </w:rPr>
  </w:style>
  <w:style w:type="paragraph" w:styleId="ListParagraph">
    <w:name w:val="List Paragraph"/>
    <w:basedOn w:val="Normal"/>
    <w:uiPriority w:val="34"/>
    <w:qFormat/>
    <w:rsid w:val="00A876C4"/>
    <w:pPr>
      <w:ind w:left="720"/>
      <w:contextualSpacing/>
    </w:pPr>
  </w:style>
  <w:style w:type="character" w:styleId="IntenseEmphasis">
    <w:name w:val="Intense Emphasis"/>
    <w:basedOn w:val="DefaultParagraphFont"/>
    <w:uiPriority w:val="21"/>
    <w:qFormat/>
    <w:rsid w:val="00A81685"/>
    <w:rPr>
      <w:b/>
      <w:bCs/>
      <w:i/>
      <w:iCs/>
      <w:caps/>
    </w:rPr>
  </w:style>
  <w:style w:type="paragraph" w:styleId="IntenseQuote">
    <w:name w:val="Intense Quote"/>
    <w:basedOn w:val="Normal"/>
    <w:next w:val="Normal"/>
    <w:link w:val="IntenseQuoteChar"/>
    <w:uiPriority w:val="30"/>
    <w:qFormat/>
    <w:rsid w:val="00A8168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A81685"/>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A81685"/>
    <w:rPr>
      <w:b/>
      <w:bCs/>
      <w:smallCaps/>
      <w:u w:val="single"/>
    </w:rPr>
  </w:style>
  <w:style w:type="paragraph" w:styleId="NormalWeb">
    <w:name w:val="Normal (Web)"/>
    <w:basedOn w:val="Normal"/>
    <w:uiPriority w:val="99"/>
    <w:semiHidden/>
    <w:unhideWhenUsed/>
    <w:rsid w:val="00A876C4"/>
    <w:rPr>
      <w:rFonts w:ascii="Times New Roman" w:hAnsi="Times New Roman" w:cs="Times New Roman"/>
    </w:rPr>
  </w:style>
  <w:style w:type="table" w:styleId="TableGridLight">
    <w:name w:val="Grid Table Light"/>
    <w:basedOn w:val="TableNormal"/>
    <w:uiPriority w:val="40"/>
    <w:rsid w:val="009016B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A81685"/>
    <w:pPr>
      <w:outlineLvl w:val="9"/>
    </w:pPr>
  </w:style>
  <w:style w:type="paragraph" w:styleId="TOC1">
    <w:name w:val="toc 1"/>
    <w:basedOn w:val="Normal"/>
    <w:next w:val="Normal"/>
    <w:autoRedefine/>
    <w:uiPriority w:val="39"/>
    <w:unhideWhenUsed/>
    <w:rsid w:val="0020548F"/>
    <w:pPr>
      <w:spacing w:after="100"/>
    </w:pPr>
  </w:style>
  <w:style w:type="paragraph" w:styleId="TOC2">
    <w:name w:val="toc 2"/>
    <w:basedOn w:val="Normal"/>
    <w:next w:val="Normal"/>
    <w:autoRedefine/>
    <w:uiPriority w:val="39"/>
    <w:unhideWhenUsed/>
    <w:rsid w:val="0020548F"/>
    <w:pPr>
      <w:spacing w:after="100"/>
      <w:ind w:left="240"/>
    </w:pPr>
  </w:style>
  <w:style w:type="paragraph" w:styleId="TOC3">
    <w:name w:val="toc 3"/>
    <w:basedOn w:val="Normal"/>
    <w:next w:val="Normal"/>
    <w:autoRedefine/>
    <w:uiPriority w:val="39"/>
    <w:unhideWhenUsed/>
    <w:rsid w:val="0020548F"/>
    <w:pPr>
      <w:spacing w:after="100"/>
      <w:ind w:left="480"/>
    </w:pPr>
  </w:style>
  <w:style w:type="character" w:styleId="Hyperlink">
    <w:name w:val="Hyperlink"/>
    <w:basedOn w:val="DefaultParagraphFont"/>
    <w:uiPriority w:val="99"/>
    <w:unhideWhenUsed/>
    <w:rsid w:val="0020548F"/>
    <w:rPr>
      <w:color w:val="0563C1" w:themeColor="hyperlink"/>
      <w:u w:val="single"/>
    </w:rPr>
  </w:style>
  <w:style w:type="paragraph" w:styleId="Header">
    <w:name w:val="header"/>
    <w:basedOn w:val="Normal"/>
    <w:link w:val="HeaderChar"/>
    <w:uiPriority w:val="99"/>
    <w:unhideWhenUsed/>
    <w:rsid w:val="002054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48F"/>
    <w:rPr>
      <w:rFonts w:ascii="Arial" w:hAnsi="Arial"/>
    </w:rPr>
  </w:style>
  <w:style w:type="paragraph" w:styleId="Footer">
    <w:name w:val="footer"/>
    <w:basedOn w:val="Normal"/>
    <w:link w:val="FooterChar"/>
    <w:uiPriority w:val="99"/>
    <w:unhideWhenUsed/>
    <w:rsid w:val="002054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48F"/>
    <w:rPr>
      <w:rFonts w:ascii="Arial" w:hAnsi="Arial"/>
    </w:rPr>
  </w:style>
  <w:style w:type="paragraph" w:styleId="Caption">
    <w:name w:val="caption"/>
    <w:basedOn w:val="Normal"/>
    <w:next w:val="Normal"/>
    <w:uiPriority w:val="35"/>
    <w:semiHidden/>
    <w:unhideWhenUsed/>
    <w:qFormat/>
    <w:rsid w:val="00A81685"/>
    <w:pPr>
      <w:spacing w:after="200" w:line="240" w:lineRule="auto"/>
    </w:pPr>
    <w:rPr>
      <w:i/>
      <w:iCs/>
      <w:color w:val="44546A" w:themeColor="text2"/>
      <w:sz w:val="18"/>
      <w:szCs w:val="18"/>
    </w:rPr>
  </w:style>
  <w:style w:type="character" w:styleId="Strong">
    <w:name w:val="Strong"/>
    <w:basedOn w:val="DefaultParagraphFont"/>
    <w:uiPriority w:val="22"/>
    <w:qFormat/>
    <w:rsid w:val="00A81685"/>
    <w:rPr>
      <w:b/>
      <w:bCs/>
      <w:color w:val="000000" w:themeColor="text1"/>
    </w:rPr>
  </w:style>
  <w:style w:type="character" w:styleId="Emphasis">
    <w:name w:val="Emphasis"/>
    <w:basedOn w:val="DefaultParagraphFont"/>
    <w:uiPriority w:val="20"/>
    <w:qFormat/>
    <w:rsid w:val="00A81685"/>
    <w:rPr>
      <w:i/>
      <w:iCs/>
      <w:color w:val="auto"/>
    </w:rPr>
  </w:style>
  <w:style w:type="paragraph" w:styleId="NoSpacing">
    <w:name w:val="No Spacing"/>
    <w:uiPriority w:val="1"/>
    <w:qFormat/>
    <w:rsid w:val="00A81685"/>
    <w:pPr>
      <w:spacing w:after="0" w:line="240" w:lineRule="auto"/>
    </w:pPr>
  </w:style>
  <w:style w:type="character" w:styleId="SubtleEmphasis">
    <w:name w:val="Subtle Emphasis"/>
    <w:basedOn w:val="DefaultParagraphFont"/>
    <w:uiPriority w:val="19"/>
    <w:qFormat/>
    <w:rsid w:val="00A81685"/>
    <w:rPr>
      <w:i/>
      <w:iCs/>
      <w:color w:val="404040" w:themeColor="text1" w:themeTint="BF"/>
    </w:rPr>
  </w:style>
  <w:style w:type="character" w:styleId="SubtleReference">
    <w:name w:val="Subtle Reference"/>
    <w:basedOn w:val="DefaultParagraphFont"/>
    <w:uiPriority w:val="31"/>
    <w:qFormat/>
    <w:rsid w:val="00A81685"/>
    <w:rPr>
      <w:smallCaps/>
      <w:color w:val="404040" w:themeColor="text1" w:themeTint="BF"/>
      <w:u w:val="single" w:color="7F7F7F" w:themeColor="text1" w:themeTint="80"/>
    </w:rPr>
  </w:style>
  <w:style w:type="character" w:styleId="BookTitle">
    <w:name w:val="Book Title"/>
    <w:basedOn w:val="DefaultParagraphFont"/>
    <w:uiPriority w:val="33"/>
    <w:qFormat/>
    <w:rsid w:val="00A81685"/>
    <w:rPr>
      <w:b w:val="0"/>
      <w:bCs w:val="0"/>
      <w:smallCaps/>
      <w:spacing w:val="5"/>
    </w:rPr>
  </w:style>
  <w:style w:type="table" w:styleId="TableGrid">
    <w:name w:val="Table Grid"/>
    <w:basedOn w:val="TableNormal"/>
    <w:uiPriority w:val="39"/>
    <w:rsid w:val="00A318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5801D1-0598-4428-A3AD-46A0B6E05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4052</Words>
  <Characters>23102</Characters>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2025-10-09T14:40:00Z</dcterms:created>
  <dcterms:modified xsi:type="dcterms:W3CDTF">2025-10-09T15:49:00Z</dcterms:modified>
</cp:coreProperties>
</file>