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675E" w:rsidRDefault="005C675E" w:rsidP="005C675E">
      <w:pPr>
        <w:pStyle w:val="NormalWeb"/>
        <w:spacing w:before="0" w:beforeAutospacing="0" w:after="0" w:afterAutospacing="0"/>
        <w:ind w:left="-180" w:right="-334"/>
      </w:pPr>
      <w:r>
        <w:rPr>
          <w:noProof/>
        </w:rPr>
        <w:drawing>
          <wp:inline distT="0" distB="0" distL="0" distR="0" wp14:anchorId="7F10093E" wp14:editId="253F95A6">
            <wp:extent cx="1907540" cy="635635"/>
            <wp:effectExtent l="25400" t="25400" r="10160" b="1206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rsidR="005C675E" w:rsidRDefault="005C675E" w:rsidP="005C675E">
      <w:pPr>
        <w:pStyle w:val="NormalWeb"/>
        <w:spacing w:before="0" w:beforeAutospacing="0" w:after="0" w:afterAutospacing="0"/>
        <w:ind w:left="-180" w:right="-334"/>
      </w:pPr>
    </w:p>
    <w:p w:rsidR="005C675E" w:rsidRDefault="005C675E" w:rsidP="005C675E">
      <w:pPr>
        <w:pStyle w:val="NormalWeb"/>
        <w:spacing w:before="0" w:beforeAutospacing="0" w:after="0" w:afterAutospacing="0"/>
        <w:ind w:left="-180" w:right="-334"/>
      </w:pPr>
    </w:p>
    <w:p w:rsidR="005C675E" w:rsidRDefault="005C675E" w:rsidP="005C675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5C675E" w:rsidRPr="00230F35" w:rsidRDefault="005C675E" w:rsidP="005C675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5C675E" w:rsidRPr="00230F35" w:rsidRDefault="005C675E" w:rsidP="005C675E">
      <w:pPr>
        <w:rPr>
          <w:rFonts w:ascii="Arial" w:hAnsi="Arial" w:cs="Arial"/>
          <w:sz w:val="28"/>
          <w:szCs w:val="28"/>
          <w:lang w:val="cy-GB"/>
        </w:rPr>
      </w:pPr>
    </w:p>
    <w:p w:rsidR="005C675E" w:rsidRDefault="005C675E" w:rsidP="005C675E">
      <w:pPr>
        <w:pStyle w:val="Heading3"/>
        <w:jc w:val="center"/>
        <w:rPr>
          <w:lang w:val="cy-GB"/>
        </w:rPr>
      </w:pPr>
      <w:r>
        <w:rPr>
          <w:lang w:val="cy-GB"/>
        </w:rPr>
        <w:t>THIS SHEET MUST BE THE FIRST PAGE OF THE ASSIGNMENT YOU ARE SUBMITTING  (DO NOT SEND AS A SEPARATE FILE)</w:t>
      </w:r>
    </w:p>
    <w:p w:rsidR="005C675E" w:rsidRDefault="005C675E" w:rsidP="005C675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C675E" w:rsidRPr="00230F35" w:rsidTr="00117EEB">
        <w:trPr>
          <w:trHeight w:val="614"/>
        </w:trPr>
        <w:tc>
          <w:tcPr>
            <w:tcW w:w="8856" w:type="dxa"/>
            <w:gridSpan w:val="5"/>
          </w:tcPr>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C675E" w:rsidRPr="00230F35" w:rsidTr="00117EEB">
        <w:trPr>
          <w:trHeight w:val="718"/>
        </w:trPr>
        <w:tc>
          <w:tcPr>
            <w:tcW w:w="8856" w:type="dxa"/>
            <w:gridSpan w:val="5"/>
          </w:tcPr>
          <w:p w:rsidR="005C675E"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5C675E" w:rsidRPr="00230F35" w:rsidRDefault="005C675E" w:rsidP="00117EEB">
            <w:pPr>
              <w:pStyle w:val="NormalWeb"/>
              <w:spacing w:before="0" w:beforeAutospacing="0" w:after="0" w:afterAutospacing="0"/>
              <w:ind w:right="34"/>
              <w:rPr>
                <w:rFonts w:ascii="Arial" w:hAnsi="Arial" w:cs="Arial"/>
                <w:sz w:val="22"/>
                <w:szCs w:val="22"/>
              </w:rPr>
            </w:pPr>
            <w:r>
              <w:rPr>
                <w:rFonts w:ascii="Arial" w:hAnsi="Arial" w:cs="Arial"/>
                <w:sz w:val="22"/>
                <w:szCs w:val="22"/>
              </w:rPr>
              <w:t>Danielle Marie Goldstein</w:t>
            </w:r>
          </w:p>
        </w:tc>
      </w:tr>
      <w:tr w:rsidR="005C675E" w:rsidRPr="00230F35" w:rsidTr="00117EEB">
        <w:trPr>
          <w:trHeight w:val="849"/>
        </w:trPr>
        <w:tc>
          <w:tcPr>
            <w:tcW w:w="4788" w:type="dxa"/>
          </w:tcPr>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F71B8">
              <w:rPr>
                <w:rFonts w:ascii="Arial" w:hAnsi="Arial" w:cs="Arial"/>
                <w:sz w:val="22"/>
                <w:szCs w:val="22"/>
              </w:rPr>
              <w:t xml:space="preserve"> HPCA7008</w:t>
            </w:r>
          </w:p>
          <w:p w:rsidR="005C675E" w:rsidRPr="00230F35" w:rsidRDefault="005C675E" w:rsidP="00117EEB">
            <w:pPr>
              <w:pStyle w:val="NormalWeb"/>
              <w:spacing w:before="0" w:beforeAutospacing="0" w:after="0" w:afterAutospacing="0"/>
              <w:ind w:right="34"/>
              <w:rPr>
                <w:rFonts w:ascii="Arial" w:hAnsi="Arial" w:cs="Arial"/>
                <w:sz w:val="22"/>
                <w:szCs w:val="22"/>
              </w:rPr>
            </w:pPr>
          </w:p>
          <w:p w:rsidR="005C675E"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AF71B8">
              <w:rPr>
                <w:rFonts w:ascii="Arial" w:hAnsi="Arial" w:cs="Arial"/>
                <w:sz w:val="22"/>
                <w:szCs w:val="22"/>
              </w:rPr>
              <w:t>Heavenly Discourses</w:t>
            </w:r>
          </w:p>
          <w:p w:rsidR="005C675E" w:rsidRDefault="005C675E" w:rsidP="00117EEB">
            <w:pPr>
              <w:pStyle w:val="NormalWeb"/>
              <w:spacing w:before="0" w:beforeAutospacing="0" w:after="0" w:afterAutospacing="0"/>
              <w:ind w:right="34"/>
              <w:rPr>
                <w:rFonts w:ascii="Arial" w:hAnsi="Arial" w:cs="Arial"/>
                <w:sz w:val="22"/>
                <w:szCs w:val="22"/>
              </w:rPr>
            </w:pPr>
          </w:p>
          <w:p w:rsidR="005C675E" w:rsidRPr="00230F35" w:rsidRDefault="005C675E" w:rsidP="00117EEB">
            <w:pPr>
              <w:pStyle w:val="NormalWeb"/>
              <w:spacing w:before="0" w:beforeAutospacing="0" w:after="0" w:afterAutospacing="0"/>
              <w:ind w:right="34"/>
              <w:rPr>
                <w:rFonts w:ascii="Arial" w:hAnsi="Arial" w:cs="Arial"/>
                <w:sz w:val="22"/>
                <w:szCs w:val="22"/>
              </w:rPr>
            </w:pPr>
          </w:p>
        </w:tc>
        <w:tc>
          <w:tcPr>
            <w:tcW w:w="2266" w:type="dxa"/>
            <w:gridSpan w:val="3"/>
          </w:tcPr>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171</w:t>
            </w:r>
            <w:r w:rsidRPr="001F0E97">
              <w:rPr>
                <w:rFonts w:ascii="Arial" w:hAnsi="Arial" w:cs="Arial"/>
                <w:sz w:val="22"/>
                <w:szCs w:val="22"/>
              </w:rPr>
              <w:t>0933</w:t>
            </w:r>
          </w:p>
        </w:tc>
        <w:tc>
          <w:tcPr>
            <w:tcW w:w="1802" w:type="dxa"/>
          </w:tcPr>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5C675E" w:rsidRPr="00230F35" w:rsidTr="00117EEB">
        <w:trPr>
          <w:trHeight w:val="1139"/>
        </w:trPr>
        <w:tc>
          <w:tcPr>
            <w:tcW w:w="8856" w:type="dxa"/>
            <w:gridSpan w:val="5"/>
          </w:tcPr>
          <w:p w:rsidR="005C675E" w:rsidRDefault="005C675E" w:rsidP="00117EEB">
            <w:r>
              <w:rPr>
                <w:rFonts w:ascii="Arial" w:hAnsi="Arial" w:cs="Arial"/>
                <w:sz w:val="22"/>
                <w:szCs w:val="22"/>
              </w:rPr>
              <w:t xml:space="preserve">Module tutor:  </w:t>
            </w:r>
            <w:r w:rsidR="000D5386">
              <w:rPr>
                <w:rFonts w:ascii="Arial" w:hAnsi="Arial" w:cs="Arial"/>
                <w:sz w:val="22"/>
                <w:szCs w:val="22"/>
              </w:rPr>
              <w:t>Darrelyn Gunzburg</w:t>
            </w:r>
            <w:r w:rsidR="00AF71B8">
              <w:rPr>
                <w:rFonts w:ascii="Arial" w:hAnsi="Arial" w:cs="Arial"/>
                <w:sz w:val="22"/>
                <w:szCs w:val="22"/>
              </w:rPr>
              <w:t xml:space="preserve">, </w:t>
            </w:r>
            <w:r>
              <w:rPr>
                <w:rFonts w:ascii="Arial" w:hAnsi="Arial" w:cs="Arial"/>
                <w:sz w:val="22"/>
                <w:szCs w:val="22"/>
              </w:rPr>
              <w:t>Bernadette Brady</w:t>
            </w:r>
            <w:r w:rsidR="00AF71B8">
              <w:rPr>
                <w:rFonts w:ascii="Arial" w:hAnsi="Arial" w:cs="Arial"/>
                <w:sz w:val="22"/>
                <w:szCs w:val="22"/>
              </w:rPr>
              <w:t xml:space="preserve"> and Nick Campion </w:t>
            </w:r>
          </w:p>
          <w:p w:rsidR="005C675E" w:rsidRPr="00230F35" w:rsidRDefault="005C675E" w:rsidP="00117EEB">
            <w:pPr>
              <w:pStyle w:val="NormalWeb"/>
              <w:spacing w:before="0" w:beforeAutospacing="0" w:after="0" w:afterAutospacing="0"/>
              <w:ind w:right="34"/>
              <w:rPr>
                <w:rFonts w:ascii="Arial" w:hAnsi="Arial" w:cs="Arial"/>
                <w:sz w:val="22"/>
                <w:szCs w:val="22"/>
              </w:rPr>
            </w:pPr>
          </w:p>
          <w:p w:rsidR="005C675E" w:rsidRPr="00230F35" w:rsidRDefault="005C675E" w:rsidP="00117EEB">
            <w:pPr>
              <w:pStyle w:val="NormalWeb"/>
              <w:spacing w:before="0" w:beforeAutospacing="0" w:after="0" w:afterAutospacing="0"/>
              <w:ind w:right="34"/>
              <w:rPr>
                <w:rFonts w:ascii="Arial" w:hAnsi="Arial" w:cs="Arial"/>
                <w:sz w:val="22"/>
                <w:szCs w:val="22"/>
              </w:rPr>
            </w:pPr>
          </w:p>
          <w:p w:rsidR="005C675E" w:rsidRDefault="005C675E" w:rsidP="00117EEB">
            <w:pPr>
              <w:pStyle w:val="NormalWeb"/>
              <w:spacing w:before="0" w:beforeAutospacing="0" w:after="0" w:afterAutospacing="0"/>
              <w:ind w:right="34"/>
              <w:rPr>
                <w:rFonts w:ascii="Arial" w:hAnsi="Arial" w:cs="Arial"/>
                <w:sz w:val="22"/>
                <w:szCs w:val="22"/>
              </w:rPr>
            </w:pPr>
          </w:p>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M</w:t>
            </w:r>
            <w:r w:rsidR="00AF71B8">
              <w:rPr>
                <w:rFonts w:ascii="Arial" w:hAnsi="Arial" w:cs="Arial"/>
                <w:sz w:val="22"/>
                <w:szCs w:val="22"/>
              </w:rPr>
              <w:t>ay 31st</w:t>
            </w:r>
            <w:r>
              <w:rPr>
                <w:rFonts w:ascii="Arial" w:hAnsi="Arial" w:cs="Arial"/>
                <w:sz w:val="22"/>
                <w:szCs w:val="22"/>
              </w:rPr>
              <w:t>, 2019</w:t>
            </w:r>
          </w:p>
        </w:tc>
      </w:tr>
      <w:tr w:rsidR="005C675E" w:rsidRPr="00230F35" w:rsidTr="00117EEB">
        <w:trPr>
          <w:trHeight w:val="978"/>
        </w:trPr>
        <w:tc>
          <w:tcPr>
            <w:tcW w:w="8856" w:type="dxa"/>
            <w:gridSpan w:val="5"/>
            <w:tcBorders>
              <w:bottom w:val="single" w:sz="4" w:space="0" w:color="000000"/>
            </w:tcBorders>
          </w:tcPr>
          <w:p w:rsidR="005C675E" w:rsidRDefault="005C675E" w:rsidP="00117EEB">
            <w:pPr>
              <w:rPr>
                <w:rFonts w:ascii="Arial" w:hAnsi="Arial" w:cs="Arial"/>
                <w:sz w:val="22"/>
                <w:szCs w:val="22"/>
              </w:rPr>
            </w:pPr>
            <w:r>
              <w:rPr>
                <w:rFonts w:ascii="Arial" w:hAnsi="Arial" w:cs="Arial"/>
                <w:sz w:val="22"/>
                <w:szCs w:val="22"/>
              </w:rPr>
              <w:t xml:space="preserve">If your module has multiple </w:t>
            </w:r>
            <w:r w:rsidR="00BE2C60">
              <w:rPr>
                <w:rFonts w:ascii="Arial" w:hAnsi="Arial" w:cs="Arial"/>
                <w:sz w:val="22"/>
                <w:szCs w:val="22"/>
              </w:rPr>
              <w:t>submissions,</w:t>
            </w:r>
            <w:r>
              <w:rPr>
                <w:rFonts w:ascii="Arial" w:hAnsi="Arial" w:cs="Arial"/>
                <w:sz w:val="22"/>
                <w:szCs w:val="22"/>
              </w:rPr>
              <w:t xml:space="preserve"> please indicate which piece of work this is.</w:t>
            </w:r>
          </w:p>
          <w:p w:rsidR="005C675E" w:rsidRDefault="005C675E" w:rsidP="00117EEB">
            <w:pPr>
              <w:rPr>
                <w:rFonts w:ascii="Arial" w:hAnsi="Arial" w:cs="Arial"/>
                <w:sz w:val="22"/>
                <w:szCs w:val="22"/>
              </w:rPr>
            </w:pPr>
          </w:p>
          <w:p w:rsidR="005C675E" w:rsidRPr="00230F35" w:rsidRDefault="005C675E" w:rsidP="00117EEB">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Arial" w:hAnsi="Arial" w:cs="Arial"/>
                <w:sz w:val="22"/>
                <w:szCs w:val="22"/>
              </w:rPr>
              <w:t>X</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302D16">
              <w:rPr>
                <w:rFonts w:ascii="Arial" w:hAnsi="Arial" w:cs="Arial"/>
                <w:sz w:val="22"/>
                <w:szCs w:val="22"/>
              </w:rPr>
            </w:r>
            <w:r w:rsidR="00302D16">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302D16">
              <w:rPr>
                <w:rFonts w:ascii="Arial" w:hAnsi="Arial" w:cs="Arial"/>
                <w:sz w:val="22"/>
                <w:szCs w:val="22"/>
              </w:rPr>
            </w:r>
            <w:r w:rsidR="00302D16">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302D16">
              <w:rPr>
                <w:rFonts w:ascii="Arial" w:hAnsi="Arial" w:cs="Arial"/>
                <w:sz w:val="22"/>
                <w:szCs w:val="22"/>
              </w:rPr>
            </w:r>
            <w:r w:rsidR="00302D16">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302D16">
              <w:rPr>
                <w:rFonts w:ascii="Arial" w:hAnsi="Arial" w:cs="Arial"/>
                <w:sz w:val="22"/>
                <w:szCs w:val="22"/>
              </w:rPr>
            </w:r>
            <w:r w:rsidR="00302D16">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302D16">
              <w:rPr>
                <w:rFonts w:ascii="Arial" w:hAnsi="Arial" w:cs="Arial"/>
                <w:sz w:val="22"/>
                <w:szCs w:val="22"/>
              </w:rPr>
            </w:r>
            <w:r w:rsidR="00302D16">
              <w:rPr>
                <w:rFonts w:ascii="Arial" w:hAnsi="Arial" w:cs="Arial"/>
                <w:sz w:val="22"/>
                <w:szCs w:val="22"/>
              </w:rPr>
              <w:fldChar w:fldCharType="separate"/>
            </w:r>
            <w:r w:rsidRPr="00230F35">
              <w:rPr>
                <w:rFonts w:ascii="Arial" w:hAnsi="Arial" w:cs="Arial"/>
                <w:sz w:val="22"/>
                <w:szCs w:val="22"/>
              </w:rPr>
              <w:fldChar w:fldCharType="end"/>
            </w:r>
            <w:bookmarkEnd w:id="4"/>
          </w:p>
        </w:tc>
      </w:tr>
      <w:tr w:rsidR="005C675E" w:rsidRPr="00230F35" w:rsidTr="00117EEB">
        <w:trPr>
          <w:trHeight w:val="978"/>
        </w:trPr>
        <w:tc>
          <w:tcPr>
            <w:tcW w:w="8856" w:type="dxa"/>
            <w:gridSpan w:val="5"/>
            <w:shd w:val="clear" w:color="auto" w:fill="D9D9D9"/>
          </w:tcPr>
          <w:p w:rsidR="005C675E" w:rsidRPr="00230F35"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5C675E" w:rsidRDefault="005C675E" w:rsidP="00117EE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Danielle Marie Goldstein</w:t>
            </w:r>
          </w:p>
          <w:p w:rsidR="005C675E" w:rsidRDefault="005C675E" w:rsidP="00117EE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Calibri" w:hAnsi="Calibri" w:cs="Calibri"/>
                <w:b/>
                <w:sz w:val="44"/>
                <w:szCs w:val="44"/>
              </w:rPr>
              <w:t>X</w:t>
            </w:r>
          </w:p>
          <w:p w:rsidR="005C675E" w:rsidRPr="00230F35" w:rsidRDefault="005C675E" w:rsidP="00117EEB">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C675E" w:rsidRPr="00230F35" w:rsidTr="00117EEB">
        <w:trPr>
          <w:trHeight w:val="3972"/>
        </w:trPr>
        <w:tc>
          <w:tcPr>
            <w:tcW w:w="8856" w:type="dxa"/>
            <w:gridSpan w:val="5"/>
          </w:tcPr>
          <w:p w:rsidR="005C675E" w:rsidRDefault="005C675E" w:rsidP="00117EEB">
            <w:pPr>
              <w:rPr>
                <w:rFonts w:ascii="Arial" w:hAnsi="Arial"/>
                <w:b/>
              </w:rPr>
            </w:pPr>
          </w:p>
          <w:p w:rsidR="005C675E" w:rsidRPr="00116CE6" w:rsidRDefault="005C675E" w:rsidP="00117EE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675E" w:rsidRPr="00116CE6" w:rsidTr="00117EEB">
              <w:tc>
                <w:tcPr>
                  <w:tcW w:w="6970" w:type="dxa"/>
                </w:tcPr>
                <w:p w:rsidR="005C675E" w:rsidRPr="00116CE6" w:rsidRDefault="005C675E" w:rsidP="00117EEB">
                  <w:pPr>
                    <w:rPr>
                      <w:rFonts w:ascii="Arial" w:hAnsi="Arial"/>
                      <w:sz w:val="20"/>
                      <w:szCs w:val="20"/>
                    </w:rPr>
                  </w:pPr>
                </w:p>
                <w:p w:rsidR="005C675E" w:rsidRPr="00116CE6" w:rsidRDefault="005C675E" w:rsidP="00117EE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5C675E" w:rsidRPr="00116CE6" w:rsidRDefault="005C675E" w:rsidP="00117EEB">
                  <w:pPr>
                    <w:rPr>
                      <w:rFonts w:ascii="Arial" w:hAnsi="Arial"/>
                      <w:sz w:val="20"/>
                      <w:szCs w:val="20"/>
                    </w:rPr>
                  </w:pPr>
                </w:p>
              </w:tc>
            </w:tr>
            <w:tr w:rsidR="005C675E" w:rsidRPr="00116CE6" w:rsidTr="00117EEB">
              <w:tc>
                <w:tcPr>
                  <w:tcW w:w="6970" w:type="dxa"/>
                </w:tcPr>
                <w:p w:rsidR="005C675E" w:rsidRPr="00116CE6" w:rsidRDefault="005C675E" w:rsidP="00117EEB">
                  <w:pPr>
                    <w:rPr>
                      <w:rFonts w:ascii="Arial" w:hAnsi="Arial"/>
                      <w:sz w:val="20"/>
                      <w:szCs w:val="20"/>
                    </w:rPr>
                  </w:pPr>
                </w:p>
                <w:p w:rsidR="005C675E" w:rsidRPr="00116CE6" w:rsidRDefault="005C675E" w:rsidP="00117EE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5C675E" w:rsidRPr="00116CE6" w:rsidRDefault="005C675E" w:rsidP="00117EEB">
                  <w:pPr>
                    <w:rPr>
                      <w:rFonts w:ascii="Arial" w:hAnsi="Arial"/>
                      <w:sz w:val="20"/>
                      <w:szCs w:val="20"/>
                    </w:rPr>
                  </w:pPr>
                </w:p>
              </w:tc>
            </w:tr>
            <w:tr w:rsidR="005C675E" w:rsidRPr="00116CE6" w:rsidTr="00117EEB">
              <w:tc>
                <w:tcPr>
                  <w:tcW w:w="6970" w:type="dxa"/>
                </w:tcPr>
                <w:p w:rsidR="005C675E" w:rsidRPr="006367FD" w:rsidRDefault="005C675E" w:rsidP="00117EEB">
                  <w:pPr>
                    <w:rPr>
                      <w:rFonts w:ascii="Arial" w:hAnsi="Arial"/>
                      <w:color w:val="000000"/>
                      <w:sz w:val="20"/>
                      <w:szCs w:val="20"/>
                    </w:rPr>
                  </w:pPr>
                  <w:r w:rsidRPr="006367FD">
                    <w:rPr>
                      <w:rFonts w:ascii="Arial" w:hAnsi="Arial"/>
                      <w:color w:val="000000"/>
                      <w:sz w:val="20"/>
                      <w:szCs w:val="20"/>
                    </w:rPr>
                    <w:t xml:space="preserve">Agreed Internal Mark: </w:t>
                  </w:r>
                </w:p>
                <w:p w:rsidR="005C675E" w:rsidRPr="00E14D2E" w:rsidRDefault="005C675E" w:rsidP="00117EEB">
                  <w:pPr>
                    <w:rPr>
                      <w:rFonts w:ascii="Arial" w:hAnsi="Arial"/>
                      <w:sz w:val="20"/>
                      <w:szCs w:val="20"/>
                      <w:highlight w:val="yellow"/>
                    </w:rPr>
                  </w:pPr>
                </w:p>
              </w:tc>
              <w:tc>
                <w:tcPr>
                  <w:tcW w:w="1660" w:type="dxa"/>
                </w:tcPr>
                <w:p w:rsidR="005C675E" w:rsidRPr="00E14D2E" w:rsidRDefault="005C675E" w:rsidP="00117EEB">
                  <w:pPr>
                    <w:rPr>
                      <w:rFonts w:ascii="Arial" w:hAnsi="Arial"/>
                      <w:sz w:val="20"/>
                      <w:szCs w:val="20"/>
                      <w:highlight w:val="yellow"/>
                    </w:rPr>
                  </w:pPr>
                </w:p>
              </w:tc>
            </w:tr>
            <w:tr w:rsidR="005C675E" w:rsidRPr="00116CE6" w:rsidTr="00117EEB">
              <w:tc>
                <w:tcPr>
                  <w:tcW w:w="6970" w:type="dxa"/>
                </w:tcPr>
                <w:p w:rsidR="005C675E" w:rsidRPr="00116CE6" w:rsidRDefault="005C675E" w:rsidP="00117EEB">
                  <w:pPr>
                    <w:rPr>
                      <w:rFonts w:ascii="Arial" w:hAnsi="Arial"/>
                      <w:sz w:val="20"/>
                      <w:szCs w:val="20"/>
                    </w:rPr>
                  </w:pPr>
                </w:p>
                <w:p w:rsidR="005C675E" w:rsidRPr="00116CE6" w:rsidRDefault="005C675E" w:rsidP="00117EE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5C675E" w:rsidRPr="00116CE6" w:rsidRDefault="005C675E" w:rsidP="00117EEB">
                  <w:pPr>
                    <w:rPr>
                      <w:rFonts w:ascii="Arial" w:hAnsi="Arial"/>
                      <w:sz w:val="20"/>
                      <w:szCs w:val="20"/>
                    </w:rPr>
                  </w:pPr>
                </w:p>
              </w:tc>
            </w:tr>
            <w:tr w:rsidR="005C675E" w:rsidRPr="00116CE6" w:rsidTr="00117EEB">
              <w:tc>
                <w:tcPr>
                  <w:tcW w:w="6970" w:type="dxa"/>
                </w:tcPr>
                <w:p w:rsidR="005C675E" w:rsidRDefault="005C675E" w:rsidP="00117EEB">
                  <w:pPr>
                    <w:rPr>
                      <w:rFonts w:ascii="Arial" w:hAnsi="Arial"/>
                      <w:sz w:val="20"/>
                      <w:szCs w:val="20"/>
                    </w:rPr>
                  </w:pPr>
                </w:p>
                <w:p w:rsidR="005C675E" w:rsidRPr="00022345" w:rsidRDefault="005C675E" w:rsidP="00117EEB">
                  <w:pPr>
                    <w:rPr>
                      <w:rFonts w:ascii="Arial" w:hAnsi="Arial"/>
                      <w:b/>
                      <w:sz w:val="20"/>
                      <w:szCs w:val="20"/>
                    </w:rPr>
                  </w:pPr>
                  <w:r w:rsidRPr="00022345">
                    <w:rPr>
                      <w:rFonts w:ascii="Arial" w:hAnsi="Arial"/>
                      <w:b/>
                      <w:sz w:val="20"/>
                      <w:szCs w:val="20"/>
                    </w:rPr>
                    <w:t>Final Mark</w:t>
                  </w:r>
                </w:p>
                <w:p w:rsidR="005C675E" w:rsidRPr="00116CE6" w:rsidRDefault="005C675E" w:rsidP="00117EEB">
                  <w:pPr>
                    <w:rPr>
                      <w:rFonts w:ascii="Arial" w:hAnsi="Arial"/>
                      <w:sz w:val="20"/>
                      <w:szCs w:val="20"/>
                    </w:rPr>
                  </w:pPr>
                </w:p>
              </w:tc>
              <w:tc>
                <w:tcPr>
                  <w:tcW w:w="1660" w:type="dxa"/>
                </w:tcPr>
                <w:p w:rsidR="005C675E" w:rsidRPr="00116CE6" w:rsidRDefault="005C675E" w:rsidP="00117EEB">
                  <w:pPr>
                    <w:rPr>
                      <w:rFonts w:ascii="Arial" w:hAnsi="Arial"/>
                      <w:sz w:val="20"/>
                      <w:szCs w:val="20"/>
                    </w:rPr>
                  </w:pPr>
                </w:p>
              </w:tc>
            </w:tr>
          </w:tbl>
          <w:p w:rsidR="005C675E" w:rsidRDefault="005C675E" w:rsidP="00117EEB">
            <w:pPr>
              <w:pStyle w:val="NormalWeb"/>
              <w:spacing w:before="0" w:beforeAutospacing="0" w:after="0" w:afterAutospacing="0"/>
              <w:ind w:left="142" w:right="34"/>
              <w:rPr>
                <w:rFonts w:ascii="Arial" w:hAnsi="Arial" w:cs="Arial"/>
                <w:b/>
                <w:sz w:val="22"/>
                <w:szCs w:val="22"/>
              </w:rPr>
            </w:pPr>
          </w:p>
          <w:p w:rsidR="005C675E" w:rsidRPr="00230F35" w:rsidRDefault="005C675E" w:rsidP="00117EE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5C675E" w:rsidRDefault="005C675E" w:rsidP="00117EEB">
            <w:pPr>
              <w:pStyle w:val="NormalWeb"/>
              <w:spacing w:before="0" w:beforeAutospacing="0" w:after="0" w:afterAutospacing="0"/>
              <w:rPr>
                <w:rFonts w:ascii="Arial" w:hAnsi="Arial" w:cs="Arial"/>
                <w:b/>
                <w:sz w:val="22"/>
                <w:szCs w:val="22"/>
              </w:rPr>
            </w:pPr>
          </w:p>
          <w:p w:rsidR="005C675E" w:rsidRDefault="005C675E" w:rsidP="00117EEB">
            <w:pPr>
              <w:pStyle w:val="NormalWeb"/>
              <w:spacing w:before="0" w:beforeAutospacing="0" w:after="0" w:afterAutospacing="0"/>
              <w:rPr>
                <w:rFonts w:ascii="Arial" w:hAnsi="Arial" w:cs="Arial"/>
                <w:b/>
                <w:sz w:val="22"/>
                <w:szCs w:val="22"/>
              </w:rPr>
            </w:pPr>
          </w:p>
          <w:p w:rsidR="005C675E" w:rsidRDefault="005C675E" w:rsidP="00117EEB">
            <w:pPr>
              <w:pStyle w:val="NormalWeb"/>
              <w:spacing w:before="0" w:beforeAutospacing="0" w:after="0" w:afterAutospacing="0"/>
              <w:rPr>
                <w:rFonts w:ascii="Arial" w:hAnsi="Arial" w:cs="Arial"/>
                <w:b/>
                <w:sz w:val="22"/>
                <w:szCs w:val="22"/>
              </w:rPr>
            </w:pPr>
          </w:p>
          <w:p w:rsidR="005C675E" w:rsidRDefault="005C675E" w:rsidP="00117EEB">
            <w:pPr>
              <w:pStyle w:val="NormalWeb"/>
              <w:spacing w:before="0" w:beforeAutospacing="0" w:after="0" w:afterAutospacing="0"/>
              <w:rPr>
                <w:rFonts w:ascii="Arial" w:hAnsi="Arial" w:cs="Arial"/>
                <w:b/>
                <w:sz w:val="22"/>
                <w:szCs w:val="22"/>
              </w:rPr>
            </w:pPr>
          </w:p>
          <w:p w:rsidR="005C675E" w:rsidRPr="00230F35" w:rsidRDefault="005C675E" w:rsidP="00117EE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r w:rsidR="00BE2C60" w:rsidRPr="00230F35">
              <w:rPr>
                <w:rFonts w:ascii="Arial" w:hAnsi="Arial" w:cs="Arial"/>
                <w:b/>
                <w:sz w:val="22"/>
                <w:szCs w:val="22"/>
              </w:rPr>
              <w:t>1:</w:t>
            </w:r>
          </w:p>
          <w:p w:rsidR="005C675E" w:rsidRDefault="005C675E" w:rsidP="00117EE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5C675E" w:rsidRPr="00001C3B" w:rsidRDefault="005C675E" w:rsidP="00117EEB">
            <w:pPr>
              <w:pStyle w:val="NormalWeb"/>
              <w:rPr>
                <w:rFonts w:ascii="Arial" w:hAnsi="Arial" w:cs="Arial"/>
                <w:sz w:val="22"/>
                <w:szCs w:val="22"/>
              </w:rPr>
            </w:pPr>
          </w:p>
        </w:tc>
      </w:tr>
      <w:tr w:rsidR="005C675E" w:rsidRPr="00230F35" w:rsidTr="00117EEB">
        <w:trPr>
          <w:trHeight w:val="492"/>
        </w:trPr>
        <w:tc>
          <w:tcPr>
            <w:tcW w:w="6768" w:type="dxa"/>
            <w:gridSpan w:val="3"/>
          </w:tcPr>
          <w:p w:rsidR="005C675E" w:rsidRPr="00230F35" w:rsidRDefault="005C675E" w:rsidP="00117EE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5C675E" w:rsidRPr="00230F35" w:rsidRDefault="005C675E" w:rsidP="00117EEB">
            <w:pPr>
              <w:pStyle w:val="NormalWeb"/>
              <w:spacing w:after="0"/>
              <w:ind w:left="142" w:right="34"/>
              <w:rPr>
                <w:rFonts w:ascii="Arial" w:hAnsi="Arial" w:cs="Arial"/>
                <w:sz w:val="22"/>
                <w:szCs w:val="22"/>
              </w:rPr>
            </w:pPr>
            <w:r w:rsidRPr="00230F35">
              <w:rPr>
                <w:rFonts w:ascii="Arial" w:hAnsi="Arial" w:cs="Arial"/>
                <w:sz w:val="22"/>
                <w:szCs w:val="22"/>
              </w:rPr>
              <w:t>Date:</w:t>
            </w:r>
          </w:p>
        </w:tc>
      </w:tr>
      <w:tr w:rsidR="005C675E" w:rsidRPr="002F467C" w:rsidTr="00117EEB">
        <w:tc>
          <w:tcPr>
            <w:tcW w:w="8856" w:type="dxa"/>
            <w:gridSpan w:val="5"/>
          </w:tcPr>
          <w:p w:rsidR="005C675E" w:rsidRPr="00230F35" w:rsidRDefault="005C675E" w:rsidP="00117EEB">
            <w:pPr>
              <w:pStyle w:val="NormalWeb"/>
              <w:spacing w:before="0" w:beforeAutospacing="0" w:after="0" w:afterAutospacing="0"/>
              <w:ind w:right="-334"/>
              <w:rPr>
                <w:rFonts w:ascii="Arial" w:hAnsi="Arial" w:cs="Arial"/>
                <w:bCs/>
                <w:i/>
                <w:sz w:val="22"/>
                <w:szCs w:val="22"/>
              </w:rPr>
            </w:pPr>
          </w:p>
          <w:p w:rsidR="005C675E" w:rsidRPr="00230F35" w:rsidRDefault="005C675E" w:rsidP="00117EE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5C675E" w:rsidRPr="00230F35" w:rsidRDefault="005C675E" w:rsidP="00117EEB">
            <w:pPr>
              <w:pStyle w:val="NormalWeb"/>
              <w:spacing w:before="0" w:beforeAutospacing="0" w:after="0" w:afterAutospacing="0"/>
              <w:ind w:right="-334"/>
              <w:rPr>
                <w:rFonts w:ascii="Arial" w:hAnsi="Arial" w:cs="Arial"/>
                <w:b/>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5C675E" w:rsidRPr="00230F35" w:rsidRDefault="005C675E" w:rsidP="00117EEB">
            <w:pPr>
              <w:pStyle w:val="NormalWeb"/>
              <w:spacing w:before="0" w:beforeAutospacing="0" w:after="0" w:afterAutospacing="0"/>
              <w:ind w:right="-334"/>
              <w:rPr>
                <w:rFonts w:ascii="Arial" w:hAnsi="Arial" w:cs="Arial"/>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p>
        </w:tc>
      </w:tr>
      <w:tr w:rsidR="005C675E" w:rsidRPr="002F467C" w:rsidTr="00117EEB">
        <w:trPr>
          <w:trHeight w:val="720"/>
        </w:trPr>
        <w:tc>
          <w:tcPr>
            <w:tcW w:w="5211" w:type="dxa"/>
            <w:gridSpan w:val="2"/>
          </w:tcPr>
          <w:p w:rsidR="005C675E" w:rsidRPr="00230F35" w:rsidRDefault="005C675E" w:rsidP="00117E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5C675E" w:rsidRPr="00230F35" w:rsidRDefault="005C675E" w:rsidP="00117EE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C675E" w:rsidRPr="002F467C" w:rsidTr="00117EEB">
        <w:trPr>
          <w:trHeight w:val="720"/>
        </w:trPr>
        <w:tc>
          <w:tcPr>
            <w:tcW w:w="8856" w:type="dxa"/>
            <w:gridSpan w:val="5"/>
          </w:tcPr>
          <w:p w:rsidR="005C675E" w:rsidRPr="006367FD" w:rsidRDefault="005C675E" w:rsidP="00117EEB">
            <w:pPr>
              <w:rPr>
                <w:rFonts w:ascii="Arial" w:hAnsi="Arial" w:cs="Arial"/>
                <w:b/>
                <w:sz w:val="22"/>
                <w:szCs w:val="22"/>
              </w:rPr>
            </w:pPr>
            <w:r w:rsidRPr="006367FD">
              <w:rPr>
                <w:rFonts w:ascii="Arial" w:hAnsi="Arial" w:cs="Arial"/>
                <w:b/>
                <w:sz w:val="22"/>
                <w:szCs w:val="22"/>
              </w:rPr>
              <w:t>AGREED INTERNAL MARK (where necessary):</w:t>
            </w:r>
          </w:p>
          <w:p w:rsidR="005C675E" w:rsidRPr="006367FD" w:rsidRDefault="005C675E" w:rsidP="00117EEB">
            <w:pPr>
              <w:rPr>
                <w:rFonts w:ascii="Arial" w:hAnsi="Arial" w:cs="Arial"/>
                <w:b/>
                <w:sz w:val="22"/>
                <w:szCs w:val="22"/>
              </w:rPr>
            </w:pPr>
          </w:p>
          <w:p w:rsidR="005C675E" w:rsidRDefault="005C675E" w:rsidP="00117EEB">
            <w:pPr>
              <w:rPr>
                <w:rFonts w:ascii="Arial" w:hAnsi="Arial" w:cs="Arial"/>
                <w:b/>
                <w:sz w:val="22"/>
                <w:szCs w:val="22"/>
              </w:rPr>
            </w:pPr>
            <w:r w:rsidRPr="006367FD">
              <w:rPr>
                <w:rFonts w:ascii="Arial" w:hAnsi="Arial" w:cs="Arial"/>
                <w:b/>
                <w:sz w:val="22"/>
                <w:szCs w:val="22"/>
              </w:rPr>
              <w:t>Comment on process of arriving at agreed mark:</w:t>
            </w: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Default="005C675E" w:rsidP="00117EEB">
            <w:pPr>
              <w:rPr>
                <w:rFonts w:ascii="Arial" w:hAnsi="Arial" w:cs="Arial"/>
                <w:b/>
                <w:sz w:val="22"/>
                <w:szCs w:val="22"/>
              </w:rPr>
            </w:pPr>
          </w:p>
          <w:p w:rsidR="005C675E" w:rsidRPr="00B34964" w:rsidRDefault="005C675E" w:rsidP="00117EEB">
            <w:pPr>
              <w:rPr>
                <w:rFonts w:ascii="Arial" w:hAnsi="Arial" w:cs="Arial"/>
                <w:b/>
                <w:sz w:val="22"/>
                <w:szCs w:val="22"/>
              </w:rPr>
            </w:pPr>
          </w:p>
        </w:tc>
      </w:tr>
      <w:tr w:rsidR="005C675E" w:rsidRPr="002F467C" w:rsidTr="00117EEB">
        <w:trPr>
          <w:trHeight w:val="720"/>
        </w:trPr>
        <w:tc>
          <w:tcPr>
            <w:tcW w:w="8856" w:type="dxa"/>
            <w:gridSpan w:val="5"/>
          </w:tcPr>
          <w:p w:rsidR="005C675E" w:rsidRPr="00B34964" w:rsidRDefault="005C675E" w:rsidP="00117EEB">
            <w:pPr>
              <w:rPr>
                <w:rFonts w:ascii="Arial" w:hAnsi="Arial" w:cs="Arial"/>
                <w:b/>
                <w:sz w:val="22"/>
                <w:szCs w:val="22"/>
              </w:rPr>
            </w:pPr>
            <w:r w:rsidRPr="00B34964">
              <w:rPr>
                <w:rFonts w:ascii="Arial" w:hAnsi="Arial" w:cs="Arial"/>
                <w:b/>
                <w:sz w:val="22"/>
                <w:szCs w:val="22"/>
              </w:rPr>
              <w:t>External Examiner’s comments (if relevant)</w:t>
            </w:r>
          </w:p>
          <w:p w:rsidR="005C675E" w:rsidRDefault="005C675E" w:rsidP="00117EEB">
            <w:pPr>
              <w:pStyle w:val="NormalWeb"/>
              <w:spacing w:before="0" w:beforeAutospacing="0" w:after="0" w:afterAutospacing="0"/>
              <w:ind w:right="-334"/>
              <w:rPr>
                <w:rFonts w:ascii="Arial" w:hAnsi="Arial" w:cs="Arial"/>
                <w:bCs/>
                <w:sz w:val="22"/>
                <w:szCs w:val="22"/>
              </w:rPr>
            </w:pPr>
          </w:p>
          <w:p w:rsidR="005C675E" w:rsidRDefault="005C675E" w:rsidP="00117EEB">
            <w:pPr>
              <w:pStyle w:val="NormalWeb"/>
              <w:spacing w:before="0" w:beforeAutospacing="0" w:after="0" w:afterAutospacing="0"/>
              <w:ind w:right="-334"/>
              <w:rPr>
                <w:rFonts w:ascii="Arial" w:hAnsi="Arial" w:cs="Arial"/>
                <w:bCs/>
                <w:sz w:val="22"/>
                <w:szCs w:val="22"/>
              </w:rPr>
            </w:pPr>
          </w:p>
          <w:p w:rsidR="005C675E" w:rsidRDefault="005C675E" w:rsidP="00117EEB">
            <w:pPr>
              <w:pStyle w:val="NormalWeb"/>
              <w:spacing w:before="0" w:beforeAutospacing="0" w:after="0" w:afterAutospacing="0"/>
              <w:ind w:right="-334"/>
              <w:rPr>
                <w:rFonts w:ascii="Arial" w:hAnsi="Arial" w:cs="Arial"/>
                <w:bCs/>
                <w:sz w:val="22"/>
                <w:szCs w:val="22"/>
              </w:rPr>
            </w:pPr>
          </w:p>
          <w:p w:rsidR="005C675E" w:rsidRDefault="005C675E" w:rsidP="00117EEB">
            <w:pPr>
              <w:pStyle w:val="NormalWeb"/>
              <w:spacing w:before="0" w:beforeAutospacing="0" w:after="0" w:afterAutospacing="0"/>
              <w:ind w:right="-334"/>
              <w:rPr>
                <w:rFonts w:ascii="Arial" w:hAnsi="Arial" w:cs="Arial"/>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p>
          <w:p w:rsidR="005C675E" w:rsidRPr="00230F35" w:rsidRDefault="005C675E" w:rsidP="00117EEB">
            <w:pPr>
              <w:pStyle w:val="NormalWeb"/>
              <w:spacing w:before="0" w:beforeAutospacing="0" w:after="0" w:afterAutospacing="0"/>
              <w:ind w:right="-334"/>
              <w:rPr>
                <w:rFonts w:ascii="Arial" w:hAnsi="Arial" w:cs="Arial"/>
                <w:bCs/>
                <w:sz w:val="22"/>
                <w:szCs w:val="22"/>
              </w:rPr>
            </w:pPr>
          </w:p>
        </w:tc>
      </w:tr>
      <w:tr w:rsidR="005C675E" w:rsidRPr="002F467C" w:rsidTr="00117EEB">
        <w:trPr>
          <w:trHeight w:val="720"/>
        </w:trPr>
        <w:tc>
          <w:tcPr>
            <w:tcW w:w="5211" w:type="dxa"/>
            <w:gridSpan w:val="2"/>
          </w:tcPr>
          <w:p w:rsidR="005C675E" w:rsidRPr="00230F35" w:rsidRDefault="005C675E" w:rsidP="00117EEB">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rsidR="005C675E" w:rsidRPr="00230F35" w:rsidRDefault="005C675E" w:rsidP="00117EEB">
            <w:pPr>
              <w:rPr>
                <w:rFonts w:ascii="Arial" w:hAnsi="Arial" w:cs="Arial"/>
                <w:sz w:val="22"/>
                <w:szCs w:val="22"/>
              </w:rPr>
            </w:pPr>
            <w:r w:rsidRPr="00230F35">
              <w:rPr>
                <w:rFonts w:ascii="Arial" w:hAnsi="Arial" w:cs="Arial"/>
                <w:sz w:val="22"/>
                <w:szCs w:val="22"/>
              </w:rPr>
              <w:t>Date:</w:t>
            </w:r>
          </w:p>
        </w:tc>
      </w:tr>
    </w:tbl>
    <w:p w:rsidR="005C675E" w:rsidRPr="00D67BF8" w:rsidRDefault="005C675E" w:rsidP="005C675E">
      <w:pPr>
        <w:pStyle w:val="NormalWeb"/>
        <w:spacing w:before="0" w:beforeAutospacing="0" w:after="0" w:afterAutospacing="0"/>
        <w:ind w:right="-334"/>
        <w:rPr>
          <w:rFonts w:ascii="Trebuchet MS" w:hAnsi="Trebuchet MS" w:cs="Tahoma"/>
          <w:bCs/>
          <w:sz w:val="24"/>
          <w:szCs w:val="24"/>
        </w:rPr>
      </w:pPr>
    </w:p>
    <w:p w:rsidR="00C80480" w:rsidRPr="00C84A12" w:rsidRDefault="00C2385B" w:rsidP="00C80480">
      <w:pPr>
        <w:rPr>
          <w:b/>
          <w:sz w:val="28"/>
          <w:szCs w:val="28"/>
        </w:rPr>
      </w:pPr>
      <w:r>
        <w:rPr>
          <w:b/>
          <w:sz w:val="28"/>
          <w:szCs w:val="28"/>
        </w:rPr>
        <w:br w:type="page"/>
      </w:r>
      <w:r w:rsidR="00803FDD">
        <w:rPr>
          <w:b/>
        </w:rPr>
        <w:lastRenderedPageBreak/>
        <w:t xml:space="preserve">A </w:t>
      </w:r>
      <w:r w:rsidR="00AF71B8">
        <w:rPr>
          <w:b/>
        </w:rPr>
        <w:t>Critical Review of two primary source documents</w:t>
      </w:r>
      <w:r w:rsidR="00C80480" w:rsidRPr="00511448">
        <w:rPr>
          <w:b/>
        </w:rPr>
        <w:t xml:space="preserve"> </w:t>
      </w:r>
    </w:p>
    <w:p w:rsidR="006108CB" w:rsidRPr="00F774DE" w:rsidRDefault="00C80480" w:rsidP="00F774DE">
      <w:r>
        <w:t xml:space="preserve">Word Count:  </w:t>
      </w:r>
      <w:bookmarkStart w:id="5" w:name="_GoBack"/>
      <w:bookmarkEnd w:id="5"/>
      <w:r w:rsidR="00B73BD0">
        <w:t>2100</w:t>
      </w:r>
    </w:p>
    <w:p w:rsidR="00A40C5C" w:rsidRDefault="00A40C5C" w:rsidP="00C80480"/>
    <w:p w:rsidR="00E06243" w:rsidRPr="001950B1" w:rsidRDefault="009E4E0D" w:rsidP="00C80480">
      <w:pPr>
        <w:rPr>
          <w:b/>
        </w:rPr>
      </w:pPr>
      <w:r w:rsidRPr="001950B1">
        <w:rPr>
          <w:b/>
        </w:rPr>
        <w:t>Introduction</w:t>
      </w:r>
    </w:p>
    <w:p w:rsidR="00487D95" w:rsidRDefault="00933C3F" w:rsidP="00487D95">
      <w:r>
        <w:t>This essay will co</w:t>
      </w:r>
      <w:r w:rsidR="00A52814">
        <w:t xml:space="preserve">nsider </w:t>
      </w:r>
      <w:r w:rsidR="0034475F">
        <w:t xml:space="preserve">the treatment of the sky </w:t>
      </w:r>
      <w:r w:rsidR="00C50D85">
        <w:t>with</w:t>
      </w:r>
      <w:r w:rsidR="00A52814">
        <w:t>in</w:t>
      </w:r>
      <w:r w:rsidR="00C50D85">
        <w:t xml:space="preserve"> the </w:t>
      </w:r>
      <w:r w:rsidR="0034475F">
        <w:t>image</w:t>
      </w:r>
      <w:r w:rsidR="00C50D85">
        <w:t>s</w:t>
      </w:r>
      <w:r w:rsidR="0034475F">
        <w:t xml:space="preserve"> of</w:t>
      </w:r>
      <w:r>
        <w:t xml:space="preserve"> </w:t>
      </w:r>
      <w:r w:rsidR="00792E02">
        <w:t xml:space="preserve">the Egyptian goddess </w:t>
      </w:r>
      <w:r w:rsidR="006108CB">
        <w:t xml:space="preserve">Nut and Hilma af Klint’s </w:t>
      </w:r>
      <w:r w:rsidR="006108CB" w:rsidRPr="00861098">
        <w:rPr>
          <w:i/>
        </w:rPr>
        <w:t>Archetypes</w:t>
      </w:r>
      <w:r w:rsidR="006108CB">
        <w:t>.</w:t>
      </w:r>
      <w:r w:rsidR="0034475F">
        <w:t xml:space="preserve">  </w:t>
      </w:r>
      <w:r w:rsidR="00487D95">
        <w:t xml:space="preserve">The image of </w:t>
      </w:r>
      <w:r w:rsidR="00321C2B">
        <w:t xml:space="preserve">Nut is </w:t>
      </w:r>
      <w:r w:rsidR="00C50D85">
        <w:t xml:space="preserve">found </w:t>
      </w:r>
      <w:r w:rsidR="00A52814">
        <w:t xml:space="preserve">within </w:t>
      </w:r>
      <w:r w:rsidR="00321C2B">
        <w:t>the Hathor temple at Dendera.</w:t>
      </w:r>
      <w:r w:rsidR="00487D95">
        <w:t xml:space="preserve">  </w:t>
      </w:r>
      <w:r w:rsidR="00487D95">
        <w:t>Dendera was an important regional centre throughout Graeco-Roman and Late Antique periods, located in Upper Egypt.</w:t>
      </w:r>
      <w:r w:rsidR="00487D95" w:rsidRPr="007A1915">
        <w:rPr>
          <w:rStyle w:val="FootnoteReference"/>
        </w:rPr>
        <w:t xml:space="preserve"> </w:t>
      </w:r>
      <w:r w:rsidR="00487D95">
        <w:rPr>
          <w:rStyle w:val="FootnoteReference"/>
        </w:rPr>
        <w:footnoteReference w:id="1"/>
      </w:r>
      <w:r w:rsidR="00487D95">
        <w:t xml:space="preserve">  It is likely that the building of the temple of Hathor in its current form started in the second century BCE, however the main phase of construction and decoration began with Ptolemy XII in 54 BCE</w:t>
      </w:r>
      <w:r w:rsidR="00C50D85">
        <w:t>,</w:t>
      </w:r>
      <w:r w:rsidR="00487D95">
        <w:t xml:space="preserve"> and was completed in 20 BCE under the rule of Augustus.’</w:t>
      </w:r>
      <w:r w:rsidR="00487D95">
        <w:rPr>
          <w:rStyle w:val="FootnoteReference"/>
        </w:rPr>
        <w:footnoteReference w:id="2"/>
      </w:r>
      <w:r w:rsidR="00487D95">
        <w:t xml:space="preserve">  This temple was dedicated to the goddess Hathor, the protector of women, a cow headed goddess of the sky.  She was known as the Great Mother, the House of Horus, the Lady of the West, and associated with love, music, beauty, and joy.</w:t>
      </w:r>
      <w:r w:rsidR="00487D95">
        <w:rPr>
          <w:rStyle w:val="FootnoteReference"/>
        </w:rPr>
        <w:footnoteReference w:id="3"/>
      </w:r>
    </w:p>
    <w:p w:rsidR="00487D95" w:rsidRDefault="00487D95" w:rsidP="00487D95"/>
    <w:p w:rsidR="00487D95" w:rsidRPr="00AE5F2B" w:rsidRDefault="00487D95" w:rsidP="00487D95">
      <w:r>
        <w:t>The</w:t>
      </w:r>
      <w:r w:rsidRPr="00AE5F2B">
        <w:t xml:space="preserve"> history of Egypt covers nearly three millennia</w:t>
      </w:r>
      <w:r>
        <w:t>,</w:t>
      </w:r>
      <w:r w:rsidRPr="00AE5F2B">
        <w:rPr>
          <w:rStyle w:val="FootnoteReference"/>
        </w:rPr>
        <w:footnoteReference w:id="4"/>
      </w:r>
      <w:r w:rsidRPr="00AE5F2B">
        <w:t xml:space="preserve"> </w:t>
      </w:r>
      <w:r>
        <w:t>and</w:t>
      </w:r>
      <w:r w:rsidRPr="00AE5F2B">
        <w:t xml:space="preserve"> Nut is present in the earlie</w:t>
      </w:r>
      <w:r>
        <w:t>st texts found in Ancient Egypt.</w:t>
      </w:r>
      <w:r>
        <w:rPr>
          <w:rStyle w:val="FootnoteReference"/>
        </w:rPr>
        <w:footnoteReference w:id="5"/>
      </w:r>
      <w:r>
        <w:t xml:space="preserve">  Unlike most </w:t>
      </w:r>
      <w:r w:rsidRPr="00AE5F2B">
        <w:t>sky deities in world mythology</w:t>
      </w:r>
      <w:r>
        <w:t>, she is female</w:t>
      </w:r>
      <w:r w:rsidRPr="00AE5F2B">
        <w:t>.</w:t>
      </w:r>
      <w:r w:rsidRPr="00AE5F2B">
        <w:rPr>
          <w:rStyle w:val="FootnoteReference"/>
        </w:rPr>
        <w:footnoteReference w:id="6"/>
      </w:r>
      <w:r w:rsidRPr="00AE5F2B">
        <w:t xml:space="preserve">  </w:t>
      </w:r>
      <w:r>
        <w:t xml:space="preserve">Nut is the Great Protectress, She with Braided Hair who gave birth to the Gods, and </w:t>
      </w:r>
      <w:r w:rsidR="00C50D85">
        <w:t>who guided</w:t>
      </w:r>
      <w:r>
        <w:t xml:space="preserve"> the gods and souls of the dead while they </w:t>
      </w:r>
      <w:r w:rsidR="00AD24D1">
        <w:t>travelled</w:t>
      </w:r>
      <w:r>
        <w:t xml:space="preserve"> within the solar boat.</w:t>
      </w:r>
      <w:r>
        <w:rPr>
          <w:rStyle w:val="FootnoteReference"/>
        </w:rPr>
        <w:footnoteReference w:id="7"/>
      </w:r>
      <w:r>
        <w:t xml:space="preserve">  Often </w:t>
      </w:r>
      <w:r w:rsidRPr="00AE5F2B">
        <w:t xml:space="preserve">Nut </w:t>
      </w:r>
      <w:r>
        <w:t>was</w:t>
      </w:r>
      <w:r w:rsidRPr="00AE5F2B">
        <w:t xml:space="preserve"> depicted </w:t>
      </w:r>
      <w:r>
        <w:t xml:space="preserve">on ceilings within temples and tombs, her body outstretched, </w:t>
      </w:r>
      <w:r w:rsidRPr="00AE5F2B">
        <w:t>the sun moving from her birth canal at sunrise, ‘flying along the heavens during the day to re-enter Nut and the underworld through her mouth at sunset’.</w:t>
      </w:r>
      <w:r w:rsidRPr="00AE5F2B">
        <w:rPr>
          <w:rStyle w:val="FootnoteReference"/>
        </w:rPr>
        <w:footnoteReference w:id="8"/>
      </w:r>
      <w:r>
        <w:t xml:space="preserve">  Her imagery is directly linked to the feminine</w:t>
      </w:r>
      <w:r w:rsidRPr="00AE5F2B">
        <w:t xml:space="preserve"> </w:t>
      </w:r>
      <w:r>
        <w:t>origin of</w:t>
      </w:r>
      <w:r w:rsidRPr="00AE5F2B">
        <w:t xml:space="preserve"> celestial events that gave rise to her</w:t>
      </w:r>
      <w:r>
        <w:t xml:space="preserve"> </w:t>
      </w:r>
      <w:r w:rsidRPr="00AE5F2B">
        <w:t>mythology and</w:t>
      </w:r>
      <w:r>
        <w:t xml:space="preserve"> the birth of Ra,</w:t>
      </w:r>
      <w:r w:rsidRPr="00AE5F2B">
        <w:t xml:space="preserve"> </w:t>
      </w:r>
      <w:r>
        <w:t>the</w:t>
      </w:r>
      <w:r w:rsidRPr="00AE5F2B">
        <w:t xml:space="preserve"> sun deity.</w:t>
      </w:r>
      <w:r w:rsidRPr="00AE5F2B">
        <w:rPr>
          <w:rStyle w:val="FootnoteReference"/>
        </w:rPr>
        <w:footnoteReference w:id="9"/>
      </w:r>
      <w:r w:rsidRPr="00AE5F2B">
        <w:t xml:space="preserve">  </w:t>
      </w:r>
      <w:r>
        <w:t xml:space="preserve">Essentially, </w:t>
      </w:r>
      <w:r w:rsidRPr="00AE5F2B">
        <w:t>Nut is ‘the one who bears the gods’, and more than just simply a personification of the sky.</w:t>
      </w:r>
      <w:r w:rsidRPr="00AE5F2B">
        <w:rPr>
          <w:rStyle w:val="FootnoteReference"/>
        </w:rPr>
        <w:t xml:space="preserve"> </w:t>
      </w:r>
      <w:r w:rsidRPr="00AE5F2B">
        <w:rPr>
          <w:rStyle w:val="FootnoteReference"/>
        </w:rPr>
        <w:footnoteReference w:id="10"/>
      </w:r>
      <w:r w:rsidRPr="00AE5F2B">
        <w:t xml:space="preserve"> </w:t>
      </w:r>
    </w:p>
    <w:p w:rsidR="00487D95" w:rsidRDefault="00321C2B" w:rsidP="00C80480">
      <w:r>
        <w:t xml:space="preserve">  </w:t>
      </w:r>
    </w:p>
    <w:p w:rsidR="00C50D85" w:rsidRDefault="00321C2B" w:rsidP="00F9100F">
      <w:r>
        <w:t xml:space="preserve">Hilma af </w:t>
      </w:r>
      <w:r w:rsidR="005F7EF3">
        <w:t>Klint’s</w:t>
      </w:r>
      <w:r>
        <w:t xml:space="preserve"> </w:t>
      </w:r>
      <w:r w:rsidR="005F7EF3" w:rsidRPr="006108CB">
        <w:rPr>
          <w:i/>
        </w:rPr>
        <w:t>Altarpieces</w:t>
      </w:r>
      <w:r w:rsidR="0034475F">
        <w:t xml:space="preserve"> </w:t>
      </w:r>
      <w:r>
        <w:t xml:space="preserve">is a </w:t>
      </w:r>
      <w:r w:rsidR="005F7EF3">
        <w:t>tryptic</w:t>
      </w:r>
      <w:r w:rsidR="005E210D">
        <w:t xml:space="preserve">, </w:t>
      </w:r>
      <w:r w:rsidR="0034475F">
        <w:t xml:space="preserve">including </w:t>
      </w:r>
      <w:r w:rsidR="0034475F" w:rsidRPr="0005363E">
        <w:rPr>
          <w:i/>
        </w:rPr>
        <w:t xml:space="preserve">Group X, No.1, </w:t>
      </w:r>
      <w:r w:rsidR="005F7EF3" w:rsidRPr="0005363E">
        <w:rPr>
          <w:i/>
        </w:rPr>
        <w:t>Altarpiece</w:t>
      </w:r>
      <w:r w:rsidR="0034475F">
        <w:t xml:space="preserve">, </w:t>
      </w:r>
      <w:r w:rsidR="0034475F" w:rsidRPr="0005363E">
        <w:rPr>
          <w:i/>
        </w:rPr>
        <w:t>Group X, No.2, Altarpiece</w:t>
      </w:r>
      <w:r w:rsidR="0034475F">
        <w:t xml:space="preserve">, and </w:t>
      </w:r>
      <w:r w:rsidR="0034475F" w:rsidRPr="0005363E">
        <w:rPr>
          <w:i/>
        </w:rPr>
        <w:t xml:space="preserve">Group X, No. 3, </w:t>
      </w:r>
      <w:r w:rsidR="005F7EF3" w:rsidRPr="0005363E">
        <w:rPr>
          <w:i/>
        </w:rPr>
        <w:t>Altarpiece</w:t>
      </w:r>
      <w:r w:rsidR="0034475F">
        <w:t>.  Each of these three p</w:t>
      </w:r>
      <w:r w:rsidR="005E210D">
        <w:t xml:space="preserve">aintings were complete in 1915, combining </w:t>
      </w:r>
      <w:r w:rsidR="0034475F">
        <w:t>oil</w:t>
      </w:r>
      <w:r w:rsidR="005E210D">
        <w:t xml:space="preserve"> paint</w:t>
      </w:r>
      <w:r w:rsidR="0034475F">
        <w:t xml:space="preserve"> and metal leaf on canvas</w:t>
      </w:r>
      <w:r w:rsidR="005E210D">
        <w:t>,</w:t>
      </w:r>
      <w:r w:rsidR="0034475F">
        <w:t xml:space="preserve"> </w:t>
      </w:r>
      <w:r w:rsidR="00B73BD0">
        <w:t>measuring</w:t>
      </w:r>
      <w:r w:rsidR="0034475F">
        <w:t xml:space="preserve"> 238</w:t>
      </w:r>
      <w:r w:rsidR="0005363E">
        <w:t xml:space="preserve"> </w:t>
      </w:r>
      <w:r w:rsidR="0034475F">
        <w:t>x</w:t>
      </w:r>
      <w:r w:rsidR="0005363E">
        <w:t xml:space="preserve"> </w:t>
      </w:r>
      <w:r w:rsidR="0034475F">
        <w:t>179 c</w:t>
      </w:r>
      <w:r w:rsidR="00487D95">
        <w:t xml:space="preserve">m.  </w:t>
      </w:r>
      <w:r w:rsidR="00F9100F">
        <w:t>af Klint</w:t>
      </w:r>
      <w:r w:rsidR="00861098">
        <w:t xml:space="preserve"> was a Swedish artist who lived from 1862-1944.  </w:t>
      </w:r>
      <w:r w:rsidR="0052257F">
        <w:t xml:space="preserve">Her body of work included paintings, drawings and notebooks, which she intentionally </w:t>
      </w:r>
      <w:r w:rsidR="004C1438">
        <w:t xml:space="preserve">kept private during </w:t>
      </w:r>
      <w:r w:rsidR="0052257F">
        <w:t>her lifetime</w:t>
      </w:r>
      <w:r w:rsidR="00B73BD0">
        <w:t>, leaving</w:t>
      </w:r>
      <w:r w:rsidR="0052257F">
        <w:t xml:space="preserve"> a mystery about the message of her work.</w:t>
      </w:r>
      <w:r w:rsidR="0052257F">
        <w:rPr>
          <w:rStyle w:val="FootnoteReference"/>
        </w:rPr>
        <w:footnoteReference w:id="11"/>
      </w:r>
      <w:r w:rsidR="0052257F">
        <w:t xml:space="preserve">  </w:t>
      </w:r>
      <w:r w:rsidR="003F4C77">
        <w:t xml:space="preserve">By 1896 she began to meet with a group of women called The Five, where they held weekly </w:t>
      </w:r>
      <w:r w:rsidR="00B73BD0">
        <w:t>ga</w:t>
      </w:r>
      <w:r w:rsidR="00164910">
        <w:t xml:space="preserve">therings that </w:t>
      </w:r>
      <w:r w:rsidR="004C1438">
        <w:t>they</w:t>
      </w:r>
      <w:r w:rsidR="00164910">
        <w:t xml:space="preserve"> recorded by</w:t>
      </w:r>
      <w:r w:rsidR="00B73BD0">
        <w:t xml:space="preserve"> automatic writing</w:t>
      </w:r>
      <w:r w:rsidR="00C50D85">
        <w:t>,</w:t>
      </w:r>
      <w:r w:rsidR="00B73BD0">
        <w:t xml:space="preserve"> </w:t>
      </w:r>
      <w:r w:rsidR="00C50D85">
        <w:t>conducting</w:t>
      </w:r>
      <w:r w:rsidR="00B73BD0">
        <w:t xml:space="preserve"> seances an</w:t>
      </w:r>
      <w:r w:rsidR="00C50D85">
        <w:t>d studying</w:t>
      </w:r>
      <w:r w:rsidR="00487D95">
        <w:t xml:space="preserve"> spirituality.  I</w:t>
      </w:r>
      <w:r w:rsidR="00A52814">
        <w:t>t was t</w:t>
      </w:r>
      <w:r w:rsidR="003F4C77">
        <w:t>hrough this group</w:t>
      </w:r>
      <w:r w:rsidR="00A52814">
        <w:t xml:space="preserve"> that</w:t>
      </w:r>
      <w:r w:rsidR="003F4C77">
        <w:t xml:space="preserve"> </w:t>
      </w:r>
      <w:r w:rsidR="00B73BD0">
        <w:t xml:space="preserve">af Klint received a commission to </w:t>
      </w:r>
      <w:r w:rsidR="00B73BD0">
        <w:lastRenderedPageBreak/>
        <w:t>complete a body of work</w:t>
      </w:r>
      <w:r w:rsidR="00B73BD0">
        <w:rPr>
          <w:i/>
        </w:rPr>
        <w:t xml:space="preserve"> </w:t>
      </w:r>
      <w:r w:rsidR="00B73BD0">
        <w:t>from a channelled being</w:t>
      </w:r>
      <w:r w:rsidR="003F4C77">
        <w:t>.</w:t>
      </w:r>
      <w:r w:rsidR="003F4C77">
        <w:rPr>
          <w:rStyle w:val="FootnoteReference"/>
        </w:rPr>
        <w:footnoteReference w:id="12"/>
      </w:r>
      <w:r w:rsidR="003F4C77">
        <w:t xml:space="preserve">  </w:t>
      </w:r>
      <w:r w:rsidR="00861098">
        <w:t>She</w:t>
      </w:r>
      <w:r w:rsidR="00E56A9B">
        <w:t xml:space="preserve"> created one hundred and ninety-three</w:t>
      </w:r>
      <w:r w:rsidR="00F9100F">
        <w:t xml:space="preserve"> paintings known as </w:t>
      </w:r>
      <w:r w:rsidR="00F9100F" w:rsidRPr="00E93883">
        <w:rPr>
          <w:i/>
        </w:rPr>
        <w:t>The Paintings for the Temple</w:t>
      </w:r>
      <w:r w:rsidR="00F9100F">
        <w:t xml:space="preserve">, </w:t>
      </w:r>
      <w:r w:rsidR="00E56A9B">
        <w:t>as</w:t>
      </w:r>
      <w:r w:rsidR="00F9100F">
        <w:t xml:space="preserve"> works on canvas and on paper, primarily abstract, with imagery including natural forms that became more geometric over time.</w:t>
      </w:r>
      <w:r w:rsidR="00F9100F">
        <w:rPr>
          <w:rStyle w:val="FootnoteReference"/>
        </w:rPr>
        <w:footnoteReference w:id="13"/>
      </w:r>
      <w:r w:rsidR="00861098">
        <w:t xml:space="preserve">  </w:t>
      </w:r>
      <w:r w:rsidR="00861098" w:rsidRPr="00E93883">
        <w:rPr>
          <w:i/>
        </w:rPr>
        <w:t>The Paintings for the Temple</w:t>
      </w:r>
      <w:r w:rsidR="00861098">
        <w:t xml:space="preserve"> offer a </w:t>
      </w:r>
      <w:r w:rsidR="005F7EF3">
        <w:t>transcendent</w:t>
      </w:r>
      <w:r w:rsidR="00861098">
        <w:t>, spiritual rea</w:t>
      </w:r>
      <w:r w:rsidR="00B73BD0">
        <w:t>lity</w:t>
      </w:r>
      <w:r w:rsidR="00E56A9B">
        <w:t xml:space="preserve">, demonstrating </w:t>
      </w:r>
      <w:r w:rsidR="00B73BD0">
        <w:t>her</w:t>
      </w:r>
      <w:r w:rsidR="00861098">
        <w:t xml:space="preserve"> </w:t>
      </w:r>
      <w:r w:rsidR="00327EE9">
        <w:t xml:space="preserve">blending </w:t>
      </w:r>
      <w:r w:rsidR="00861098">
        <w:t>of different beliefs</w:t>
      </w:r>
      <w:r w:rsidR="00327EE9">
        <w:t xml:space="preserve"> systems </w:t>
      </w:r>
      <w:r w:rsidR="00E56A9B">
        <w:t xml:space="preserve">sourced from </w:t>
      </w:r>
      <w:r w:rsidR="00861098">
        <w:t>Christianity, Rosicrucianism, Buddhism, Charles Darwin</w:t>
      </w:r>
      <w:r w:rsidR="0052257F">
        <w:t>’s theories</w:t>
      </w:r>
      <w:r w:rsidR="00861098">
        <w:t>, Theosophy, Anthroposophy and spiritualism.</w:t>
      </w:r>
      <w:r w:rsidR="00861098">
        <w:rPr>
          <w:rStyle w:val="FootnoteReference"/>
        </w:rPr>
        <w:footnoteReference w:id="14"/>
      </w:r>
      <w:r w:rsidR="00CE0D09">
        <w:t xml:space="preserve">  </w:t>
      </w:r>
      <w:r w:rsidR="005F7EF3" w:rsidRPr="005F7EF3">
        <w:rPr>
          <w:i/>
        </w:rPr>
        <w:t>Altarpieces</w:t>
      </w:r>
      <w:r w:rsidR="00FF50F3">
        <w:t xml:space="preserve"> were the </w:t>
      </w:r>
      <w:r w:rsidR="00E81D48">
        <w:t>culmination</w:t>
      </w:r>
      <w:r w:rsidR="0039234D">
        <w:t xml:space="preserve"> of </w:t>
      </w:r>
      <w:r w:rsidR="0039234D" w:rsidRPr="00E93883">
        <w:rPr>
          <w:i/>
        </w:rPr>
        <w:t>The Paintings for the Temple</w:t>
      </w:r>
      <w:r w:rsidR="0039234D">
        <w:rPr>
          <w:i/>
        </w:rPr>
        <w:t xml:space="preserve">, </w:t>
      </w:r>
      <w:r w:rsidR="0039234D">
        <w:t>completed in 1915.</w:t>
      </w:r>
      <w:r w:rsidR="0039234D">
        <w:rPr>
          <w:rStyle w:val="FootnoteReference"/>
        </w:rPr>
        <w:footnoteReference w:id="15"/>
      </w:r>
      <w:r w:rsidR="0039234D">
        <w:t xml:space="preserve"> </w:t>
      </w:r>
    </w:p>
    <w:p w:rsidR="00F9100F" w:rsidRDefault="00F9100F" w:rsidP="00F9100F">
      <w:r>
        <w:t xml:space="preserve"> </w:t>
      </w:r>
      <w:r w:rsidR="0039234D">
        <w:t xml:space="preserve"> </w:t>
      </w:r>
    </w:p>
    <w:p w:rsidR="00487D95" w:rsidRDefault="00487D95" w:rsidP="00F9100F"/>
    <w:p w:rsidR="00B76F92" w:rsidRDefault="00F66093" w:rsidP="00B76F92">
      <w:pPr>
        <w:jc w:val="center"/>
        <w:rPr>
          <w:b/>
          <w:u w:val="single"/>
        </w:rPr>
      </w:pPr>
      <w:r w:rsidRPr="003C1449">
        <w:rPr>
          <w:noProof/>
        </w:rPr>
        <w:drawing>
          <wp:inline distT="0" distB="0" distL="0" distR="0">
            <wp:extent cx="3648588" cy="2736441"/>
            <wp:effectExtent l="0" t="127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mple within temple of dendera.JPG"/>
                    <pic:cNvPicPr/>
                  </pic:nvPicPr>
                  <pic:blipFill>
                    <a:blip r:embed="rId9">
                      <a:extLst>
                        <a:ext uri="{28A0092B-C50C-407E-A947-70E740481C1C}">
                          <a14:useLocalDpi xmlns:a14="http://schemas.microsoft.com/office/drawing/2010/main" val="0"/>
                        </a:ext>
                      </a:extLst>
                    </a:blip>
                    <a:stretch>
                      <a:fillRect/>
                    </a:stretch>
                  </pic:blipFill>
                  <pic:spPr>
                    <a:xfrm rot="5400000">
                      <a:off x="0" y="0"/>
                      <a:ext cx="3666966" cy="2750224"/>
                    </a:xfrm>
                    <a:prstGeom prst="rect">
                      <a:avLst/>
                    </a:prstGeom>
                  </pic:spPr>
                </pic:pic>
              </a:graphicData>
            </a:graphic>
          </wp:inline>
        </w:drawing>
      </w:r>
    </w:p>
    <w:p w:rsidR="003C1449" w:rsidRPr="003C1449" w:rsidRDefault="003C1449" w:rsidP="00B76F92">
      <w:pPr>
        <w:jc w:val="center"/>
        <w:rPr>
          <w:i/>
        </w:rPr>
      </w:pPr>
      <w:r w:rsidRPr="003C1449">
        <w:rPr>
          <w:i/>
        </w:rPr>
        <w:t>Figure 1</w:t>
      </w:r>
    </w:p>
    <w:p w:rsidR="00B76F92" w:rsidRDefault="00B76F92" w:rsidP="00C80480">
      <w:pPr>
        <w:rPr>
          <w:b/>
          <w:u w:val="single"/>
        </w:rPr>
      </w:pPr>
    </w:p>
    <w:p w:rsidR="00C50D85" w:rsidRDefault="00C50D85" w:rsidP="00D452A7">
      <w:pPr>
        <w:rPr>
          <w:b/>
        </w:rPr>
      </w:pPr>
    </w:p>
    <w:p w:rsidR="00C50D85" w:rsidRDefault="00C50D85" w:rsidP="00D452A7">
      <w:r w:rsidRPr="001950B1">
        <w:rPr>
          <w:b/>
        </w:rPr>
        <w:t>Findings</w:t>
      </w:r>
      <w:r>
        <w:t xml:space="preserve"> </w:t>
      </w:r>
    </w:p>
    <w:p w:rsidR="00F66093" w:rsidRDefault="001C734F" w:rsidP="00D452A7">
      <w:r>
        <w:t>Nut appears in the Temple of Den</w:t>
      </w:r>
      <w:r w:rsidR="00F66093">
        <w:t>dera on a number of ceilings</w:t>
      </w:r>
      <w:r w:rsidR="000805B5">
        <w:t xml:space="preserve">, however this essay focuses within </w:t>
      </w:r>
      <w:r>
        <w:t>a room that could</w:t>
      </w:r>
      <w:r w:rsidR="00E244CB">
        <w:t xml:space="preserve"> even</w:t>
      </w:r>
      <w:r>
        <w:t xml:space="preserve"> perhaps be</w:t>
      </w:r>
      <w:r w:rsidR="00E244CB">
        <w:t xml:space="preserve"> considered to be a</w:t>
      </w:r>
      <w:r w:rsidR="002D1AD2">
        <w:t xml:space="preserve"> temple within a</w:t>
      </w:r>
      <w:r>
        <w:t xml:space="preserve"> temple.  In this space</w:t>
      </w:r>
      <w:r w:rsidR="00784F1B">
        <w:t xml:space="preserve">, as seen in </w:t>
      </w:r>
      <w:r w:rsidR="00784F1B" w:rsidRPr="00784F1B">
        <w:rPr>
          <w:i/>
        </w:rPr>
        <w:t>Figure 1</w:t>
      </w:r>
      <w:r>
        <w:t xml:space="preserve"> </w:t>
      </w:r>
      <w:r w:rsidR="00784F1B">
        <w:t xml:space="preserve">an </w:t>
      </w:r>
      <w:r w:rsidR="0068013E">
        <w:t>open-air</w:t>
      </w:r>
      <w:r w:rsidR="00784F1B">
        <w:t xml:space="preserve"> area leads</w:t>
      </w:r>
      <w:r>
        <w:t xml:space="preserve"> to seven steps</w:t>
      </w:r>
      <w:r w:rsidR="00784F1B">
        <w:t xml:space="preserve"> ascending with </w:t>
      </w:r>
      <w:r w:rsidR="00F66093">
        <w:t xml:space="preserve">two </w:t>
      </w:r>
      <w:r>
        <w:t xml:space="preserve">columns </w:t>
      </w:r>
      <w:r w:rsidR="00784F1B">
        <w:t>holding</w:t>
      </w:r>
      <w:r>
        <w:t xml:space="preserve"> the head</w:t>
      </w:r>
      <w:r w:rsidR="00784F1B">
        <w:t>s of Hathor</w:t>
      </w:r>
      <w:r>
        <w:t xml:space="preserve">.  </w:t>
      </w:r>
      <w:r w:rsidR="00C50D85">
        <w:t>These seven steps could perhaps represent the seven elements, the seven bodies or the seven heavens ascending up to the sky.</w:t>
      </w:r>
      <w:r w:rsidR="00C50D85">
        <w:t xml:space="preserve">  </w:t>
      </w:r>
      <w:r>
        <w:t>A</w:t>
      </w:r>
      <w:r w:rsidR="002D1AD2">
        <w:t>fter climbing these steps, one enters</w:t>
      </w:r>
      <w:r w:rsidR="00784F1B">
        <w:t xml:space="preserve"> the top room</w:t>
      </w:r>
      <w:r w:rsidR="002D1AD2">
        <w:t xml:space="preserve">, where an image of Nut resides on the ceiling. </w:t>
      </w:r>
    </w:p>
    <w:p w:rsidR="00F66093" w:rsidRDefault="00F66093" w:rsidP="00F66093">
      <w:pPr>
        <w:jc w:val="center"/>
      </w:pPr>
      <w:r>
        <w:rPr>
          <w:noProof/>
        </w:rPr>
        <w:lastRenderedPageBreak/>
        <w:drawing>
          <wp:inline distT="0" distB="0" distL="0" distR="0">
            <wp:extent cx="4424590" cy="4424590"/>
            <wp:effectExtent l="76200" t="50800" r="71755" b="971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ut dendara small room.JPG"/>
                    <pic:cNvPicPr/>
                  </pic:nvPicPr>
                  <pic:blipFill>
                    <a:blip r:embed="rId10">
                      <a:extLst>
                        <a:ext uri="{28A0092B-C50C-407E-A947-70E740481C1C}">
                          <a14:useLocalDpi xmlns:a14="http://schemas.microsoft.com/office/drawing/2010/main" val="0"/>
                        </a:ext>
                      </a:extLst>
                    </a:blip>
                    <a:stretch>
                      <a:fillRect/>
                    </a:stretch>
                  </pic:blipFill>
                  <pic:spPr>
                    <a:xfrm>
                      <a:off x="0" y="0"/>
                      <a:ext cx="4426274" cy="4426274"/>
                    </a:xfrm>
                    <a:prstGeom prst="rect">
                      <a:avLst/>
                    </a:prstGeom>
                    <a:solidFill>
                      <a:srgbClr val="FFFFFF">
                        <a:shade val="85000"/>
                      </a:srgbClr>
                    </a:solidFill>
                    <a:ln w="88900" cap="sq">
                      <a:no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784F1B" w:rsidRPr="00784F1B" w:rsidRDefault="00784F1B" w:rsidP="00F66093">
      <w:pPr>
        <w:jc w:val="center"/>
        <w:rPr>
          <w:i/>
        </w:rPr>
      </w:pPr>
      <w:r w:rsidRPr="00784F1B">
        <w:rPr>
          <w:i/>
        </w:rPr>
        <w:t>Figure 2</w:t>
      </w:r>
    </w:p>
    <w:p w:rsidR="001C734F" w:rsidRDefault="001C734F" w:rsidP="00D452A7"/>
    <w:p w:rsidR="00220609" w:rsidRPr="009D5834" w:rsidRDefault="00784F1B" w:rsidP="00D452A7">
      <w:pPr>
        <w:rPr>
          <w:sz w:val="23"/>
          <w:szCs w:val="23"/>
        </w:rPr>
      </w:pPr>
      <w:r>
        <w:t xml:space="preserve">As seen in </w:t>
      </w:r>
      <w:r w:rsidRPr="00784F1B">
        <w:rPr>
          <w:i/>
        </w:rPr>
        <w:t>Figure 2</w:t>
      </w:r>
      <w:r>
        <w:t>, Nut’s legs, body</w:t>
      </w:r>
      <w:r w:rsidR="00E81D48">
        <w:t>,</w:t>
      </w:r>
      <w:r>
        <w:t xml:space="preserve"> and arms stretch out to envelope the three sides of the square ceiling.  From the mouth of Nut is </w:t>
      </w:r>
      <w:r w:rsidR="004B0F22">
        <w:t>a circle</w:t>
      </w:r>
      <w:r>
        <w:t xml:space="preserve">, representing the sun that she swallows at the end of each day.  From </w:t>
      </w:r>
      <w:r w:rsidR="004B0F22">
        <w:t>her womb space is another round circle</w:t>
      </w:r>
      <w:r>
        <w:t xml:space="preserve">, representing the birth of the sun, the dawn of another day.  </w:t>
      </w:r>
      <w:r w:rsidR="004B0F22">
        <w:t xml:space="preserve"> </w:t>
      </w:r>
      <w:r>
        <w:t>The sun from the womb extends with</w:t>
      </w:r>
      <w:r w:rsidR="004B0F22">
        <w:t xml:space="preserve"> nine rays of light</w:t>
      </w:r>
      <w:r w:rsidR="0005363E">
        <w:t xml:space="preserve"> that pour</w:t>
      </w:r>
      <w:r>
        <w:t xml:space="preserve"> out in many </w:t>
      </w:r>
      <w:r w:rsidR="0068013E">
        <w:t>triangle-like</w:t>
      </w:r>
      <w:r w:rsidR="004B0F22">
        <w:t xml:space="preserve"> shape</w:t>
      </w:r>
      <w:r w:rsidR="0005363E">
        <w:t>s, shining</w:t>
      </w:r>
      <w:r>
        <w:t xml:space="preserve"> unto</w:t>
      </w:r>
      <w:r w:rsidR="004B0F22">
        <w:t xml:space="preserve"> a head of Hathor.  </w:t>
      </w:r>
      <w:r w:rsidR="00EB350C">
        <w:t>Nut’s body</w:t>
      </w:r>
      <w:r>
        <w:t xml:space="preserve"> appears to be covered in a dress containing chevron designs</w:t>
      </w:r>
      <w:r w:rsidR="00EB350C">
        <w:t xml:space="preserve">.  Behind Nut is a starry sky </w:t>
      </w:r>
      <w:r w:rsidR="0005363E">
        <w:t xml:space="preserve">which </w:t>
      </w:r>
      <w:r w:rsidR="00EB350C">
        <w:t>forms a flower of life geometry symbol</w:t>
      </w:r>
      <w:r w:rsidR="00E81D48">
        <w:t xml:space="preserve"> that is found within</w:t>
      </w:r>
      <w:r>
        <w:t xml:space="preserve"> other temples of Egypt</w:t>
      </w:r>
      <w:r w:rsidR="00995FE9">
        <w:t xml:space="preserve">.  </w:t>
      </w:r>
      <w:r>
        <w:t xml:space="preserve">Nut extends her four limbs, while </w:t>
      </w:r>
      <w:r w:rsidR="001D1C7B">
        <w:t xml:space="preserve">at </w:t>
      </w:r>
      <w:r w:rsidR="00D321CD">
        <w:t xml:space="preserve">the base of her feet and hands two mountains emerge as </w:t>
      </w:r>
      <w:r>
        <w:t xml:space="preserve">the </w:t>
      </w:r>
      <w:r w:rsidRPr="00784F1B">
        <w:rPr>
          <w:i/>
        </w:rPr>
        <w:t>akhet</w:t>
      </w:r>
      <w:r w:rsidR="001D1C7B">
        <w:t>, the horizon that creates east to west, where the whole universe emerges from</w:t>
      </w:r>
      <w:r>
        <w:t>.</w:t>
      </w:r>
      <w:r w:rsidR="00D321CD">
        <w:t xml:space="preserve">  In between the two mount</w:t>
      </w:r>
      <w:r w:rsidR="001D1C7B">
        <w:t>ains is the head of Hathor.</w:t>
      </w:r>
    </w:p>
    <w:p w:rsidR="00F66093" w:rsidRDefault="00F66093" w:rsidP="00D452A7"/>
    <w:p w:rsidR="00F66093" w:rsidRDefault="00F66093" w:rsidP="00D452A7">
      <w:r>
        <w:rPr>
          <w:noProof/>
        </w:rPr>
        <w:lastRenderedPageBreak/>
        <w:drawing>
          <wp:inline distT="0" distB="0" distL="0" distR="0">
            <wp:extent cx="5943600" cy="31108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ilma af klint.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110865"/>
                    </a:xfrm>
                    <a:prstGeom prst="rect">
                      <a:avLst/>
                    </a:prstGeom>
                  </pic:spPr>
                </pic:pic>
              </a:graphicData>
            </a:graphic>
          </wp:inline>
        </w:drawing>
      </w:r>
    </w:p>
    <w:p w:rsidR="00F9100F" w:rsidRPr="006C2BFB" w:rsidRDefault="006C2BFB" w:rsidP="006C2BFB">
      <w:pPr>
        <w:jc w:val="center"/>
        <w:rPr>
          <w:i/>
        </w:rPr>
      </w:pPr>
      <w:r w:rsidRPr="006C2BFB">
        <w:rPr>
          <w:i/>
        </w:rPr>
        <w:t>Figure 3</w:t>
      </w:r>
    </w:p>
    <w:p w:rsidR="006C2BFB" w:rsidRDefault="006C2BFB" w:rsidP="00D452A7"/>
    <w:p w:rsidR="00DA0483" w:rsidRDefault="00DA0483" w:rsidP="00F9100F"/>
    <w:p w:rsidR="00F9100F" w:rsidRDefault="00DA0483" w:rsidP="00F9100F">
      <w:r>
        <w:rPr>
          <w:i/>
        </w:rPr>
        <w:t>Alta</w:t>
      </w:r>
      <w:r w:rsidRPr="00DA0483">
        <w:rPr>
          <w:i/>
        </w:rPr>
        <w:t>rpieces</w:t>
      </w:r>
      <w:r>
        <w:t xml:space="preserve"> consist of a </w:t>
      </w:r>
      <w:r w:rsidR="00FA142A">
        <w:t>triptych</w:t>
      </w:r>
      <w:r>
        <w:t xml:space="preserve"> o</w:t>
      </w:r>
      <w:r w:rsidR="002D10B7">
        <w:t xml:space="preserve">f </w:t>
      </w:r>
      <w:r>
        <w:t xml:space="preserve">paintings as seen in </w:t>
      </w:r>
      <w:r w:rsidRPr="00DA0483">
        <w:rPr>
          <w:i/>
        </w:rPr>
        <w:t>Figure 3</w:t>
      </w:r>
      <w:r>
        <w:t>.  These paintings were displayed at the Guggenheim out of order from the num</w:t>
      </w:r>
      <w:r w:rsidR="002D10B7">
        <w:t>bers that af Klint gave them, therefore t</w:t>
      </w:r>
      <w:r>
        <w:t>his essay wi</w:t>
      </w:r>
      <w:r w:rsidR="002D10B7">
        <w:t xml:space="preserve">ll discuss them </w:t>
      </w:r>
      <w:r>
        <w:t xml:space="preserve">in </w:t>
      </w:r>
      <w:r w:rsidR="00487D95">
        <w:t>the order</w:t>
      </w:r>
      <w:r>
        <w:t xml:space="preserve"> the viewer was intende</w:t>
      </w:r>
      <w:r w:rsidR="00FA142A">
        <w:t xml:space="preserve">d to meet them </w:t>
      </w:r>
      <w:r w:rsidR="00BA6C85">
        <w:t>ascending spiral layout of</w:t>
      </w:r>
      <w:r w:rsidR="002D10B7">
        <w:t xml:space="preserve"> the museum</w:t>
      </w:r>
      <w:r w:rsidR="00FA142A">
        <w:t xml:space="preserve">.  </w:t>
      </w:r>
      <w:r w:rsidR="00F9100F" w:rsidRPr="00FA142A">
        <w:rPr>
          <w:i/>
        </w:rPr>
        <w:t>No. 1</w:t>
      </w:r>
      <w:r w:rsidR="00FA142A">
        <w:t xml:space="preserve"> contains </w:t>
      </w:r>
      <w:r w:rsidR="00F9100F">
        <w:t xml:space="preserve">an </w:t>
      </w:r>
      <w:r w:rsidR="00FA142A">
        <w:t>equatorial</w:t>
      </w:r>
      <w:r w:rsidR="00F9100F">
        <w:t xml:space="preserve"> triang</w:t>
      </w:r>
      <w:r w:rsidR="00FA142A">
        <w:t>le</w:t>
      </w:r>
      <w:r w:rsidR="00BA6C85">
        <w:t xml:space="preserve"> creating a pyramid </w:t>
      </w:r>
      <w:r w:rsidR="00FA142A">
        <w:t xml:space="preserve">on a black background with a thick line of </w:t>
      </w:r>
      <w:r w:rsidR="00F9100F">
        <w:t>dark brown</w:t>
      </w:r>
      <w:r w:rsidR="00FA142A">
        <w:t xml:space="preserve"> </w:t>
      </w:r>
      <w:r w:rsidR="00BA6C85">
        <w:t xml:space="preserve">paint </w:t>
      </w:r>
      <w:r w:rsidR="00FA142A">
        <w:t>as the</w:t>
      </w:r>
      <w:r w:rsidR="00F9100F">
        <w:t xml:space="preserve"> foundation</w:t>
      </w:r>
      <w:r w:rsidR="00BA6C85">
        <w:t xml:space="preserve"> </w:t>
      </w:r>
      <w:r w:rsidR="00FA142A">
        <w:t xml:space="preserve">of the pyramid.  This pyramid has a wide base </w:t>
      </w:r>
      <w:r w:rsidR="00F9100F">
        <w:t>at the bottom</w:t>
      </w:r>
      <w:r w:rsidR="00FA142A">
        <w:t xml:space="preserve">, becoming </w:t>
      </w:r>
      <w:r w:rsidR="00F9100F">
        <w:t>narrow at the top</w:t>
      </w:r>
      <w:r w:rsidR="000805B5">
        <w:t xml:space="preserve">, and </w:t>
      </w:r>
      <w:r w:rsidR="00F9100F">
        <w:t xml:space="preserve">is cut into seven vertical sections that conjure up the </w:t>
      </w:r>
      <w:r w:rsidR="00BA6C85">
        <w:t>colours</w:t>
      </w:r>
      <w:r w:rsidR="00F9100F">
        <w:t xml:space="preserve"> of the chakra system, as they range from red, orange, yellow, green, blue</w:t>
      </w:r>
      <w:r w:rsidR="00FA142A">
        <w:t>,</w:t>
      </w:r>
      <w:r w:rsidR="00F9100F">
        <w:t xml:space="preserve"> indigo</w:t>
      </w:r>
      <w:r w:rsidR="00FA142A">
        <w:t>, and violet.  T</w:t>
      </w:r>
      <w:r w:rsidR="00F9100F">
        <w:t xml:space="preserve">he horizontal columns of </w:t>
      </w:r>
      <w:r w:rsidR="00FA142A">
        <w:t>the triangle are divided into seventeen sections with gold leaf separating</w:t>
      </w:r>
      <w:r w:rsidR="00F9100F">
        <w:t xml:space="preserve"> each horizontal and vertical section.  The </w:t>
      </w:r>
      <w:r w:rsidR="00BA6C85">
        <w:t>centre</w:t>
      </w:r>
      <w:r w:rsidR="00F9100F">
        <w:t xml:space="preserve"> column of the pyramid has a green background and </w:t>
      </w:r>
      <w:r w:rsidR="00FA142A">
        <w:t>gold leaf</w:t>
      </w:r>
      <w:r w:rsidR="00F9100F">
        <w:t xml:space="preserve"> wheel like symbols painted.  The </w:t>
      </w:r>
      <w:r w:rsidR="000805B5">
        <w:t xml:space="preserve">tip </w:t>
      </w:r>
      <w:r w:rsidR="00F9100F">
        <w:t>of the pyramid is black with a gold leaf circle in the middle</w:t>
      </w:r>
      <w:r w:rsidR="00FA142A">
        <w:t>, which also intersect</w:t>
      </w:r>
      <w:r w:rsidR="00697101">
        <w:t>s with</w:t>
      </w:r>
      <w:r w:rsidR="00FA142A">
        <w:t xml:space="preserve"> the top four</w:t>
      </w:r>
      <w:r w:rsidR="00F9100F">
        <w:t xml:space="preserve"> layers of the pyramid</w:t>
      </w:r>
      <w:r w:rsidR="00697101">
        <w:t>, in</w:t>
      </w:r>
      <w:r w:rsidR="00FA142A">
        <w:t xml:space="preserve"> an</w:t>
      </w:r>
      <w:r w:rsidR="00F9100F">
        <w:t xml:space="preserve"> outer band </w:t>
      </w:r>
      <w:r w:rsidR="00FA142A">
        <w:t xml:space="preserve">of a pale violet </w:t>
      </w:r>
      <w:r w:rsidR="00697101">
        <w:t xml:space="preserve">paint.  </w:t>
      </w:r>
      <w:r w:rsidR="000805B5">
        <w:t>Within</w:t>
      </w:r>
      <w:r w:rsidR="00FA142A">
        <w:t xml:space="preserve"> the large yellow circle</w:t>
      </w:r>
      <w:r w:rsidR="00F9100F">
        <w:t xml:space="preserve"> </w:t>
      </w:r>
      <w:r w:rsidR="00FA142A">
        <w:t xml:space="preserve">is </w:t>
      </w:r>
      <w:r w:rsidR="00F9100F">
        <w:t>green with two different t</w:t>
      </w:r>
      <w:r w:rsidR="00FA142A">
        <w:t xml:space="preserve">ypes of triangles, that </w:t>
      </w:r>
      <w:r w:rsidR="00F9100F">
        <w:t>appear t</w:t>
      </w:r>
      <w:r w:rsidR="00FA142A">
        <w:t>o be like rays of the sun, alternating</w:t>
      </w:r>
      <w:r w:rsidR="00F9100F">
        <w:t xml:space="preserve"> from yellow and gold to blue</w:t>
      </w:r>
      <w:r w:rsidR="00FA142A">
        <w:t>, purple to pink.</w:t>
      </w:r>
    </w:p>
    <w:p w:rsidR="00DA0483" w:rsidRDefault="00DA0483" w:rsidP="00F9100F"/>
    <w:p w:rsidR="00DA0483" w:rsidRDefault="008A207D" w:rsidP="00F9100F">
      <w:r>
        <w:t xml:space="preserve">The </w:t>
      </w:r>
      <w:r w:rsidR="00BA6C85">
        <w:t>centre</w:t>
      </w:r>
      <w:r>
        <w:t xml:space="preserve"> painting in this triptych is </w:t>
      </w:r>
      <w:r w:rsidRPr="008A207D">
        <w:rPr>
          <w:i/>
        </w:rPr>
        <w:t>No. 3</w:t>
      </w:r>
      <w:r w:rsidR="000805B5">
        <w:t xml:space="preserve">, </w:t>
      </w:r>
      <w:r w:rsidR="00DA0483">
        <w:t xml:space="preserve">contains a large gold leaf circle in the middle of the painting, </w:t>
      </w:r>
      <w:r w:rsidR="00697101">
        <w:t xml:space="preserve">that </w:t>
      </w:r>
      <w:r w:rsidR="000805B5">
        <w:t>contains</w:t>
      </w:r>
      <w:r w:rsidR="00DA0483">
        <w:t xml:space="preserve"> many squares within the circle</w:t>
      </w:r>
      <w:r w:rsidR="00697101">
        <w:t xml:space="preserve">, holding two </w:t>
      </w:r>
      <w:r w:rsidR="0068013E">
        <w:t>triangles</w:t>
      </w:r>
      <w:r w:rsidR="00697101">
        <w:t xml:space="preserve"> forming a </w:t>
      </w:r>
      <w:r w:rsidR="0068013E">
        <w:t>six-pointed</w:t>
      </w:r>
      <w:r w:rsidR="00697101">
        <w:t xml:space="preserve"> star within.  </w:t>
      </w:r>
      <w:r w:rsidR="00DA0483">
        <w:t>The large golden circle is outlined with a thick band of black paint</w:t>
      </w:r>
      <w:r w:rsidR="00BA6C85">
        <w:t xml:space="preserve">.  Behind the large gold circle, the background of the painting contains </w:t>
      </w:r>
      <w:r w:rsidR="00DA0483">
        <w:t xml:space="preserve">four sections </w:t>
      </w:r>
      <w:r w:rsidR="00BA6C85">
        <w:t>that are almost rectangular</w:t>
      </w:r>
      <w:r w:rsidR="00DA0483">
        <w:t xml:space="preserve">, </w:t>
      </w:r>
      <w:r w:rsidR="00BA6C85">
        <w:t xml:space="preserve">with </w:t>
      </w:r>
      <w:r w:rsidR="00DA0483">
        <w:t xml:space="preserve">the top left </w:t>
      </w:r>
      <w:r w:rsidR="00BA6C85">
        <w:t xml:space="preserve">coloured in </w:t>
      </w:r>
      <w:r w:rsidR="00DA0483">
        <w:t>yellow, the top right</w:t>
      </w:r>
      <w:r w:rsidR="00BA6C85">
        <w:t xml:space="preserve"> blue, the bottom left with a </w:t>
      </w:r>
      <w:r w:rsidR="00DA0483">
        <w:t xml:space="preserve">grey background (same </w:t>
      </w:r>
      <w:r w:rsidR="00BA6C85">
        <w:t xml:space="preserve">shade </w:t>
      </w:r>
      <w:r w:rsidR="00DA0483">
        <w:t xml:space="preserve">as </w:t>
      </w:r>
      <w:r w:rsidR="000805B5">
        <w:t>in</w:t>
      </w:r>
      <w:r w:rsidR="00DA0483">
        <w:t xml:space="preserve"> </w:t>
      </w:r>
      <w:r w:rsidR="00DA0483" w:rsidRPr="00BA6C85">
        <w:rPr>
          <w:i/>
        </w:rPr>
        <w:t>No.2</w:t>
      </w:r>
      <w:r w:rsidR="00BA6C85">
        <w:t>) and</w:t>
      </w:r>
      <w:r w:rsidR="00DA0483">
        <w:t xml:space="preserve"> the bottom right with the brown background (same</w:t>
      </w:r>
      <w:r w:rsidR="000805B5">
        <w:t xml:space="preserve"> shade</w:t>
      </w:r>
      <w:r w:rsidR="00DA0483">
        <w:t xml:space="preserve"> as in </w:t>
      </w:r>
      <w:r w:rsidR="00DA0483" w:rsidRPr="00BA6C85">
        <w:rPr>
          <w:i/>
        </w:rPr>
        <w:t>No. 1</w:t>
      </w:r>
      <w:r w:rsidR="00DA0483">
        <w:t xml:space="preserve">).  </w:t>
      </w:r>
      <w:r w:rsidR="00BA6C85">
        <w:t>Four</w:t>
      </w:r>
      <w:r w:rsidR="00DA0483">
        <w:t xml:space="preserve"> spirals</w:t>
      </w:r>
      <w:r w:rsidR="00BA6C85">
        <w:t xml:space="preserve"> and multi-coloured bands of paint move out from the large golden yellow circle</w:t>
      </w:r>
      <w:r w:rsidR="00DA0483">
        <w:t xml:space="preserve">, </w:t>
      </w:r>
      <w:r w:rsidR="00697101">
        <w:t>suggesting</w:t>
      </w:r>
      <w:r w:rsidR="00DA0483">
        <w:t xml:space="preserve"> rays of light within the rectangles.  </w:t>
      </w:r>
    </w:p>
    <w:p w:rsidR="00F9100F" w:rsidRDefault="00F9100F" w:rsidP="00F9100F"/>
    <w:p w:rsidR="00D321CD" w:rsidRDefault="00F9100F" w:rsidP="00F9100F">
      <w:r w:rsidRPr="00BA6C85">
        <w:rPr>
          <w:i/>
        </w:rPr>
        <w:t>No. 2</w:t>
      </w:r>
      <w:r w:rsidR="00BA6C85">
        <w:t xml:space="preserve"> </w:t>
      </w:r>
      <w:r>
        <w:t xml:space="preserve">contains an </w:t>
      </w:r>
      <w:r w:rsidR="00BA6C85">
        <w:t>equatorial</w:t>
      </w:r>
      <w:r>
        <w:t xml:space="preserve"> </w:t>
      </w:r>
      <w:r w:rsidR="00BA6C85">
        <w:t>triangle</w:t>
      </w:r>
      <w:r>
        <w:t xml:space="preserve"> with the </w:t>
      </w:r>
      <w:r w:rsidR="00697101">
        <w:t xml:space="preserve">tip of the pyramid </w:t>
      </w:r>
      <w:r w:rsidR="00BA6C85">
        <w:t>at the base of the painting</w:t>
      </w:r>
      <w:r w:rsidR="00697101">
        <w:t xml:space="preserve"> containing the </w:t>
      </w:r>
      <w:r w:rsidR="0068013E">
        <w:t>colours</w:t>
      </w:r>
      <w:r w:rsidR="00697101">
        <w:t xml:space="preserve"> yellow, blue, red, and blue.  </w:t>
      </w:r>
      <w:r w:rsidR="0068013E">
        <w:t xml:space="preserve">The background contains a grey band of paint </w:t>
      </w:r>
      <w:r w:rsidR="0068013E">
        <w:lastRenderedPageBreak/>
        <w:t xml:space="preserve">at the bottom of the painting, </w:t>
      </w:r>
      <w:r w:rsidR="000805B5">
        <w:t xml:space="preserve">and </w:t>
      </w:r>
      <w:r w:rsidR="0068013E">
        <w:t xml:space="preserve">a large red area creates two red triangles on either side of an equilateral triangle, with a crème coloured rectangle above.  </w:t>
      </w:r>
      <w:r>
        <w:t>This pyramid</w:t>
      </w:r>
      <w:r w:rsidR="00BA6C85">
        <w:t xml:space="preserve"> is black, divided into five vertical sections and sixteen</w:t>
      </w:r>
      <w:r>
        <w:t xml:space="preserve"> horizontal sections</w:t>
      </w:r>
      <w:r w:rsidR="00697101">
        <w:t xml:space="preserve"> with either a thin strip of white or gold leaf</w:t>
      </w:r>
      <w:r>
        <w:t>.</w:t>
      </w:r>
      <w:r w:rsidR="00BA6C85">
        <w:t xml:space="preserve">  </w:t>
      </w:r>
      <w:r>
        <w:t xml:space="preserve">The </w:t>
      </w:r>
      <w:r w:rsidR="00BA6C85">
        <w:t>centre</w:t>
      </w:r>
      <w:r>
        <w:t xml:space="preserve"> column contains a white background, with two g</w:t>
      </w:r>
      <w:r w:rsidR="00697101">
        <w:t xml:space="preserve">old leaf spirals on each level </w:t>
      </w:r>
      <w:r>
        <w:t>that meet at the tip.  The upper rectangle contains a large gold leaf circle, with a large rainbow spiral circling around</w:t>
      </w:r>
      <w:r w:rsidR="00697101">
        <w:t xml:space="preserve"> in the </w:t>
      </w:r>
      <w:r w:rsidR="0068013E">
        <w:t>colours</w:t>
      </w:r>
      <w:r w:rsidR="00697101">
        <w:t xml:space="preserve"> moving from</w:t>
      </w:r>
      <w:r>
        <w:t xml:space="preserve"> </w:t>
      </w:r>
      <w:r w:rsidR="00BA6C85">
        <w:t>yellow</w:t>
      </w:r>
      <w:r w:rsidR="00697101">
        <w:t xml:space="preserve">, to </w:t>
      </w:r>
      <w:r>
        <w:t>green, to blue, to yellow, to green, to blue.</w:t>
      </w:r>
    </w:p>
    <w:p w:rsidR="00AC256B" w:rsidRPr="001950B1" w:rsidRDefault="00AC256B" w:rsidP="001F275F">
      <w:pPr>
        <w:rPr>
          <w:b/>
        </w:rPr>
      </w:pPr>
    </w:p>
    <w:p w:rsidR="001D203B" w:rsidRDefault="00AC256B" w:rsidP="001D203B">
      <w:r>
        <w:t>T</w:t>
      </w:r>
      <w:r w:rsidR="00DE52DB">
        <w:t>ime</w:t>
      </w:r>
      <w:r>
        <w:t xml:space="preserve"> </w:t>
      </w:r>
      <w:r w:rsidR="001D203B">
        <w:t>differentiates</w:t>
      </w:r>
      <w:r w:rsidR="00807D9C">
        <w:t xml:space="preserve"> </w:t>
      </w:r>
      <w:r>
        <w:t xml:space="preserve">Nut with af Klint’s </w:t>
      </w:r>
      <w:r w:rsidRPr="00C20372">
        <w:rPr>
          <w:i/>
        </w:rPr>
        <w:t>Altarpieces</w:t>
      </w:r>
      <w:r>
        <w:t xml:space="preserve"> as Nut is ancient while the triptych is modern</w:t>
      </w:r>
      <w:r w:rsidR="00FE51DE">
        <w:t xml:space="preserve">.  Although af Klint crafted her work </w:t>
      </w:r>
      <w:r w:rsidR="00807D9C">
        <w:t xml:space="preserve">in modernity, </w:t>
      </w:r>
      <w:r w:rsidR="00FE51DE" w:rsidRPr="00FE51DE">
        <w:rPr>
          <w:i/>
        </w:rPr>
        <w:t>Altarpieces</w:t>
      </w:r>
      <w:r w:rsidR="00807D9C">
        <w:t xml:space="preserve"> was</w:t>
      </w:r>
      <w:r w:rsidR="00FE51DE">
        <w:t xml:space="preserve"> created for a sanctuary, much like the ceiling containing Nut at Dendera</w:t>
      </w:r>
      <w:r>
        <w:t xml:space="preserve">.  </w:t>
      </w:r>
      <w:r w:rsidR="00FE51DE">
        <w:t xml:space="preserve">Both </w:t>
      </w:r>
      <w:r>
        <w:t xml:space="preserve">works invoke a conversation of the sky through symbolism and cosmology.  </w:t>
      </w:r>
      <w:r w:rsidR="007362C0">
        <w:t xml:space="preserve">The symbolism includes pattern that creates motion, spirals and </w:t>
      </w:r>
      <w:r w:rsidR="00770511">
        <w:t>the</w:t>
      </w:r>
      <w:r w:rsidR="007362C0">
        <w:t xml:space="preserve"> pyramid.  Although both works invoke cosmology, Nut’s representation is about duality while af Klint’s work is a spiritual journey that culminates in a return to Oneness.  </w:t>
      </w:r>
    </w:p>
    <w:p w:rsidR="002426A0" w:rsidRDefault="002426A0" w:rsidP="001F275F"/>
    <w:p w:rsidR="00B7408C" w:rsidRPr="00164775" w:rsidRDefault="00071602" w:rsidP="009154DD">
      <w:pPr>
        <w:autoSpaceDE w:val="0"/>
        <w:autoSpaceDN w:val="0"/>
        <w:adjustRightInd w:val="0"/>
        <w:rPr>
          <w:rFonts w:eastAsiaTheme="minorHAnsi"/>
        </w:rPr>
      </w:pPr>
      <w:r>
        <w:t>R</w:t>
      </w:r>
      <w:r w:rsidR="00164775">
        <w:t xml:space="preserve">epetition occurs in both the image of Nut and </w:t>
      </w:r>
      <w:r w:rsidR="00164775" w:rsidRPr="00773356">
        <w:rPr>
          <w:i/>
        </w:rPr>
        <w:t>Altarpieces</w:t>
      </w:r>
      <w:r w:rsidR="00164775">
        <w:t xml:space="preserve"> that </w:t>
      </w:r>
      <w:r w:rsidR="000805B5">
        <w:t>reflect of forces of nature.  Nut wa</w:t>
      </w:r>
      <w:r w:rsidR="00164775">
        <w:t>s the eternal water, the milky way</w:t>
      </w:r>
      <w:r w:rsidR="00164775">
        <w:rPr>
          <w:rStyle w:val="FootnoteReference"/>
          <w:sz w:val="23"/>
          <w:szCs w:val="23"/>
        </w:rPr>
        <w:footnoteReference w:id="16"/>
      </w:r>
      <w:r w:rsidR="00164775">
        <w:t xml:space="preserve"> from which the whole universe was created.</w:t>
      </w:r>
      <w:r w:rsidR="00164775">
        <w:rPr>
          <w:sz w:val="23"/>
          <w:szCs w:val="23"/>
        </w:rPr>
        <w:t xml:space="preserve">  </w:t>
      </w:r>
      <w:r w:rsidR="00164775">
        <w:t xml:space="preserve">af Klint’s work symbolized not only forces of nature, but also forces of the body, of belief, of mental and psychic being, </w:t>
      </w:r>
      <w:r w:rsidR="00164775">
        <w:rPr>
          <w:rFonts w:eastAsiaTheme="minorHAnsi"/>
        </w:rPr>
        <w:t>‘af Klint’s methodological approach to emergence and transformation was to choose series and to repeat her</w:t>
      </w:r>
      <w:r>
        <w:rPr>
          <w:rFonts w:eastAsiaTheme="minorHAnsi"/>
        </w:rPr>
        <w:t xml:space="preserve"> image vocabulary in variations</w:t>
      </w:r>
      <w:r w:rsidR="00164775">
        <w:rPr>
          <w:rFonts w:eastAsiaTheme="minorHAnsi"/>
        </w:rPr>
        <w:t>.’</w:t>
      </w:r>
      <w:r w:rsidR="00164775">
        <w:rPr>
          <w:rStyle w:val="FootnoteReference"/>
          <w:rFonts w:eastAsiaTheme="minorHAnsi"/>
        </w:rPr>
        <w:footnoteReference w:id="17"/>
      </w:r>
      <w:r w:rsidR="00164775">
        <w:rPr>
          <w:rFonts w:eastAsiaTheme="minorHAnsi"/>
        </w:rPr>
        <w:t xml:space="preserve">  </w:t>
      </w:r>
      <w:r w:rsidR="00C20372">
        <w:t>A movement pattern</w:t>
      </w:r>
      <w:r w:rsidR="00D321CD">
        <w:t xml:space="preserve"> cascades from the sun that emerges from the </w:t>
      </w:r>
      <w:r w:rsidR="00C20372">
        <w:t>womb of Nut to the head of Hathor</w:t>
      </w:r>
      <w:r w:rsidR="000805B5">
        <w:t>,</w:t>
      </w:r>
      <w:r w:rsidR="00C20372">
        <w:t xml:space="preserve"> while in </w:t>
      </w:r>
      <w:r w:rsidR="00C20372" w:rsidRPr="00C20372">
        <w:rPr>
          <w:i/>
        </w:rPr>
        <w:t>No. 1</w:t>
      </w:r>
      <w:r w:rsidR="00C20372">
        <w:t xml:space="preserve"> </w:t>
      </w:r>
      <w:r w:rsidR="00FE51DE">
        <w:t xml:space="preserve">green </w:t>
      </w:r>
      <w:r w:rsidR="00FE51DE">
        <w:t>wheel like symbols</w:t>
      </w:r>
      <w:r w:rsidR="00FE51DE">
        <w:t xml:space="preserve"> cascade </w:t>
      </w:r>
      <w:r w:rsidR="00C20372">
        <w:t xml:space="preserve">from the golden sun, perhaps signifying birth and new life.  </w:t>
      </w:r>
      <w:r w:rsidR="00AC7F8E">
        <w:t xml:space="preserve">From the two mountains that create the </w:t>
      </w:r>
      <w:r w:rsidR="00AC7F8E" w:rsidRPr="00AC7F8E">
        <w:rPr>
          <w:i/>
        </w:rPr>
        <w:t>akhet</w:t>
      </w:r>
      <w:r w:rsidR="002426A0">
        <w:t xml:space="preserve">, a tendril like tree moves up on either side, one on the left merging into the pyramid rays of the sun.  In </w:t>
      </w:r>
      <w:r w:rsidR="002426A0" w:rsidRPr="00164775">
        <w:rPr>
          <w:i/>
        </w:rPr>
        <w:t xml:space="preserve">No. 2 </w:t>
      </w:r>
      <w:r w:rsidR="002426A0">
        <w:t xml:space="preserve">a movement extends from the tip of the pyramid up with tendrils of spirals to a golden sphere with a </w:t>
      </w:r>
      <w:r w:rsidR="001D203B">
        <w:t>spiral</w:t>
      </w:r>
      <w:r w:rsidR="00164775">
        <w:t xml:space="preserve"> motion that invokes the</w:t>
      </w:r>
      <w:r w:rsidR="002426A0">
        <w:t xml:space="preserve"> formation of life from DNA</w:t>
      </w:r>
      <w:r w:rsidR="00164775">
        <w:t>,</w:t>
      </w:r>
      <w:r w:rsidR="002426A0">
        <w:t xml:space="preserve"> to the motion of our galaxy.  </w:t>
      </w:r>
      <w:r w:rsidR="000805B5">
        <w:t xml:space="preserve">From </w:t>
      </w:r>
      <w:r w:rsidR="00AC256B">
        <w:t xml:space="preserve">Hathor’s head two spirals on </w:t>
      </w:r>
      <w:r w:rsidR="000805B5">
        <w:t xml:space="preserve">emerge on </w:t>
      </w:r>
      <w:r w:rsidR="00AC256B">
        <w:t xml:space="preserve">either side for hair.  </w:t>
      </w:r>
      <w:r w:rsidR="002426A0">
        <w:t>This</w:t>
      </w:r>
      <w:r w:rsidR="00AC256B">
        <w:t xml:space="preserve"> same</w:t>
      </w:r>
      <w:r w:rsidR="00B7408C">
        <w:t xml:space="preserve"> spiral</w:t>
      </w:r>
      <w:r w:rsidR="00AC256B">
        <w:t xml:space="preserve"> pattern </w:t>
      </w:r>
      <w:r w:rsidR="009154DD">
        <w:t xml:space="preserve">is found in </w:t>
      </w:r>
      <w:r w:rsidR="009154DD" w:rsidRPr="009154DD">
        <w:rPr>
          <w:i/>
        </w:rPr>
        <w:t xml:space="preserve">No. 2 </w:t>
      </w:r>
      <w:r w:rsidR="009154DD">
        <w:t xml:space="preserve">and </w:t>
      </w:r>
      <w:r w:rsidR="009154DD" w:rsidRPr="009154DD">
        <w:rPr>
          <w:i/>
        </w:rPr>
        <w:t>No.3</w:t>
      </w:r>
      <w:r w:rsidR="009154DD">
        <w:t>.</w:t>
      </w:r>
      <w:r w:rsidR="00B7408C">
        <w:t xml:space="preserve">  </w:t>
      </w:r>
      <w:r w:rsidR="00770511">
        <w:t>The spiral is found throughout Ancient Egypt</w:t>
      </w:r>
      <w:r w:rsidR="00B67F19">
        <w:t>,</w:t>
      </w:r>
      <w:r w:rsidR="00770511">
        <w:t xml:space="preserve"> and af Klint worked intentionally with this shape.  For af Klint the spiral </w:t>
      </w:r>
      <w:r w:rsidR="00976AD4">
        <w:t xml:space="preserve">embodies the </w:t>
      </w:r>
      <w:r w:rsidR="00773356">
        <w:t>continuous</w:t>
      </w:r>
      <w:r w:rsidR="00976AD4">
        <w:t xml:space="preserve"> progress and movement, spiritual ascent or descent, </w:t>
      </w:r>
      <w:r w:rsidR="00B7408C">
        <w:t>‘The spiral is so natural and organic a form for whatever would ascend that I did not see why it should not be played upon and made equally available for d</w:t>
      </w:r>
      <w:r w:rsidR="00976AD4">
        <w:t>escent at one and the same time.’</w:t>
      </w:r>
      <w:r w:rsidR="00976AD4">
        <w:rPr>
          <w:rStyle w:val="FootnoteReference"/>
        </w:rPr>
        <w:footnoteReference w:id="18"/>
      </w:r>
      <w:r w:rsidR="00B7408C">
        <w:t xml:space="preserve">  </w:t>
      </w:r>
    </w:p>
    <w:p w:rsidR="00AC256B" w:rsidRPr="008663B6" w:rsidRDefault="00AC256B" w:rsidP="001F275F"/>
    <w:p w:rsidR="00976AD4" w:rsidRPr="00C33245" w:rsidRDefault="00B7408C" w:rsidP="00976AD4">
      <w:pPr>
        <w:rPr>
          <w:rFonts w:eastAsiaTheme="minorHAnsi"/>
        </w:rPr>
      </w:pPr>
      <w:r w:rsidRPr="008663B6">
        <w:t>Both pieces create a conversation</w:t>
      </w:r>
      <w:r w:rsidR="00246DA3" w:rsidRPr="008663B6">
        <w:t xml:space="preserve"> on the </w:t>
      </w:r>
      <w:r w:rsidRPr="008663B6">
        <w:t xml:space="preserve">symbolism of three, </w:t>
      </w:r>
      <w:r w:rsidR="00335600" w:rsidRPr="008663B6">
        <w:t>particularly</w:t>
      </w:r>
      <w:r w:rsidRPr="008663B6">
        <w:t xml:space="preserve"> in the three main objects being Nut, the sun and the head of Hathor and af Klint’</w:t>
      </w:r>
      <w:r w:rsidR="00976AD4" w:rsidRPr="008663B6">
        <w:t xml:space="preserve">s </w:t>
      </w:r>
      <w:r w:rsidR="00335600" w:rsidRPr="008663B6">
        <w:t>triptych</w:t>
      </w:r>
      <w:r w:rsidR="00976AD4" w:rsidRPr="008663B6">
        <w:t>.  T</w:t>
      </w:r>
      <w:r w:rsidRPr="008663B6">
        <w:t xml:space="preserve">hese visual works contain the shape of the triangle or </w:t>
      </w:r>
      <w:r w:rsidR="00976AD4" w:rsidRPr="008663B6">
        <w:t>the pyramid, with three sides</w:t>
      </w:r>
      <w:r w:rsidR="00BB16CC" w:rsidRPr="008663B6">
        <w:t>, as the rays of the sun</w:t>
      </w:r>
      <w:r w:rsidR="00B67F19">
        <w:t xml:space="preserve"> from Nut</w:t>
      </w:r>
      <w:r w:rsidR="00BB16CC" w:rsidRPr="008663B6">
        <w:t xml:space="preserve"> and </w:t>
      </w:r>
      <w:r w:rsidR="00BB16CC" w:rsidRPr="008663B6">
        <w:rPr>
          <w:i/>
        </w:rPr>
        <w:t>No. 1</w:t>
      </w:r>
      <w:r w:rsidR="00BB16CC" w:rsidRPr="008663B6">
        <w:t xml:space="preserve"> and </w:t>
      </w:r>
      <w:r w:rsidR="00BB16CC" w:rsidRPr="008663B6">
        <w:rPr>
          <w:i/>
        </w:rPr>
        <w:t xml:space="preserve">No. 2 </w:t>
      </w:r>
      <w:r w:rsidR="00BB16CC" w:rsidRPr="008663B6">
        <w:t xml:space="preserve">featuring large pyramids.  </w:t>
      </w:r>
      <w:r w:rsidR="008663B6" w:rsidRPr="008663B6">
        <w:t>In Egyptian cosmology the pyramids come from the water, and Nut is the eternal waters.  The pyramid has been symbolically associated with Ra</w:t>
      </w:r>
      <w:r w:rsidR="008666FE">
        <w:t>,</w:t>
      </w:r>
      <w:r w:rsidR="008663B6" w:rsidRPr="008663B6">
        <w:t xml:space="preserve"> the sun god, as a means of reaching eternal life itself.</w:t>
      </w:r>
      <w:r w:rsidR="008663B6" w:rsidRPr="008663B6">
        <w:rPr>
          <w:rStyle w:val="FootnoteReference"/>
        </w:rPr>
        <w:footnoteReference w:id="19"/>
      </w:r>
      <w:r w:rsidR="008663B6" w:rsidRPr="008663B6">
        <w:t xml:space="preserve">  </w:t>
      </w:r>
      <w:r w:rsidR="00770511">
        <w:t>The shapes of the pyramids of Egypt have been described as</w:t>
      </w:r>
      <w:r w:rsidR="008663B6" w:rsidRPr="008663B6">
        <w:t xml:space="preserve"> </w:t>
      </w:r>
      <w:r w:rsidR="00770511">
        <w:t>‘</w:t>
      </w:r>
      <w:r w:rsidR="008663B6" w:rsidRPr="008663B6">
        <w:t xml:space="preserve">great triangles formed by the sides of the pyramid </w:t>
      </w:r>
      <w:r w:rsidR="008666FE">
        <w:t xml:space="preserve">(that) </w:t>
      </w:r>
      <w:r w:rsidR="008663B6" w:rsidRPr="008663B6">
        <w:t>seemed to fall from heaven, like the rays of the sun when his face shines through the clouds, sending a ladder of light to the earth.’</w:t>
      </w:r>
      <w:r w:rsidR="00995FE9" w:rsidRPr="008663B6">
        <w:rPr>
          <w:rStyle w:val="FootnoteReference"/>
        </w:rPr>
        <w:footnoteReference w:id="20"/>
      </w:r>
      <w:r w:rsidR="00C33245">
        <w:rPr>
          <w:rFonts w:eastAsiaTheme="minorHAnsi"/>
        </w:rPr>
        <w:t xml:space="preserve">  </w:t>
      </w:r>
      <w:r w:rsidR="008666FE">
        <w:rPr>
          <w:rFonts w:eastAsiaTheme="minorHAnsi"/>
        </w:rPr>
        <w:t xml:space="preserve">This statement almost appears as inspiration for </w:t>
      </w:r>
      <w:r w:rsidR="008666FE" w:rsidRPr="008666FE">
        <w:rPr>
          <w:rFonts w:eastAsiaTheme="minorHAnsi"/>
          <w:i/>
        </w:rPr>
        <w:t>Altarpieces</w:t>
      </w:r>
      <w:r w:rsidR="008666FE">
        <w:rPr>
          <w:rFonts w:eastAsiaTheme="minorHAnsi"/>
          <w:i/>
        </w:rPr>
        <w:t xml:space="preserve"> </w:t>
      </w:r>
      <w:r w:rsidR="008666FE">
        <w:rPr>
          <w:rFonts w:eastAsiaTheme="minorHAnsi"/>
        </w:rPr>
        <w:t xml:space="preserve">and a narration </w:t>
      </w:r>
      <w:r w:rsidR="008666FE">
        <w:rPr>
          <w:rFonts w:eastAsiaTheme="minorHAnsi"/>
        </w:rPr>
        <w:lastRenderedPageBreak/>
        <w:t xml:space="preserve">of the sun </w:t>
      </w:r>
      <w:r w:rsidR="00164775">
        <w:rPr>
          <w:rFonts w:eastAsiaTheme="minorHAnsi"/>
        </w:rPr>
        <w:t xml:space="preserve">birthed </w:t>
      </w:r>
      <w:r w:rsidR="008666FE">
        <w:rPr>
          <w:rFonts w:eastAsiaTheme="minorHAnsi"/>
        </w:rPr>
        <w:t xml:space="preserve">from Nut’s womb that </w:t>
      </w:r>
      <w:r w:rsidR="00164775">
        <w:rPr>
          <w:rFonts w:eastAsiaTheme="minorHAnsi"/>
        </w:rPr>
        <w:t>generates</w:t>
      </w:r>
      <w:r w:rsidR="008666FE">
        <w:rPr>
          <w:rFonts w:eastAsiaTheme="minorHAnsi"/>
        </w:rPr>
        <w:t xml:space="preserve"> Hathor</w:t>
      </w:r>
      <w:r w:rsidR="00FA18AE">
        <w:rPr>
          <w:rFonts w:eastAsiaTheme="minorHAnsi"/>
        </w:rPr>
        <w:t xml:space="preserve">.  </w:t>
      </w:r>
      <w:r w:rsidR="008663B6">
        <w:t>The pyramid has</w:t>
      </w:r>
      <w:r w:rsidR="00976AD4" w:rsidRPr="00335600">
        <w:t xml:space="preserve"> had</w:t>
      </w:r>
      <w:r w:rsidR="008663B6">
        <w:t xml:space="preserve"> a powerful effect</w:t>
      </w:r>
      <w:r w:rsidR="00976AD4" w:rsidRPr="00335600">
        <w:t xml:space="preserve"> on the unconscious </w:t>
      </w:r>
      <w:r w:rsidR="008663B6">
        <w:t xml:space="preserve">mind as </w:t>
      </w:r>
      <w:r w:rsidR="00C33245">
        <w:t>it</w:t>
      </w:r>
      <w:r w:rsidR="008663B6">
        <w:t xml:space="preserve"> represents humanity’s</w:t>
      </w:r>
      <w:r w:rsidR="00976AD4" w:rsidRPr="00335600">
        <w:t xml:space="preserve"> unconscious </w:t>
      </w:r>
      <w:r w:rsidR="001A2B80">
        <w:t>questioning of</w:t>
      </w:r>
      <w:r w:rsidR="00976AD4" w:rsidRPr="00335600">
        <w:t xml:space="preserve"> the reality of time.</w:t>
      </w:r>
      <w:r w:rsidR="00976AD4" w:rsidRPr="00335600">
        <w:rPr>
          <w:rStyle w:val="FootnoteReference"/>
        </w:rPr>
        <w:footnoteReference w:id="21"/>
      </w:r>
      <w:r w:rsidR="00976AD4" w:rsidRPr="00335600">
        <w:t xml:space="preserve">  </w:t>
      </w:r>
    </w:p>
    <w:p w:rsidR="00773356" w:rsidRDefault="00773356" w:rsidP="00976AD4"/>
    <w:p w:rsidR="009523AA" w:rsidRDefault="00773356" w:rsidP="009523AA">
      <w:r>
        <w:t>Nut’s iconography speaks of duality, the east and the west, the birth and the death as the sun is swallowed and reborn each day</w:t>
      </w:r>
      <w:r w:rsidRPr="00773356">
        <w:t xml:space="preserve">.  </w:t>
      </w:r>
      <w:r w:rsidR="00FA18AE">
        <w:t xml:space="preserve">The image of Nut </w:t>
      </w:r>
      <w:r w:rsidR="00C33245">
        <w:t xml:space="preserve">illustrates </w:t>
      </w:r>
      <w:r w:rsidR="001D1C7B">
        <w:t>the s</w:t>
      </w:r>
      <w:r w:rsidR="00C33245">
        <w:t xml:space="preserve">un </w:t>
      </w:r>
      <w:r w:rsidR="001D1C7B">
        <w:t>rising over the temple</w:t>
      </w:r>
      <w:r w:rsidR="00C33245">
        <w:t xml:space="preserve"> of Hathor</w:t>
      </w:r>
      <w:r w:rsidR="001D1C7B">
        <w:t xml:space="preserve">, </w:t>
      </w:r>
      <w:r w:rsidR="00C33245">
        <w:t xml:space="preserve">over </w:t>
      </w:r>
      <w:r w:rsidR="001D1C7B">
        <w:t xml:space="preserve">the sanctuary, and </w:t>
      </w:r>
      <w:r w:rsidR="00C33245">
        <w:t xml:space="preserve">particularly over </w:t>
      </w:r>
      <w:r w:rsidR="001D1C7B">
        <w:t>the head of Hathor</w:t>
      </w:r>
      <w:r w:rsidR="00C33245">
        <w:t xml:space="preserve"> hersel</w:t>
      </w:r>
      <w:r w:rsidR="001A2B80">
        <w:t>f, celebrating Hathor in</w:t>
      </w:r>
      <w:r w:rsidR="00FA18AE">
        <w:t xml:space="preserve"> this </w:t>
      </w:r>
      <w:r w:rsidR="001A2B80">
        <w:t>scene</w:t>
      </w:r>
      <w:r w:rsidR="00C33245">
        <w:t xml:space="preserve">.  </w:t>
      </w:r>
      <w:r w:rsidRPr="00773356">
        <w:t xml:space="preserve">As a mother goddess, </w:t>
      </w:r>
      <w:r w:rsidR="001950B1">
        <w:t xml:space="preserve">particularly the mother of the stars, a </w:t>
      </w:r>
      <w:r w:rsidRPr="00773356">
        <w:t>mortuary goddess</w:t>
      </w:r>
      <w:r w:rsidR="00164775">
        <w:t>,</w:t>
      </w:r>
      <w:r w:rsidRPr="00773356">
        <w:t xml:space="preserve"> and</w:t>
      </w:r>
      <w:r w:rsidR="001950B1">
        <w:t xml:space="preserve"> a</w:t>
      </w:r>
      <w:r w:rsidRPr="00773356">
        <w:t xml:space="preserve"> sky goddess, Nut was the being who ordered the day and the night.</w:t>
      </w:r>
      <w:r w:rsidRPr="00773356">
        <w:rPr>
          <w:rStyle w:val="FootnoteReference"/>
        </w:rPr>
        <w:footnoteReference w:id="22"/>
      </w:r>
      <w:r>
        <w:rPr>
          <w:sz w:val="18"/>
          <w:szCs w:val="18"/>
        </w:rPr>
        <w:t xml:space="preserve">  </w:t>
      </w:r>
      <w:r w:rsidRPr="00773356">
        <w:rPr>
          <w:i/>
        </w:rPr>
        <w:t>Altarpieces</w:t>
      </w:r>
      <w:r>
        <w:t xml:space="preserve"> </w:t>
      </w:r>
      <w:r w:rsidR="00164775">
        <w:t>completed</w:t>
      </w:r>
      <w:r w:rsidR="001950B1">
        <w:t xml:space="preserve"> a</w:t>
      </w:r>
      <w:r w:rsidR="00FA18AE">
        <w:t xml:space="preserve"> spiritual journey as they</w:t>
      </w:r>
      <w:r w:rsidR="009523AA">
        <w:t xml:space="preserve"> ‘depict the development of the material world from the unity into multiplicity, </w:t>
      </w:r>
      <w:r w:rsidR="00FA18AE">
        <w:t xml:space="preserve">(an) </w:t>
      </w:r>
      <w:r w:rsidR="009523AA">
        <w:t>experience in the world, and finally the return to Oneness.  They are described by af Klint as “a summary of the whole work”.’</w:t>
      </w:r>
      <w:r w:rsidR="009523AA">
        <w:rPr>
          <w:rStyle w:val="FootnoteReference"/>
        </w:rPr>
        <w:footnoteReference w:id="23"/>
      </w:r>
      <w:r w:rsidR="001950B1">
        <w:t xml:space="preserve">  </w:t>
      </w:r>
      <w:r w:rsidR="00164775">
        <w:t>Both of these images</w:t>
      </w:r>
      <w:r w:rsidR="00FC42FB">
        <w:t xml:space="preserve"> speak to a concept of eternity</w:t>
      </w:r>
      <w:r w:rsidR="00164775">
        <w:t xml:space="preserve"> within the sky</w:t>
      </w:r>
      <w:r w:rsidR="00FC42FB">
        <w:t xml:space="preserve">, </w:t>
      </w:r>
      <w:r w:rsidR="00164775">
        <w:t>whether it is</w:t>
      </w:r>
      <w:r w:rsidR="00FC42FB">
        <w:t xml:space="preserve"> through duality or a spiritual journey to return to Oneness.</w:t>
      </w:r>
    </w:p>
    <w:p w:rsidR="00D321CD" w:rsidRDefault="00D321CD" w:rsidP="009D5834">
      <w:pPr>
        <w:rPr>
          <w:rFonts w:eastAsiaTheme="minorHAnsi"/>
        </w:rPr>
      </w:pPr>
    </w:p>
    <w:p w:rsidR="009D5834" w:rsidRDefault="001950B1" w:rsidP="00607F5E">
      <w:pPr>
        <w:rPr>
          <w:b/>
        </w:rPr>
      </w:pPr>
      <w:r w:rsidRPr="001950B1">
        <w:rPr>
          <w:b/>
        </w:rPr>
        <w:t>Conclusion</w:t>
      </w:r>
    </w:p>
    <w:p w:rsidR="0068013E" w:rsidRDefault="00995FE9" w:rsidP="007362C0">
      <w:r>
        <w:t xml:space="preserve">This essay </w:t>
      </w:r>
      <w:r w:rsidR="0068013E">
        <w:t>considered</w:t>
      </w:r>
      <w:r w:rsidR="00FA18AE">
        <w:t xml:space="preserve"> an image of the</w:t>
      </w:r>
      <w:r w:rsidR="00FC42FB">
        <w:t xml:space="preserve"> goddess Nut in comparison with </w:t>
      </w:r>
      <w:r w:rsidR="0068013E" w:rsidRPr="008663B6">
        <w:rPr>
          <w:i/>
        </w:rPr>
        <w:t>Altarpieces</w:t>
      </w:r>
      <w:r>
        <w:t xml:space="preserve">.  </w:t>
      </w:r>
      <w:r w:rsidR="00FC42FB">
        <w:t xml:space="preserve">Nut </w:t>
      </w:r>
      <w:r w:rsidR="00164775">
        <w:t>resides within a holy temple</w:t>
      </w:r>
      <w:r w:rsidR="00FA18AE">
        <w:t>,</w:t>
      </w:r>
      <w:r w:rsidR="00FC42FB">
        <w:t xml:space="preserve"> </w:t>
      </w:r>
      <w:r w:rsidR="001A2B80">
        <w:t>while</w:t>
      </w:r>
      <w:r w:rsidR="00FA18AE">
        <w:t xml:space="preserve"> </w:t>
      </w:r>
      <w:r w:rsidR="00FA18AE" w:rsidRPr="00FA18AE">
        <w:rPr>
          <w:i/>
        </w:rPr>
        <w:t>Altarpieces</w:t>
      </w:r>
      <w:r w:rsidR="001A2B80">
        <w:t xml:space="preserve"> was</w:t>
      </w:r>
      <w:r w:rsidR="00FA18AE">
        <w:t xml:space="preserve"> meant to occupy the inner sanctum of af Klint’s temple, a place with ‘a certain power and calm.’</w:t>
      </w:r>
      <w:r w:rsidR="00FA18AE">
        <w:rPr>
          <w:rStyle w:val="FootnoteReference"/>
        </w:rPr>
        <w:footnoteReference w:id="24"/>
      </w:r>
      <w:r w:rsidR="00FA18AE">
        <w:t xml:space="preserve">  </w:t>
      </w:r>
      <w:r>
        <w:t>Each of these pieces relates to the sky th</w:t>
      </w:r>
      <w:r w:rsidR="00FA18AE">
        <w:t xml:space="preserve">rough symbolism, namely the spiral and the pyramid, and cosmology.  </w:t>
      </w:r>
      <w:r w:rsidR="0068013E">
        <w:t>Ancient Egyptian cosm</w:t>
      </w:r>
      <w:r w:rsidR="001A2B80">
        <w:t>ology is rooted in duality and</w:t>
      </w:r>
      <w:r w:rsidR="0068013E">
        <w:t xml:space="preserve"> af Klint’s paintings were </w:t>
      </w:r>
      <w:r w:rsidR="001A2B80">
        <w:t xml:space="preserve">dedicated to understand </w:t>
      </w:r>
      <w:r w:rsidR="0068013E">
        <w:t>the duality of earthly and spiritual realm of humanity.</w:t>
      </w:r>
      <w:r w:rsidR="0068013E">
        <w:rPr>
          <w:rStyle w:val="FootnoteReference"/>
        </w:rPr>
        <w:footnoteReference w:id="25"/>
      </w:r>
      <w:r w:rsidR="00FA18AE">
        <w:t xml:space="preserve">  For af Klint, polarity was understood ‘as </w:t>
      </w:r>
      <w:r w:rsidR="00FA18AE">
        <w:t>a basic organizing principle of life into which is embedded a yearning for the return to unity</w:t>
      </w:r>
      <w:r w:rsidR="00FA18AE">
        <w:t>.</w:t>
      </w:r>
      <w:r w:rsidR="00FA18AE">
        <w:rPr>
          <w:rStyle w:val="FootnoteReference"/>
        </w:rPr>
        <w:footnoteReference w:id="26"/>
      </w:r>
      <w:r w:rsidR="00FA18AE">
        <w:t xml:space="preserve">  </w:t>
      </w:r>
      <w:r w:rsidR="001A2B80">
        <w:t>It has been</w:t>
      </w:r>
      <w:r w:rsidR="00FA18AE">
        <w:t xml:space="preserve"> argued that for the West, eternity was elsewhere</w:t>
      </w:r>
      <w:r w:rsidR="00FC42FB">
        <w:t>, that it could never be permanently accessed now</w:t>
      </w:r>
      <w:r w:rsidR="00FC42FB">
        <w:rPr>
          <w:rStyle w:val="FootnoteReference"/>
        </w:rPr>
        <w:footnoteReference w:id="27"/>
      </w:r>
      <w:r w:rsidR="00164775">
        <w:t xml:space="preserve">, </w:t>
      </w:r>
      <w:r w:rsidR="001A2B80">
        <w:t xml:space="preserve">and through </w:t>
      </w:r>
      <w:r w:rsidR="00FC42FB">
        <w:t xml:space="preserve">these two images </w:t>
      </w:r>
      <w:r w:rsidR="001A2B80">
        <w:t xml:space="preserve">an exploration has occurred that within the sky and the motion of time, the eternal is alive.  </w:t>
      </w:r>
      <w:r w:rsidR="00164775">
        <w:t>The</w:t>
      </w:r>
      <w:r w:rsidR="00164775" w:rsidRPr="008663B6">
        <w:t xml:space="preserve"> Egyptian cosmology </w:t>
      </w:r>
      <w:r w:rsidR="00164775">
        <w:t>reflects on the eternal waters of Nut while af Klint relates eternity to Oneness.</w:t>
      </w:r>
    </w:p>
    <w:p w:rsidR="001950B1" w:rsidRDefault="001950B1" w:rsidP="001950B1"/>
    <w:p w:rsidR="00164775" w:rsidRDefault="00164775">
      <w:pPr>
        <w:rPr>
          <w:b/>
        </w:rPr>
      </w:pPr>
    </w:p>
    <w:p w:rsidR="00164775" w:rsidRDefault="00164775">
      <w:pPr>
        <w:rPr>
          <w:b/>
        </w:rPr>
      </w:pPr>
    </w:p>
    <w:p w:rsidR="00164775" w:rsidRDefault="00164775">
      <w:pPr>
        <w:rPr>
          <w:b/>
        </w:rPr>
      </w:pPr>
    </w:p>
    <w:p w:rsidR="00071602" w:rsidRDefault="00071602">
      <w:pPr>
        <w:rPr>
          <w:b/>
        </w:rPr>
      </w:pPr>
      <w:r>
        <w:rPr>
          <w:b/>
        </w:rPr>
        <w:br w:type="page"/>
      </w:r>
    </w:p>
    <w:p w:rsidR="002D0F98" w:rsidRPr="002D0F98" w:rsidRDefault="002D0F98">
      <w:pPr>
        <w:rPr>
          <w:b/>
        </w:rPr>
      </w:pPr>
      <w:r w:rsidRPr="002D0F98">
        <w:rPr>
          <w:b/>
        </w:rPr>
        <w:lastRenderedPageBreak/>
        <w:t>Table of Images</w:t>
      </w:r>
    </w:p>
    <w:p w:rsidR="002D0F98" w:rsidRDefault="002D0F98"/>
    <w:p w:rsidR="002D0F98" w:rsidRDefault="002D0F98">
      <w:r>
        <w:t>Figure 1</w:t>
      </w:r>
    </w:p>
    <w:p w:rsidR="002D0F98" w:rsidRDefault="002D0F98">
      <w:r>
        <w:t xml:space="preserve">Ahmed Khalifa, </w:t>
      </w:r>
      <w:r w:rsidRPr="002D0F98">
        <w:rPr>
          <w:i/>
        </w:rPr>
        <w:t>Temple within the Temple</w:t>
      </w:r>
      <w:r>
        <w:t xml:space="preserve">, 2019, digital photography, Dendera Temple, Dendera, Egypt.  </w:t>
      </w:r>
    </w:p>
    <w:p w:rsidR="002D0F98" w:rsidRDefault="002D0F98"/>
    <w:p w:rsidR="002D0F98" w:rsidRDefault="002D0F98">
      <w:r>
        <w:t>Figure 2</w:t>
      </w:r>
    </w:p>
    <w:p w:rsidR="002D0F98" w:rsidRDefault="002D0F98">
      <w:r>
        <w:t xml:space="preserve">Ahmed Khalifa, </w:t>
      </w:r>
      <w:r w:rsidRPr="002D0F98">
        <w:rPr>
          <w:i/>
        </w:rPr>
        <w:t>Nut giving birth to Hathor</w:t>
      </w:r>
      <w:r>
        <w:t xml:space="preserve">, 2019, </w:t>
      </w:r>
      <w:r>
        <w:t xml:space="preserve">digital photography, Dendera Temple, Dendera, Egypt.  </w:t>
      </w:r>
    </w:p>
    <w:p w:rsidR="002D0F98" w:rsidRDefault="002D0F98"/>
    <w:p w:rsidR="002D0F98" w:rsidRDefault="002D0F98">
      <w:r>
        <w:t>Figure 3</w:t>
      </w:r>
    </w:p>
    <w:p w:rsidR="002D0F98" w:rsidRDefault="002D0F98">
      <w:r>
        <w:t xml:space="preserve">Danielle Marie Goldstein, </w:t>
      </w:r>
      <w:r w:rsidRPr="002D0F98">
        <w:rPr>
          <w:i/>
        </w:rPr>
        <w:t>Hilma af Klint’s Altarpieces at the Guggenheim</w:t>
      </w:r>
      <w:r>
        <w:t>, 2019, digital photography, Guggenheim Museum, New York, NY.</w:t>
      </w:r>
      <w:r>
        <w:br w:type="page"/>
      </w:r>
    </w:p>
    <w:p w:rsidR="00DE7DEC" w:rsidRPr="00002EA3" w:rsidRDefault="00BF5F70" w:rsidP="00DE7DEC">
      <w:pPr>
        <w:rPr>
          <w:b/>
        </w:rPr>
      </w:pPr>
      <w:r w:rsidRPr="00002EA3">
        <w:rPr>
          <w:b/>
        </w:rPr>
        <w:lastRenderedPageBreak/>
        <w:t>Bibliography</w:t>
      </w:r>
    </w:p>
    <w:p w:rsidR="00BF5F70" w:rsidRPr="00002EA3" w:rsidRDefault="00BF5F70" w:rsidP="00A861B7"/>
    <w:p w:rsidR="00E60272" w:rsidRPr="00002EA3" w:rsidRDefault="00E60272" w:rsidP="00A861B7">
      <w:pPr>
        <w:rPr>
          <w:lang w:val="en-US"/>
        </w:rPr>
      </w:pPr>
      <w:r w:rsidRPr="00002EA3">
        <w:rPr>
          <w:lang w:val="en-US"/>
        </w:rPr>
        <w:t>Armour,</w:t>
      </w:r>
      <w:r w:rsidRPr="00002EA3">
        <w:rPr>
          <w:lang w:val="en-US"/>
        </w:rPr>
        <w:t xml:space="preserve"> Robert A.,</w:t>
      </w:r>
      <w:r w:rsidRPr="00002EA3">
        <w:rPr>
          <w:lang w:val="en-US"/>
        </w:rPr>
        <w:t xml:space="preserve"> </w:t>
      </w:r>
      <w:r w:rsidRPr="00002EA3">
        <w:rPr>
          <w:i/>
          <w:lang w:val="en-US"/>
        </w:rPr>
        <w:t>Gods and Myths of Ancient Egypt</w:t>
      </w:r>
      <w:r w:rsidRPr="00002EA3">
        <w:rPr>
          <w:lang w:val="en-US"/>
        </w:rPr>
        <w:t xml:space="preserve"> (New York:  The American University in Cairo Press, 2001</w:t>
      </w:r>
      <w:r w:rsidRPr="00002EA3">
        <w:rPr>
          <w:lang w:val="en-US"/>
        </w:rPr>
        <w:t>)</w:t>
      </w:r>
    </w:p>
    <w:p w:rsidR="00E60272" w:rsidRPr="00002EA3" w:rsidRDefault="00E60272" w:rsidP="00A861B7">
      <w:pPr>
        <w:rPr>
          <w:lang w:val="en-US"/>
        </w:rPr>
      </w:pPr>
    </w:p>
    <w:p w:rsidR="008A0EDE" w:rsidRPr="00002EA3" w:rsidRDefault="008A0EDE" w:rsidP="00A861B7">
      <w:pPr>
        <w:rPr>
          <w:lang w:val="en-US"/>
        </w:rPr>
      </w:pPr>
      <w:r w:rsidRPr="00002EA3">
        <w:t>Bashkoff,</w:t>
      </w:r>
      <w:r w:rsidRPr="00002EA3">
        <w:t xml:space="preserve"> </w:t>
      </w:r>
      <w:r w:rsidRPr="00002EA3">
        <w:t>Tracey</w:t>
      </w:r>
      <w:r w:rsidRPr="00002EA3">
        <w:t>,</w:t>
      </w:r>
      <w:r w:rsidRPr="00002EA3">
        <w:t xml:space="preserve"> </w:t>
      </w:r>
      <w:r w:rsidRPr="00002EA3">
        <w:rPr>
          <w:i/>
        </w:rPr>
        <w:t xml:space="preserve">Hilma af Klint </w:t>
      </w:r>
      <w:r w:rsidRPr="00002EA3">
        <w:rPr>
          <w:i/>
          <w:lang w:val="en-US"/>
        </w:rPr>
        <w:t>Paintings for the Future</w:t>
      </w:r>
      <w:r w:rsidRPr="00002EA3">
        <w:rPr>
          <w:lang w:val="en-US"/>
        </w:rPr>
        <w:t>,</w:t>
      </w:r>
      <w:r w:rsidRPr="00002EA3">
        <w:rPr>
          <w:lang w:val="en-US"/>
        </w:rPr>
        <w:t xml:space="preserve"> (New York:  Guggenheim, 2018)</w:t>
      </w:r>
    </w:p>
    <w:p w:rsidR="00E60272" w:rsidRPr="00002EA3" w:rsidRDefault="00E60272" w:rsidP="00A861B7">
      <w:pPr>
        <w:rPr>
          <w:lang w:val="en-US"/>
        </w:rPr>
      </w:pPr>
    </w:p>
    <w:p w:rsidR="00E9554D" w:rsidRPr="00002EA3" w:rsidRDefault="00E9554D" w:rsidP="00A861B7">
      <w:pPr>
        <w:rPr>
          <w:lang w:val="en-US"/>
        </w:rPr>
      </w:pPr>
      <w:r w:rsidRPr="00002EA3">
        <w:t>Burgin,</w:t>
      </w:r>
      <w:r w:rsidRPr="00002EA3">
        <w:t xml:space="preserve"> </w:t>
      </w:r>
      <w:r w:rsidRPr="00002EA3">
        <w:t>Christine</w:t>
      </w:r>
      <w:r w:rsidRPr="00002EA3">
        <w:t>,</w:t>
      </w:r>
      <w:r w:rsidRPr="00002EA3">
        <w:t xml:space="preserve"> </w:t>
      </w:r>
      <w:r w:rsidRPr="00002EA3">
        <w:rPr>
          <w:i/>
          <w:lang w:val="en-US"/>
        </w:rPr>
        <w:t>Hilma af Klint Notes and Methods</w:t>
      </w:r>
      <w:r w:rsidRPr="00002EA3">
        <w:rPr>
          <w:lang w:val="en-US"/>
        </w:rPr>
        <w:t>, (New York:  The University of Chicago Press, 2018</w:t>
      </w:r>
      <w:r w:rsidRPr="00002EA3">
        <w:rPr>
          <w:lang w:val="en-US"/>
        </w:rPr>
        <w:t>)</w:t>
      </w:r>
    </w:p>
    <w:p w:rsidR="00E9554D" w:rsidRPr="00002EA3" w:rsidRDefault="00E9554D" w:rsidP="00A861B7">
      <w:pPr>
        <w:rPr>
          <w:lang w:val="en-US"/>
        </w:rPr>
      </w:pPr>
    </w:p>
    <w:p w:rsidR="00002EA3" w:rsidRPr="00002EA3" w:rsidRDefault="00002EA3" w:rsidP="00A861B7">
      <w:pPr>
        <w:rPr>
          <w:lang w:val="en-US"/>
        </w:rPr>
      </w:pPr>
      <w:r w:rsidRPr="00002EA3">
        <w:t>Davis,</w:t>
      </w:r>
      <w:r w:rsidRPr="00002EA3">
        <w:t xml:space="preserve"> Whitney M.,</w:t>
      </w:r>
      <w:r w:rsidRPr="00002EA3">
        <w:t xml:space="preserve"> ‘The Ascension-Myth in the Pyramid Texts’, </w:t>
      </w:r>
      <w:r w:rsidRPr="00002EA3">
        <w:rPr>
          <w:lang w:val="en-US"/>
        </w:rPr>
        <w:t>Jou</w:t>
      </w:r>
      <w:r w:rsidRPr="00002EA3">
        <w:rPr>
          <w:i/>
          <w:lang w:val="en-US"/>
        </w:rPr>
        <w:t>rnal of Near Eastern Studies</w:t>
      </w:r>
      <w:r w:rsidRPr="00002EA3">
        <w:rPr>
          <w:lang w:val="en-US"/>
        </w:rPr>
        <w:t xml:space="preserve">, Vol. 36, No. 3 (1977), </w:t>
      </w:r>
      <w:r w:rsidRPr="00002EA3">
        <w:rPr>
          <w:lang w:val="en-US"/>
        </w:rPr>
        <w:t>161-179</w:t>
      </w:r>
    </w:p>
    <w:p w:rsidR="00002EA3" w:rsidRPr="00002EA3" w:rsidRDefault="00002EA3" w:rsidP="00A861B7">
      <w:pPr>
        <w:rPr>
          <w:lang w:val="en-US"/>
        </w:rPr>
      </w:pPr>
    </w:p>
    <w:p w:rsidR="00E60272" w:rsidRPr="00002EA3" w:rsidRDefault="00E60272" w:rsidP="00A861B7">
      <w:r w:rsidRPr="00002EA3">
        <w:t>Dijkstra,</w:t>
      </w:r>
      <w:r w:rsidRPr="00002EA3">
        <w:t xml:space="preserve"> Jitse H. F.,</w:t>
      </w:r>
      <w:r w:rsidRPr="00002EA3">
        <w:t xml:space="preserve"> ‘Dendera/Tentyra (Graeco-Roman/Late Antique)’ in </w:t>
      </w:r>
      <w:r w:rsidRPr="00002EA3">
        <w:rPr>
          <w:i/>
        </w:rPr>
        <w:t xml:space="preserve">The </w:t>
      </w:r>
      <w:r w:rsidR="00AD24D1" w:rsidRPr="00002EA3">
        <w:rPr>
          <w:i/>
        </w:rPr>
        <w:t>Encyclopaedia</w:t>
      </w:r>
      <w:r w:rsidRPr="00002EA3">
        <w:rPr>
          <w:i/>
        </w:rPr>
        <w:t xml:space="preserve"> of Ancient History</w:t>
      </w:r>
      <w:r w:rsidRPr="00002EA3">
        <w:t xml:space="preserve">, ed. By </w:t>
      </w:r>
      <w:r w:rsidRPr="00002EA3">
        <w:t>Roger S. Bagnall, Kai Brodersen, Craige B. Champion, Andrew Erskine, and Sabine R. Huebner (John Wiley &amp; Sons, Ltd. 2015)</w:t>
      </w:r>
    </w:p>
    <w:p w:rsidR="00761AAC" w:rsidRPr="00002EA3" w:rsidRDefault="00761AAC" w:rsidP="00A861B7"/>
    <w:p w:rsidR="00002EA3" w:rsidRDefault="00002EA3" w:rsidP="00A861B7">
      <w:r>
        <w:t>Hernando,</w:t>
      </w:r>
      <w:r>
        <w:t xml:space="preserve"> </w:t>
      </w:r>
      <w:r>
        <w:t>Gladys-Katherina</w:t>
      </w:r>
      <w:r>
        <w:t>,</w:t>
      </w:r>
      <w:r>
        <w:t xml:space="preserve"> </w:t>
      </w:r>
      <w:r w:rsidRPr="00002EA3">
        <w:rPr>
          <w:i/>
        </w:rPr>
        <w:t>Hilma af Klint: Mystical Abstraction</w:t>
      </w:r>
      <w:r>
        <w:t xml:space="preserve">, review of the exhibition </w:t>
      </w:r>
      <w:r w:rsidR="00AD24D1">
        <w:t>catalogue</w:t>
      </w:r>
      <w:r>
        <w:t xml:space="preserve"> for Hilma af Klint at the </w:t>
      </w:r>
      <w:r>
        <w:t>Hamburger Banhof, Berlin, 2014</w:t>
      </w:r>
    </w:p>
    <w:p w:rsidR="00002EA3" w:rsidRDefault="00002EA3" w:rsidP="00A861B7"/>
    <w:p w:rsidR="00761AAC" w:rsidRPr="00002EA3" w:rsidRDefault="00761AAC" w:rsidP="00A861B7">
      <w:pPr>
        <w:rPr>
          <w:lang w:val="en-US"/>
        </w:rPr>
      </w:pPr>
      <w:r w:rsidRPr="00002EA3">
        <w:t>Hollis,</w:t>
      </w:r>
      <w:r w:rsidRPr="00002EA3">
        <w:t xml:space="preserve"> </w:t>
      </w:r>
      <w:r w:rsidRPr="00002EA3">
        <w:t xml:space="preserve">Susan </w:t>
      </w:r>
      <w:r w:rsidR="00AD24D1" w:rsidRPr="00002EA3">
        <w:t>Tower, ‘</w:t>
      </w:r>
      <w:r w:rsidRPr="00002EA3">
        <w:t>W</w:t>
      </w:r>
      <w:r w:rsidRPr="00002EA3">
        <w:rPr>
          <w:lang w:val="en-US"/>
        </w:rPr>
        <w:t xml:space="preserve">omen of Ancient Egypt and the Sky Goddess Nut’, </w:t>
      </w:r>
      <w:r w:rsidRPr="00002EA3">
        <w:rPr>
          <w:i/>
          <w:lang w:val="en-US"/>
        </w:rPr>
        <w:t>The Journal of American Folklore</w:t>
      </w:r>
      <w:r w:rsidRPr="00002EA3">
        <w:rPr>
          <w:lang w:val="en-US"/>
        </w:rPr>
        <w:t>, Vol. 100, No. 398 (1987),</w:t>
      </w:r>
      <w:r w:rsidRPr="00002EA3">
        <w:rPr>
          <w:lang w:val="en-US"/>
        </w:rPr>
        <w:t xml:space="preserve"> 496-503</w:t>
      </w:r>
    </w:p>
    <w:p w:rsidR="00C2682F" w:rsidRPr="00002EA3" w:rsidRDefault="00C2682F" w:rsidP="00A861B7">
      <w:pPr>
        <w:rPr>
          <w:lang w:val="en-US"/>
        </w:rPr>
      </w:pPr>
    </w:p>
    <w:p w:rsidR="00E9554D" w:rsidRPr="00002EA3" w:rsidRDefault="00E9554D" w:rsidP="00A861B7">
      <w:pPr>
        <w:rPr>
          <w:lang w:val="en-US"/>
        </w:rPr>
      </w:pPr>
      <w:r w:rsidRPr="00002EA3">
        <w:rPr>
          <w:lang w:val="en-US"/>
        </w:rPr>
        <w:t>Kuberski,</w:t>
      </w:r>
      <w:r w:rsidRPr="00002EA3">
        <w:rPr>
          <w:lang w:val="en-US"/>
        </w:rPr>
        <w:t xml:space="preserve"> </w:t>
      </w:r>
      <w:r w:rsidRPr="00002EA3">
        <w:rPr>
          <w:lang w:val="en-US"/>
        </w:rPr>
        <w:t>Philip</w:t>
      </w:r>
      <w:r w:rsidRPr="00002EA3">
        <w:rPr>
          <w:lang w:val="en-US"/>
        </w:rPr>
        <w:t>,</w:t>
      </w:r>
      <w:r w:rsidRPr="00002EA3">
        <w:rPr>
          <w:lang w:val="en-US"/>
        </w:rPr>
        <w:t xml:space="preserve"> ‘Dreaming of Egypt’, </w:t>
      </w:r>
      <w:r w:rsidRPr="00002EA3">
        <w:rPr>
          <w:i/>
          <w:lang w:val="en-US"/>
        </w:rPr>
        <w:t>SubStance,</w:t>
      </w:r>
      <w:r w:rsidRPr="00002EA3">
        <w:rPr>
          <w:lang w:val="en-US"/>
        </w:rPr>
        <w:t xml:space="preserve"> Vol. 18, No.3, Issue 60 (The John Hopkins University Press), </w:t>
      </w:r>
      <w:r w:rsidRPr="00002EA3">
        <w:rPr>
          <w:lang w:val="en-US"/>
        </w:rPr>
        <w:t>75-94</w:t>
      </w:r>
    </w:p>
    <w:p w:rsidR="00E9554D" w:rsidRPr="00002EA3" w:rsidRDefault="00E9554D" w:rsidP="00A861B7">
      <w:pPr>
        <w:rPr>
          <w:lang w:val="en-US"/>
        </w:rPr>
      </w:pPr>
    </w:p>
    <w:p w:rsidR="00784D47" w:rsidRPr="00002EA3" w:rsidRDefault="00784D47" w:rsidP="00A861B7">
      <w:pPr>
        <w:rPr>
          <w:lang w:val="en-US"/>
        </w:rPr>
      </w:pPr>
      <w:r w:rsidRPr="00002EA3">
        <w:t>Lorec</w:t>
      </w:r>
      <w:r w:rsidRPr="00002EA3">
        <w:t xml:space="preserve">, </w:t>
      </w:r>
      <w:r w:rsidRPr="00002EA3">
        <w:t xml:space="preserve">Hanne, </w:t>
      </w:r>
      <w:r w:rsidRPr="00002EA3">
        <w:t>‘</w:t>
      </w:r>
      <w:r w:rsidRPr="00002EA3">
        <w:rPr>
          <w:lang w:val="en-US"/>
        </w:rPr>
        <w:t>Spiritual Alphabetisation</w:t>
      </w:r>
      <w:r w:rsidRPr="00002EA3">
        <w:rPr>
          <w:lang w:val="en-US"/>
        </w:rPr>
        <w:t>’</w:t>
      </w:r>
      <w:r w:rsidRPr="00002EA3">
        <w:rPr>
          <w:lang w:val="en-US"/>
        </w:rPr>
        <w:t xml:space="preserve"> in </w:t>
      </w:r>
      <w:r w:rsidRPr="00002EA3">
        <w:rPr>
          <w:i/>
          <w:lang w:val="en-US"/>
        </w:rPr>
        <w:t>Hilma af Klint.</w:t>
      </w:r>
      <w:r w:rsidRPr="00002EA3">
        <w:rPr>
          <w:lang w:val="en-US"/>
        </w:rPr>
        <w:t xml:space="preserve"> </w:t>
      </w:r>
      <w:r w:rsidRPr="00002EA3">
        <w:rPr>
          <w:i/>
          <w:lang w:val="en-US"/>
        </w:rPr>
        <w:t>The Art of Seeing the Invisible</w:t>
      </w:r>
      <w:r w:rsidRPr="00002EA3">
        <w:rPr>
          <w:lang w:val="en-US"/>
        </w:rPr>
        <w:t>, ed. By Kurt Almquist and Louise Belfrage (Stockholm:  Axel and Margaret A</w:t>
      </w:r>
      <w:r w:rsidRPr="00002EA3">
        <w:rPr>
          <w:lang w:val="en-US"/>
        </w:rPr>
        <w:t>xson Johnson Foundation, 2015)</w:t>
      </w:r>
    </w:p>
    <w:p w:rsidR="00784D47" w:rsidRPr="00002EA3" w:rsidRDefault="00784D47" w:rsidP="00A861B7">
      <w:pPr>
        <w:rPr>
          <w:lang w:val="en-US"/>
        </w:rPr>
      </w:pPr>
    </w:p>
    <w:p w:rsidR="00C2682F" w:rsidRPr="00002EA3" w:rsidRDefault="00C2682F" w:rsidP="00A861B7">
      <w:r w:rsidRPr="00002EA3">
        <w:t>Wells,</w:t>
      </w:r>
      <w:r w:rsidRPr="00002EA3">
        <w:t xml:space="preserve"> R. A.,</w:t>
      </w:r>
      <w:r w:rsidRPr="00002EA3">
        <w:t xml:space="preserve"> </w:t>
      </w:r>
      <w:r w:rsidRPr="00002EA3">
        <w:rPr>
          <w:lang w:val="en-US"/>
        </w:rPr>
        <w:t xml:space="preserve">The Mythology of Nut and the Birth of Ra, </w:t>
      </w:r>
      <w:r w:rsidRPr="00002EA3">
        <w:rPr>
          <w:i/>
          <w:lang w:val="en-US"/>
        </w:rPr>
        <w:t>Studien zur Altagyptischen Kulture</w:t>
      </w:r>
      <w:r w:rsidRPr="00002EA3">
        <w:rPr>
          <w:lang w:val="en-US"/>
        </w:rPr>
        <w:t>, Bd. 19 (1992), 305-321</w:t>
      </w:r>
    </w:p>
    <w:p w:rsidR="00BE2C60" w:rsidRDefault="00BE2C60" w:rsidP="00BD52D6"/>
    <w:p w:rsidR="00BD52D6" w:rsidRDefault="00BD52D6" w:rsidP="00BD52D6"/>
    <w:p w:rsidR="00BD52D6" w:rsidRDefault="00BD52D6" w:rsidP="00BD52D6"/>
    <w:p w:rsidR="005C675E" w:rsidRDefault="005C675E"/>
    <w:sectPr w:rsidR="005C675E" w:rsidSect="00C80480">
      <w:headerReference w:type="even" r:id="rId12"/>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2D16" w:rsidRDefault="00302D16" w:rsidP="00C80480">
      <w:r>
        <w:separator/>
      </w:r>
    </w:p>
  </w:endnote>
  <w:endnote w:type="continuationSeparator" w:id="0">
    <w:p w:rsidR="00302D16" w:rsidRDefault="00302D16" w:rsidP="00C804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2D16" w:rsidRDefault="00302D16" w:rsidP="00C80480">
      <w:r>
        <w:separator/>
      </w:r>
    </w:p>
  </w:footnote>
  <w:footnote w:type="continuationSeparator" w:id="0">
    <w:p w:rsidR="00302D16" w:rsidRDefault="00302D16" w:rsidP="00C80480">
      <w:r>
        <w:continuationSeparator/>
      </w:r>
    </w:p>
  </w:footnote>
  <w:footnote w:id="1">
    <w:p w:rsidR="00487D95" w:rsidRPr="00E429EA" w:rsidRDefault="00487D95" w:rsidP="00487D95">
      <w:pPr>
        <w:rPr>
          <w:sz w:val="20"/>
          <w:szCs w:val="20"/>
        </w:rPr>
      </w:pPr>
      <w:r w:rsidRPr="00E429EA">
        <w:rPr>
          <w:rStyle w:val="FootnoteReference"/>
          <w:sz w:val="20"/>
          <w:szCs w:val="20"/>
        </w:rPr>
        <w:footnoteRef/>
      </w:r>
      <w:r w:rsidRPr="00E429EA">
        <w:rPr>
          <w:sz w:val="20"/>
          <w:szCs w:val="20"/>
        </w:rPr>
        <w:t xml:space="preserve"> Jitse H. F. Dijkstra, ‘Dendera/Tentyra (Graeco-Roman/Late Antique)’ in </w:t>
      </w:r>
      <w:r w:rsidRPr="00E429EA">
        <w:rPr>
          <w:i/>
          <w:sz w:val="20"/>
          <w:szCs w:val="20"/>
        </w:rPr>
        <w:t xml:space="preserve">The </w:t>
      </w:r>
      <w:r w:rsidR="00AD24D1" w:rsidRPr="00E429EA">
        <w:rPr>
          <w:i/>
          <w:sz w:val="20"/>
          <w:szCs w:val="20"/>
        </w:rPr>
        <w:t>Encyclopaedia</w:t>
      </w:r>
      <w:r w:rsidRPr="00E429EA">
        <w:rPr>
          <w:i/>
          <w:sz w:val="20"/>
          <w:szCs w:val="20"/>
        </w:rPr>
        <w:t xml:space="preserve"> of Ancient History</w:t>
      </w:r>
      <w:r w:rsidRPr="00E429EA">
        <w:rPr>
          <w:sz w:val="20"/>
          <w:szCs w:val="20"/>
        </w:rPr>
        <w:t>, ed. By Roger S. Bagnall et. al. (John Wiley &amp; Sons, Ltd. 2015), p. 1.</w:t>
      </w:r>
    </w:p>
  </w:footnote>
  <w:footnote w:id="2">
    <w:p w:rsidR="00487D95" w:rsidRPr="00E429EA" w:rsidRDefault="00487D95" w:rsidP="00487D95">
      <w:pPr>
        <w:rPr>
          <w:sz w:val="20"/>
          <w:szCs w:val="20"/>
        </w:rPr>
      </w:pPr>
      <w:r w:rsidRPr="00E429EA">
        <w:rPr>
          <w:rStyle w:val="FootnoteReference"/>
          <w:sz w:val="20"/>
          <w:szCs w:val="20"/>
        </w:rPr>
        <w:footnoteRef/>
      </w:r>
      <w:r w:rsidRPr="00E429EA">
        <w:rPr>
          <w:sz w:val="20"/>
          <w:szCs w:val="20"/>
        </w:rPr>
        <w:t xml:space="preserve"> Dijkstra, ‘Dendera/Tentyra,’ p. 1.</w:t>
      </w:r>
    </w:p>
  </w:footnote>
  <w:footnote w:id="3">
    <w:p w:rsidR="00487D95" w:rsidRPr="00E429EA" w:rsidRDefault="00487D95" w:rsidP="00487D95">
      <w:pPr>
        <w:pStyle w:val="FootnoteText"/>
        <w:rPr>
          <w:lang w:val="en-US"/>
        </w:rPr>
      </w:pPr>
      <w:r w:rsidRPr="00E429EA">
        <w:rPr>
          <w:rStyle w:val="FootnoteReference"/>
        </w:rPr>
        <w:footnoteRef/>
      </w:r>
      <w:r w:rsidRPr="00E429EA">
        <w:t xml:space="preserve"> </w:t>
      </w:r>
      <w:r w:rsidRPr="00E429EA">
        <w:rPr>
          <w:lang w:val="en-US"/>
        </w:rPr>
        <w:t xml:space="preserve">Robert A. Armour, </w:t>
      </w:r>
      <w:r w:rsidRPr="00E429EA">
        <w:rPr>
          <w:i/>
          <w:lang w:val="en-US"/>
        </w:rPr>
        <w:t>Gods and Myths of Ancient Egypt</w:t>
      </w:r>
      <w:r w:rsidRPr="00E429EA">
        <w:rPr>
          <w:lang w:val="en-US"/>
        </w:rPr>
        <w:t xml:space="preserve"> (New York:  The American University in Cairo Press, 2001), p. 177.</w:t>
      </w:r>
    </w:p>
  </w:footnote>
  <w:footnote w:id="4">
    <w:p w:rsidR="00487D95" w:rsidRPr="00E429EA" w:rsidRDefault="00487D95" w:rsidP="00487D95">
      <w:pPr>
        <w:pStyle w:val="FootnoteText"/>
        <w:rPr>
          <w:lang w:val="en-US"/>
        </w:rPr>
      </w:pPr>
      <w:r w:rsidRPr="00E429EA">
        <w:rPr>
          <w:rStyle w:val="FootnoteReference"/>
        </w:rPr>
        <w:footnoteRef/>
      </w:r>
      <w:r w:rsidRPr="00E429EA">
        <w:t xml:space="preserve"> Susan Tower Hollis, ‘W</w:t>
      </w:r>
      <w:r w:rsidRPr="00E429EA">
        <w:rPr>
          <w:lang w:val="en-US"/>
        </w:rPr>
        <w:t xml:space="preserve">omen of Ancient Egypt and the Sky Goddess Nut’, </w:t>
      </w:r>
      <w:r w:rsidRPr="00E429EA">
        <w:rPr>
          <w:i/>
          <w:lang w:val="en-US"/>
        </w:rPr>
        <w:t>The Journal of American Folklore</w:t>
      </w:r>
      <w:r w:rsidRPr="00E429EA">
        <w:rPr>
          <w:lang w:val="en-US"/>
        </w:rPr>
        <w:t>, Vol. 100, No. 398 (1987), p. 499.</w:t>
      </w:r>
    </w:p>
  </w:footnote>
  <w:footnote w:id="5">
    <w:p w:rsidR="00487D95" w:rsidRPr="00E429EA" w:rsidRDefault="00487D95" w:rsidP="00487D95">
      <w:pPr>
        <w:pStyle w:val="FootnoteText"/>
        <w:rPr>
          <w:lang w:val="en-US"/>
        </w:rPr>
      </w:pPr>
      <w:r w:rsidRPr="00E429EA">
        <w:rPr>
          <w:rStyle w:val="FootnoteReference"/>
        </w:rPr>
        <w:footnoteRef/>
      </w:r>
      <w:r w:rsidRPr="00E429EA">
        <w:t xml:space="preserve"> </w:t>
      </w:r>
      <w:r>
        <w:t xml:space="preserve">Whitney M. Davis, ‘The Ascension-Myth in the Pyramid Texts’, </w:t>
      </w:r>
      <w:r w:rsidRPr="00002EA3">
        <w:rPr>
          <w:lang w:val="en-US"/>
        </w:rPr>
        <w:t>Jou</w:t>
      </w:r>
      <w:r w:rsidRPr="00002EA3">
        <w:rPr>
          <w:i/>
          <w:lang w:val="en-US"/>
        </w:rPr>
        <w:t>rnal of Near Eastern Studies</w:t>
      </w:r>
      <w:r w:rsidRPr="00002EA3">
        <w:rPr>
          <w:lang w:val="en-US"/>
        </w:rPr>
        <w:t>,</w:t>
      </w:r>
      <w:r>
        <w:rPr>
          <w:lang w:val="en-US"/>
        </w:rPr>
        <w:t xml:space="preserve"> Vol. 36, No. 3 (1977),</w:t>
      </w:r>
      <w:r w:rsidRPr="00002EA3">
        <w:rPr>
          <w:lang w:val="en-US"/>
        </w:rPr>
        <w:t xml:space="preserve"> p. 166.</w:t>
      </w:r>
    </w:p>
  </w:footnote>
  <w:footnote w:id="6">
    <w:p w:rsidR="00487D95" w:rsidRPr="00E429EA" w:rsidRDefault="00487D95" w:rsidP="00487D95">
      <w:pPr>
        <w:pStyle w:val="FootnoteText"/>
        <w:rPr>
          <w:lang w:val="en-US"/>
        </w:rPr>
      </w:pPr>
      <w:r w:rsidRPr="00E429EA">
        <w:rPr>
          <w:rStyle w:val="FootnoteReference"/>
        </w:rPr>
        <w:footnoteRef/>
      </w:r>
      <w:r w:rsidRPr="00E429EA">
        <w:t xml:space="preserve"> Hollis, ‘W</w:t>
      </w:r>
      <w:r w:rsidRPr="00E429EA">
        <w:rPr>
          <w:lang w:val="en-US"/>
        </w:rPr>
        <w:t>omen of Ancient Egypt and the Sky Goddess Nut’, p. 496.</w:t>
      </w:r>
    </w:p>
  </w:footnote>
  <w:footnote w:id="7">
    <w:p w:rsidR="00487D95" w:rsidRPr="00E429EA" w:rsidRDefault="00487D95" w:rsidP="00487D95">
      <w:pPr>
        <w:pStyle w:val="FootnoteText"/>
        <w:rPr>
          <w:lang w:val="en-US"/>
        </w:rPr>
      </w:pPr>
      <w:r w:rsidRPr="00E429EA">
        <w:rPr>
          <w:rStyle w:val="FootnoteReference"/>
        </w:rPr>
        <w:footnoteRef/>
      </w:r>
      <w:r w:rsidRPr="00E429EA">
        <w:t xml:space="preserve"> </w:t>
      </w:r>
      <w:r w:rsidRPr="00E429EA">
        <w:rPr>
          <w:lang w:val="en-US"/>
        </w:rPr>
        <w:t xml:space="preserve">Armour, </w:t>
      </w:r>
      <w:r w:rsidRPr="00E429EA">
        <w:rPr>
          <w:i/>
          <w:lang w:val="en-US"/>
        </w:rPr>
        <w:t>Gods and Myths of Ancient Egypt,</w:t>
      </w:r>
      <w:r w:rsidRPr="00E429EA">
        <w:rPr>
          <w:lang w:val="en-US"/>
        </w:rPr>
        <w:t xml:space="preserve"> p. 180.</w:t>
      </w:r>
    </w:p>
  </w:footnote>
  <w:footnote w:id="8">
    <w:p w:rsidR="00487D95" w:rsidRPr="007362C0" w:rsidRDefault="00487D95" w:rsidP="00487D95">
      <w:pPr>
        <w:pStyle w:val="FootnoteText"/>
        <w:rPr>
          <w:lang w:val="en-US"/>
        </w:rPr>
      </w:pPr>
      <w:r w:rsidRPr="00E429EA">
        <w:rPr>
          <w:rStyle w:val="FootnoteReference"/>
        </w:rPr>
        <w:footnoteRef/>
      </w:r>
      <w:r w:rsidRPr="00E429EA">
        <w:t xml:space="preserve"> R. A. Wells, </w:t>
      </w:r>
      <w:r w:rsidRPr="00E429EA">
        <w:rPr>
          <w:lang w:val="en-US"/>
        </w:rPr>
        <w:t xml:space="preserve">The Mythology of Nut and the Birth of Ra, </w:t>
      </w:r>
      <w:r w:rsidRPr="00E429EA">
        <w:rPr>
          <w:i/>
          <w:lang w:val="en-US"/>
        </w:rPr>
        <w:t>Studien zur Altagyptischen Kulture</w:t>
      </w:r>
      <w:r w:rsidRPr="00E429EA">
        <w:rPr>
          <w:lang w:val="en-US"/>
        </w:rPr>
        <w:t>, Bd. 19 (1992</w:t>
      </w:r>
      <w:r w:rsidR="00AD24D1" w:rsidRPr="00E429EA">
        <w:rPr>
          <w:lang w:val="en-US"/>
        </w:rPr>
        <w:t>), p.</w:t>
      </w:r>
      <w:r w:rsidRPr="00E429EA">
        <w:rPr>
          <w:lang w:val="en-US"/>
        </w:rPr>
        <w:t xml:space="preserve"> 311.</w:t>
      </w:r>
    </w:p>
  </w:footnote>
  <w:footnote w:id="9">
    <w:p w:rsidR="00487D95" w:rsidRPr="007362C0" w:rsidRDefault="00487D95" w:rsidP="00487D95">
      <w:pPr>
        <w:pStyle w:val="FootnoteText"/>
        <w:rPr>
          <w:lang w:val="en-US"/>
        </w:rPr>
      </w:pPr>
      <w:r w:rsidRPr="007362C0">
        <w:rPr>
          <w:rStyle w:val="FootnoteReference"/>
        </w:rPr>
        <w:footnoteRef/>
      </w:r>
      <w:r w:rsidRPr="007362C0">
        <w:t xml:space="preserve"> </w:t>
      </w:r>
      <w:r>
        <w:t xml:space="preserve">Wells, </w:t>
      </w:r>
      <w:r w:rsidRPr="007362C0">
        <w:rPr>
          <w:lang w:val="en-US"/>
        </w:rPr>
        <w:t>The Myth</w:t>
      </w:r>
      <w:r>
        <w:rPr>
          <w:lang w:val="en-US"/>
        </w:rPr>
        <w:t>ology of Nut and the Birth of Ra, p.</w:t>
      </w:r>
      <w:r w:rsidRPr="007362C0">
        <w:rPr>
          <w:lang w:val="en-US"/>
        </w:rPr>
        <w:t xml:space="preserve"> 321.</w:t>
      </w:r>
    </w:p>
  </w:footnote>
  <w:footnote w:id="10">
    <w:p w:rsidR="00487D95" w:rsidRPr="007362C0" w:rsidRDefault="00487D95" w:rsidP="00487D95">
      <w:pPr>
        <w:pStyle w:val="FootnoteText"/>
        <w:rPr>
          <w:lang w:val="en-US"/>
        </w:rPr>
      </w:pPr>
      <w:r w:rsidRPr="007362C0">
        <w:rPr>
          <w:rStyle w:val="FootnoteReference"/>
        </w:rPr>
        <w:footnoteRef/>
      </w:r>
      <w:r w:rsidRPr="007362C0">
        <w:t xml:space="preserve"> </w:t>
      </w:r>
      <w:r>
        <w:t>Hollis, ‘</w:t>
      </w:r>
      <w:r w:rsidRPr="007362C0">
        <w:t>W</w:t>
      </w:r>
      <w:r w:rsidRPr="007362C0">
        <w:rPr>
          <w:lang w:val="en-US"/>
        </w:rPr>
        <w:t>omen of Ancient Egypt and the Sky Goddess Nut</w:t>
      </w:r>
      <w:r>
        <w:rPr>
          <w:lang w:val="en-US"/>
        </w:rPr>
        <w:t>’</w:t>
      </w:r>
      <w:r w:rsidRPr="007362C0">
        <w:rPr>
          <w:lang w:val="en-US"/>
        </w:rPr>
        <w:t>, p</w:t>
      </w:r>
      <w:r>
        <w:rPr>
          <w:lang w:val="en-US"/>
        </w:rPr>
        <w:t>.</w:t>
      </w:r>
      <w:r w:rsidRPr="007362C0">
        <w:rPr>
          <w:lang w:val="en-US"/>
        </w:rPr>
        <w:t xml:space="preserve"> 497.</w:t>
      </w:r>
    </w:p>
  </w:footnote>
  <w:footnote w:id="11">
    <w:p w:rsidR="0052257F" w:rsidRPr="0052257F" w:rsidRDefault="0052257F">
      <w:pPr>
        <w:pStyle w:val="FootnoteText"/>
        <w:rPr>
          <w:lang w:val="en-US"/>
        </w:rPr>
      </w:pPr>
      <w:r>
        <w:rPr>
          <w:rStyle w:val="FootnoteReference"/>
        </w:rPr>
        <w:footnoteRef/>
      </w:r>
      <w:r>
        <w:t xml:space="preserve"> </w:t>
      </w:r>
      <w:r w:rsidR="00E429EA">
        <w:t xml:space="preserve">Tracey Bashkoff, </w:t>
      </w:r>
      <w:r w:rsidR="00E429EA" w:rsidRPr="008A0EDE">
        <w:rPr>
          <w:i/>
        </w:rPr>
        <w:t>H</w:t>
      </w:r>
      <w:r w:rsidR="00E429EA" w:rsidRPr="00E429EA">
        <w:rPr>
          <w:i/>
        </w:rPr>
        <w:t xml:space="preserve">ilma af Klint </w:t>
      </w:r>
      <w:r w:rsidRPr="00E429EA">
        <w:rPr>
          <w:i/>
          <w:lang w:val="en-US"/>
        </w:rPr>
        <w:t>Paintings for the Future</w:t>
      </w:r>
      <w:r>
        <w:rPr>
          <w:lang w:val="en-US"/>
        </w:rPr>
        <w:t>,</w:t>
      </w:r>
      <w:r w:rsidR="008A0EDE">
        <w:rPr>
          <w:lang w:val="en-US"/>
        </w:rPr>
        <w:t xml:space="preserve"> (New York:  Guggenheim, 2018),</w:t>
      </w:r>
      <w:r>
        <w:rPr>
          <w:lang w:val="en-US"/>
        </w:rPr>
        <w:t xml:space="preserve"> p.52.</w:t>
      </w:r>
    </w:p>
  </w:footnote>
  <w:footnote w:id="12">
    <w:p w:rsidR="003F4C77" w:rsidRPr="003F4C77" w:rsidRDefault="003F4C77">
      <w:pPr>
        <w:pStyle w:val="FootnoteText"/>
        <w:rPr>
          <w:lang w:val="en-US"/>
        </w:rPr>
      </w:pPr>
      <w:r>
        <w:rPr>
          <w:rStyle w:val="FootnoteReference"/>
        </w:rPr>
        <w:footnoteRef/>
      </w:r>
      <w:r>
        <w:t xml:space="preserve"> </w:t>
      </w:r>
      <w:r w:rsidR="008A0EDE">
        <w:t xml:space="preserve">Bashkoff, </w:t>
      </w:r>
      <w:r w:rsidR="008A0EDE" w:rsidRPr="00E429EA">
        <w:rPr>
          <w:i/>
          <w:lang w:val="en-US"/>
        </w:rPr>
        <w:t>Paintings for the Future</w:t>
      </w:r>
      <w:r w:rsidR="008A0EDE">
        <w:rPr>
          <w:i/>
          <w:lang w:val="en-US"/>
        </w:rPr>
        <w:t>,</w:t>
      </w:r>
      <w:r w:rsidR="008A0EDE">
        <w:rPr>
          <w:lang w:val="en-US"/>
        </w:rPr>
        <w:t xml:space="preserve"> </w:t>
      </w:r>
      <w:r>
        <w:rPr>
          <w:lang w:val="en-US"/>
        </w:rPr>
        <w:t>p.20.</w:t>
      </w:r>
    </w:p>
  </w:footnote>
  <w:footnote w:id="13">
    <w:p w:rsidR="00AC256B" w:rsidRPr="007362C0" w:rsidRDefault="00AC256B" w:rsidP="00F9100F">
      <w:pPr>
        <w:pStyle w:val="FootnoteText"/>
        <w:rPr>
          <w:lang w:val="en-US"/>
        </w:rPr>
      </w:pPr>
      <w:r w:rsidRPr="007362C0">
        <w:rPr>
          <w:rStyle w:val="FootnoteReference"/>
        </w:rPr>
        <w:footnoteRef/>
      </w:r>
      <w:r w:rsidRPr="007362C0">
        <w:t xml:space="preserve"> </w:t>
      </w:r>
      <w:r w:rsidR="008A0EDE">
        <w:t xml:space="preserve">Bashkoff, </w:t>
      </w:r>
      <w:r w:rsidR="008A0EDE" w:rsidRPr="00E429EA">
        <w:rPr>
          <w:i/>
          <w:lang w:val="en-US"/>
        </w:rPr>
        <w:t>Paintings for the Future</w:t>
      </w:r>
      <w:r w:rsidR="008A0EDE">
        <w:rPr>
          <w:i/>
          <w:lang w:val="en-US"/>
        </w:rPr>
        <w:t>,</w:t>
      </w:r>
      <w:r w:rsidR="008A0EDE">
        <w:rPr>
          <w:lang w:val="en-US"/>
        </w:rPr>
        <w:t xml:space="preserve"> </w:t>
      </w:r>
      <w:r w:rsidR="008A0EDE">
        <w:rPr>
          <w:lang w:val="en-US"/>
        </w:rPr>
        <w:t>p</w:t>
      </w:r>
      <w:r w:rsidRPr="007362C0">
        <w:rPr>
          <w:lang w:val="en-US"/>
        </w:rPr>
        <w:t>. 17.</w:t>
      </w:r>
    </w:p>
  </w:footnote>
  <w:footnote w:id="14">
    <w:p w:rsidR="00AC256B" w:rsidRPr="007362C0" w:rsidRDefault="00AC256B">
      <w:pPr>
        <w:pStyle w:val="FootnoteText"/>
        <w:rPr>
          <w:lang w:val="en-US"/>
        </w:rPr>
      </w:pPr>
      <w:r w:rsidRPr="007362C0">
        <w:rPr>
          <w:rStyle w:val="FootnoteReference"/>
        </w:rPr>
        <w:footnoteRef/>
      </w:r>
      <w:r w:rsidRPr="007362C0">
        <w:t xml:space="preserve"> </w:t>
      </w:r>
      <w:r w:rsidR="008A0EDE">
        <w:t xml:space="preserve">Bashkoff, </w:t>
      </w:r>
      <w:r w:rsidR="008A0EDE" w:rsidRPr="00E429EA">
        <w:rPr>
          <w:i/>
          <w:lang w:val="en-US"/>
        </w:rPr>
        <w:t>Paintings for the Future</w:t>
      </w:r>
      <w:r w:rsidRPr="007362C0">
        <w:rPr>
          <w:lang w:val="en-US"/>
        </w:rPr>
        <w:t>, p. 24.</w:t>
      </w:r>
    </w:p>
  </w:footnote>
  <w:footnote w:id="15">
    <w:p w:rsidR="00AC256B" w:rsidRPr="0039234D" w:rsidRDefault="00AC256B">
      <w:pPr>
        <w:pStyle w:val="FootnoteText"/>
        <w:rPr>
          <w:lang w:val="en-US"/>
        </w:rPr>
      </w:pPr>
      <w:r w:rsidRPr="007362C0">
        <w:rPr>
          <w:rStyle w:val="FootnoteReference"/>
        </w:rPr>
        <w:footnoteRef/>
      </w:r>
      <w:r w:rsidRPr="007362C0">
        <w:t xml:space="preserve"> </w:t>
      </w:r>
      <w:r w:rsidR="008A0EDE">
        <w:t xml:space="preserve">Bashkoff, </w:t>
      </w:r>
      <w:r w:rsidR="008A0EDE" w:rsidRPr="00E429EA">
        <w:rPr>
          <w:i/>
          <w:lang w:val="en-US"/>
        </w:rPr>
        <w:t>Paintings for the Future</w:t>
      </w:r>
      <w:r w:rsidR="008A0EDE">
        <w:rPr>
          <w:i/>
          <w:lang w:val="en-US"/>
        </w:rPr>
        <w:t>,</w:t>
      </w:r>
      <w:r w:rsidR="008A0EDE">
        <w:rPr>
          <w:lang w:val="en-US"/>
        </w:rPr>
        <w:t xml:space="preserve"> </w:t>
      </w:r>
      <w:r w:rsidRPr="007362C0">
        <w:rPr>
          <w:lang w:val="en-US"/>
        </w:rPr>
        <w:t>p. 25.</w:t>
      </w:r>
    </w:p>
  </w:footnote>
  <w:footnote w:id="16">
    <w:p w:rsidR="00164775" w:rsidRPr="00A152D0" w:rsidRDefault="00164775" w:rsidP="00164775">
      <w:pPr>
        <w:pStyle w:val="FootnoteText"/>
        <w:rPr>
          <w:lang w:val="en-US"/>
        </w:rPr>
      </w:pPr>
      <w:r>
        <w:rPr>
          <w:rStyle w:val="FootnoteReference"/>
        </w:rPr>
        <w:footnoteRef/>
      </w:r>
      <w:r>
        <w:t xml:space="preserve"> Wells, </w:t>
      </w:r>
      <w:r w:rsidRPr="007362C0">
        <w:rPr>
          <w:lang w:val="en-US"/>
        </w:rPr>
        <w:t>The Myth</w:t>
      </w:r>
      <w:r>
        <w:rPr>
          <w:lang w:val="en-US"/>
        </w:rPr>
        <w:t>ology of Nut and the Birth of Ra, p. 309.</w:t>
      </w:r>
    </w:p>
  </w:footnote>
  <w:footnote w:id="17">
    <w:p w:rsidR="00164775" w:rsidRPr="00E25E1F" w:rsidRDefault="00164775" w:rsidP="00164775">
      <w:pPr>
        <w:pStyle w:val="FootnoteText"/>
        <w:rPr>
          <w:lang w:val="en-US"/>
        </w:rPr>
      </w:pPr>
      <w:r>
        <w:rPr>
          <w:rStyle w:val="FootnoteReference"/>
        </w:rPr>
        <w:footnoteRef/>
      </w:r>
      <w:r>
        <w:t xml:space="preserve"> Hanne Lorec, ‘</w:t>
      </w:r>
      <w:r>
        <w:rPr>
          <w:lang w:val="en-US"/>
        </w:rPr>
        <w:t xml:space="preserve">Spiritual Alphabetisation’ in </w:t>
      </w:r>
      <w:r w:rsidRPr="00784D47">
        <w:rPr>
          <w:i/>
          <w:lang w:val="en-US"/>
        </w:rPr>
        <w:t>Hilma af Klint. The Art of Seeing the Invisible</w:t>
      </w:r>
      <w:r>
        <w:rPr>
          <w:lang w:val="en-US"/>
        </w:rPr>
        <w:t>, ed. By Kurt Almquist and Louise Belfrage (Stockholm:  Axel and Margaret Axson Johnson Foundation, 2015), p. 46.</w:t>
      </w:r>
    </w:p>
  </w:footnote>
  <w:footnote w:id="18">
    <w:p w:rsidR="00976AD4" w:rsidRPr="00976AD4" w:rsidRDefault="00976AD4">
      <w:pPr>
        <w:pStyle w:val="FootnoteText"/>
        <w:rPr>
          <w:lang w:val="en-US"/>
        </w:rPr>
      </w:pPr>
      <w:r>
        <w:rPr>
          <w:rStyle w:val="FootnoteReference"/>
        </w:rPr>
        <w:footnoteRef/>
      </w:r>
      <w:r>
        <w:t xml:space="preserve"> </w:t>
      </w:r>
      <w:r w:rsidR="008A0EDE">
        <w:t xml:space="preserve">Bashkoff, </w:t>
      </w:r>
      <w:r w:rsidR="008A0EDE" w:rsidRPr="00E429EA">
        <w:rPr>
          <w:i/>
          <w:lang w:val="en-US"/>
        </w:rPr>
        <w:t>Paintings for the Future</w:t>
      </w:r>
      <w:r>
        <w:rPr>
          <w:lang w:val="en-US"/>
        </w:rPr>
        <w:t>, p</w:t>
      </w:r>
      <w:r w:rsidR="008A0EDE">
        <w:rPr>
          <w:lang w:val="en-US"/>
        </w:rPr>
        <w:t>p</w:t>
      </w:r>
      <w:r>
        <w:rPr>
          <w:lang w:val="en-US"/>
        </w:rPr>
        <w:t>. 29-30.</w:t>
      </w:r>
    </w:p>
  </w:footnote>
  <w:footnote w:id="19">
    <w:p w:rsidR="008663B6" w:rsidRPr="008663B6" w:rsidRDefault="008663B6">
      <w:pPr>
        <w:pStyle w:val="FootnoteText"/>
        <w:rPr>
          <w:lang w:val="en-US"/>
        </w:rPr>
      </w:pPr>
      <w:r>
        <w:rPr>
          <w:rStyle w:val="FootnoteReference"/>
        </w:rPr>
        <w:footnoteRef/>
      </w:r>
      <w:r>
        <w:t xml:space="preserve"> </w:t>
      </w:r>
      <w:r w:rsidR="00002EA3">
        <w:t>Davis, ‘The Ascension-Myth in the Pyramid Texts’</w:t>
      </w:r>
      <w:r>
        <w:rPr>
          <w:lang w:val="en-US"/>
        </w:rPr>
        <w:t>, p. 167.</w:t>
      </w:r>
    </w:p>
  </w:footnote>
  <w:footnote w:id="20">
    <w:p w:rsidR="00995FE9" w:rsidRPr="00F138C8" w:rsidRDefault="00995FE9" w:rsidP="00995FE9">
      <w:pPr>
        <w:pStyle w:val="FootnoteText"/>
        <w:rPr>
          <w:lang w:val="en-US"/>
        </w:rPr>
      </w:pPr>
      <w:r>
        <w:rPr>
          <w:rStyle w:val="FootnoteReference"/>
        </w:rPr>
        <w:footnoteRef/>
      </w:r>
      <w:r>
        <w:t xml:space="preserve"> </w:t>
      </w:r>
      <w:r w:rsidR="00002EA3">
        <w:t>Davis, ‘The Ascension-Myth in the Pyramid Texts’</w:t>
      </w:r>
      <w:r>
        <w:rPr>
          <w:lang w:val="en-US"/>
        </w:rPr>
        <w:t>, p. 167.</w:t>
      </w:r>
    </w:p>
  </w:footnote>
  <w:footnote w:id="21">
    <w:p w:rsidR="00976AD4" w:rsidRPr="00976AD4" w:rsidRDefault="00976AD4">
      <w:pPr>
        <w:pStyle w:val="FootnoteText"/>
        <w:rPr>
          <w:lang w:val="en-US"/>
        </w:rPr>
      </w:pPr>
      <w:r>
        <w:rPr>
          <w:rStyle w:val="FootnoteReference"/>
        </w:rPr>
        <w:footnoteRef/>
      </w:r>
      <w:r>
        <w:t xml:space="preserve"> </w:t>
      </w:r>
      <w:r w:rsidR="00784D47">
        <w:rPr>
          <w:lang w:val="en-US"/>
        </w:rPr>
        <w:t>Philip Kuberski</w:t>
      </w:r>
      <w:r w:rsidR="00784D47">
        <w:rPr>
          <w:lang w:val="en-US"/>
        </w:rPr>
        <w:t xml:space="preserve">, </w:t>
      </w:r>
      <w:r w:rsidR="00E9554D">
        <w:rPr>
          <w:lang w:val="en-US"/>
        </w:rPr>
        <w:t>‘</w:t>
      </w:r>
      <w:r>
        <w:rPr>
          <w:lang w:val="en-US"/>
        </w:rPr>
        <w:t>Dreaming of Egypt</w:t>
      </w:r>
      <w:r w:rsidR="00E9554D">
        <w:rPr>
          <w:lang w:val="en-US"/>
        </w:rPr>
        <w:t xml:space="preserve">’, </w:t>
      </w:r>
      <w:r w:rsidR="00E9554D" w:rsidRPr="00E9554D">
        <w:rPr>
          <w:i/>
          <w:lang w:val="en-US"/>
        </w:rPr>
        <w:t>SubStance,</w:t>
      </w:r>
      <w:r w:rsidR="00E9554D">
        <w:rPr>
          <w:lang w:val="en-US"/>
        </w:rPr>
        <w:t xml:space="preserve"> Vol. 18, No.3, Issue 60 (The John Hopkins University Press)</w:t>
      </w:r>
      <w:r>
        <w:rPr>
          <w:lang w:val="en-US"/>
        </w:rPr>
        <w:t>, p.90</w:t>
      </w:r>
    </w:p>
  </w:footnote>
  <w:footnote w:id="22">
    <w:p w:rsidR="00773356" w:rsidRPr="001F0AC0" w:rsidRDefault="00773356" w:rsidP="00773356">
      <w:pPr>
        <w:pStyle w:val="FootnoteText"/>
        <w:rPr>
          <w:lang w:val="en-US"/>
        </w:rPr>
      </w:pPr>
      <w:r>
        <w:rPr>
          <w:rStyle w:val="FootnoteReference"/>
        </w:rPr>
        <w:footnoteRef/>
      </w:r>
      <w:r>
        <w:t xml:space="preserve"> </w:t>
      </w:r>
      <w:r w:rsidR="00B830AF">
        <w:t>Hollis, ‘</w:t>
      </w:r>
      <w:r w:rsidR="00B830AF" w:rsidRPr="007362C0">
        <w:t>W</w:t>
      </w:r>
      <w:r w:rsidR="00B830AF" w:rsidRPr="007362C0">
        <w:rPr>
          <w:lang w:val="en-US"/>
        </w:rPr>
        <w:t>omen of Ancient Egypt and the Sky Goddess Nut</w:t>
      </w:r>
      <w:r w:rsidR="00B830AF">
        <w:rPr>
          <w:lang w:val="en-US"/>
        </w:rPr>
        <w:t>’</w:t>
      </w:r>
      <w:r w:rsidR="00B830AF">
        <w:rPr>
          <w:lang w:val="en-US"/>
        </w:rPr>
        <w:t xml:space="preserve">, </w:t>
      </w:r>
      <w:r>
        <w:rPr>
          <w:lang w:val="en-US"/>
        </w:rPr>
        <w:t>p</w:t>
      </w:r>
      <w:r w:rsidR="00B830AF">
        <w:rPr>
          <w:lang w:val="en-US"/>
        </w:rPr>
        <w:t>.</w:t>
      </w:r>
      <w:r>
        <w:rPr>
          <w:lang w:val="en-US"/>
        </w:rPr>
        <w:t xml:space="preserve"> 499.</w:t>
      </w:r>
    </w:p>
  </w:footnote>
  <w:footnote w:id="23">
    <w:p w:rsidR="009523AA" w:rsidRPr="00BD1B23" w:rsidRDefault="009523AA" w:rsidP="009523AA">
      <w:pPr>
        <w:pStyle w:val="FootnoteText"/>
        <w:rPr>
          <w:lang w:val="en-US"/>
        </w:rPr>
      </w:pPr>
      <w:r>
        <w:rPr>
          <w:rStyle w:val="FootnoteReference"/>
        </w:rPr>
        <w:footnoteRef/>
      </w:r>
      <w:r>
        <w:t xml:space="preserve"> </w:t>
      </w:r>
      <w:r w:rsidR="00E9554D">
        <w:t xml:space="preserve">Christine Burgin, </w:t>
      </w:r>
      <w:r w:rsidRPr="00E9554D">
        <w:rPr>
          <w:i/>
          <w:lang w:val="en-US"/>
        </w:rPr>
        <w:t>Hilma af Klint</w:t>
      </w:r>
      <w:r w:rsidR="00E9554D" w:rsidRPr="00E9554D">
        <w:rPr>
          <w:i/>
          <w:lang w:val="en-US"/>
        </w:rPr>
        <w:t xml:space="preserve"> Notes and Methods</w:t>
      </w:r>
      <w:r>
        <w:rPr>
          <w:lang w:val="en-US"/>
        </w:rPr>
        <w:t xml:space="preserve">, </w:t>
      </w:r>
      <w:r w:rsidR="00E9554D">
        <w:rPr>
          <w:lang w:val="en-US"/>
        </w:rPr>
        <w:t xml:space="preserve">(New York:  The University of Chicago Press, 2018), </w:t>
      </w:r>
      <w:r>
        <w:rPr>
          <w:lang w:val="en-US"/>
        </w:rPr>
        <w:t>p. 34.</w:t>
      </w:r>
    </w:p>
  </w:footnote>
  <w:footnote w:id="24">
    <w:p w:rsidR="00FA18AE" w:rsidRPr="0068013E" w:rsidRDefault="00FA18AE" w:rsidP="00FA18AE">
      <w:pPr>
        <w:pStyle w:val="FootnoteText"/>
        <w:rPr>
          <w:lang w:val="en-US"/>
        </w:rPr>
      </w:pPr>
      <w:r>
        <w:rPr>
          <w:rStyle w:val="FootnoteReference"/>
        </w:rPr>
        <w:footnoteRef/>
      </w:r>
      <w:r>
        <w:t xml:space="preserve"> Bashkoff, </w:t>
      </w:r>
      <w:r w:rsidRPr="00E429EA">
        <w:rPr>
          <w:i/>
          <w:lang w:val="en-US"/>
        </w:rPr>
        <w:t>Paintings for the Future</w:t>
      </w:r>
      <w:r>
        <w:rPr>
          <w:lang w:val="en-US"/>
        </w:rPr>
        <w:t>, p. 26.</w:t>
      </w:r>
    </w:p>
  </w:footnote>
  <w:footnote w:id="25">
    <w:p w:rsidR="0068013E" w:rsidRPr="0068013E" w:rsidRDefault="0068013E">
      <w:pPr>
        <w:pStyle w:val="FootnoteText"/>
        <w:rPr>
          <w:lang w:val="en-US"/>
        </w:rPr>
      </w:pPr>
      <w:r>
        <w:rPr>
          <w:rStyle w:val="FootnoteReference"/>
        </w:rPr>
        <w:footnoteRef/>
      </w:r>
      <w:r>
        <w:t xml:space="preserve"> </w:t>
      </w:r>
      <w:r w:rsidR="00002EA3">
        <w:t>Gladys-Katherina Hernando</w:t>
      </w:r>
      <w:r w:rsidR="00002EA3">
        <w:t xml:space="preserve">, </w:t>
      </w:r>
      <w:r w:rsidRPr="00002EA3">
        <w:rPr>
          <w:i/>
        </w:rPr>
        <w:t>Hilma af Klint: Mystical Abstraction</w:t>
      </w:r>
      <w:r>
        <w:t xml:space="preserve">, </w:t>
      </w:r>
      <w:r w:rsidR="00002EA3">
        <w:t xml:space="preserve">review of the exhibition </w:t>
      </w:r>
      <w:r w:rsidR="00AD24D1">
        <w:t>catalogue</w:t>
      </w:r>
      <w:r w:rsidR="00002EA3">
        <w:t xml:space="preserve"> for Hilma af Klint at the Hamburger Banhof, Berlin, 2014, </w:t>
      </w:r>
      <w:r>
        <w:t>p.</w:t>
      </w:r>
      <w:r w:rsidR="00002EA3">
        <w:t xml:space="preserve"> </w:t>
      </w:r>
      <w:r>
        <w:t>2.</w:t>
      </w:r>
    </w:p>
  </w:footnote>
  <w:footnote w:id="26">
    <w:p w:rsidR="00FA18AE" w:rsidRPr="00FA18AE" w:rsidRDefault="00FA18AE">
      <w:pPr>
        <w:pStyle w:val="FootnoteText"/>
        <w:rPr>
          <w:lang w:val="en-US"/>
        </w:rPr>
      </w:pPr>
      <w:r>
        <w:rPr>
          <w:rStyle w:val="FootnoteReference"/>
        </w:rPr>
        <w:footnoteRef/>
      </w:r>
      <w:r>
        <w:t xml:space="preserve"> </w:t>
      </w:r>
      <w:r>
        <w:t xml:space="preserve">Bashkoff, </w:t>
      </w:r>
      <w:r w:rsidRPr="00E429EA">
        <w:rPr>
          <w:i/>
          <w:lang w:val="en-US"/>
        </w:rPr>
        <w:t>Paintings for the Future</w:t>
      </w:r>
      <w:r>
        <w:rPr>
          <w:lang w:val="en-US"/>
        </w:rPr>
        <w:t>, p. 26.</w:t>
      </w:r>
    </w:p>
  </w:footnote>
  <w:footnote w:id="27">
    <w:p w:rsidR="00FC42FB" w:rsidRPr="00FC42FB" w:rsidRDefault="00FC42FB">
      <w:pPr>
        <w:pStyle w:val="FootnoteText"/>
        <w:rPr>
          <w:lang w:val="en-US"/>
        </w:rPr>
      </w:pPr>
      <w:r>
        <w:rPr>
          <w:rStyle w:val="FootnoteReference"/>
        </w:rPr>
        <w:footnoteRef/>
      </w:r>
      <w:r>
        <w:t xml:space="preserve"> </w:t>
      </w:r>
      <w:r>
        <w:rPr>
          <w:lang w:val="en-US"/>
        </w:rPr>
        <w:t>Kuberski, ‘Dreaming of Egypt’, p.76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4365731"/>
      <w:docPartObj>
        <w:docPartGallery w:val="Page Numbers (Top of Page)"/>
        <w:docPartUnique/>
      </w:docPartObj>
    </w:sdtPr>
    <w:sdtEndPr>
      <w:rPr>
        <w:rStyle w:val="PageNumber"/>
      </w:rPr>
    </w:sdtEndPr>
    <w:sdtContent>
      <w:p w:rsidR="00AC256B" w:rsidRDefault="00AC256B" w:rsidP="007A191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C256B" w:rsidRDefault="00AC256B" w:rsidP="00C8048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9160234"/>
      <w:docPartObj>
        <w:docPartGallery w:val="Page Numbers (Top of Page)"/>
        <w:docPartUnique/>
      </w:docPartObj>
    </w:sdtPr>
    <w:sdtEndPr>
      <w:rPr>
        <w:rStyle w:val="PageNumber"/>
      </w:rPr>
    </w:sdtEndPr>
    <w:sdtContent>
      <w:p w:rsidR="00AC256B" w:rsidRDefault="00AC256B" w:rsidP="007A191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sdt>
    <w:sdtPr>
      <w:rPr>
        <w:caps/>
        <w:color w:val="44546A" w:themeColor="text2"/>
        <w:sz w:val="20"/>
        <w:szCs w:val="20"/>
      </w:rPr>
      <w:alias w:val="Author"/>
      <w:tag w:val=""/>
      <w:id w:val="-1701008461"/>
      <w:dataBinding w:prefixMappings="xmlns:ns0='http://purl.org/dc/elements/1.1/' xmlns:ns1='http://schemas.openxmlformats.org/package/2006/metadata/core-properties' " w:xpath="/ns1:coreProperties[1]/ns0:creator[1]" w:storeItemID="{6C3C8BC8-F283-45AE-878A-BAB7291924A1}"/>
      <w:text/>
    </w:sdtPr>
    <w:sdtEndPr/>
    <w:sdtContent>
      <w:p w:rsidR="00AC256B" w:rsidRDefault="00AC256B" w:rsidP="00C80480">
        <w:pPr>
          <w:pStyle w:val="Header"/>
          <w:ind w:right="360"/>
          <w:jc w:val="right"/>
          <w:rPr>
            <w:caps/>
            <w:color w:val="44546A" w:themeColor="text2"/>
            <w:sz w:val="20"/>
            <w:szCs w:val="20"/>
          </w:rPr>
        </w:pPr>
        <w:r>
          <w:rPr>
            <w:caps/>
            <w:color w:val="44546A" w:themeColor="text2"/>
            <w:sz w:val="20"/>
            <w:szCs w:val="20"/>
          </w:rPr>
          <w:t>Danielle Goldstein (1710933)</w:t>
        </w:r>
      </w:p>
    </w:sdtContent>
  </w:sdt>
  <w:p w:rsidR="00AC256B" w:rsidRDefault="00AC25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E5368F"/>
    <w:multiLevelType w:val="hybridMultilevel"/>
    <w:tmpl w:val="706A157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42E1406"/>
    <w:multiLevelType w:val="hybridMultilevel"/>
    <w:tmpl w:val="C4BE4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F94FC7"/>
    <w:multiLevelType w:val="hybridMultilevel"/>
    <w:tmpl w:val="F5488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decimal"/>
      <w:lvlText w:val="%2."/>
      <w:lvlJc w:val="left"/>
      <w:pPr>
        <w:tabs>
          <w:tab w:val="num" w:pos="1440"/>
        </w:tabs>
        <w:ind w:left="1440" w:hanging="360"/>
      </w:p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num w:numId="1">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75E"/>
    <w:rsid w:val="00002EA3"/>
    <w:rsid w:val="0001172E"/>
    <w:rsid w:val="00040368"/>
    <w:rsid w:val="00052B09"/>
    <w:rsid w:val="0005363E"/>
    <w:rsid w:val="00071602"/>
    <w:rsid w:val="0007453F"/>
    <w:rsid w:val="000805B5"/>
    <w:rsid w:val="00080D2E"/>
    <w:rsid w:val="000D5386"/>
    <w:rsid w:val="000E4DF7"/>
    <w:rsid w:val="001057F7"/>
    <w:rsid w:val="00117EEB"/>
    <w:rsid w:val="00121C85"/>
    <w:rsid w:val="00122BEC"/>
    <w:rsid w:val="0012499F"/>
    <w:rsid w:val="00150BF9"/>
    <w:rsid w:val="00164775"/>
    <w:rsid w:val="00164910"/>
    <w:rsid w:val="001950B1"/>
    <w:rsid w:val="001A2B80"/>
    <w:rsid w:val="001C30F8"/>
    <w:rsid w:val="001C7245"/>
    <w:rsid w:val="001C734F"/>
    <w:rsid w:val="001D1C7B"/>
    <w:rsid w:val="001D203B"/>
    <w:rsid w:val="001E052A"/>
    <w:rsid w:val="001E36DE"/>
    <w:rsid w:val="001E6EE8"/>
    <w:rsid w:val="001F0AC0"/>
    <w:rsid w:val="001F275F"/>
    <w:rsid w:val="001F69BD"/>
    <w:rsid w:val="00200A3E"/>
    <w:rsid w:val="00200F20"/>
    <w:rsid w:val="00212085"/>
    <w:rsid w:val="00215468"/>
    <w:rsid w:val="00216BAB"/>
    <w:rsid w:val="00217DD2"/>
    <w:rsid w:val="00220609"/>
    <w:rsid w:val="00223CFD"/>
    <w:rsid w:val="00232D58"/>
    <w:rsid w:val="002400EC"/>
    <w:rsid w:val="002426A0"/>
    <w:rsid w:val="00246DA3"/>
    <w:rsid w:val="00260824"/>
    <w:rsid w:val="00270FA7"/>
    <w:rsid w:val="00275A18"/>
    <w:rsid w:val="002873C0"/>
    <w:rsid w:val="00296524"/>
    <w:rsid w:val="002B165A"/>
    <w:rsid w:val="002D0F98"/>
    <w:rsid w:val="002D10B7"/>
    <w:rsid w:val="002D1AD2"/>
    <w:rsid w:val="002E0307"/>
    <w:rsid w:val="002E1470"/>
    <w:rsid w:val="002E4D4C"/>
    <w:rsid w:val="002E5457"/>
    <w:rsid w:val="00302D16"/>
    <w:rsid w:val="00321C2B"/>
    <w:rsid w:val="00327EE9"/>
    <w:rsid w:val="00335600"/>
    <w:rsid w:val="0034475F"/>
    <w:rsid w:val="00346C76"/>
    <w:rsid w:val="00357F01"/>
    <w:rsid w:val="00360A67"/>
    <w:rsid w:val="00362085"/>
    <w:rsid w:val="0039234D"/>
    <w:rsid w:val="003C1449"/>
    <w:rsid w:val="003F4C77"/>
    <w:rsid w:val="004143F3"/>
    <w:rsid w:val="00426432"/>
    <w:rsid w:val="00431824"/>
    <w:rsid w:val="0043629D"/>
    <w:rsid w:val="00442425"/>
    <w:rsid w:val="004524FE"/>
    <w:rsid w:val="00463819"/>
    <w:rsid w:val="00487D95"/>
    <w:rsid w:val="004A4E01"/>
    <w:rsid w:val="004B0F22"/>
    <w:rsid w:val="004C1438"/>
    <w:rsid w:val="004C6D12"/>
    <w:rsid w:val="004F4D6A"/>
    <w:rsid w:val="00500401"/>
    <w:rsid w:val="00506C5D"/>
    <w:rsid w:val="00507E84"/>
    <w:rsid w:val="0052257F"/>
    <w:rsid w:val="00531D42"/>
    <w:rsid w:val="00564258"/>
    <w:rsid w:val="00582957"/>
    <w:rsid w:val="00597916"/>
    <w:rsid w:val="005C675E"/>
    <w:rsid w:val="005E1870"/>
    <w:rsid w:val="005E210D"/>
    <w:rsid w:val="005F2119"/>
    <w:rsid w:val="005F2C8D"/>
    <w:rsid w:val="005F7EF3"/>
    <w:rsid w:val="00607F5E"/>
    <w:rsid w:val="006108CB"/>
    <w:rsid w:val="00625893"/>
    <w:rsid w:val="00627403"/>
    <w:rsid w:val="00654E47"/>
    <w:rsid w:val="00662926"/>
    <w:rsid w:val="0066721E"/>
    <w:rsid w:val="0068013E"/>
    <w:rsid w:val="00697101"/>
    <w:rsid w:val="006A0A7D"/>
    <w:rsid w:val="006A29F5"/>
    <w:rsid w:val="006A6A54"/>
    <w:rsid w:val="006B6D96"/>
    <w:rsid w:val="006C2BFB"/>
    <w:rsid w:val="006D01D5"/>
    <w:rsid w:val="006D6E0C"/>
    <w:rsid w:val="006E61E5"/>
    <w:rsid w:val="006F7F61"/>
    <w:rsid w:val="00700A07"/>
    <w:rsid w:val="00702C29"/>
    <w:rsid w:val="007137AD"/>
    <w:rsid w:val="00735495"/>
    <w:rsid w:val="007362C0"/>
    <w:rsid w:val="00755398"/>
    <w:rsid w:val="00761AAC"/>
    <w:rsid w:val="007642AC"/>
    <w:rsid w:val="00770511"/>
    <w:rsid w:val="0077245C"/>
    <w:rsid w:val="00773356"/>
    <w:rsid w:val="00784D47"/>
    <w:rsid w:val="00784F1B"/>
    <w:rsid w:val="00792E02"/>
    <w:rsid w:val="007A1915"/>
    <w:rsid w:val="007C4A23"/>
    <w:rsid w:val="007D7AE3"/>
    <w:rsid w:val="00803FDD"/>
    <w:rsid w:val="00807D9C"/>
    <w:rsid w:val="00807FA8"/>
    <w:rsid w:val="00861098"/>
    <w:rsid w:val="008663B6"/>
    <w:rsid w:val="008666FE"/>
    <w:rsid w:val="00870791"/>
    <w:rsid w:val="00881480"/>
    <w:rsid w:val="00883807"/>
    <w:rsid w:val="008A0EDE"/>
    <w:rsid w:val="008A207D"/>
    <w:rsid w:val="008A4CFB"/>
    <w:rsid w:val="008E6115"/>
    <w:rsid w:val="009154DD"/>
    <w:rsid w:val="00922481"/>
    <w:rsid w:val="00933C3F"/>
    <w:rsid w:val="00935DBD"/>
    <w:rsid w:val="00946591"/>
    <w:rsid w:val="009523AA"/>
    <w:rsid w:val="00976AD4"/>
    <w:rsid w:val="00995FE9"/>
    <w:rsid w:val="009B7CD5"/>
    <w:rsid w:val="009C6F6D"/>
    <w:rsid w:val="009D5834"/>
    <w:rsid w:val="009E4E0D"/>
    <w:rsid w:val="009F0CCE"/>
    <w:rsid w:val="009F5F85"/>
    <w:rsid w:val="009F7847"/>
    <w:rsid w:val="00A152D0"/>
    <w:rsid w:val="00A307FC"/>
    <w:rsid w:val="00A40C5C"/>
    <w:rsid w:val="00A4292A"/>
    <w:rsid w:val="00A52814"/>
    <w:rsid w:val="00A67093"/>
    <w:rsid w:val="00A7426B"/>
    <w:rsid w:val="00A861B7"/>
    <w:rsid w:val="00AB581D"/>
    <w:rsid w:val="00AC256B"/>
    <w:rsid w:val="00AC7F8E"/>
    <w:rsid w:val="00AD24D1"/>
    <w:rsid w:val="00AD4E26"/>
    <w:rsid w:val="00AE27A6"/>
    <w:rsid w:val="00AE5F2B"/>
    <w:rsid w:val="00AF71B8"/>
    <w:rsid w:val="00B15634"/>
    <w:rsid w:val="00B234DE"/>
    <w:rsid w:val="00B37F94"/>
    <w:rsid w:val="00B63751"/>
    <w:rsid w:val="00B678A4"/>
    <w:rsid w:val="00B67993"/>
    <w:rsid w:val="00B67F19"/>
    <w:rsid w:val="00B73BD0"/>
    <w:rsid w:val="00B7408C"/>
    <w:rsid w:val="00B745B2"/>
    <w:rsid w:val="00B76F92"/>
    <w:rsid w:val="00B830AF"/>
    <w:rsid w:val="00B85383"/>
    <w:rsid w:val="00B946A2"/>
    <w:rsid w:val="00B96762"/>
    <w:rsid w:val="00BA6C85"/>
    <w:rsid w:val="00BB16CC"/>
    <w:rsid w:val="00BB7B78"/>
    <w:rsid w:val="00BD1B23"/>
    <w:rsid w:val="00BD52D6"/>
    <w:rsid w:val="00BE2C60"/>
    <w:rsid w:val="00BF2167"/>
    <w:rsid w:val="00BF5F70"/>
    <w:rsid w:val="00C20372"/>
    <w:rsid w:val="00C2385B"/>
    <w:rsid w:val="00C2682F"/>
    <w:rsid w:val="00C33245"/>
    <w:rsid w:val="00C46066"/>
    <w:rsid w:val="00C50D85"/>
    <w:rsid w:val="00C6012F"/>
    <w:rsid w:val="00C644F9"/>
    <w:rsid w:val="00C80480"/>
    <w:rsid w:val="00C84A12"/>
    <w:rsid w:val="00CB0E52"/>
    <w:rsid w:val="00CD106F"/>
    <w:rsid w:val="00CE0D09"/>
    <w:rsid w:val="00D02E09"/>
    <w:rsid w:val="00D15F14"/>
    <w:rsid w:val="00D31C11"/>
    <w:rsid w:val="00D321CD"/>
    <w:rsid w:val="00D452A7"/>
    <w:rsid w:val="00D459D9"/>
    <w:rsid w:val="00D9697E"/>
    <w:rsid w:val="00DA0483"/>
    <w:rsid w:val="00DA0E98"/>
    <w:rsid w:val="00DA1608"/>
    <w:rsid w:val="00DA7123"/>
    <w:rsid w:val="00DD2E08"/>
    <w:rsid w:val="00DE31E4"/>
    <w:rsid w:val="00DE52DB"/>
    <w:rsid w:val="00DE7DEC"/>
    <w:rsid w:val="00E06243"/>
    <w:rsid w:val="00E225F4"/>
    <w:rsid w:val="00E244CB"/>
    <w:rsid w:val="00E25E1F"/>
    <w:rsid w:val="00E37633"/>
    <w:rsid w:val="00E429EA"/>
    <w:rsid w:val="00E52FE3"/>
    <w:rsid w:val="00E56A9B"/>
    <w:rsid w:val="00E60272"/>
    <w:rsid w:val="00E618FC"/>
    <w:rsid w:val="00E72F3C"/>
    <w:rsid w:val="00E81D48"/>
    <w:rsid w:val="00E93883"/>
    <w:rsid w:val="00E93900"/>
    <w:rsid w:val="00E9554D"/>
    <w:rsid w:val="00EB350C"/>
    <w:rsid w:val="00EB3DFB"/>
    <w:rsid w:val="00EC7B12"/>
    <w:rsid w:val="00EF7FEE"/>
    <w:rsid w:val="00F02B86"/>
    <w:rsid w:val="00F138C8"/>
    <w:rsid w:val="00F533E1"/>
    <w:rsid w:val="00F616F3"/>
    <w:rsid w:val="00F649D1"/>
    <w:rsid w:val="00F66093"/>
    <w:rsid w:val="00F67556"/>
    <w:rsid w:val="00F774DE"/>
    <w:rsid w:val="00F9100F"/>
    <w:rsid w:val="00FA0EA4"/>
    <w:rsid w:val="00FA142A"/>
    <w:rsid w:val="00FA18AE"/>
    <w:rsid w:val="00FA1B87"/>
    <w:rsid w:val="00FA68C6"/>
    <w:rsid w:val="00FC07D9"/>
    <w:rsid w:val="00FC42FB"/>
    <w:rsid w:val="00FD5C3E"/>
    <w:rsid w:val="00FE51DE"/>
    <w:rsid w:val="00FE5EF9"/>
    <w:rsid w:val="00FF50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E801B1"/>
  <w14:defaultImageDpi w14:val="32767"/>
  <w15:chartTrackingRefBased/>
  <w15:docId w15:val="{C2A5D468-430D-8146-BED7-2397F22BA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A1608"/>
    <w:rPr>
      <w:rFonts w:ascii="Times New Roman" w:eastAsia="Times New Roman" w:hAnsi="Times New Roman" w:cs="Times New Roman"/>
      <w:lang w:val="en-GB"/>
    </w:rPr>
  </w:style>
  <w:style w:type="paragraph" w:styleId="Heading3">
    <w:name w:val="heading 3"/>
    <w:basedOn w:val="Normal"/>
    <w:link w:val="Heading3Char"/>
    <w:qFormat/>
    <w:rsid w:val="005C675E"/>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5C675E"/>
    <w:rPr>
      <w:rFonts w:ascii="Tahoma" w:eastAsia="SimSun" w:hAnsi="Tahoma" w:cs="Tahoma"/>
      <w:b/>
      <w:bCs/>
      <w:sz w:val="20"/>
      <w:szCs w:val="20"/>
      <w:lang w:val="en-GB" w:eastAsia="zh-CN"/>
    </w:rPr>
  </w:style>
  <w:style w:type="paragraph" w:styleId="NormalWeb">
    <w:name w:val="Normal (Web)"/>
    <w:basedOn w:val="Normal"/>
    <w:uiPriority w:val="99"/>
    <w:rsid w:val="005C675E"/>
    <w:pPr>
      <w:spacing w:before="100" w:beforeAutospacing="1" w:after="100" w:afterAutospacing="1"/>
    </w:pPr>
    <w:rPr>
      <w:rFonts w:ascii="Georgia" w:eastAsia="SimSun" w:hAnsi="Georgia"/>
      <w:color w:val="000000"/>
      <w:sz w:val="21"/>
      <w:szCs w:val="21"/>
      <w:lang w:eastAsia="zh-CN"/>
    </w:rPr>
  </w:style>
  <w:style w:type="character" w:styleId="Hyperlink">
    <w:name w:val="Hyperlink"/>
    <w:basedOn w:val="DefaultParagraphFont"/>
    <w:uiPriority w:val="99"/>
    <w:unhideWhenUsed/>
    <w:rsid w:val="00117EEB"/>
    <w:rPr>
      <w:color w:val="0000FF"/>
      <w:u w:val="single"/>
    </w:rPr>
  </w:style>
  <w:style w:type="paragraph" w:styleId="Header">
    <w:name w:val="header"/>
    <w:basedOn w:val="Normal"/>
    <w:link w:val="HeaderChar"/>
    <w:uiPriority w:val="99"/>
    <w:unhideWhenUsed/>
    <w:rsid w:val="00C80480"/>
    <w:pPr>
      <w:tabs>
        <w:tab w:val="center" w:pos="4680"/>
        <w:tab w:val="right" w:pos="9360"/>
      </w:tabs>
    </w:pPr>
    <w:rPr>
      <w:rFonts w:eastAsia="SimSun"/>
      <w:lang w:eastAsia="zh-CN"/>
    </w:rPr>
  </w:style>
  <w:style w:type="character" w:customStyle="1" w:styleId="HeaderChar">
    <w:name w:val="Header Char"/>
    <w:basedOn w:val="DefaultParagraphFont"/>
    <w:link w:val="Header"/>
    <w:uiPriority w:val="99"/>
    <w:rsid w:val="00C80480"/>
    <w:rPr>
      <w:rFonts w:ascii="Times New Roman" w:eastAsia="SimSun" w:hAnsi="Times New Roman" w:cs="Times New Roman"/>
      <w:lang w:val="en-GB" w:eastAsia="zh-CN"/>
    </w:rPr>
  </w:style>
  <w:style w:type="paragraph" w:styleId="Footer">
    <w:name w:val="footer"/>
    <w:basedOn w:val="Normal"/>
    <w:link w:val="FooterChar"/>
    <w:uiPriority w:val="99"/>
    <w:unhideWhenUsed/>
    <w:rsid w:val="00C80480"/>
    <w:pPr>
      <w:tabs>
        <w:tab w:val="center" w:pos="4680"/>
        <w:tab w:val="right" w:pos="9360"/>
      </w:tabs>
    </w:pPr>
    <w:rPr>
      <w:rFonts w:eastAsia="SimSun"/>
      <w:lang w:eastAsia="zh-CN"/>
    </w:rPr>
  </w:style>
  <w:style w:type="character" w:customStyle="1" w:styleId="FooterChar">
    <w:name w:val="Footer Char"/>
    <w:basedOn w:val="DefaultParagraphFont"/>
    <w:link w:val="Footer"/>
    <w:uiPriority w:val="99"/>
    <w:rsid w:val="00C80480"/>
    <w:rPr>
      <w:rFonts w:ascii="Times New Roman" w:eastAsia="SimSun" w:hAnsi="Times New Roman" w:cs="Times New Roman"/>
      <w:lang w:val="en-GB" w:eastAsia="zh-CN"/>
    </w:rPr>
  </w:style>
  <w:style w:type="character" w:styleId="PageNumber">
    <w:name w:val="page number"/>
    <w:basedOn w:val="DefaultParagraphFont"/>
    <w:uiPriority w:val="99"/>
    <w:semiHidden/>
    <w:unhideWhenUsed/>
    <w:rsid w:val="00C80480"/>
  </w:style>
  <w:style w:type="character" w:styleId="Strong">
    <w:name w:val="Strong"/>
    <w:basedOn w:val="DefaultParagraphFont"/>
    <w:uiPriority w:val="22"/>
    <w:qFormat/>
    <w:rsid w:val="00935DBD"/>
    <w:rPr>
      <w:b/>
      <w:bCs/>
    </w:rPr>
  </w:style>
  <w:style w:type="paragraph" w:styleId="FootnoteText">
    <w:name w:val="footnote text"/>
    <w:aliases w:val="Footnote Text Char Char Char Char Char Char Char Char,Footnote Text Char Char Char,Footnote Text Char Char Char Char Char Char Char,Footnote Text Char Char,Footnote Text Char Char Char Char Char Char,Footnote Text Char Char Char Char Char"/>
    <w:basedOn w:val="Normal"/>
    <w:link w:val="FootnoteTextChar"/>
    <w:unhideWhenUsed/>
    <w:rsid w:val="0001172E"/>
    <w:rPr>
      <w:rFonts w:eastAsia="SimSun"/>
      <w:sz w:val="20"/>
      <w:szCs w:val="20"/>
      <w:lang w:eastAsia="zh-CN"/>
    </w:rPr>
  </w:style>
  <w:style w:type="character" w:customStyle="1" w:styleId="FootnoteTextChar">
    <w:name w:val="Footnote Text Char"/>
    <w:aliases w:val="Footnote Text Char Char Char Char Char Char Char Char Char,Footnote Text Char Char Char Char,Footnote Text Char Char Char Char Char Char Char Char1,Footnote Text Char Char Char1,Footnote Text Char Char Char Char Char Char Char1"/>
    <w:basedOn w:val="DefaultParagraphFont"/>
    <w:link w:val="FootnoteText"/>
    <w:rsid w:val="0001172E"/>
    <w:rPr>
      <w:rFonts w:ascii="Times New Roman" w:eastAsia="SimSun" w:hAnsi="Times New Roman" w:cs="Times New Roman"/>
      <w:sz w:val="20"/>
      <w:szCs w:val="20"/>
      <w:lang w:val="en-GB" w:eastAsia="zh-CN"/>
    </w:rPr>
  </w:style>
  <w:style w:type="character" w:styleId="FootnoteReference">
    <w:name w:val="footnote reference"/>
    <w:basedOn w:val="DefaultParagraphFont"/>
    <w:uiPriority w:val="99"/>
    <w:semiHidden/>
    <w:unhideWhenUsed/>
    <w:rsid w:val="0001172E"/>
    <w:rPr>
      <w:vertAlign w:val="superscript"/>
    </w:rPr>
  </w:style>
  <w:style w:type="paragraph" w:customStyle="1" w:styleId="bullet">
    <w:name w:val="bullet"/>
    <w:link w:val="bulletChar"/>
    <w:qFormat/>
    <w:rsid w:val="00AF71B8"/>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 w:val="22"/>
      <w:szCs w:val="22"/>
      <w:lang w:eastAsia="en-GB"/>
    </w:rPr>
  </w:style>
  <w:style w:type="character" w:customStyle="1" w:styleId="bulletChar">
    <w:name w:val="bullet Char"/>
    <w:link w:val="bullet"/>
    <w:qFormat/>
    <w:locked/>
    <w:rsid w:val="00AF71B8"/>
    <w:rPr>
      <w:rFonts w:ascii="Times New Roman" w:eastAsia="Times New Roman" w:hAnsi="Times New Roman" w:cs="Times New Roman"/>
      <w:sz w:val="22"/>
      <w:szCs w:val="22"/>
      <w:lang w:eastAsia="en-GB"/>
    </w:rPr>
  </w:style>
  <w:style w:type="paragraph" w:styleId="PlainText">
    <w:name w:val="Plain Text"/>
    <w:basedOn w:val="Normal"/>
    <w:link w:val="PlainTextChar"/>
    <w:rsid w:val="00AF71B8"/>
    <w:rPr>
      <w:rFonts w:ascii="Courier New" w:hAnsi="Courier New"/>
      <w:sz w:val="20"/>
      <w:szCs w:val="20"/>
      <w:lang w:val="x-none"/>
    </w:rPr>
  </w:style>
  <w:style w:type="character" w:customStyle="1" w:styleId="PlainTextChar">
    <w:name w:val="Plain Text Char"/>
    <w:basedOn w:val="DefaultParagraphFont"/>
    <w:link w:val="PlainText"/>
    <w:rsid w:val="00AF71B8"/>
    <w:rPr>
      <w:rFonts w:ascii="Courier New" w:eastAsia="Times New Roman" w:hAnsi="Courier New" w:cs="Times New Roman"/>
      <w:sz w:val="20"/>
      <w:szCs w:val="20"/>
      <w:lang w:val="x-none"/>
    </w:rPr>
  </w:style>
  <w:style w:type="paragraph" w:customStyle="1" w:styleId="Footnote">
    <w:name w:val="Footnote"/>
    <w:rsid w:val="000D5386"/>
    <w:pPr>
      <w:pBdr>
        <w:top w:val="nil"/>
        <w:left w:val="nil"/>
        <w:bottom w:val="nil"/>
        <w:right w:val="nil"/>
        <w:between w:val="nil"/>
        <w:bar w:val="nil"/>
      </w:pBdr>
    </w:pPr>
    <w:rPr>
      <w:rFonts w:ascii="Helvetica Neue" w:eastAsia="Helvetica Neue" w:hAnsi="Helvetica Neue" w:cs="Helvetica Neue"/>
      <w:color w:val="000000"/>
      <w:sz w:val="22"/>
      <w:szCs w:val="22"/>
      <w:bdr w:val="nil"/>
      <w:lang w:val="en-GB" w:bidi="hi-IN"/>
    </w:rPr>
  </w:style>
  <w:style w:type="paragraph" w:styleId="ListParagraph">
    <w:name w:val="List Paragraph"/>
    <w:basedOn w:val="Normal"/>
    <w:link w:val="ListParagraphChar"/>
    <w:uiPriority w:val="99"/>
    <w:qFormat/>
    <w:rsid w:val="000D5386"/>
    <w:pPr>
      <w:ind w:left="720"/>
      <w:contextualSpacing/>
    </w:pPr>
    <w:rPr>
      <w:sz w:val="20"/>
      <w:szCs w:val="20"/>
      <w:lang w:val="x-none" w:eastAsia="en-GB"/>
    </w:rPr>
  </w:style>
  <w:style w:type="character" w:customStyle="1" w:styleId="ListParagraphChar">
    <w:name w:val="List Paragraph Char"/>
    <w:link w:val="ListParagraph"/>
    <w:uiPriority w:val="99"/>
    <w:locked/>
    <w:rsid w:val="000D5386"/>
    <w:rPr>
      <w:rFonts w:ascii="Times New Roman" w:eastAsia="Times New Roman" w:hAnsi="Times New Roman" w:cs="Times New Roman"/>
      <w:sz w:val="20"/>
      <w:szCs w:val="20"/>
      <w:lang w:val="x-none" w:eastAsia="en-GB"/>
    </w:rPr>
  </w:style>
  <w:style w:type="paragraph" w:styleId="EndnoteText">
    <w:name w:val="endnote text"/>
    <w:basedOn w:val="Normal"/>
    <w:link w:val="EndnoteTextChar"/>
    <w:uiPriority w:val="99"/>
    <w:semiHidden/>
    <w:unhideWhenUsed/>
    <w:rsid w:val="00321C2B"/>
    <w:rPr>
      <w:sz w:val="20"/>
      <w:szCs w:val="20"/>
    </w:rPr>
  </w:style>
  <w:style w:type="character" w:customStyle="1" w:styleId="EndnoteTextChar">
    <w:name w:val="Endnote Text Char"/>
    <w:basedOn w:val="DefaultParagraphFont"/>
    <w:link w:val="EndnoteText"/>
    <w:uiPriority w:val="99"/>
    <w:semiHidden/>
    <w:rsid w:val="00321C2B"/>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321C2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094106">
      <w:bodyDiv w:val="1"/>
      <w:marLeft w:val="0"/>
      <w:marRight w:val="0"/>
      <w:marTop w:val="0"/>
      <w:marBottom w:val="0"/>
      <w:divBdr>
        <w:top w:val="none" w:sz="0" w:space="0" w:color="auto"/>
        <w:left w:val="none" w:sz="0" w:space="0" w:color="auto"/>
        <w:bottom w:val="none" w:sz="0" w:space="0" w:color="auto"/>
        <w:right w:val="none" w:sz="0" w:space="0" w:color="auto"/>
      </w:divBdr>
    </w:div>
    <w:div w:id="586621858">
      <w:bodyDiv w:val="1"/>
      <w:marLeft w:val="0"/>
      <w:marRight w:val="0"/>
      <w:marTop w:val="0"/>
      <w:marBottom w:val="0"/>
      <w:divBdr>
        <w:top w:val="none" w:sz="0" w:space="0" w:color="auto"/>
        <w:left w:val="none" w:sz="0" w:space="0" w:color="auto"/>
        <w:bottom w:val="none" w:sz="0" w:space="0" w:color="auto"/>
        <w:right w:val="none" w:sz="0" w:space="0" w:color="auto"/>
      </w:divBdr>
    </w:div>
    <w:div w:id="633364636">
      <w:bodyDiv w:val="1"/>
      <w:marLeft w:val="0"/>
      <w:marRight w:val="0"/>
      <w:marTop w:val="0"/>
      <w:marBottom w:val="0"/>
      <w:divBdr>
        <w:top w:val="none" w:sz="0" w:space="0" w:color="auto"/>
        <w:left w:val="none" w:sz="0" w:space="0" w:color="auto"/>
        <w:bottom w:val="none" w:sz="0" w:space="0" w:color="auto"/>
        <w:right w:val="none" w:sz="0" w:space="0" w:color="auto"/>
      </w:divBdr>
    </w:div>
    <w:div w:id="674114533">
      <w:bodyDiv w:val="1"/>
      <w:marLeft w:val="0"/>
      <w:marRight w:val="0"/>
      <w:marTop w:val="0"/>
      <w:marBottom w:val="0"/>
      <w:divBdr>
        <w:top w:val="none" w:sz="0" w:space="0" w:color="auto"/>
        <w:left w:val="none" w:sz="0" w:space="0" w:color="auto"/>
        <w:bottom w:val="none" w:sz="0" w:space="0" w:color="auto"/>
        <w:right w:val="none" w:sz="0" w:space="0" w:color="auto"/>
      </w:divBdr>
    </w:div>
    <w:div w:id="1264995970">
      <w:bodyDiv w:val="1"/>
      <w:marLeft w:val="0"/>
      <w:marRight w:val="0"/>
      <w:marTop w:val="0"/>
      <w:marBottom w:val="0"/>
      <w:divBdr>
        <w:top w:val="none" w:sz="0" w:space="0" w:color="auto"/>
        <w:left w:val="none" w:sz="0" w:space="0" w:color="auto"/>
        <w:bottom w:val="none" w:sz="0" w:space="0" w:color="auto"/>
        <w:right w:val="none" w:sz="0" w:space="0" w:color="auto"/>
      </w:divBdr>
    </w:div>
    <w:div w:id="2135513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AD02C5C6-120E-DD43-AEF9-FA4E38559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703</TotalTime>
  <Pages>11</Pages>
  <Words>2358</Words>
  <Characters>13441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Goldstein (1710933)</dc:creator>
  <cp:keywords/>
  <dc:description/>
  <cp:lastModifiedBy>Danielle Goldstein (1710933)</cp:lastModifiedBy>
  <cp:revision>106</cp:revision>
  <dcterms:created xsi:type="dcterms:W3CDTF">2019-05-26T17:40:00Z</dcterms:created>
  <dcterms:modified xsi:type="dcterms:W3CDTF">2019-05-31T21:28:00Z</dcterms:modified>
</cp:coreProperties>
</file>