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45229A" w:rsidRDefault="0045229A">
      <w:pPr>
        <w:jc w:val="center"/>
        <w:rPr>
          <w:rFonts w:eastAsia="Times New Roman" w:cs="Times New Roman"/>
          <w:b/>
          <w:sz w:val="32"/>
          <w:szCs w:val="32"/>
          <w:highlight w:val="white"/>
        </w:rPr>
      </w:pPr>
    </w:p>
    <w:p w:rsidR="00E45FB6" w:rsidRDefault="00E45FB6">
      <w:pPr>
        <w:jc w:val="center"/>
        <w:rPr>
          <w:rFonts w:eastAsia="Times New Roman" w:cs="Times New Roman"/>
          <w:b/>
          <w:sz w:val="32"/>
          <w:szCs w:val="32"/>
          <w:highlight w:val="white"/>
        </w:rPr>
      </w:pPr>
    </w:p>
    <w:p w:rsidR="00E45FB6" w:rsidRDefault="00E45FB6">
      <w:pPr>
        <w:jc w:val="center"/>
        <w:rPr>
          <w:rFonts w:eastAsia="Times New Roman" w:cs="Times New Roman"/>
          <w:b/>
          <w:sz w:val="32"/>
          <w:szCs w:val="32"/>
          <w:highlight w:val="white"/>
        </w:rPr>
      </w:pPr>
    </w:p>
    <w:p w:rsidR="00E45FB6" w:rsidRDefault="00E45FB6">
      <w:pPr>
        <w:jc w:val="center"/>
        <w:rPr>
          <w:rFonts w:eastAsia="Times New Roman" w:cs="Times New Roman"/>
          <w:b/>
          <w:sz w:val="32"/>
          <w:szCs w:val="32"/>
          <w:highlight w:val="white"/>
        </w:rPr>
      </w:pPr>
    </w:p>
    <w:p w:rsidR="00BB1B0D" w:rsidRDefault="00BB1B0D">
      <w:pPr>
        <w:jc w:val="center"/>
        <w:rPr>
          <w:rFonts w:eastAsia="Times New Roman" w:cs="Times New Roman"/>
          <w:b/>
          <w:sz w:val="32"/>
          <w:szCs w:val="32"/>
        </w:rPr>
      </w:pPr>
    </w:p>
    <w:p w:rsidR="00BB1B0D" w:rsidRDefault="00BB1B0D">
      <w:pPr>
        <w:jc w:val="center"/>
        <w:rPr>
          <w:rFonts w:eastAsia="Times New Roman" w:cs="Times New Roman"/>
          <w:b/>
          <w:sz w:val="32"/>
          <w:szCs w:val="32"/>
        </w:rPr>
      </w:pPr>
    </w:p>
    <w:p w:rsidR="00596CDB" w:rsidRPr="00D43638" w:rsidRDefault="00270EC8">
      <w:pPr>
        <w:jc w:val="center"/>
        <w:rPr>
          <w:rFonts w:eastAsia="Times New Roman" w:cs="Times New Roman"/>
          <w:b/>
          <w:i/>
          <w:iCs/>
          <w:sz w:val="32"/>
          <w:szCs w:val="32"/>
        </w:rPr>
      </w:pPr>
      <w:r w:rsidRPr="00D43638">
        <w:rPr>
          <w:rFonts w:eastAsia="Times New Roman" w:cs="Times New Roman"/>
          <w:b/>
          <w:i/>
          <w:iCs/>
          <w:sz w:val="32"/>
          <w:szCs w:val="32"/>
        </w:rPr>
        <w:t xml:space="preserve">ACCOUNTING FUNDAMENTALS </w:t>
      </w:r>
    </w:p>
    <w:p w:rsidR="00596CDB" w:rsidRDefault="00596CDB" w:rsidP="00596CDB">
      <w:pPr>
        <w:rPr>
          <w:rFonts w:eastAsia="Times New Roman" w:cs="Times New Roman"/>
          <w:b/>
          <w:sz w:val="32"/>
          <w:szCs w:val="32"/>
        </w:rPr>
      </w:pPr>
    </w:p>
    <w:p w:rsidR="00CA6BCE" w:rsidRDefault="00CA6BCE" w:rsidP="00596CDB">
      <w:pPr>
        <w:pStyle w:val="Default"/>
        <w:spacing w:line="360" w:lineRule="auto"/>
        <w:jc w:val="both"/>
        <w:rPr>
          <w:b/>
          <w:bCs/>
          <w:sz w:val="28"/>
          <w:szCs w:val="28"/>
        </w:rPr>
      </w:pPr>
    </w:p>
    <w:p w:rsidR="00596CDB" w:rsidRPr="00D43638" w:rsidRDefault="00596CDB" w:rsidP="00596CDB">
      <w:pPr>
        <w:pStyle w:val="Default"/>
        <w:spacing w:line="360" w:lineRule="auto"/>
        <w:jc w:val="both"/>
        <w:rPr>
          <w:rFonts w:ascii="Avenir Next Condensed" w:hAnsi="Avenir Next Condensed" w:cs="APPLE CHANCERY"/>
          <w:b/>
          <w:bCs/>
          <w:sz w:val="28"/>
          <w:szCs w:val="28"/>
        </w:rPr>
      </w:pPr>
      <w:r w:rsidRPr="00D43638">
        <w:rPr>
          <w:rFonts w:ascii="Avenir Next Condensed" w:hAnsi="Avenir Next Condensed" w:cs="APPLE CHANCERY"/>
          <w:b/>
          <w:bCs/>
          <w:sz w:val="28"/>
          <w:szCs w:val="28"/>
        </w:rPr>
        <w:t>YOUR NAME:</w:t>
      </w:r>
      <w:r w:rsidR="00D43638" w:rsidRPr="00D43638">
        <w:rPr>
          <w:rFonts w:ascii="Avenir Next Condensed" w:hAnsi="Avenir Next Condensed" w:cs="APPLE CHANCERY"/>
          <w:b/>
          <w:bCs/>
          <w:sz w:val="28"/>
          <w:szCs w:val="28"/>
        </w:rPr>
        <w:t xml:space="preserve"> COSTEL CRISTIAN PICHIU</w:t>
      </w:r>
    </w:p>
    <w:p w:rsidR="00596CDB" w:rsidRPr="00D43638" w:rsidRDefault="00596CDB" w:rsidP="00596CDB">
      <w:pPr>
        <w:pStyle w:val="Default"/>
        <w:spacing w:line="360" w:lineRule="auto"/>
        <w:rPr>
          <w:rFonts w:ascii="Avenir Next Condensed" w:hAnsi="Avenir Next Condensed" w:cs="APPLE CHANCERY"/>
          <w:sz w:val="22"/>
          <w:szCs w:val="22"/>
        </w:rPr>
      </w:pPr>
      <w:r w:rsidRPr="00D43638">
        <w:rPr>
          <w:rFonts w:ascii="Avenir Next Condensed" w:hAnsi="Avenir Next Condensed" w:cs="APPLE CHANCERY"/>
          <w:b/>
          <w:bCs/>
          <w:sz w:val="28"/>
          <w:szCs w:val="28"/>
        </w:rPr>
        <w:t>YOUR STUDENT NUMBER:</w:t>
      </w:r>
      <w:r w:rsidR="00D43638" w:rsidRPr="00D43638">
        <w:rPr>
          <w:rFonts w:ascii="Avenir Next Condensed" w:hAnsi="Avenir Next Condensed" w:cs="APPLE CHANCERY"/>
          <w:b/>
          <w:bCs/>
          <w:sz w:val="28"/>
          <w:szCs w:val="28"/>
        </w:rPr>
        <w:t>1816569</w:t>
      </w:r>
      <w:r w:rsidRPr="00D43638">
        <w:rPr>
          <w:rFonts w:ascii="Avenir Next Condensed" w:hAnsi="Avenir Next Condensed" w:cs="APPLE CHANCERY"/>
          <w:b/>
          <w:bCs/>
          <w:sz w:val="28"/>
          <w:szCs w:val="28"/>
        </w:rPr>
        <w:br/>
        <w:t xml:space="preserve"> YOUR MODULE TITLE:</w:t>
      </w:r>
      <w:r w:rsidRPr="00D43638">
        <w:rPr>
          <w:rFonts w:ascii="Avenir Next Condensed" w:hAnsi="Avenir Next Condensed" w:cs="APPLE CHANCERY"/>
          <w:sz w:val="28"/>
          <w:szCs w:val="28"/>
        </w:rPr>
        <w:t xml:space="preserve"> </w:t>
      </w:r>
      <w:r w:rsidRPr="00D43638">
        <w:rPr>
          <w:rFonts w:ascii="Avenir Next Condensed" w:hAnsi="Avenir Next Condensed" w:cs="APPLE CHANCERY"/>
          <w:b/>
          <w:bCs/>
          <w:sz w:val="32"/>
          <w:szCs w:val="32"/>
        </w:rPr>
        <w:t>BUSINESS MANAGEMENT</w:t>
      </w:r>
      <w:r w:rsidRPr="00D43638">
        <w:rPr>
          <w:rFonts w:ascii="Avenir Next Condensed" w:hAnsi="Avenir Next Condensed" w:cs="APPLE CHANCERY"/>
          <w:b/>
          <w:bCs/>
          <w:sz w:val="22"/>
          <w:szCs w:val="22"/>
        </w:rPr>
        <w:t xml:space="preserve"> </w:t>
      </w:r>
    </w:p>
    <w:p w:rsidR="00A82FCD" w:rsidRPr="00D43638" w:rsidRDefault="00596CDB" w:rsidP="00596CDB">
      <w:pPr>
        <w:rPr>
          <w:rFonts w:ascii="Avenir Next Condensed" w:hAnsi="Avenir Next Condensed" w:cs="APPLE CHANCERY"/>
          <w:b/>
          <w:bCs/>
          <w:sz w:val="32"/>
          <w:szCs w:val="32"/>
        </w:rPr>
      </w:pPr>
      <w:r w:rsidRPr="00D43638">
        <w:rPr>
          <w:rFonts w:ascii="Avenir Next Condensed" w:hAnsi="Avenir Next Condensed" w:cs="APPLE CHANCERY"/>
          <w:b/>
          <w:bCs/>
          <w:sz w:val="28"/>
          <w:szCs w:val="28"/>
        </w:rPr>
        <w:t>ASSIGNMENT TITLE AND YOUR MODULE:</w:t>
      </w:r>
      <w:r w:rsidRPr="00D43638">
        <w:rPr>
          <w:rFonts w:ascii="Avenir Next Condensed" w:hAnsi="Avenir Next Condensed" w:cs="APPLE CHANCERY"/>
          <w:b/>
          <w:bCs/>
        </w:rPr>
        <w:t xml:space="preserve"> </w:t>
      </w:r>
      <w:r w:rsidRPr="00D43638">
        <w:rPr>
          <w:rFonts w:ascii="Avenir Next Condensed" w:hAnsi="Avenir Next Condensed" w:cs="APPLE CHANCERY"/>
          <w:b/>
          <w:bCs/>
          <w:sz w:val="32"/>
          <w:szCs w:val="32"/>
        </w:rPr>
        <w:t>ACCOUNTING FUNDAMENTALS ASSESSMENT 1</w:t>
      </w:r>
    </w:p>
    <w:p w:rsidR="00FC0371" w:rsidRPr="00D43638" w:rsidRDefault="00FC0371" w:rsidP="00596CDB">
      <w:pPr>
        <w:rPr>
          <w:rFonts w:ascii="Avenir Next Condensed" w:hAnsi="Avenir Next Condensed" w:cs="APPLE CHANCERY"/>
          <w:b/>
          <w:bCs/>
          <w:sz w:val="28"/>
          <w:szCs w:val="28"/>
        </w:rPr>
      </w:pPr>
      <w:r w:rsidRPr="00D43638">
        <w:rPr>
          <w:rFonts w:ascii="Avenir Next Condensed" w:hAnsi="Avenir Next Condensed" w:cs="APPLE CHANCERY"/>
          <w:b/>
          <w:bCs/>
          <w:sz w:val="28"/>
          <w:szCs w:val="28"/>
        </w:rPr>
        <w:t xml:space="preserve">LECTURER NAME: </w:t>
      </w:r>
    </w:p>
    <w:p w:rsidR="00A82FCD" w:rsidRPr="00D43638" w:rsidRDefault="00A82FCD">
      <w:pPr>
        <w:spacing w:line="276" w:lineRule="auto"/>
        <w:jc w:val="left"/>
        <w:rPr>
          <w:rFonts w:ascii="APPLE CHANCERY" w:hAnsi="APPLE CHANCERY" w:cs="APPLE CHANCERY" w:hint="cs"/>
          <w:b/>
          <w:bCs/>
          <w:sz w:val="32"/>
          <w:szCs w:val="32"/>
        </w:rPr>
      </w:pPr>
      <w:r w:rsidRPr="00D43638">
        <w:rPr>
          <w:rFonts w:ascii="APPLE CHANCERY" w:hAnsi="APPLE CHANCERY" w:cs="APPLE CHANCERY" w:hint="cs"/>
          <w:b/>
          <w:bCs/>
          <w:sz w:val="32"/>
          <w:szCs w:val="32"/>
        </w:rPr>
        <w:br w:type="page"/>
      </w:r>
    </w:p>
    <w:sdt>
      <w:sdtPr>
        <w:rPr>
          <w:rFonts w:ascii="Times New Roman" w:eastAsia="Arial" w:hAnsi="Times New Roman" w:cs="Arial"/>
          <w:color w:val="000000" w:themeColor="text1"/>
          <w:sz w:val="24"/>
          <w:szCs w:val="22"/>
          <w:lang w:val="en-IN" w:eastAsia="en-IN"/>
        </w:rPr>
        <w:id w:val="1106003061"/>
        <w:docPartObj>
          <w:docPartGallery w:val="Table of Contents"/>
          <w:docPartUnique/>
        </w:docPartObj>
      </w:sdtPr>
      <w:sdtEndPr>
        <w:rPr>
          <w:b/>
          <w:bCs/>
          <w:noProof/>
        </w:rPr>
      </w:sdtEndPr>
      <w:sdtContent>
        <w:p w:rsidR="00A82FCD" w:rsidRPr="00A82FCD" w:rsidRDefault="00A82FCD" w:rsidP="00A82FCD">
          <w:pPr>
            <w:pStyle w:val="TOCHeading"/>
            <w:spacing w:line="360" w:lineRule="auto"/>
            <w:jc w:val="center"/>
            <w:rPr>
              <w:rFonts w:ascii="Times New Roman" w:hAnsi="Times New Roman" w:cs="Times New Roman"/>
              <w:b/>
              <w:bCs/>
              <w:color w:val="000000" w:themeColor="text1"/>
              <w:sz w:val="24"/>
              <w:szCs w:val="24"/>
            </w:rPr>
          </w:pPr>
          <w:r w:rsidRPr="00A82FCD">
            <w:rPr>
              <w:rFonts w:ascii="Times New Roman" w:hAnsi="Times New Roman" w:cs="Times New Roman"/>
              <w:b/>
              <w:bCs/>
              <w:color w:val="000000" w:themeColor="text1"/>
              <w:sz w:val="24"/>
              <w:szCs w:val="24"/>
            </w:rPr>
            <w:t>Table of Contents</w:t>
          </w:r>
        </w:p>
        <w:p w:rsidR="00A82FCD" w:rsidRDefault="001D5F23">
          <w:pPr>
            <w:pStyle w:val="TOC1"/>
            <w:tabs>
              <w:tab w:val="right" w:leader="dot" w:pos="9019"/>
            </w:tabs>
            <w:rPr>
              <w:noProof/>
            </w:rPr>
          </w:pPr>
          <w:r>
            <w:fldChar w:fldCharType="begin"/>
          </w:r>
          <w:r w:rsidR="00A82FCD">
            <w:instrText xml:space="preserve"> TOC \o "1-3" \h \z \u </w:instrText>
          </w:r>
          <w:r>
            <w:fldChar w:fldCharType="separate"/>
          </w:r>
          <w:hyperlink w:anchor="_Toc49345333" w:history="1">
            <w:r w:rsidR="00A82FCD" w:rsidRPr="009D46EE">
              <w:rPr>
                <w:rStyle w:val="Hyperlink"/>
                <w:noProof/>
                <w:lang w:val="en-GB"/>
              </w:rPr>
              <w:t>Introduction</w:t>
            </w:r>
            <w:r w:rsidR="00A82FCD">
              <w:rPr>
                <w:noProof/>
                <w:webHidden/>
              </w:rPr>
              <w:tab/>
            </w:r>
            <w:r>
              <w:rPr>
                <w:noProof/>
                <w:webHidden/>
              </w:rPr>
              <w:fldChar w:fldCharType="begin"/>
            </w:r>
            <w:r w:rsidR="00A82FCD">
              <w:rPr>
                <w:noProof/>
                <w:webHidden/>
              </w:rPr>
              <w:instrText xml:space="preserve"> PAGEREF _Toc49345333 \h </w:instrText>
            </w:r>
            <w:r>
              <w:rPr>
                <w:noProof/>
                <w:webHidden/>
              </w:rPr>
            </w:r>
            <w:r>
              <w:rPr>
                <w:noProof/>
                <w:webHidden/>
              </w:rPr>
              <w:fldChar w:fldCharType="separate"/>
            </w:r>
            <w:r w:rsidR="00A82FCD">
              <w:rPr>
                <w:noProof/>
                <w:webHidden/>
              </w:rPr>
              <w:t>3</w:t>
            </w:r>
            <w:r>
              <w:rPr>
                <w:noProof/>
                <w:webHidden/>
              </w:rPr>
              <w:fldChar w:fldCharType="end"/>
            </w:r>
          </w:hyperlink>
        </w:p>
        <w:p w:rsidR="00A82FCD" w:rsidRDefault="00D22810">
          <w:pPr>
            <w:pStyle w:val="TOC1"/>
            <w:tabs>
              <w:tab w:val="right" w:leader="dot" w:pos="9019"/>
            </w:tabs>
            <w:rPr>
              <w:noProof/>
            </w:rPr>
          </w:pPr>
          <w:hyperlink w:anchor="_Toc49345334" w:history="1">
            <w:r w:rsidR="00A82FCD" w:rsidRPr="009D46EE">
              <w:rPr>
                <w:rStyle w:val="Hyperlink"/>
                <w:noProof/>
                <w:lang w:val="en-GB"/>
              </w:rPr>
              <w:t>Question 1</w:t>
            </w:r>
            <w:r w:rsidR="00A82FCD">
              <w:rPr>
                <w:noProof/>
                <w:webHidden/>
              </w:rPr>
              <w:tab/>
            </w:r>
            <w:r w:rsidR="001D5F23">
              <w:rPr>
                <w:noProof/>
                <w:webHidden/>
              </w:rPr>
              <w:fldChar w:fldCharType="begin"/>
            </w:r>
            <w:r w:rsidR="00A82FCD">
              <w:rPr>
                <w:noProof/>
                <w:webHidden/>
              </w:rPr>
              <w:instrText xml:space="preserve"> PAGEREF _Toc49345334 \h </w:instrText>
            </w:r>
            <w:r w:rsidR="001D5F23">
              <w:rPr>
                <w:noProof/>
                <w:webHidden/>
              </w:rPr>
            </w:r>
            <w:r w:rsidR="001D5F23">
              <w:rPr>
                <w:noProof/>
                <w:webHidden/>
              </w:rPr>
              <w:fldChar w:fldCharType="separate"/>
            </w:r>
            <w:r w:rsidR="00A82FCD">
              <w:rPr>
                <w:noProof/>
                <w:webHidden/>
              </w:rPr>
              <w:t>3</w:t>
            </w:r>
            <w:r w:rsidR="001D5F23">
              <w:rPr>
                <w:noProof/>
                <w:webHidden/>
              </w:rPr>
              <w:fldChar w:fldCharType="end"/>
            </w:r>
          </w:hyperlink>
        </w:p>
        <w:p w:rsidR="00A82FCD" w:rsidRDefault="00D22810">
          <w:pPr>
            <w:pStyle w:val="TOC2"/>
            <w:tabs>
              <w:tab w:val="right" w:leader="dot" w:pos="9019"/>
            </w:tabs>
            <w:rPr>
              <w:noProof/>
            </w:rPr>
          </w:pPr>
          <w:hyperlink w:anchor="_Toc49345335" w:history="1">
            <w:r w:rsidR="00A82FCD" w:rsidRPr="009D46EE">
              <w:rPr>
                <w:rStyle w:val="Hyperlink"/>
                <w:noProof/>
                <w:lang w:val="en-GB"/>
              </w:rPr>
              <w:t>Income statement</w:t>
            </w:r>
            <w:r w:rsidR="00A82FCD">
              <w:rPr>
                <w:noProof/>
                <w:webHidden/>
              </w:rPr>
              <w:tab/>
            </w:r>
            <w:r w:rsidR="001D5F23">
              <w:rPr>
                <w:noProof/>
                <w:webHidden/>
              </w:rPr>
              <w:fldChar w:fldCharType="begin"/>
            </w:r>
            <w:r w:rsidR="00A82FCD">
              <w:rPr>
                <w:noProof/>
                <w:webHidden/>
              </w:rPr>
              <w:instrText xml:space="preserve"> PAGEREF _Toc49345335 \h </w:instrText>
            </w:r>
            <w:r w:rsidR="001D5F23">
              <w:rPr>
                <w:noProof/>
                <w:webHidden/>
              </w:rPr>
            </w:r>
            <w:r w:rsidR="001D5F23">
              <w:rPr>
                <w:noProof/>
                <w:webHidden/>
              </w:rPr>
              <w:fldChar w:fldCharType="separate"/>
            </w:r>
            <w:r w:rsidR="00A82FCD">
              <w:rPr>
                <w:noProof/>
                <w:webHidden/>
              </w:rPr>
              <w:t>3</w:t>
            </w:r>
            <w:r w:rsidR="001D5F23">
              <w:rPr>
                <w:noProof/>
                <w:webHidden/>
              </w:rPr>
              <w:fldChar w:fldCharType="end"/>
            </w:r>
          </w:hyperlink>
        </w:p>
        <w:p w:rsidR="00A82FCD" w:rsidRDefault="00D22810">
          <w:pPr>
            <w:pStyle w:val="TOC2"/>
            <w:tabs>
              <w:tab w:val="right" w:leader="dot" w:pos="9019"/>
            </w:tabs>
            <w:rPr>
              <w:noProof/>
            </w:rPr>
          </w:pPr>
          <w:hyperlink w:anchor="_Toc49345336" w:history="1">
            <w:r w:rsidR="00A82FCD" w:rsidRPr="009D46EE">
              <w:rPr>
                <w:rStyle w:val="Hyperlink"/>
                <w:noProof/>
                <w:lang w:val="en-GB"/>
              </w:rPr>
              <w:t>Calculation for depreciation</w:t>
            </w:r>
            <w:r w:rsidR="00A82FCD">
              <w:rPr>
                <w:noProof/>
                <w:webHidden/>
              </w:rPr>
              <w:tab/>
            </w:r>
            <w:r w:rsidR="001D5F23">
              <w:rPr>
                <w:noProof/>
                <w:webHidden/>
              </w:rPr>
              <w:fldChar w:fldCharType="begin"/>
            </w:r>
            <w:r w:rsidR="00A82FCD">
              <w:rPr>
                <w:noProof/>
                <w:webHidden/>
              </w:rPr>
              <w:instrText xml:space="preserve"> PAGEREF _Toc49345336 \h </w:instrText>
            </w:r>
            <w:r w:rsidR="001D5F23">
              <w:rPr>
                <w:noProof/>
                <w:webHidden/>
              </w:rPr>
            </w:r>
            <w:r w:rsidR="001D5F23">
              <w:rPr>
                <w:noProof/>
                <w:webHidden/>
              </w:rPr>
              <w:fldChar w:fldCharType="separate"/>
            </w:r>
            <w:r w:rsidR="00A82FCD">
              <w:rPr>
                <w:noProof/>
                <w:webHidden/>
              </w:rPr>
              <w:t>4</w:t>
            </w:r>
            <w:r w:rsidR="001D5F23">
              <w:rPr>
                <w:noProof/>
                <w:webHidden/>
              </w:rPr>
              <w:fldChar w:fldCharType="end"/>
            </w:r>
          </w:hyperlink>
        </w:p>
        <w:p w:rsidR="00A82FCD" w:rsidRDefault="00D22810">
          <w:pPr>
            <w:pStyle w:val="TOC2"/>
            <w:tabs>
              <w:tab w:val="right" w:leader="dot" w:pos="9019"/>
            </w:tabs>
            <w:rPr>
              <w:noProof/>
            </w:rPr>
          </w:pPr>
          <w:hyperlink w:anchor="_Toc49345337" w:history="1">
            <w:r w:rsidR="00A82FCD" w:rsidRPr="009D46EE">
              <w:rPr>
                <w:rStyle w:val="Hyperlink"/>
                <w:noProof/>
                <w:lang w:val="en-GB"/>
              </w:rPr>
              <w:t>Balance Sheet</w:t>
            </w:r>
            <w:r w:rsidR="00A82FCD">
              <w:rPr>
                <w:noProof/>
                <w:webHidden/>
              </w:rPr>
              <w:tab/>
            </w:r>
            <w:r w:rsidR="001D5F23">
              <w:rPr>
                <w:noProof/>
                <w:webHidden/>
              </w:rPr>
              <w:fldChar w:fldCharType="begin"/>
            </w:r>
            <w:r w:rsidR="00A82FCD">
              <w:rPr>
                <w:noProof/>
                <w:webHidden/>
              </w:rPr>
              <w:instrText xml:space="preserve"> PAGEREF _Toc49345337 \h </w:instrText>
            </w:r>
            <w:r w:rsidR="001D5F23">
              <w:rPr>
                <w:noProof/>
                <w:webHidden/>
              </w:rPr>
            </w:r>
            <w:r w:rsidR="001D5F23">
              <w:rPr>
                <w:noProof/>
                <w:webHidden/>
              </w:rPr>
              <w:fldChar w:fldCharType="separate"/>
            </w:r>
            <w:r w:rsidR="00A82FCD">
              <w:rPr>
                <w:noProof/>
                <w:webHidden/>
              </w:rPr>
              <w:t>4</w:t>
            </w:r>
            <w:r w:rsidR="001D5F23">
              <w:rPr>
                <w:noProof/>
                <w:webHidden/>
              </w:rPr>
              <w:fldChar w:fldCharType="end"/>
            </w:r>
          </w:hyperlink>
        </w:p>
        <w:p w:rsidR="00A82FCD" w:rsidRDefault="00D22810">
          <w:pPr>
            <w:pStyle w:val="TOC1"/>
            <w:tabs>
              <w:tab w:val="right" w:leader="dot" w:pos="9019"/>
            </w:tabs>
            <w:rPr>
              <w:noProof/>
            </w:rPr>
          </w:pPr>
          <w:hyperlink w:anchor="_Toc49345338" w:history="1">
            <w:r w:rsidR="00A82FCD" w:rsidRPr="009D46EE">
              <w:rPr>
                <w:rStyle w:val="Hyperlink"/>
                <w:noProof/>
                <w:lang w:val="en-GB"/>
              </w:rPr>
              <w:t>Question 2</w:t>
            </w:r>
            <w:r w:rsidR="00A82FCD">
              <w:rPr>
                <w:noProof/>
                <w:webHidden/>
              </w:rPr>
              <w:tab/>
            </w:r>
            <w:r w:rsidR="001D5F23">
              <w:rPr>
                <w:noProof/>
                <w:webHidden/>
              </w:rPr>
              <w:fldChar w:fldCharType="begin"/>
            </w:r>
            <w:r w:rsidR="00A82FCD">
              <w:rPr>
                <w:noProof/>
                <w:webHidden/>
              </w:rPr>
              <w:instrText xml:space="preserve"> PAGEREF _Toc49345338 \h </w:instrText>
            </w:r>
            <w:r w:rsidR="001D5F23">
              <w:rPr>
                <w:noProof/>
                <w:webHidden/>
              </w:rPr>
            </w:r>
            <w:r w:rsidR="001D5F23">
              <w:rPr>
                <w:noProof/>
                <w:webHidden/>
              </w:rPr>
              <w:fldChar w:fldCharType="separate"/>
            </w:r>
            <w:r w:rsidR="00A82FCD">
              <w:rPr>
                <w:noProof/>
                <w:webHidden/>
              </w:rPr>
              <w:t>5</w:t>
            </w:r>
            <w:r w:rsidR="001D5F23">
              <w:rPr>
                <w:noProof/>
                <w:webHidden/>
              </w:rPr>
              <w:fldChar w:fldCharType="end"/>
            </w:r>
          </w:hyperlink>
        </w:p>
        <w:p w:rsidR="00A82FCD" w:rsidRDefault="00D22810">
          <w:pPr>
            <w:pStyle w:val="TOC2"/>
            <w:tabs>
              <w:tab w:val="right" w:leader="dot" w:pos="9019"/>
            </w:tabs>
            <w:rPr>
              <w:noProof/>
            </w:rPr>
          </w:pPr>
          <w:hyperlink w:anchor="_Toc49345339" w:history="1">
            <w:r w:rsidR="00A82FCD" w:rsidRPr="009D46EE">
              <w:rPr>
                <w:rStyle w:val="Hyperlink"/>
                <w:noProof/>
                <w:lang w:val="en-GB"/>
              </w:rPr>
              <w:t>a) Measurements of the financial ratios for 2019 and 2018</w:t>
            </w:r>
            <w:r w:rsidR="00A82FCD">
              <w:rPr>
                <w:noProof/>
                <w:webHidden/>
              </w:rPr>
              <w:tab/>
            </w:r>
            <w:r w:rsidR="001D5F23">
              <w:rPr>
                <w:noProof/>
                <w:webHidden/>
              </w:rPr>
              <w:fldChar w:fldCharType="begin"/>
            </w:r>
            <w:r w:rsidR="00A82FCD">
              <w:rPr>
                <w:noProof/>
                <w:webHidden/>
              </w:rPr>
              <w:instrText xml:space="preserve"> PAGEREF _Toc49345339 \h </w:instrText>
            </w:r>
            <w:r w:rsidR="001D5F23">
              <w:rPr>
                <w:noProof/>
                <w:webHidden/>
              </w:rPr>
            </w:r>
            <w:r w:rsidR="001D5F23">
              <w:rPr>
                <w:noProof/>
                <w:webHidden/>
              </w:rPr>
              <w:fldChar w:fldCharType="separate"/>
            </w:r>
            <w:r w:rsidR="00A82FCD">
              <w:rPr>
                <w:noProof/>
                <w:webHidden/>
              </w:rPr>
              <w:t>5</w:t>
            </w:r>
            <w:r w:rsidR="001D5F23">
              <w:rPr>
                <w:noProof/>
                <w:webHidden/>
              </w:rPr>
              <w:fldChar w:fldCharType="end"/>
            </w:r>
          </w:hyperlink>
        </w:p>
        <w:p w:rsidR="00A82FCD" w:rsidRDefault="00D22810">
          <w:pPr>
            <w:pStyle w:val="TOC2"/>
            <w:tabs>
              <w:tab w:val="right" w:leader="dot" w:pos="9019"/>
            </w:tabs>
            <w:rPr>
              <w:noProof/>
            </w:rPr>
          </w:pPr>
          <w:hyperlink w:anchor="_Toc49345340" w:history="1">
            <w:r w:rsidR="00A82FCD" w:rsidRPr="009D46EE">
              <w:rPr>
                <w:rStyle w:val="Hyperlink"/>
                <w:noProof/>
                <w:lang w:val="en-GB"/>
              </w:rPr>
              <w:t>b) Situation revealed by the ratios calculated in the previous table</w:t>
            </w:r>
            <w:r w:rsidR="00A82FCD">
              <w:rPr>
                <w:noProof/>
                <w:webHidden/>
              </w:rPr>
              <w:tab/>
            </w:r>
            <w:r w:rsidR="001D5F23">
              <w:rPr>
                <w:noProof/>
                <w:webHidden/>
              </w:rPr>
              <w:fldChar w:fldCharType="begin"/>
            </w:r>
            <w:r w:rsidR="00A82FCD">
              <w:rPr>
                <w:noProof/>
                <w:webHidden/>
              </w:rPr>
              <w:instrText xml:space="preserve"> PAGEREF _Toc49345340 \h </w:instrText>
            </w:r>
            <w:r w:rsidR="001D5F23">
              <w:rPr>
                <w:noProof/>
                <w:webHidden/>
              </w:rPr>
            </w:r>
            <w:r w:rsidR="001D5F23">
              <w:rPr>
                <w:noProof/>
                <w:webHidden/>
              </w:rPr>
              <w:fldChar w:fldCharType="separate"/>
            </w:r>
            <w:r w:rsidR="00A82FCD">
              <w:rPr>
                <w:noProof/>
                <w:webHidden/>
              </w:rPr>
              <w:t>6</w:t>
            </w:r>
            <w:r w:rsidR="001D5F23">
              <w:rPr>
                <w:noProof/>
                <w:webHidden/>
              </w:rPr>
              <w:fldChar w:fldCharType="end"/>
            </w:r>
          </w:hyperlink>
        </w:p>
        <w:p w:rsidR="00A82FCD" w:rsidRDefault="00D22810">
          <w:pPr>
            <w:pStyle w:val="TOC1"/>
            <w:tabs>
              <w:tab w:val="right" w:leader="dot" w:pos="9019"/>
            </w:tabs>
            <w:rPr>
              <w:noProof/>
            </w:rPr>
          </w:pPr>
          <w:hyperlink w:anchor="_Toc49345341" w:history="1">
            <w:r w:rsidR="00A82FCD" w:rsidRPr="009D46EE">
              <w:rPr>
                <w:rStyle w:val="Hyperlink"/>
                <w:noProof/>
                <w:lang w:val="en-GB"/>
              </w:rPr>
              <w:t>Question 3</w:t>
            </w:r>
            <w:r w:rsidR="00A82FCD">
              <w:rPr>
                <w:noProof/>
                <w:webHidden/>
              </w:rPr>
              <w:tab/>
            </w:r>
            <w:r w:rsidR="001D5F23">
              <w:rPr>
                <w:noProof/>
                <w:webHidden/>
              </w:rPr>
              <w:fldChar w:fldCharType="begin"/>
            </w:r>
            <w:r w:rsidR="00A82FCD">
              <w:rPr>
                <w:noProof/>
                <w:webHidden/>
              </w:rPr>
              <w:instrText xml:space="preserve"> PAGEREF _Toc49345341 \h </w:instrText>
            </w:r>
            <w:r w:rsidR="001D5F23">
              <w:rPr>
                <w:noProof/>
                <w:webHidden/>
              </w:rPr>
            </w:r>
            <w:r w:rsidR="001D5F23">
              <w:rPr>
                <w:noProof/>
                <w:webHidden/>
              </w:rPr>
              <w:fldChar w:fldCharType="separate"/>
            </w:r>
            <w:r w:rsidR="00A82FCD">
              <w:rPr>
                <w:noProof/>
                <w:webHidden/>
              </w:rPr>
              <w:t>9</w:t>
            </w:r>
            <w:r w:rsidR="001D5F23">
              <w:rPr>
                <w:noProof/>
                <w:webHidden/>
              </w:rPr>
              <w:fldChar w:fldCharType="end"/>
            </w:r>
          </w:hyperlink>
        </w:p>
        <w:p w:rsidR="00A82FCD" w:rsidRDefault="00D22810">
          <w:pPr>
            <w:pStyle w:val="TOC2"/>
            <w:tabs>
              <w:tab w:val="right" w:leader="dot" w:pos="9019"/>
            </w:tabs>
            <w:rPr>
              <w:noProof/>
            </w:rPr>
          </w:pPr>
          <w:hyperlink w:anchor="_Toc49345342" w:history="1">
            <w:r w:rsidR="00A82FCD" w:rsidRPr="009D46EE">
              <w:rPr>
                <w:rStyle w:val="Hyperlink"/>
                <w:noProof/>
                <w:lang w:val="en-GB"/>
              </w:rPr>
              <w:t>a) User groups interested in financial statements</w:t>
            </w:r>
            <w:r w:rsidR="00A82FCD">
              <w:rPr>
                <w:noProof/>
                <w:webHidden/>
              </w:rPr>
              <w:tab/>
            </w:r>
            <w:r w:rsidR="001D5F23">
              <w:rPr>
                <w:noProof/>
                <w:webHidden/>
              </w:rPr>
              <w:fldChar w:fldCharType="begin"/>
            </w:r>
            <w:r w:rsidR="00A82FCD">
              <w:rPr>
                <w:noProof/>
                <w:webHidden/>
              </w:rPr>
              <w:instrText xml:space="preserve"> PAGEREF _Toc49345342 \h </w:instrText>
            </w:r>
            <w:r w:rsidR="001D5F23">
              <w:rPr>
                <w:noProof/>
                <w:webHidden/>
              </w:rPr>
            </w:r>
            <w:r w:rsidR="001D5F23">
              <w:rPr>
                <w:noProof/>
                <w:webHidden/>
              </w:rPr>
              <w:fldChar w:fldCharType="separate"/>
            </w:r>
            <w:r w:rsidR="00A82FCD">
              <w:rPr>
                <w:noProof/>
                <w:webHidden/>
              </w:rPr>
              <w:t>9</w:t>
            </w:r>
            <w:r w:rsidR="001D5F23">
              <w:rPr>
                <w:noProof/>
                <w:webHidden/>
              </w:rPr>
              <w:fldChar w:fldCharType="end"/>
            </w:r>
          </w:hyperlink>
        </w:p>
        <w:p w:rsidR="00A82FCD" w:rsidRDefault="00D22810">
          <w:pPr>
            <w:pStyle w:val="TOC2"/>
            <w:tabs>
              <w:tab w:val="right" w:leader="dot" w:pos="9019"/>
            </w:tabs>
            <w:rPr>
              <w:noProof/>
            </w:rPr>
          </w:pPr>
          <w:hyperlink w:anchor="_Toc49345343" w:history="1">
            <w:r w:rsidR="00A82FCD" w:rsidRPr="009D46EE">
              <w:rPr>
                <w:rStyle w:val="Hyperlink"/>
                <w:noProof/>
                <w:lang w:val="en-GB"/>
              </w:rPr>
              <w:t>b) Advantages and disadvantages</w:t>
            </w:r>
            <w:r w:rsidR="00A82FCD">
              <w:rPr>
                <w:noProof/>
                <w:webHidden/>
              </w:rPr>
              <w:tab/>
            </w:r>
            <w:r w:rsidR="001D5F23">
              <w:rPr>
                <w:noProof/>
                <w:webHidden/>
              </w:rPr>
              <w:fldChar w:fldCharType="begin"/>
            </w:r>
            <w:r w:rsidR="00A82FCD">
              <w:rPr>
                <w:noProof/>
                <w:webHidden/>
              </w:rPr>
              <w:instrText xml:space="preserve"> PAGEREF _Toc49345343 \h </w:instrText>
            </w:r>
            <w:r w:rsidR="001D5F23">
              <w:rPr>
                <w:noProof/>
                <w:webHidden/>
              </w:rPr>
            </w:r>
            <w:r w:rsidR="001D5F23">
              <w:rPr>
                <w:noProof/>
                <w:webHidden/>
              </w:rPr>
              <w:fldChar w:fldCharType="separate"/>
            </w:r>
            <w:r w:rsidR="00A82FCD">
              <w:rPr>
                <w:noProof/>
                <w:webHidden/>
              </w:rPr>
              <w:t>10</w:t>
            </w:r>
            <w:r w:rsidR="001D5F23">
              <w:rPr>
                <w:noProof/>
                <w:webHidden/>
              </w:rPr>
              <w:fldChar w:fldCharType="end"/>
            </w:r>
          </w:hyperlink>
        </w:p>
        <w:p w:rsidR="00A82FCD" w:rsidRDefault="00D22810">
          <w:pPr>
            <w:pStyle w:val="TOC2"/>
            <w:tabs>
              <w:tab w:val="right" w:leader="dot" w:pos="9019"/>
            </w:tabs>
            <w:rPr>
              <w:noProof/>
            </w:rPr>
          </w:pPr>
          <w:hyperlink w:anchor="_Toc49345344" w:history="1">
            <w:r w:rsidR="00A82FCD" w:rsidRPr="009D46EE">
              <w:rPr>
                <w:rStyle w:val="Hyperlink"/>
                <w:noProof/>
                <w:lang w:val="en-GB"/>
              </w:rPr>
              <w:t>c) Limitation in financial statements</w:t>
            </w:r>
            <w:r w:rsidR="00A82FCD">
              <w:rPr>
                <w:noProof/>
                <w:webHidden/>
              </w:rPr>
              <w:tab/>
            </w:r>
            <w:r w:rsidR="001D5F23">
              <w:rPr>
                <w:noProof/>
                <w:webHidden/>
              </w:rPr>
              <w:fldChar w:fldCharType="begin"/>
            </w:r>
            <w:r w:rsidR="00A82FCD">
              <w:rPr>
                <w:noProof/>
                <w:webHidden/>
              </w:rPr>
              <w:instrText xml:space="preserve"> PAGEREF _Toc49345344 \h </w:instrText>
            </w:r>
            <w:r w:rsidR="001D5F23">
              <w:rPr>
                <w:noProof/>
                <w:webHidden/>
              </w:rPr>
            </w:r>
            <w:r w:rsidR="001D5F23">
              <w:rPr>
                <w:noProof/>
                <w:webHidden/>
              </w:rPr>
              <w:fldChar w:fldCharType="separate"/>
            </w:r>
            <w:r w:rsidR="00A82FCD">
              <w:rPr>
                <w:noProof/>
                <w:webHidden/>
              </w:rPr>
              <w:t>10</w:t>
            </w:r>
            <w:r w:rsidR="001D5F23">
              <w:rPr>
                <w:noProof/>
                <w:webHidden/>
              </w:rPr>
              <w:fldChar w:fldCharType="end"/>
            </w:r>
          </w:hyperlink>
        </w:p>
        <w:p w:rsidR="00A82FCD" w:rsidRDefault="00D22810">
          <w:pPr>
            <w:pStyle w:val="TOC1"/>
            <w:tabs>
              <w:tab w:val="right" w:leader="dot" w:pos="9019"/>
            </w:tabs>
            <w:rPr>
              <w:noProof/>
            </w:rPr>
          </w:pPr>
          <w:hyperlink w:anchor="_Toc49345345" w:history="1">
            <w:r w:rsidR="00A82FCD" w:rsidRPr="009D46EE">
              <w:rPr>
                <w:rStyle w:val="Hyperlink"/>
                <w:noProof/>
                <w:lang w:val="en-GB"/>
              </w:rPr>
              <w:t>Conclusion</w:t>
            </w:r>
            <w:r w:rsidR="00A82FCD">
              <w:rPr>
                <w:noProof/>
                <w:webHidden/>
              </w:rPr>
              <w:tab/>
            </w:r>
            <w:r w:rsidR="001D5F23">
              <w:rPr>
                <w:noProof/>
                <w:webHidden/>
              </w:rPr>
              <w:fldChar w:fldCharType="begin"/>
            </w:r>
            <w:r w:rsidR="00A82FCD">
              <w:rPr>
                <w:noProof/>
                <w:webHidden/>
              </w:rPr>
              <w:instrText xml:space="preserve"> PAGEREF _Toc49345345 \h </w:instrText>
            </w:r>
            <w:r w:rsidR="001D5F23">
              <w:rPr>
                <w:noProof/>
                <w:webHidden/>
              </w:rPr>
            </w:r>
            <w:r w:rsidR="001D5F23">
              <w:rPr>
                <w:noProof/>
                <w:webHidden/>
              </w:rPr>
              <w:fldChar w:fldCharType="separate"/>
            </w:r>
            <w:r w:rsidR="00A82FCD">
              <w:rPr>
                <w:noProof/>
                <w:webHidden/>
              </w:rPr>
              <w:t>11</w:t>
            </w:r>
            <w:r w:rsidR="001D5F23">
              <w:rPr>
                <w:noProof/>
                <w:webHidden/>
              </w:rPr>
              <w:fldChar w:fldCharType="end"/>
            </w:r>
          </w:hyperlink>
        </w:p>
        <w:p w:rsidR="00A82FCD" w:rsidRDefault="00D22810">
          <w:pPr>
            <w:pStyle w:val="TOC1"/>
            <w:tabs>
              <w:tab w:val="right" w:leader="dot" w:pos="9019"/>
            </w:tabs>
            <w:rPr>
              <w:noProof/>
            </w:rPr>
          </w:pPr>
          <w:hyperlink w:anchor="_Toc49345346" w:history="1">
            <w:r w:rsidR="00A82FCD" w:rsidRPr="009D46EE">
              <w:rPr>
                <w:rStyle w:val="Hyperlink"/>
                <w:rFonts w:cs="Times New Roman"/>
                <w:noProof/>
                <w:lang w:val="en-US"/>
              </w:rPr>
              <w:t>References</w:t>
            </w:r>
            <w:r w:rsidR="00A82FCD">
              <w:rPr>
                <w:noProof/>
                <w:webHidden/>
              </w:rPr>
              <w:tab/>
            </w:r>
            <w:r w:rsidR="001D5F23">
              <w:rPr>
                <w:noProof/>
                <w:webHidden/>
              </w:rPr>
              <w:fldChar w:fldCharType="begin"/>
            </w:r>
            <w:r w:rsidR="00A82FCD">
              <w:rPr>
                <w:noProof/>
                <w:webHidden/>
              </w:rPr>
              <w:instrText xml:space="preserve"> PAGEREF _Toc49345346 \h </w:instrText>
            </w:r>
            <w:r w:rsidR="001D5F23">
              <w:rPr>
                <w:noProof/>
                <w:webHidden/>
              </w:rPr>
            </w:r>
            <w:r w:rsidR="001D5F23">
              <w:rPr>
                <w:noProof/>
                <w:webHidden/>
              </w:rPr>
              <w:fldChar w:fldCharType="separate"/>
            </w:r>
            <w:r w:rsidR="00A82FCD">
              <w:rPr>
                <w:noProof/>
                <w:webHidden/>
              </w:rPr>
              <w:t>12</w:t>
            </w:r>
            <w:r w:rsidR="001D5F23">
              <w:rPr>
                <w:noProof/>
                <w:webHidden/>
              </w:rPr>
              <w:fldChar w:fldCharType="end"/>
            </w:r>
          </w:hyperlink>
        </w:p>
        <w:p w:rsidR="00A82FCD" w:rsidRDefault="00D22810">
          <w:pPr>
            <w:pStyle w:val="TOC1"/>
            <w:tabs>
              <w:tab w:val="right" w:leader="dot" w:pos="9019"/>
            </w:tabs>
            <w:rPr>
              <w:noProof/>
            </w:rPr>
          </w:pPr>
          <w:hyperlink w:anchor="_Toc49345347" w:history="1">
            <w:r w:rsidR="00A82FCD" w:rsidRPr="009D46EE">
              <w:rPr>
                <w:rStyle w:val="Hyperlink"/>
                <w:rFonts w:cs="Times New Roman"/>
                <w:noProof/>
                <w:shd w:val="clear" w:color="auto" w:fill="FFFFFF"/>
              </w:rPr>
              <w:t>Appendix 1: Key workings</w:t>
            </w:r>
            <w:r w:rsidR="00A82FCD">
              <w:rPr>
                <w:noProof/>
                <w:webHidden/>
              </w:rPr>
              <w:tab/>
            </w:r>
            <w:r w:rsidR="001D5F23">
              <w:rPr>
                <w:noProof/>
                <w:webHidden/>
              </w:rPr>
              <w:fldChar w:fldCharType="begin"/>
            </w:r>
            <w:r w:rsidR="00A82FCD">
              <w:rPr>
                <w:noProof/>
                <w:webHidden/>
              </w:rPr>
              <w:instrText xml:space="preserve"> PAGEREF _Toc49345347 \h </w:instrText>
            </w:r>
            <w:r w:rsidR="001D5F23">
              <w:rPr>
                <w:noProof/>
                <w:webHidden/>
              </w:rPr>
            </w:r>
            <w:r w:rsidR="001D5F23">
              <w:rPr>
                <w:noProof/>
                <w:webHidden/>
              </w:rPr>
              <w:fldChar w:fldCharType="separate"/>
            </w:r>
            <w:r w:rsidR="00A82FCD">
              <w:rPr>
                <w:noProof/>
                <w:webHidden/>
              </w:rPr>
              <w:t>13</w:t>
            </w:r>
            <w:r w:rsidR="001D5F23">
              <w:rPr>
                <w:noProof/>
                <w:webHidden/>
              </w:rPr>
              <w:fldChar w:fldCharType="end"/>
            </w:r>
          </w:hyperlink>
        </w:p>
        <w:p w:rsidR="00A82FCD" w:rsidRDefault="001D5F23">
          <w:r>
            <w:rPr>
              <w:b/>
              <w:bCs/>
              <w:noProof/>
            </w:rPr>
            <w:fldChar w:fldCharType="end"/>
          </w:r>
        </w:p>
      </w:sdtContent>
    </w:sdt>
    <w:p w:rsidR="0045229A" w:rsidRDefault="007B5356" w:rsidP="00A82FCD">
      <w:pPr>
        <w:jc w:val="center"/>
        <w:rPr>
          <w:rFonts w:eastAsia="Times New Roman" w:cs="Times New Roman"/>
          <w:b/>
          <w:sz w:val="32"/>
          <w:szCs w:val="32"/>
          <w:highlight w:val="white"/>
        </w:rPr>
      </w:pPr>
      <w:r>
        <w:br w:type="page"/>
      </w:r>
    </w:p>
    <w:p w:rsidR="00CF4AAB" w:rsidRDefault="00270EC8" w:rsidP="00CF4AAB">
      <w:pPr>
        <w:pStyle w:val="Heading1"/>
        <w:rPr>
          <w:lang w:val="en-GB"/>
        </w:rPr>
      </w:pPr>
      <w:bookmarkStart w:id="0" w:name="_Toc49345333"/>
      <w:r>
        <w:rPr>
          <w:lang w:val="en-GB"/>
        </w:rPr>
        <w:lastRenderedPageBreak/>
        <w:t>Introduction</w:t>
      </w:r>
      <w:bookmarkEnd w:id="0"/>
    </w:p>
    <w:p w:rsidR="00CF4AAB" w:rsidRPr="00C5740F" w:rsidRDefault="00270EC8" w:rsidP="00CF4AAB">
      <w:pPr>
        <w:rPr>
          <w:lang w:val="en-GB"/>
        </w:rPr>
      </w:pPr>
      <w:r>
        <w:rPr>
          <w:lang w:val="en-GB"/>
        </w:rPr>
        <w:t>Assessment with financial information helps in understanding the financial ability of a company. Moreover, the funding operations of a company is also supported by the financial evaluation and information in it made by it. In this study, the financial information is analysed, and calculation is done for two companies, namely, Wales plc and Jerry plc. For the calculations, trial balance measurement of Wales plc and financial statements of Jerry plc is given. Income statement and statement for a financial position is made in this study following the Companies Act of 2006. On the other hand, different ratios are calculated for Jerry plc from the extracted numerical information.</w:t>
      </w:r>
    </w:p>
    <w:p w:rsidR="00CF4AAB" w:rsidRDefault="00270EC8" w:rsidP="00CF4AAB">
      <w:pPr>
        <w:pStyle w:val="Heading1"/>
        <w:rPr>
          <w:lang w:val="en-GB"/>
        </w:rPr>
      </w:pPr>
      <w:bookmarkStart w:id="1" w:name="_Toc49345334"/>
      <w:r>
        <w:rPr>
          <w:lang w:val="en-GB"/>
        </w:rPr>
        <w:t>Question 1</w:t>
      </w:r>
      <w:bookmarkEnd w:id="1"/>
    </w:p>
    <w:p w:rsidR="00CF4AAB" w:rsidRDefault="00270EC8" w:rsidP="00CF4AAB">
      <w:pPr>
        <w:rPr>
          <w:lang w:val="en-GB"/>
        </w:rPr>
      </w:pPr>
      <w:r>
        <w:rPr>
          <w:lang w:val="en-GB"/>
        </w:rPr>
        <w:t>Balance sheet and income statement of Wales plc are considered in this question, and all of the information is based on the accounting year of 2019. All of the measurements are done according to the accounting standards and Companies Act of 2006 (</w:t>
      </w:r>
      <w:r w:rsidRPr="00F37147">
        <w:rPr>
          <w:lang w:val="en-US"/>
        </w:rPr>
        <w:t>legislation.gov.uk</w:t>
      </w:r>
      <w:r>
        <w:rPr>
          <w:lang w:val="en-US"/>
        </w:rPr>
        <w:t>, 2020</w:t>
      </w:r>
      <w:r>
        <w:rPr>
          <w:lang w:val="en-GB"/>
        </w:rPr>
        <w:t>).</w:t>
      </w:r>
    </w:p>
    <w:p w:rsidR="00CF4AAB" w:rsidRDefault="00270EC8" w:rsidP="00CF4AAB">
      <w:pPr>
        <w:pStyle w:val="Heading2"/>
        <w:jc w:val="center"/>
        <w:rPr>
          <w:szCs w:val="22"/>
          <w:lang w:val="en-GB"/>
        </w:rPr>
      </w:pPr>
      <w:bookmarkStart w:id="2" w:name="_Toc49345335"/>
      <w:r>
        <w:rPr>
          <w:lang w:val="en-GB"/>
        </w:rPr>
        <w:t>Income statement</w:t>
      </w:r>
      <w:bookmarkEnd w:id="2"/>
    </w:p>
    <w:tbl>
      <w:tblPr>
        <w:tblStyle w:val="GridTable4-Accent510"/>
        <w:tblW w:w="948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730"/>
        <w:gridCol w:w="1350"/>
        <w:gridCol w:w="1710"/>
        <w:gridCol w:w="1699"/>
      </w:tblGrid>
      <w:tr w:rsidR="00E04516" w:rsidRPr="008E645F" w:rsidTr="00E04516">
        <w:trPr>
          <w:cnfStyle w:val="100000000000" w:firstRow="1" w:lastRow="0" w:firstColumn="0" w:lastColumn="0" w:oddVBand="0" w:evenVBand="0" w:oddHBand="0"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4730" w:type="dxa"/>
            <w:tcBorders>
              <w:top w:val="none" w:sz="0" w:space="0" w:color="auto"/>
              <w:left w:val="none" w:sz="0" w:space="0" w:color="auto"/>
              <w:bottom w:val="none" w:sz="0" w:space="0" w:color="auto"/>
              <w:right w:val="none" w:sz="0" w:space="0" w:color="auto"/>
            </w:tcBorders>
            <w:noWrap/>
            <w:hideMark/>
          </w:tcPr>
          <w:p w:rsidR="00CF4AAB" w:rsidRPr="008E645F" w:rsidRDefault="00270EC8" w:rsidP="008E645F">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To cost of sales</w:t>
            </w:r>
          </w:p>
        </w:tc>
        <w:tc>
          <w:tcPr>
            <w:tcW w:w="1350" w:type="dxa"/>
            <w:tcBorders>
              <w:top w:val="none" w:sz="0" w:space="0" w:color="auto"/>
              <w:left w:val="none" w:sz="0" w:space="0" w:color="auto"/>
              <w:bottom w:val="none" w:sz="0" w:space="0" w:color="auto"/>
              <w:right w:val="none" w:sz="0" w:space="0" w:color="auto"/>
            </w:tcBorders>
            <w:noWrap/>
            <w:hideMark/>
          </w:tcPr>
          <w:p w:rsidR="00CF4AAB" w:rsidRPr="008E645F" w:rsidRDefault="00270EC8" w:rsidP="008E645F">
            <w:pPr>
              <w:jc w:val="righ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b w:val="0"/>
                <w:bCs w:val="0"/>
                <w:color w:val="000000"/>
                <w:sz w:val="24"/>
                <w:szCs w:val="24"/>
                <w:lang w:val="en-GB" w:eastAsia="en-GB"/>
              </w:rPr>
              <w:t>16220</w:t>
            </w:r>
          </w:p>
        </w:tc>
        <w:tc>
          <w:tcPr>
            <w:tcW w:w="1710" w:type="dxa"/>
            <w:tcBorders>
              <w:top w:val="none" w:sz="0" w:space="0" w:color="auto"/>
              <w:left w:val="none" w:sz="0" w:space="0" w:color="auto"/>
              <w:bottom w:val="none" w:sz="0" w:space="0" w:color="auto"/>
              <w:right w:val="none" w:sz="0" w:space="0" w:color="auto"/>
            </w:tcBorders>
            <w:noWrap/>
            <w:hideMark/>
          </w:tcPr>
          <w:p w:rsidR="00CF4AAB" w:rsidRPr="008E645F" w:rsidRDefault="00270EC8" w:rsidP="008E645F">
            <w:pPr>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b w:val="0"/>
                <w:bCs w:val="0"/>
                <w:color w:val="000000"/>
                <w:sz w:val="24"/>
                <w:szCs w:val="24"/>
                <w:lang w:val="en-GB" w:eastAsia="en-GB"/>
              </w:rPr>
              <w:t>By sales</w:t>
            </w:r>
          </w:p>
        </w:tc>
        <w:tc>
          <w:tcPr>
            <w:tcW w:w="1699" w:type="dxa"/>
            <w:tcBorders>
              <w:top w:val="none" w:sz="0" w:space="0" w:color="auto"/>
              <w:left w:val="none" w:sz="0" w:space="0" w:color="auto"/>
              <w:bottom w:val="none" w:sz="0" w:space="0" w:color="auto"/>
              <w:right w:val="none" w:sz="0" w:space="0" w:color="auto"/>
            </w:tcBorders>
            <w:noWrap/>
            <w:hideMark/>
          </w:tcPr>
          <w:p w:rsidR="00CF4AAB" w:rsidRPr="008E645F" w:rsidRDefault="00270EC8" w:rsidP="008E645F">
            <w:pPr>
              <w:jc w:val="righ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b w:val="0"/>
                <w:bCs w:val="0"/>
                <w:color w:val="000000"/>
                <w:sz w:val="24"/>
                <w:szCs w:val="24"/>
                <w:lang w:val="en-GB" w:eastAsia="en-GB"/>
              </w:rPr>
              <w:t>30300</w:t>
            </w:r>
          </w:p>
        </w:tc>
      </w:tr>
      <w:tr w:rsidR="00E04516" w:rsidRPr="008E645F" w:rsidTr="00E04516">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4730" w:type="dxa"/>
            <w:noWrap/>
            <w:hideMark/>
          </w:tcPr>
          <w:p w:rsidR="00CF4AAB" w:rsidRPr="008E645F" w:rsidRDefault="00270EC8" w:rsidP="008E645F">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to depreciation on plant</w:t>
            </w:r>
          </w:p>
        </w:tc>
        <w:tc>
          <w:tcPr>
            <w:tcW w:w="1350" w:type="dxa"/>
            <w:noWrap/>
            <w:hideMark/>
          </w:tcPr>
          <w:p w:rsidR="00CF4AAB" w:rsidRPr="008E645F" w:rsidRDefault="00270EC8" w:rsidP="008E645F">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2560</w:t>
            </w:r>
          </w:p>
        </w:tc>
        <w:tc>
          <w:tcPr>
            <w:tcW w:w="1710" w:type="dxa"/>
            <w:noWrap/>
            <w:hideMark/>
          </w:tcPr>
          <w:p w:rsidR="00CF4AAB" w:rsidRPr="008E645F" w:rsidRDefault="00270EC8" w:rsidP="008E645F">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c>
          <w:tcPr>
            <w:tcW w:w="1699" w:type="dxa"/>
            <w:noWrap/>
            <w:hideMark/>
          </w:tcPr>
          <w:p w:rsidR="00CF4AAB" w:rsidRPr="008E645F" w:rsidRDefault="00270EC8" w:rsidP="008E645F">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r>
      <w:tr w:rsidR="00E04516" w:rsidRPr="008E645F" w:rsidTr="00E04516">
        <w:trPr>
          <w:trHeight w:val="288"/>
          <w:jc w:val="center"/>
        </w:trPr>
        <w:tc>
          <w:tcPr>
            <w:cnfStyle w:val="001000000000" w:firstRow="0" w:lastRow="0" w:firstColumn="1" w:lastColumn="0" w:oddVBand="0" w:evenVBand="0" w:oddHBand="0" w:evenHBand="0" w:firstRowFirstColumn="0" w:firstRowLastColumn="0" w:lastRowFirstColumn="0" w:lastRowLastColumn="0"/>
            <w:tcW w:w="4730" w:type="dxa"/>
            <w:noWrap/>
            <w:hideMark/>
          </w:tcPr>
          <w:p w:rsidR="00CF4AAB" w:rsidRPr="008E645F" w:rsidRDefault="00270EC8" w:rsidP="008E645F">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xml:space="preserve">To gross profit </w:t>
            </w:r>
          </w:p>
        </w:tc>
        <w:tc>
          <w:tcPr>
            <w:tcW w:w="1350" w:type="dxa"/>
            <w:noWrap/>
            <w:hideMark/>
          </w:tcPr>
          <w:p w:rsidR="00CF4AAB" w:rsidRPr="008E645F" w:rsidRDefault="00270EC8" w:rsidP="008E645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11520</w:t>
            </w:r>
          </w:p>
        </w:tc>
        <w:tc>
          <w:tcPr>
            <w:tcW w:w="1710" w:type="dxa"/>
            <w:noWrap/>
            <w:hideMark/>
          </w:tcPr>
          <w:p w:rsidR="00CF4AAB" w:rsidRPr="008E645F" w:rsidRDefault="00270EC8" w:rsidP="008E645F">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c>
          <w:tcPr>
            <w:tcW w:w="1699" w:type="dxa"/>
            <w:noWrap/>
            <w:hideMark/>
          </w:tcPr>
          <w:p w:rsidR="00CF4AAB" w:rsidRPr="008E645F" w:rsidRDefault="00270EC8" w:rsidP="008E645F">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r>
      <w:tr w:rsidR="00E04516" w:rsidRPr="008E645F" w:rsidTr="00E04516">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4730" w:type="dxa"/>
            <w:noWrap/>
            <w:hideMark/>
          </w:tcPr>
          <w:p w:rsidR="00CF4AAB" w:rsidRPr="008E645F" w:rsidRDefault="00270EC8" w:rsidP="008E645F">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xml:space="preserve">Total </w:t>
            </w:r>
          </w:p>
        </w:tc>
        <w:tc>
          <w:tcPr>
            <w:tcW w:w="1350" w:type="dxa"/>
            <w:noWrap/>
            <w:hideMark/>
          </w:tcPr>
          <w:p w:rsidR="00CF4AAB" w:rsidRPr="008E645F" w:rsidRDefault="00270EC8" w:rsidP="008E645F">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30300</w:t>
            </w:r>
          </w:p>
        </w:tc>
        <w:tc>
          <w:tcPr>
            <w:tcW w:w="1710" w:type="dxa"/>
            <w:noWrap/>
            <w:hideMark/>
          </w:tcPr>
          <w:p w:rsidR="00CF4AAB" w:rsidRPr="008E645F" w:rsidRDefault="00270EC8" w:rsidP="008E645F">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xml:space="preserve">Total </w:t>
            </w:r>
          </w:p>
        </w:tc>
        <w:tc>
          <w:tcPr>
            <w:tcW w:w="1699" w:type="dxa"/>
            <w:noWrap/>
            <w:hideMark/>
          </w:tcPr>
          <w:p w:rsidR="00CF4AAB" w:rsidRPr="008E645F" w:rsidRDefault="00270EC8" w:rsidP="008E645F">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30300</w:t>
            </w:r>
          </w:p>
        </w:tc>
      </w:tr>
      <w:tr w:rsidR="00E04516" w:rsidRPr="008E645F" w:rsidTr="00E04516">
        <w:trPr>
          <w:trHeight w:val="288"/>
          <w:jc w:val="center"/>
        </w:trPr>
        <w:tc>
          <w:tcPr>
            <w:cnfStyle w:val="001000000000" w:firstRow="0" w:lastRow="0" w:firstColumn="1" w:lastColumn="0" w:oddVBand="0" w:evenVBand="0" w:oddHBand="0" w:evenHBand="0" w:firstRowFirstColumn="0" w:firstRowLastColumn="0" w:lastRowFirstColumn="0" w:lastRowLastColumn="0"/>
            <w:tcW w:w="4730" w:type="dxa"/>
            <w:noWrap/>
            <w:hideMark/>
          </w:tcPr>
          <w:p w:rsidR="00CF4AAB" w:rsidRPr="008E645F" w:rsidRDefault="00270EC8" w:rsidP="008E645F">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xml:space="preserve">To distribution expenses </w:t>
            </w:r>
          </w:p>
        </w:tc>
        <w:tc>
          <w:tcPr>
            <w:tcW w:w="1350" w:type="dxa"/>
            <w:noWrap/>
            <w:hideMark/>
          </w:tcPr>
          <w:p w:rsidR="00CF4AAB" w:rsidRPr="008E645F" w:rsidRDefault="00270EC8" w:rsidP="008E645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2160</w:t>
            </w:r>
          </w:p>
        </w:tc>
        <w:tc>
          <w:tcPr>
            <w:tcW w:w="1710" w:type="dxa"/>
            <w:noWrap/>
            <w:hideMark/>
          </w:tcPr>
          <w:p w:rsidR="00CF4AAB" w:rsidRPr="008E645F" w:rsidRDefault="00270EC8" w:rsidP="008E645F">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xml:space="preserve">By gross profit </w:t>
            </w:r>
          </w:p>
        </w:tc>
        <w:tc>
          <w:tcPr>
            <w:tcW w:w="1699" w:type="dxa"/>
            <w:noWrap/>
            <w:hideMark/>
          </w:tcPr>
          <w:p w:rsidR="00CF4AAB" w:rsidRPr="008E645F" w:rsidRDefault="00270EC8" w:rsidP="008E645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11520</w:t>
            </w:r>
          </w:p>
        </w:tc>
      </w:tr>
      <w:tr w:rsidR="00E04516" w:rsidRPr="008E645F" w:rsidTr="00E04516">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4730" w:type="dxa"/>
            <w:noWrap/>
            <w:hideMark/>
          </w:tcPr>
          <w:p w:rsidR="00CF4AAB" w:rsidRPr="008E645F" w:rsidRDefault="00270EC8" w:rsidP="008E645F">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To administration expenses</w:t>
            </w:r>
          </w:p>
        </w:tc>
        <w:tc>
          <w:tcPr>
            <w:tcW w:w="1350" w:type="dxa"/>
            <w:noWrap/>
            <w:hideMark/>
          </w:tcPr>
          <w:p w:rsidR="00CF4AAB" w:rsidRPr="008E645F" w:rsidRDefault="00270EC8" w:rsidP="008E645F">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2920</w:t>
            </w:r>
          </w:p>
        </w:tc>
        <w:tc>
          <w:tcPr>
            <w:tcW w:w="1710" w:type="dxa"/>
            <w:noWrap/>
            <w:hideMark/>
          </w:tcPr>
          <w:p w:rsidR="00CF4AAB" w:rsidRPr="008E645F" w:rsidRDefault="00270EC8" w:rsidP="008E645F">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c>
          <w:tcPr>
            <w:tcW w:w="1699" w:type="dxa"/>
            <w:noWrap/>
            <w:hideMark/>
          </w:tcPr>
          <w:p w:rsidR="00CF4AAB" w:rsidRPr="008E645F" w:rsidRDefault="00270EC8" w:rsidP="008E645F">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r>
      <w:tr w:rsidR="00E04516" w:rsidRPr="008E645F" w:rsidTr="00E04516">
        <w:trPr>
          <w:trHeight w:val="288"/>
          <w:jc w:val="center"/>
        </w:trPr>
        <w:tc>
          <w:tcPr>
            <w:cnfStyle w:val="001000000000" w:firstRow="0" w:lastRow="0" w:firstColumn="1" w:lastColumn="0" w:oddVBand="0" w:evenVBand="0" w:oddHBand="0" w:evenHBand="0" w:firstRowFirstColumn="0" w:firstRowLastColumn="0" w:lastRowFirstColumn="0" w:lastRowLastColumn="0"/>
            <w:tcW w:w="4730" w:type="dxa"/>
            <w:noWrap/>
            <w:hideMark/>
          </w:tcPr>
          <w:p w:rsidR="00CF4AAB" w:rsidRPr="008E645F" w:rsidRDefault="00270EC8" w:rsidP="008E645F">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xml:space="preserve">Buildings Depreciation </w:t>
            </w:r>
          </w:p>
        </w:tc>
        <w:tc>
          <w:tcPr>
            <w:tcW w:w="1350" w:type="dxa"/>
            <w:noWrap/>
            <w:hideMark/>
          </w:tcPr>
          <w:p w:rsidR="00CF4AAB" w:rsidRPr="008E645F" w:rsidRDefault="00270EC8" w:rsidP="008E645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320</w:t>
            </w:r>
          </w:p>
        </w:tc>
        <w:tc>
          <w:tcPr>
            <w:tcW w:w="1710" w:type="dxa"/>
            <w:noWrap/>
            <w:hideMark/>
          </w:tcPr>
          <w:p w:rsidR="00CF4AAB" w:rsidRPr="008E645F" w:rsidRDefault="00270EC8" w:rsidP="008E645F">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c>
          <w:tcPr>
            <w:tcW w:w="1699" w:type="dxa"/>
            <w:noWrap/>
            <w:hideMark/>
          </w:tcPr>
          <w:p w:rsidR="00CF4AAB" w:rsidRPr="008E645F" w:rsidRDefault="00270EC8" w:rsidP="008E645F">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r>
      <w:tr w:rsidR="00E04516" w:rsidRPr="008E645F" w:rsidTr="00E04516">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4730" w:type="dxa"/>
            <w:noWrap/>
            <w:hideMark/>
          </w:tcPr>
          <w:p w:rsidR="00CF4AAB" w:rsidRPr="008E645F" w:rsidRDefault="00270EC8" w:rsidP="008E645F">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Add: Outstanding insurance fees</w:t>
            </w:r>
          </w:p>
        </w:tc>
        <w:tc>
          <w:tcPr>
            <w:tcW w:w="1350" w:type="dxa"/>
            <w:noWrap/>
            <w:hideMark/>
          </w:tcPr>
          <w:p w:rsidR="00CF4AAB" w:rsidRPr="008E645F" w:rsidRDefault="00270EC8" w:rsidP="008E645F">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500</w:t>
            </w:r>
          </w:p>
        </w:tc>
        <w:tc>
          <w:tcPr>
            <w:tcW w:w="1710" w:type="dxa"/>
            <w:noWrap/>
            <w:hideMark/>
          </w:tcPr>
          <w:p w:rsidR="00CF4AAB" w:rsidRPr="008E645F" w:rsidRDefault="00270EC8" w:rsidP="008E645F">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c>
          <w:tcPr>
            <w:tcW w:w="1699" w:type="dxa"/>
            <w:noWrap/>
            <w:hideMark/>
          </w:tcPr>
          <w:p w:rsidR="00CF4AAB" w:rsidRPr="008E645F" w:rsidRDefault="00270EC8" w:rsidP="008E645F">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r>
      <w:tr w:rsidR="00E04516" w:rsidRPr="008E645F" w:rsidTr="00E04516">
        <w:trPr>
          <w:trHeight w:val="288"/>
          <w:jc w:val="center"/>
        </w:trPr>
        <w:tc>
          <w:tcPr>
            <w:cnfStyle w:val="001000000000" w:firstRow="0" w:lastRow="0" w:firstColumn="1" w:lastColumn="0" w:oddVBand="0" w:evenVBand="0" w:oddHBand="0" w:evenHBand="0" w:firstRowFirstColumn="0" w:firstRowLastColumn="0" w:lastRowFirstColumn="0" w:lastRowLastColumn="0"/>
            <w:tcW w:w="4730" w:type="dxa"/>
            <w:noWrap/>
            <w:hideMark/>
          </w:tcPr>
          <w:p w:rsidR="00CF4AAB" w:rsidRPr="008E645F" w:rsidRDefault="00270EC8" w:rsidP="008E645F">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Bad debt</w:t>
            </w:r>
          </w:p>
        </w:tc>
        <w:tc>
          <w:tcPr>
            <w:tcW w:w="1350" w:type="dxa"/>
            <w:noWrap/>
            <w:hideMark/>
          </w:tcPr>
          <w:p w:rsidR="00CF4AAB" w:rsidRPr="008E645F" w:rsidRDefault="00270EC8" w:rsidP="008E645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240</w:t>
            </w:r>
          </w:p>
        </w:tc>
        <w:tc>
          <w:tcPr>
            <w:tcW w:w="1710" w:type="dxa"/>
            <w:noWrap/>
            <w:hideMark/>
          </w:tcPr>
          <w:p w:rsidR="00CF4AAB" w:rsidRPr="008E645F" w:rsidRDefault="00270EC8" w:rsidP="008E645F">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c>
          <w:tcPr>
            <w:tcW w:w="1699" w:type="dxa"/>
            <w:noWrap/>
            <w:hideMark/>
          </w:tcPr>
          <w:p w:rsidR="00CF4AAB" w:rsidRPr="008E645F" w:rsidRDefault="00270EC8" w:rsidP="008E645F">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r>
      <w:tr w:rsidR="00E04516" w:rsidRPr="008E645F" w:rsidTr="00E04516">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4730" w:type="dxa"/>
            <w:noWrap/>
            <w:hideMark/>
          </w:tcPr>
          <w:p w:rsidR="00CF4AAB" w:rsidRPr="008E645F" w:rsidRDefault="00270EC8" w:rsidP="008E645F">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xml:space="preserve">Provision for bad debt </w:t>
            </w:r>
          </w:p>
        </w:tc>
        <w:tc>
          <w:tcPr>
            <w:tcW w:w="1350" w:type="dxa"/>
            <w:noWrap/>
            <w:hideMark/>
          </w:tcPr>
          <w:p w:rsidR="00CF4AAB" w:rsidRPr="008E645F" w:rsidRDefault="00270EC8" w:rsidP="008E645F">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164.8</w:t>
            </w:r>
          </w:p>
        </w:tc>
        <w:tc>
          <w:tcPr>
            <w:tcW w:w="1710" w:type="dxa"/>
            <w:noWrap/>
            <w:hideMark/>
          </w:tcPr>
          <w:p w:rsidR="00CF4AAB" w:rsidRPr="008E645F" w:rsidRDefault="00270EC8" w:rsidP="008E645F">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c>
          <w:tcPr>
            <w:tcW w:w="1699" w:type="dxa"/>
            <w:noWrap/>
            <w:hideMark/>
          </w:tcPr>
          <w:p w:rsidR="00CF4AAB" w:rsidRPr="008E645F" w:rsidRDefault="00270EC8" w:rsidP="008E645F">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r>
      <w:tr w:rsidR="00E04516" w:rsidRPr="008E645F" w:rsidTr="00E04516">
        <w:trPr>
          <w:trHeight w:val="288"/>
          <w:jc w:val="center"/>
        </w:trPr>
        <w:tc>
          <w:tcPr>
            <w:cnfStyle w:val="001000000000" w:firstRow="0" w:lastRow="0" w:firstColumn="1" w:lastColumn="0" w:oddVBand="0" w:evenVBand="0" w:oddHBand="0" w:evenHBand="0" w:firstRowFirstColumn="0" w:firstRowLastColumn="0" w:lastRowFirstColumn="0" w:lastRowLastColumn="0"/>
            <w:tcW w:w="4730" w:type="dxa"/>
            <w:noWrap/>
            <w:hideMark/>
          </w:tcPr>
          <w:p w:rsidR="00CF4AAB" w:rsidRPr="008E645F" w:rsidRDefault="00270EC8" w:rsidP="008E645F">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To debenture interest</w:t>
            </w:r>
          </w:p>
        </w:tc>
        <w:tc>
          <w:tcPr>
            <w:tcW w:w="1350" w:type="dxa"/>
            <w:noWrap/>
            <w:hideMark/>
          </w:tcPr>
          <w:p w:rsidR="00CF4AAB" w:rsidRPr="008E645F" w:rsidRDefault="00270EC8" w:rsidP="008E645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240</w:t>
            </w:r>
          </w:p>
        </w:tc>
        <w:tc>
          <w:tcPr>
            <w:tcW w:w="1710" w:type="dxa"/>
            <w:noWrap/>
            <w:hideMark/>
          </w:tcPr>
          <w:p w:rsidR="00CF4AAB" w:rsidRPr="008E645F" w:rsidRDefault="00270EC8" w:rsidP="008E645F">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c>
          <w:tcPr>
            <w:tcW w:w="1699" w:type="dxa"/>
            <w:noWrap/>
            <w:hideMark/>
          </w:tcPr>
          <w:p w:rsidR="00CF4AAB" w:rsidRPr="008E645F" w:rsidRDefault="00270EC8" w:rsidP="008E645F">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r>
      <w:tr w:rsidR="00E04516" w:rsidRPr="008E645F" w:rsidTr="00E04516">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4730" w:type="dxa"/>
            <w:noWrap/>
            <w:hideMark/>
          </w:tcPr>
          <w:p w:rsidR="00CF4AAB" w:rsidRPr="008E645F" w:rsidRDefault="00270EC8" w:rsidP="008E645F">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To dividend paid</w:t>
            </w:r>
          </w:p>
        </w:tc>
        <w:tc>
          <w:tcPr>
            <w:tcW w:w="1350" w:type="dxa"/>
            <w:noWrap/>
            <w:hideMark/>
          </w:tcPr>
          <w:p w:rsidR="00CF4AAB" w:rsidRPr="008E645F" w:rsidRDefault="00270EC8" w:rsidP="008E645F">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560</w:t>
            </w:r>
          </w:p>
        </w:tc>
        <w:tc>
          <w:tcPr>
            <w:tcW w:w="1710" w:type="dxa"/>
            <w:noWrap/>
            <w:hideMark/>
          </w:tcPr>
          <w:p w:rsidR="00CF4AAB" w:rsidRPr="008E645F" w:rsidRDefault="00270EC8" w:rsidP="008E645F">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c>
          <w:tcPr>
            <w:tcW w:w="1699" w:type="dxa"/>
            <w:noWrap/>
            <w:hideMark/>
          </w:tcPr>
          <w:p w:rsidR="00CF4AAB" w:rsidRPr="008E645F" w:rsidRDefault="00270EC8" w:rsidP="008E645F">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r>
      <w:tr w:rsidR="00E04516" w:rsidRPr="008E645F" w:rsidTr="00E04516">
        <w:trPr>
          <w:trHeight w:val="288"/>
          <w:jc w:val="center"/>
        </w:trPr>
        <w:tc>
          <w:tcPr>
            <w:cnfStyle w:val="001000000000" w:firstRow="0" w:lastRow="0" w:firstColumn="1" w:lastColumn="0" w:oddVBand="0" w:evenVBand="0" w:oddHBand="0" w:evenHBand="0" w:firstRowFirstColumn="0" w:firstRowLastColumn="0" w:lastRowFirstColumn="0" w:lastRowLastColumn="0"/>
            <w:tcW w:w="4730" w:type="dxa"/>
            <w:noWrap/>
            <w:hideMark/>
          </w:tcPr>
          <w:p w:rsidR="00CF4AAB" w:rsidRPr="008E645F" w:rsidRDefault="00270EC8" w:rsidP="008E645F">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To income tax paid</w:t>
            </w:r>
          </w:p>
        </w:tc>
        <w:tc>
          <w:tcPr>
            <w:tcW w:w="1350" w:type="dxa"/>
            <w:noWrap/>
            <w:hideMark/>
          </w:tcPr>
          <w:p w:rsidR="00CF4AAB" w:rsidRPr="008E645F" w:rsidRDefault="00270EC8" w:rsidP="008E645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1600</w:t>
            </w:r>
          </w:p>
        </w:tc>
        <w:tc>
          <w:tcPr>
            <w:tcW w:w="1710" w:type="dxa"/>
            <w:noWrap/>
            <w:hideMark/>
          </w:tcPr>
          <w:p w:rsidR="00CF4AAB" w:rsidRPr="008E645F" w:rsidRDefault="00270EC8" w:rsidP="008E645F">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c>
          <w:tcPr>
            <w:tcW w:w="1699" w:type="dxa"/>
            <w:noWrap/>
            <w:hideMark/>
          </w:tcPr>
          <w:p w:rsidR="00CF4AAB" w:rsidRPr="008E645F" w:rsidRDefault="00270EC8" w:rsidP="008E645F">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r>
      <w:tr w:rsidR="00E04516" w:rsidRPr="008E645F" w:rsidTr="00E04516">
        <w:trPr>
          <w:cnfStyle w:val="000000100000" w:firstRow="0" w:lastRow="0" w:firstColumn="0" w:lastColumn="0" w:oddVBand="0" w:evenVBand="0" w:oddHBand="1" w:evenHBand="0" w:firstRowFirstColumn="0" w:firstRowLastColumn="0" w:lastRowFirstColumn="0" w:lastRowLastColumn="0"/>
          <w:trHeight w:val="288"/>
          <w:jc w:val="center"/>
        </w:trPr>
        <w:tc>
          <w:tcPr>
            <w:cnfStyle w:val="001000000000" w:firstRow="0" w:lastRow="0" w:firstColumn="1" w:lastColumn="0" w:oddVBand="0" w:evenVBand="0" w:oddHBand="0" w:evenHBand="0" w:firstRowFirstColumn="0" w:firstRowLastColumn="0" w:lastRowFirstColumn="0" w:lastRowLastColumn="0"/>
            <w:tcW w:w="4730" w:type="dxa"/>
            <w:noWrap/>
            <w:hideMark/>
          </w:tcPr>
          <w:p w:rsidR="00CF4AAB" w:rsidRPr="008E645F" w:rsidRDefault="00270EC8" w:rsidP="008E645F">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xml:space="preserve">To net profit </w:t>
            </w:r>
          </w:p>
        </w:tc>
        <w:tc>
          <w:tcPr>
            <w:tcW w:w="1350" w:type="dxa"/>
            <w:noWrap/>
            <w:hideMark/>
          </w:tcPr>
          <w:p w:rsidR="00CF4AAB" w:rsidRPr="008E645F" w:rsidRDefault="00270EC8" w:rsidP="008E645F">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2815.2</w:t>
            </w:r>
          </w:p>
        </w:tc>
        <w:tc>
          <w:tcPr>
            <w:tcW w:w="1710" w:type="dxa"/>
            <w:noWrap/>
            <w:hideMark/>
          </w:tcPr>
          <w:p w:rsidR="00CF4AAB" w:rsidRPr="008E645F" w:rsidRDefault="00270EC8" w:rsidP="008E645F">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c>
          <w:tcPr>
            <w:tcW w:w="1699" w:type="dxa"/>
            <w:noWrap/>
            <w:hideMark/>
          </w:tcPr>
          <w:p w:rsidR="00CF4AAB" w:rsidRPr="008E645F" w:rsidRDefault="00270EC8" w:rsidP="008E645F">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r>
      <w:tr w:rsidR="00E04516" w:rsidRPr="008E645F" w:rsidTr="00E04516">
        <w:trPr>
          <w:trHeight w:val="288"/>
          <w:jc w:val="center"/>
        </w:trPr>
        <w:tc>
          <w:tcPr>
            <w:cnfStyle w:val="001000000000" w:firstRow="0" w:lastRow="0" w:firstColumn="1" w:lastColumn="0" w:oddVBand="0" w:evenVBand="0" w:oddHBand="0" w:evenHBand="0" w:firstRowFirstColumn="0" w:firstRowLastColumn="0" w:lastRowFirstColumn="0" w:lastRowLastColumn="0"/>
            <w:tcW w:w="4730" w:type="dxa"/>
            <w:noWrap/>
            <w:hideMark/>
          </w:tcPr>
          <w:p w:rsidR="00CF4AAB" w:rsidRPr="008E645F" w:rsidRDefault="00270EC8" w:rsidP="008E645F">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xml:space="preserve">Total </w:t>
            </w:r>
          </w:p>
        </w:tc>
        <w:tc>
          <w:tcPr>
            <w:tcW w:w="1350" w:type="dxa"/>
            <w:noWrap/>
            <w:hideMark/>
          </w:tcPr>
          <w:p w:rsidR="00CF4AAB" w:rsidRPr="008E645F" w:rsidRDefault="00270EC8" w:rsidP="008E645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11520</w:t>
            </w:r>
          </w:p>
        </w:tc>
        <w:tc>
          <w:tcPr>
            <w:tcW w:w="1710" w:type="dxa"/>
            <w:noWrap/>
            <w:hideMark/>
          </w:tcPr>
          <w:p w:rsidR="00CF4AAB" w:rsidRPr="008E645F" w:rsidRDefault="00270EC8" w:rsidP="008E645F">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xml:space="preserve">Total </w:t>
            </w:r>
          </w:p>
        </w:tc>
        <w:tc>
          <w:tcPr>
            <w:tcW w:w="1699" w:type="dxa"/>
            <w:noWrap/>
            <w:hideMark/>
          </w:tcPr>
          <w:p w:rsidR="00CF4AAB" w:rsidRPr="008E645F" w:rsidRDefault="00270EC8" w:rsidP="008E645F">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11520</w:t>
            </w:r>
          </w:p>
        </w:tc>
      </w:tr>
    </w:tbl>
    <w:p w:rsidR="00CF4AAB" w:rsidRPr="00E112CE" w:rsidRDefault="00270EC8" w:rsidP="00CF4AAB">
      <w:pPr>
        <w:jc w:val="center"/>
        <w:rPr>
          <w:b/>
          <w:bCs/>
          <w:lang w:val="en-GB"/>
        </w:rPr>
      </w:pPr>
      <w:r>
        <w:rPr>
          <w:b/>
          <w:bCs/>
          <w:lang w:val="en-GB"/>
        </w:rPr>
        <w:t>Table 1: Income statement</w:t>
      </w:r>
    </w:p>
    <w:p w:rsidR="00CF4AAB" w:rsidRDefault="00270EC8" w:rsidP="00CF4AAB">
      <w:pPr>
        <w:jc w:val="center"/>
        <w:rPr>
          <w:lang w:val="en-GB"/>
        </w:rPr>
      </w:pPr>
      <w:r>
        <w:rPr>
          <w:lang w:val="en-GB"/>
        </w:rPr>
        <w:lastRenderedPageBreak/>
        <w:t>(Source: Created by Researcher)</w:t>
      </w:r>
    </w:p>
    <w:p w:rsidR="00CF4AAB" w:rsidRDefault="00270EC8" w:rsidP="00CF4AAB">
      <w:pPr>
        <w:rPr>
          <w:lang w:val="en-GB"/>
        </w:rPr>
      </w:pPr>
      <w:r>
        <w:rPr>
          <w:lang w:val="en-GB"/>
        </w:rPr>
        <w:t xml:space="preserve">Thus, from the above income statement is clear that the total estimated sales of the company are 30300 GBP (as the calculation is done in </w:t>
      </w:r>
      <w:r w:rsidRPr="00B70772">
        <w:rPr>
          <w:lang w:val="en-GB"/>
        </w:rPr>
        <w:t>£’000</w:t>
      </w:r>
      <w:r>
        <w:rPr>
          <w:lang w:val="en-GB"/>
        </w:rPr>
        <w:t>). Similarly, the net profit of the company is calculated 11520 GBP so far.</w:t>
      </w:r>
    </w:p>
    <w:p w:rsidR="00CF4AAB" w:rsidRDefault="00270EC8" w:rsidP="00CF4AAB">
      <w:pPr>
        <w:pStyle w:val="Heading2"/>
        <w:rPr>
          <w:szCs w:val="22"/>
          <w:lang w:val="en-GB"/>
        </w:rPr>
      </w:pPr>
      <w:bookmarkStart w:id="3" w:name="_Toc49345336"/>
      <w:r>
        <w:rPr>
          <w:lang w:val="en-GB"/>
        </w:rPr>
        <w:t>Calculation for depreciation</w:t>
      </w:r>
      <w:bookmarkEnd w:id="3"/>
    </w:p>
    <w:p w:rsidR="00CF4AAB" w:rsidRPr="003A1059" w:rsidRDefault="00270EC8" w:rsidP="00CF4AAB">
      <w:pPr>
        <w:rPr>
          <w:b/>
          <w:bCs/>
          <w:i/>
          <w:iCs/>
          <w:lang w:val="en-GB"/>
        </w:rPr>
      </w:pPr>
      <w:r>
        <w:rPr>
          <w:b/>
          <w:bCs/>
          <w:i/>
          <w:iCs/>
          <w:lang w:val="en-GB"/>
        </w:rPr>
        <w:t>[Refer to appendix</w:t>
      </w:r>
      <w:r w:rsidR="008E645F">
        <w:rPr>
          <w:b/>
          <w:bCs/>
          <w:i/>
          <w:iCs/>
          <w:lang w:val="en-GB"/>
        </w:rPr>
        <w:t xml:space="preserve"> 1</w:t>
      </w:r>
      <w:r>
        <w:rPr>
          <w:b/>
          <w:bCs/>
          <w:i/>
          <w:iCs/>
          <w:lang w:val="en-GB"/>
        </w:rPr>
        <w:t>]</w:t>
      </w:r>
    </w:p>
    <w:p w:rsidR="00CF4AAB" w:rsidRDefault="00270EC8" w:rsidP="00CF4AAB">
      <w:pPr>
        <w:pStyle w:val="Heading2"/>
        <w:jc w:val="center"/>
        <w:rPr>
          <w:szCs w:val="22"/>
          <w:lang w:val="en-GB"/>
        </w:rPr>
      </w:pPr>
      <w:bookmarkStart w:id="4" w:name="_Toc49345337"/>
      <w:r>
        <w:rPr>
          <w:lang w:val="en-GB"/>
        </w:rPr>
        <w:t>Balance Sheet</w:t>
      </w:r>
      <w:bookmarkEnd w:id="4"/>
    </w:p>
    <w:tbl>
      <w:tblPr>
        <w:tblStyle w:val="GridTable4-Accent610"/>
        <w:tblW w:w="945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92"/>
        <w:gridCol w:w="1818"/>
        <w:gridCol w:w="2528"/>
        <w:gridCol w:w="1264"/>
        <w:gridCol w:w="1852"/>
      </w:tblGrid>
      <w:tr w:rsidR="00E04516" w:rsidRPr="008E645F" w:rsidTr="00E04516">
        <w:trPr>
          <w:cnfStyle w:val="100000000000" w:firstRow="1" w:lastRow="0" w:firstColumn="0" w:lastColumn="0" w:oddVBand="0" w:evenVBand="0" w:oddHBand="0" w:evenHBand="0" w:firstRowFirstColumn="0" w:firstRowLastColumn="0" w:lastRowFirstColumn="0" w:lastRowLastColumn="0"/>
          <w:trHeight w:val="21"/>
          <w:jc w:val="center"/>
        </w:trPr>
        <w:tc>
          <w:tcPr>
            <w:cnfStyle w:val="001000000000" w:firstRow="0" w:lastRow="0" w:firstColumn="1" w:lastColumn="0" w:oddVBand="0" w:evenVBand="0" w:oddHBand="0" w:evenHBand="0" w:firstRowFirstColumn="0" w:firstRowLastColumn="0" w:lastRowFirstColumn="0" w:lastRowLastColumn="0"/>
            <w:tcW w:w="1992" w:type="dxa"/>
            <w:noWrap/>
            <w:hideMark/>
          </w:tcPr>
          <w:p w:rsidR="00CF4AAB" w:rsidRPr="008E645F" w:rsidRDefault="00270EC8" w:rsidP="00D85DE9">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xml:space="preserve">Share capital </w:t>
            </w:r>
          </w:p>
        </w:tc>
        <w:tc>
          <w:tcPr>
            <w:tcW w:w="1818" w:type="dxa"/>
            <w:noWrap/>
            <w:hideMark/>
          </w:tcPr>
          <w:p w:rsidR="00CF4AAB" w:rsidRPr="008E645F" w:rsidRDefault="00270EC8" w:rsidP="00D85DE9">
            <w:pPr>
              <w:jc w:val="righ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b w:val="0"/>
                <w:bCs w:val="0"/>
                <w:color w:val="000000"/>
                <w:sz w:val="24"/>
                <w:szCs w:val="24"/>
                <w:lang w:val="en-GB" w:eastAsia="en-GB"/>
              </w:rPr>
              <w:t>29000</w:t>
            </w:r>
          </w:p>
        </w:tc>
        <w:tc>
          <w:tcPr>
            <w:tcW w:w="2528" w:type="dxa"/>
            <w:noWrap/>
            <w:hideMark/>
          </w:tcPr>
          <w:p w:rsidR="00CF4AAB" w:rsidRPr="008E645F" w:rsidRDefault="00270EC8" w:rsidP="00D85DE9">
            <w:pPr>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b w:val="0"/>
                <w:bCs w:val="0"/>
                <w:color w:val="000000"/>
                <w:sz w:val="24"/>
                <w:szCs w:val="24"/>
                <w:lang w:val="en-GB" w:eastAsia="en-GB"/>
              </w:rPr>
              <w:t xml:space="preserve">Land </w:t>
            </w:r>
          </w:p>
        </w:tc>
        <w:tc>
          <w:tcPr>
            <w:tcW w:w="1264" w:type="dxa"/>
            <w:noWrap/>
            <w:hideMark/>
          </w:tcPr>
          <w:p w:rsidR="00CF4AAB" w:rsidRPr="008E645F" w:rsidRDefault="00270EC8" w:rsidP="00D85DE9">
            <w:pPr>
              <w:jc w:val="lef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b w:val="0"/>
                <w:bCs w:val="0"/>
                <w:color w:val="000000"/>
                <w:sz w:val="24"/>
                <w:szCs w:val="24"/>
                <w:lang w:val="en-GB" w:eastAsia="en-GB"/>
              </w:rPr>
              <w:t> </w:t>
            </w:r>
          </w:p>
        </w:tc>
        <w:tc>
          <w:tcPr>
            <w:tcW w:w="1852" w:type="dxa"/>
            <w:noWrap/>
            <w:hideMark/>
          </w:tcPr>
          <w:p w:rsidR="00CF4AAB" w:rsidRPr="008E645F" w:rsidRDefault="00270EC8" w:rsidP="00D85DE9">
            <w:pPr>
              <w:jc w:val="right"/>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b w:val="0"/>
                <w:bCs w:val="0"/>
                <w:color w:val="000000"/>
                <w:sz w:val="24"/>
                <w:szCs w:val="24"/>
                <w:lang w:val="en-GB" w:eastAsia="en-GB"/>
              </w:rPr>
              <w:t>15000</w:t>
            </w:r>
          </w:p>
        </w:tc>
      </w:tr>
      <w:tr w:rsidR="00E04516" w:rsidRPr="008E645F" w:rsidTr="00E04516">
        <w:trPr>
          <w:cnfStyle w:val="000000100000" w:firstRow="0" w:lastRow="0" w:firstColumn="0" w:lastColumn="0" w:oddVBand="0" w:evenVBand="0" w:oddHBand="1" w:evenHBand="0" w:firstRowFirstColumn="0" w:firstRowLastColumn="0" w:lastRowFirstColumn="0" w:lastRowLastColumn="0"/>
          <w:trHeight w:val="21"/>
          <w:jc w:val="center"/>
        </w:trPr>
        <w:tc>
          <w:tcPr>
            <w:cnfStyle w:val="001000000000" w:firstRow="0" w:lastRow="0" w:firstColumn="1" w:lastColumn="0" w:oddVBand="0" w:evenVBand="0" w:oddHBand="0" w:evenHBand="0" w:firstRowFirstColumn="0" w:firstRowLastColumn="0" w:lastRowFirstColumn="0" w:lastRowLastColumn="0"/>
            <w:tcW w:w="1992" w:type="dxa"/>
            <w:noWrap/>
            <w:hideMark/>
          </w:tcPr>
          <w:p w:rsidR="00CF4AAB" w:rsidRPr="008E645F" w:rsidRDefault="00270EC8" w:rsidP="00D85DE9">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Share Premium</w:t>
            </w:r>
          </w:p>
        </w:tc>
        <w:tc>
          <w:tcPr>
            <w:tcW w:w="1818" w:type="dxa"/>
            <w:noWrap/>
            <w:hideMark/>
          </w:tcPr>
          <w:p w:rsidR="00CF4AAB" w:rsidRPr="008E645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5000</w:t>
            </w:r>
          </w:p>
        </w:tc>
        <w:tc>
          <w:tcPr>
            <w:tcW w:w="2528" w:type="dxa"/>
            <w:noWrap/>
            <w:hideMark/>
          </w:tcPr>
          <w:p w:rsidR="00CF4AAB" w:rsidRPr="008E645F" w:rsidRDefault="00270EC8" w:rsidP="00D85DE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xml:space="preserve">Buildings </w:t>
            </w:r>
          </w:p>
        </w:tc>
        <w:tc>
          <w:tcPr>
            <w:tcW w:w="1264" w:type="dxa"/>
            <w:noWrap/>
            <w:hideMark/>
          </w:tcPr>
          <w:p w:rsidR="00CF4AAB" w:rsidRPr="008E645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16000</w:t>
            </w:r>
          </w:p>
        </w:tc>
        <w:tc>
          <w:tcPr>
            <w:tcW w:w="1852" w:type="dxa"/>
            <w:noWrap/>
            <w:hideMark/>
          </w:tcPr>
          <w:p w:rsidR="00CF4AAB" w:rsidRPr="008E645F" w:rsidRDefault="00270EC8" w:rsidP="00D85DE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r>
      <w:tr w:rsidR="00E04516" w:rsidRPr="008E645F" w:rsidTr="00E04516">
        <w:trPr>
          <w:trHeight w:val="21"/>
          <w:jc w:val="center"/>
        </w:trPr>
        <w:tc>
          <w:tcPr>
            <w:cnfStyle w:val="001000000000" w:firstRow="0" w:lastRow="0" w:firstColumn="1" w:lastColumn="0" w:oddVBand="0" w:evenVBand="0" w:oddHBand="0" w:evenHBand="0" w:firstRowFirstColumn="0" w:firstRowLastColumn="0" w:lastRowFirstColumn="0" w:lastRowLastColumn="0"/>
            <w:tcW w:w="1992" w:type="dxa"/>
            <w:noWrap/>
            <w:hideMark/>
          </w:tcPr>
          <w:p w:rsidR="00CF4AAB" w:rsidRPr="008E645F" w:rsidRDefault="00270EC8" w:rsidP="00D85DE9">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Retained Profits</w:t>
            </w:r>
          </w:p>
        </w:tc>
        <w:tc>
          <w:tcPr>
            <w:tcW w:w="1818" w:type="dxa"/>
            <w:noWrap/>
            <w:hideMark/>
          </w:tcPr>
          <w:p w:rsidR="00CF4AAB" w:rsidRPr="008E645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8380</w:t>
            </w:r>
          </w:p>
        </w:tc>
        <w:tc>
          <w:tcPr>
            <w:tcW w:w="2528" w:type="dxa"/>
            <w:noWrap/>
            <w:hideMark/>
          </w:tcPr>
          <w:p w:rsidR="00CF4AAB" w:rsidRPr="008E645F" w:rsidRDefault="00270EC8" w:rsidP="00D85DE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Less: Accumulated Depreciation</w:t>
            </w:r>
          </w:p>
        </w:tc>
        <w:tc>
          <w:tcPr>
            <w:tcW w:w="1264" w:type="dxa"/>
            <w:noWrap/>
            <w:hideMark/>
          </w:tcPr>
          <w:p w:rsidR="00CF4AAB" w:rsidRPr="008E645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4260</w:t>
            </w:r>
          </w:p>
        </w:tc>
        <w:tc>
          <w:tcPr>
            <w:tcW w:w="1852" w:type="dxa"/>
            <w:noWrap/>
            <w:hideMark/>
          </w:tcPr>
          <w:p w:rsidR="00CF4AAB" w:rsidRPr="008E645F" w:rsidRDefault="00270EC8" w:rsidP="00D85DE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r>
      <w:tr w:rsidR="00E04516" w:rsidRPr="008E645F" w:rsidTr="00E04516">
        <w:trPr>
          <w:cnfStyle w:val="000000100000" w:firstRow="0" w:lastRow="0" w:firstColumn="0" w:lastColumn="0" w:oddVBand="0" w:evenVBand="0" w:oddHBand="1" w:evenHBand="0" w:firstRowFirstColumn="0" w:firstRowLastColumn="0" w:lastRowFirstColumn="0" w:lastRowLastColumn="0"/>
          <w:trHeight w:val="21"/>
          <w:jc w:val="center"/>
        </w:trPr>
        <w:tc>
          <w:tcPr>
            <w:cnfStyle w:val="001000000000" w:firstRow="0" w:lastRow="0" w:firstColumn="1" w:lastColumn="0" w:oddVBand="0" w:evenVBand="0" w:oddHBand="0" w:evenHBand="0" w:firstRowFirstColumn="0" w:firstRowLastColumn="0" w:lastRowFirstColumn="0" w:lastRowLastColumn="0"/>
            <w:tcW w:w="1992" w:type="dxa"/>
            <w:noWrap/>
            <w:hideMark/>
          </w:tcPr>
          <w:p w:rsidR="00CF4AAB" w:rsidRPr="008E645F" w:rsidRDefault="00270EC8" w:rsidP="00D85DE9">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c>
          <w:tcPr>
            <w:tcW w:w="1818" w:type="dxa"/>
            <w:noWrap/>
            <w:hideMark/>
          </w:tcPr>
          <w:p w:rsidR="00CF4AAB" w:rsidRPr="008E645F" w:rsidRDefault="00270EC8" w:rsidP="00D85DE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c>
          <w:tcPr>
            <w:tcW w:w="2528" w:type="dxa"/>
            <w:noWrap/>
            <w:hideMark/>
          </w:tcPr>
          <w:p w:rsidR="00CF4AAB" w:rsidRPr="008E645F" w:rsidRDefault="00270EC8" w:rsidP="00D85DE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Less: Depreciation</w:t>
            </w:r>
          </w:p>
        </w:tc>
        <w:tc>
          <w:tcPr>
            <w:tcW w:w="1264" w:type="dxa"/>
            <w:noWrap/>
            <w:hideMark/>
          </w:tcPr>
          <w:p w:rsidR="00CF4AAB" w:rsidRPr="008E645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320</w:t>
            </w:r>
          </w:p>
        </w:tc>
        <w:tc>
          <w:tcPr>
            <w:tcW w:w="1852" w:type="dxa"/>
            <w:noWrap/>
            <w:hideMark/>
          </w:tcPr>
          <w:p w:rsidR="00CF4AAB" w:rsidRPr="008E645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11420</w:t>
            </w:r>
          </w:p>
        </w:tc>
      </w:tr>
      <w:tr w:rsidR="00E04516" w:rsidRPr="008E645F" w:rsidTr="00E04516">
        <w:trPr>
          <w:trHeight w:val="21"/>
          <w:jc w:val="center"/>
        </w:trPr>
        <w:tc>
          <w:tcPr>
            <w:cnfStyle w:val="001000000000" w:firstRow="0" w:lastRow="0" w:firstColumn="1" w:lastColumn="0" w:oddVBand="0" w:evenVBand="0" w:oddHBand="0" w:evenHBand="0" w:firstRowFirstColumn="0" w:firstRowLastColumn="0" w:lastRowFirstColumn="0" w:lastRowLastColumn="0"/>
            <w:tcW w:w="1992" w:type="dxa"/>
            <w:noWrap/>
            <w:hideMark/>
          </w:tcPr>
          <w:p w:rsidR="00CF4AAB" w:rsidRPr="008E645F" w:rsidRDefault="00270EC8" w:rsidP="00D85DE9">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xml:space="preserve">Add: net profit </w:t>
            </w:r>
          </w:p>
        </w:tc>
        <w:tc>
          <w:tcPr>
            <w:tcW w:w="1818" w:type="dxa"/>
            <w:noWrap/>
            <w:hideMark/>
          </w:tcPr>
          <w:p w:rsidR="00CF4AAB" w:rsidRPr="008E645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2815.2</w:t>
            </w:r>
          </w:p>
        </w:tc>
        <w:tc>
          <w:tcPr>
            <w:tcW w:w="2528" w:type="dxa"/>
            <w:noWrap/>
            <w:hideMark/>
          </w:tcPr>
          <w:p w:rsidR="00CF4AAB" w:rsidRPr="008E645F" w:rsidRDefault="00270EC8" w:rsidP="00D85DE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c>
          <w:tcPr>
            <w:tcW w:w="1264" w:type="dxa"/>
            <w:noWrap/>
            <w:hideMark/>
          </w:tcPr>
          <w:p w:rsidR="00CF4AAB" w:rsidRPr="008E645F" w:rsidRDefault="00270EC8" w:rsidP="00D85DE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c>
          <w:tcPr>
            <w:tcW w:w="1852" w:type="dxa"/>
            <w:noWrap/>
            <w:hideMark/>
          </w:tcPr>
          <w:p w:rsidR="00CF4AAB" w:rsidRPr="008E645F" w:rsidRDefault="00270EC8" w:rsidP="00D85DE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r>
      <w:tr w:rsidR="00E04516" w:rsidRPr="008E645F" w:rsidTr="00E04516">
        <w:trPr>
          <w:cnfStyle w:val="000000100000" w:firstRow="0" w:lastRow="0" w:firstColumn="0" w:lastColumn="0" w:oddVBand="0" w:evenVBand="0" w:oddHBand="1" w:evenHBand="0" w:firstRowFirstColumn="0" w:firstRowLastColumn="0" w:lastRowFirstColumn="0" w:lastRowLastColumn="0"/>
          <w:trHeight w:val="21"/>
          <w:jc w:val="center"/>
        </w:trPr>
        <w:tc>
          <w:tcPr>
            <w:cnfStyle w:val="001000000000" w:firstRow="0" w:lastRow="0" w:firstColumn="1" w:lastColumn="0" w:oddVBand="0" w:evenVBand="0" w:oddHBand="0" w:evenHBand="0" w:firstRowFirstColumn="0" w:firstRowLastColumn="0" w:lastRowFirstColumn="0" w:lastRowLastColumn="0"/>
            <w:tcW w:w="1992" w:type="dxa"/>
            <w:noWrap/>
            <w:hideMark/>
          </w:tcPr>
          <w:p w:rsidR="00CF4AAB" w:rsidRPr="008E645F" w:rsidRDefault="00270EC8" w:rsidP="00D85DE9">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c>
          <w:tcPr>
            <w:tcW w:w="1818" w:type="dxa"/>
            <w:noWrap/>
            <w:hideMark/>
          </w:tcPr>
          <w:p w:rsidR="00CF4AAB" w:rsidRPr="008E645F" w:rsidRDefault="00270EC8" w:rsidP="00D85DE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c>
          <w:tcPr>
            <w:tcW w:w="2528" w:type="dxa"/>
            <w:noWrap/>
            <w:hideMark/>
          </w:tcPr>
          <w:p w:rsidR="00CF4AAB" w:rsidRPr="008E645F" w:rsidRDefault="00270EC8" w:rsidP="00D85DE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Plant</w:t>
            </w:r>
          </w:p>
        </w:tc>
        <w:tc>
          <w:tcPr>
            <w:tcW w:w="1264" w:type="dxa"/>
            <w:noWrap/>
            <w:hideMark/>
          </w:tcPr>
          <w:p w:rsidR="00CF4AAB" w:rsidRPr="008E645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25600</w:t>
            </w:r>
          </w:p>
        </w:tc>
        <w:tc>
          <w:tcPr>
            <w:tcW w:w="1852" w:type="dxa"/>
            <w:noWrap/>
            <w:hideMark/>
          </w:tcPr>
          <w:p w:rsidR="00CF4AAB" w:rsidRPr="008E645F" w:rsidRDefault="00270EC8" w:rsidP="00D85DE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r>
      <w:tr w:rsidR="00E04516" w:rsidRPr="008E645F" w:rsidTr="00E04516">
        <w:trPr>
          <w:trHeight w:val="21"/>
          <w:jc w:val="center"/>
        </w:trPr>
        <w:tc>
          <w:tcPr>
            <w:cnfStyle w:val="001000000000" w:firstRow="0" w:lastRow="0" w:firstColumn="1" w:lastColumn="0" w:oddVBand="0" w:evenVBand="0" w:oddHBand="0" w:evenHBand="0" w:firstRowFirstColumn="0" w:firstRowLastColumn="0" w:lastRowFirstColumn="0" w:lastRowLastColumn="0"/>
            <w:tcW w:w="1992" w:type="dxa"/>
            <w:noWrap/>
            <w:hideMark/>
          </w:tcPr>
          <w:p w:rsidR="00CF4AAB" w:rsidRPr="008E645F" w:rsidRDefault="00270EC8" w:rsidP="00D85DE9">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c>
          <w:tcPr>
            <w:tcW w:w="1818" w:type="dxa"/>
            <w:noWrap/>
            <w:hideMark/>
          </w:tcPr>
          <w:p w:rsidR="00CF4AAB" w:rsidRPr="008E645F" w:rsidRDefault="00270EC8" w:rsidP="00D85DE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c>
          <w:tcPr>
            <w:tcW w:w="2528" w:type="dxa"/>
            <w:noWrap/>
            <w:hideMark/>
          </w:tcPr>
          <w:p w:rsidR="00CF4AAB" w:rsidRPr="008E645F" w:rsidRDefault="00270EC8" w:rsidP="00D85DE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Less: Accumulated Depreciation</w:t>
            </w:r>
          </w:p>
        </w:tc>
        <w:tc>
          <w:tcPr>
            <w:tcW w:w="1264" w:type="dxa"/>
            <w:noWrap/>
            <w:hideMark/>
          </w:tcPr>
          <w:p w:rsidR="00CF4AAB" w:rsidRPr="008E645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4960</w:t>
            </w:r>
          </w:p>
        </w:tc>
        <w:tc>
          <w:tcPr>
            <w:tcW w:w="1852" w:type="dxa"/>
            <w:noWrap/>
            <w:hideMark/>
          </w:tcPr>
          <w:p w:rsidR="00CF4AAB" w:rsidRPr="008E645F" w:rsidRDefault="00270EC8" w:rsidP="00D85DE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r>
      <w:tr w:rsidR="00E04516" w:rsidRPr="008E645F" w:rsidTr="00E04516">
        <w:trPr>
          <w:cnfStyle w:val="000000100000" w:firstRow="0" w:lastRow="0" w:firstColumn="0" w:lastColumn="0" w:oddVBand="0" w:evenVBand="0" w:oddHBand="1" w:evenHBand="0" w:firstRowFirstColumn="0" w:firstRowLastColumn="0" w:lastRowFirstColumn="0" w:lastRowLastColumn="0"/>
          <w:trHeight w:val="21"/>
          <w:jc w:val="center"/>
        </w:trPr>
        <w:tc>
          <w:tcPr>
            <w:cnfStyle w:val="001000000000" w:firstRow="0" w:lastRow="0" w:firstColumn="1" w:lastColumn="0" w:oddVBand="0" w:evenVBand="0" w:oddHBand="0" w:evenHBand="0" w:firstRowFirstColumn="0" w:firstRowLastColumn="0" w:lastRowFirstColumn="0" w:lastRowLastColumn="0"/>
            <w:tcW w:w="1992" w:type="dxa"/>
            <w:noWrap/>
            <w:hideMark/>
          </w:tcPr>
          <w:p w:rsidR="00CF4AAB" w:rsidRPr="008E645F" w:rsidRDefault="00270EC8" w:rsidP="00D85DE9">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12% debentures</w:t>
            </w:r>
          </w:p>
        </w:tc>
        <w:tc>
          <w:tcPr>
            <w:tcW w:w="1818" w:type="dxa"/>
            <w:noWrap/>
            <w:hideMark/>
          </w:tcPr>
          <w:p w:rsidR="00CF4AAB" w:rsidRPr="008E645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4000</w:t>
            </w:r>
          </w:p>
        </w:tc>
        <w:tc>
          <w:tcPr>
            <w:tcW w:w="2528" w:type="dxa"/>
            <w:noWrap/>
            <w:hideMark/>
          </w:tcPr>
          <w:p w:rsidR="00CF4AAB" w:rsidRPr="008E645F" w:rsidRDefault="00270EC8" w:rsidP="00D85DE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Less: Depreciation</w:t>
            </w:r>
          </w:p>
        </w:tc>
        <w:tc>
          <w:tcPr>
            <w:tcW w:w="1264" w:type="dxa"/>
            <w:noWrap/>
            <w:hideMark/>
          </w:tcPr>
          <w:p w:rsidR="00CF4AAB" w:rsidRPr="008E645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2560</w:t>
            </w:r>
          </w:p>
        </w:tc>
        <w:tc>
          <w:tcPr>
            <w:tcW w:w="1852" w:type="dxa"/>
            <w:noWrap/>
            <w:hideMark/>
          </w:tcPr>
          <w:p w:rsidR="00CF4AAB" w:rsidRPr="008E645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18080</w:t>
            </w:r>
          </w:p>
        </w:tc>
      </w:tr>
      <w:tr w:rsidR="00E04516" w:rsidRPr="008E645F" w:rsidTr="00E04516">
        <w:trPr>
          <w:trHeight w:val="21"/>
          <w:jc w:val="center"/>
        </w:trPr>
        <w:tc>
          <w:tcPr>
            <w:cnfStyle w:val="001000000000" w:firstRow="0" w:lastRow="0" w:firstColumn="1" w:lastColumn="0" w:oddVBand="0" w:evenVBand="0" w:oddHBand="0" w:evenHBand="0" w:firstRowFirstColumn="0" w:firstRowLastColumn="0" w:lastRowFirstColumn="0" w:lastRowLastColumn="0"/>
            <w:tcW w:w="1992" w:type="dxa"/>
            <w:noWrap/>
            <w:hideMark/>
          </w:tcPr>
          <w:p w:rsidR="00CF4AAB" w:rsidRPr="008E645F" w:rsidRDefault="00270EC8" w:rsidP="00D85DE9">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c>
          <w:tcPr>
            <w:tcW w:w="1818" w:type="dxa"/>
            <w:noWrap/>
            <w:hideMark/>
          </w:tcPr>
          <w:p w:rsidR="00CF4AAB" w:rsidRPr="008E645F" w:rsidRDefault="00270EC8" w:rsidP="00D85DE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c>
          <w:tcPr>
            <w:tcW w:w="2528" w:type="dxa"/>
            <w:noWrap/>
            <w:hideMark/>
          </w:tcPr>
          <w:p w:rsidR="00CF4AAB" w:rsidRPr="008E645F" w:rsidRDefault="00270EC8" w:rsidP="00D85DE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xml:space="preserve">Closing stock </w:t>
            </w:r>
          </w:p>
        </w:tc>
        <w:tc>
          <w:tcPr>
            <w:tcW w:w="1264" w:type="dxa"/>
            <w:noWrap/>
            <w:hideMark/>
          </w:tcPr>
          <w:p w:rsidR="00CF4AAB" w:rsidRPr="008E645F" w:rsidRDefault="00270EC8" w:rsidP="00D85DE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c>
          <w:tcPr>
            <w:tcW w:w="1852" w:type="dxa"/>
            <w:noWrap/>
            <w:hideMark/>
          </w:tcPr>
          <w:p w:rsidR="00CF4AAB" w:rsidRPr="008E645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3120</w:t>
            </w:r>
          </w:p>
        </w:tc>
      </w:tr>
      <w:tr w:rsidR="00E04516" w:rsidRPr="008E645F" w:rsidTr="00E04516">
        <w:trPr>
          <w:cnfStyle w:val="000000100000" w:firstRow="0" w:lastRow="0" w:firstColumn="0" w:lastColumn="0" w:oddVBand="0" w:evenVBand="0" w:oddHBand="1" w:evenHBand="0" w:firstRowFirstColumn="0" w:firstRowLastColumn="0" w:lastRowFirstColumn="0" w:lastRowLastColumn="0"/>
          <w:trHeight w:val="21"/>
          <w:jc w:val="center"/>
        </w:trPr>
        <w:tc>
          <w:tcPr>
            <w:cnfStyle w:val="001000000000" w:firstRow="0" w:lastRow="0" w:firstColumn="1" w:lastColumn="0" w:oddVBand="0" w:evenVBand="0" w:oddHBand="0" w:evenHBand="0" w:firstRowFirstColumn="0" w:firstRowLastColumn="0" w:lastRowFirstColumn="0" w:lastRowLastColumn="0"/>
            <w:tcW w:w="1992" w:type="dxa"/>
            <w:noWrap/>
            <w:hideMark/>
          </w:tcPr>
          <w:p w:rsidR="00CF4AAB" w:rsidRPr="008E645F" w:rsidRDefault="00270EC8" w:rsidP="00D85DE9">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Outstanding insurance fees</w:t>
            </w:r>
          </w:p>
        </w:tc>
        <w:tc>
          <w:tcPr>
            <w:tcW w:w="1818" w:type="dxa"/>
            <w:noWrap/>
            <w:hideMark/>
          </w:tcPr>
          <w:p w:rsidR="00CF4AAB" w:rsidRPr="008E645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500</w:t>
            </w:r>
          </w:p>
        </w:tc>
        <w:tc>
          <w:tcPr>
            <w:tcW w:w="2528" w:type="dxa"/>
            <w:noWrap/>
            <w:hideMark/>
          </w:tcPr>
          <w:p w:rsidR="00CF4AAB" w:rsidRPr="008E645F" w:rsidRDefault="00270EC8" w:rsidP="00D85DE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xml:space="preserve">Trade Receivables </w:t>
            </w:r>
          </w:p>
        </w:tc>
        <w:tc>
          <w:tcPr>
            <w:tcW w:w="1264" w:type="dxa"/>
            <w:noWrap/>
            <w:hideMark/>
          </w:tcPr>
          <w:p w:rsidR="00CF4AAB" w:rsidRPr="008E645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8240</w:t>
            </w:r>
          </w:p>
        </w:tc>
        <w:tc>
          <w:tcPr>
            <w:tcW w:w="1852" w:type="dxa"/>
            <w:noWrap/>
            <w:hideMark/>
          </w:tcPr>
          <w:p w:rsidR="00CF4AAB" w:rsidRPr="008E645F" w:rsidRDefault="00270EC8" w:rsidP="00D85DE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r>
      <w:tr w:rsidR="00E04516" w:rsidRPr="008E645F" w:rsidTr="00E04516">
        <w:trPr>
          <w:trHeight w:val="21"/>
          <w:jc w:val="center"/>
        </w:trPr>
        <w:tc>
          <w:tcPr>
            <w:cnfStyle w:val="001000000000" w:firstRow="0" w:lastRow="0" w:firstColumn="1" w:lastColumn="0" w:oddVBand="0" w:evenVBand="0" w:oddHBand="0" w:evenHBand="0" w:firstRowFirstColumn="0" w:firstRowLastColumn="0" w:lastRowFirstColumn="0" w:lastRowLastColumn="0"/>
            <w:tcW w:w="1992" w:type="dxa"/>
            <w:noWrap/>
            <w:hideMark/>
          </w:tcPr>
          <w:p w:rsidR="00CF4AAB" w:rsidRPr="008E645F" w:rsidRDefault="00270EC8" w:rsidP="00D85DE9">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xml:space="preserve">Income tax </w:t>
            </w:r>
          </w:p>
        </w:tc>
        <w:tc>
          <w:tcPr>
            <w:tcW w:w="1818" w:type="dxa"/>
            <w:noWrap/>
            <w:hideMark/>
          </w:tcPr>
          <w:p w:rsidR="00CF4AAB" w:rsidRPr="008E645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1600</w:t>
            </w:r>
          </w:p>
        </w:tc>
        <w:tc>
          <w:tcPr>
            <w:tcW w:w="2528" w:type="dxa"/>
            <w:noWrap/>
            <w:hideMark/>
          </w:tcPr>
          <w:p w:rsidR="00CF4AAB" w:rsidRPr="008E645F" w:rsidRDefault="00270EC8" w:rsidP="00D85DE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xml:space="preserve">Less: Provision for bad Debt </w:t>
            </w:r>
          </w:p>
        </w:tc>
        <w:tc>
          <w:tcPr>
            <w:tcW w:w="1264" w:type="dxa"/>
            <w:noWrap/>
            <w:hideMark/>
          </w:tcPr>
          <w:p w:rsidR="00CF4AAB" w:rsidRPr="008E645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164.8</w:t>
            </w:r>
          </w:p>
        </w:tc>
        <w:tc>
          <w:tcPr>
            <w:tcW w:w="1852" w:type="dxa"/>
            <w:noWrap/>
            <w:hideMark/>
          </w:tcPr>
          <w:p w:rsidR="00CF4AAB" w:rsidRPr="008E645F" w:rsidRDefault="00270EC8" w:rsidP="00D85DE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r>
      <w:tr w:rsidR="00E04516" w:rsidRPr="008E645F" w:rsidTr="00E04516">
        <w:trPr>
          <w:cnfStyle w:val="000000100000" w:firstRow="0" w:lastRow="0" w:firstColumn="0" w:lastColumn="0" w:oddVBand="0" w:evenVBand="0" w:oddHBand="1" w:evenHBand="0" w:firstRowFirstColumn="0" w:firstRowLastColumn="0" w:lastRowFirstColumn="0" w:lastRowLastColumn="0"/>
          <w:trHeight w:val="21"/>
          <w:jc w:val="center"/>
        </w:trPr>
        <w:tc>
          <w:tcPr>
            <w:cnfStyle w:val="001000000000" w:firstRow="0" w:lastRow="0" w:firstColumn="1" w:lastColumn="0" w:oddVBand="0" w:evenVBand="0" w:oddHBand="0" w:evenHBand="0" w:firstRowFirstColumn="0" w:firstRowLastColumn="0" w:lastRowFirstColumn="0" w:lastRowLastColumn="0"/>
            <w:tcW w:w="1992" w:type="dxa"/>
            <w:noWrap/>
            <w:hideMark/>
          </w:tcPr>
          <w:p w:rsidR="00CF4AAB" w:rsidRPr="008E645F" w:rsidRDefault="00270EC8" w:rsidP="00D85DE9">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c>
          <w:tcPr>
            <w:tcW w:w="1818" w:type="dxa"/>
            <w:noWrap/>
            <w:hideMark/>
          </w:tcPr>
          <w:p w:rsidR="00CF4AAB" w:rsidRPr="008E645F" w:rsidRDefault="00270EC8" w:rsidP="00D85DE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c>
          <w:tcPr>
            <w:tcW w:w="2528" w:type="dxa"/>
            <w:noWrap/>
            <w:hideMark/>
          </w:tcPr>
          <w:p w:rsidR="00CF4AAB" w:rsidRPr="008E645F" w:rsidRDefault="00270EC8" w:rsidP="00D85DE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xml:space="preserve">Less: bad debt </w:t>
            </w:r>
          </w:p>
        </w:tc>
        <w:tc>
          <w:tcPr>
            <w:tcW w:w="1264" w:type="dxa"/>
            <w:noWrap/>
            <w:hideMark/>
          </w:tcPr>
          <w:p w:rsidR="00CF4AAB" w:rsidRPr="008E645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240</w:t>
            </w:r>
          </w:p>
        </w:tc>
        <w:tc>
          <w:tcPr>
            <w:tcW w:w="1852" w:type="dxa"/>
            <w:noWrap/>
            <w:hideMark/>
          </w:tcPr>
          <w:p w:rsidR="00CF4AAB" w:rsidRPr="008E645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7835.2</w:t>
            </w:r>
          </w:p>
        </w:tc>
      </w:tr>
      <w:tr w:rsidR="00E04516" w:rsidRPr="008E645F" w:rsidTr="00E04516">
        <w:trPr>
          <w:trHeight w:val="21"/>
          <w:jc w:val="center"/>
        </w:trPr>
        <w:tc>
          <w:tcPr>
            <w:cnfStyle w:val="001000000000" w:firstRow="0" w:lastRow="0" w:firstColumn="1" w:lastColumn="0" w:oddVBand="0" w:evenVBand="0" w:oddHBand="0" w:evenHBand="0" w:firstRowFirstColumn="0" w:firstRowLastColumn="0" w:lastRowFirstColumn="0" w:lastRowLastColumn="0"/>
            <w:tcW w:w="1992" w:type="dxa"/>
            <w:noWrap/>
            <w:hideMark/>
          </w:tcPr>
          <w:p w:rsidR="00CF4AAB" w:rsidRPr="008E645F" w:rsidRDefault="00270EC8" w:rsidP="00D85DE9">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Trade payables</w:t>
            </w:r>
          </w:p>
        </w:tc>
        <w:tc>
          <w:tcPr>
            <w:tcW w:w="1818" w:type="dxa"/>
            <w:noWrap/>
            <w:hideMark/>
          </w:tcPr>
          <w:p w:rsidR="00CF4AAB" w:rsidRPr="008E645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4480</w:t>
            </w:r>
          </w:p>
        </w:tc>
        <w:tc>
          <w:tcPr>
            <w:tcW w:w="2528" w:type="dxa"/>
            <w:noWrap/>
            <w:hideMark/>
          </w:tcPr>
          <w:p w:rsidR="00CF4AAB" w:rsidRPr="008E645F" w:rsidRDefault="00270EC8" w:rsidP="00D85DE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xml:space="preserve">Bank </w:t>
            </w:r>
          </w:p>
        </w:tc>
        <w:tc>
          <w:tcPr>
            <w:tcW w:w="1264" w:type="dxa"/>
            <w:noWrap/>
            <w:hideMark/>
          </w:tcPr>
          <w:p w:rsidR="00CF4AAB" w:rsidRPr="008E645F" w:rsidRDefault="00270EC8" w:rsidP="00D85DE9">
            <w:pPr>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c>
          <w:tcPr>
            <w:tcW w:w="1852" w:type="dxa"/>
            <w:noWrap/>
            <w:hideMark/>
          </w:tcPr>
          <w:p w:rsidR="00CF4AAB" w:rsidRPr="008E645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320</w:t>
            </w:r>
          </w:p>
        </w:tc>
      </w:tr>
      <w:tr w:rsidR="00E04516" w:rsidRPr="008E645F" w:rsidTr="00E04516">
        <w:trPr>
          <w:cnfStyle w:val="000000100000" w:firstRow="0" w:lastRow="0" w:firstColumn="0" w:lastColumn="0" w:oddVBand="0" w:evenVBand="0" w:oddHBand="1" w:evenHBand="0" w:firstRowFirstColumn="0" w:firstRowLastColumn="0" w:lastRowFirstColumn="0" w:lastRowLastColumn="0"/>
          <w:trHeight w:val="586"/>
          <w:jc w:val="center"/>
        </w:trPr>
        <w:tc>
          <w:tcPr>
            <w:cnfStyle w:val="001000000000" w:firstRow="0" w:lastRow="0" w:firstColumn="1" w:lastColumn="0" w:oddVBand="0" w:evenVBand="0" w:oddHBand="0" w:evenHBand="0" w:firstRowFirstColumn="0" w:firstRowLastColumn="0" w:lastRowFirstColumn="0" w:lastRowLastColumn="0"/>
            <w:tcW w:w="1992" w:type="dxa"/>
            <w:noWrap/>
            <w:hideMark/>
          </w:tcPr>
          <w:p w:rsidR="00CF4AAB" w:rsidRPr="008E645F" w:rsidRDefault="00270EC8" w:rsidP="00D85DE9">
            <w:pPr>
              <w:jc w:val="left"/>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c>
          <w:tcPr>
            <w:tcW w:w="1818" w:type="dxa"/>
            <w:noWrap/>
            <w:hideMark/>
          </w:tcPr>
          <w:p w:rsidR="00CF4AAB" w:rsidRPr="008E645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55775.2</w:t>
            </w:r>
          </w:p>
        </w:tc>
        <w:tc>
          <w:tcPr>
            <w:tcW w:w="2528" w:type="dxa"/>
            <w:noWrap/>
            <w:hideMark/>
          </w:tcPr>
          <w:p w:rsidR="00CF4AAB" w:rsidRPr="008E645F" w:rsidRDefault="00270EC8" w:rsidP="00D85DE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c>
          <w:tcPr>
            <w:tcW w:w="1264" w:type="dxa"/>
            <w:noWrap/>
            <w:hideMark/>
          </w:tcPr>
          <w:p w:rsidR="00CF4AAB" w:rsidRPr="008E645F" w:rsidRDefault="00270EC8" w:rsidP="00D85DE9">
            <w:pPr>
              <w:jc w:val="lef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 </w:t>
            </w:r>
          </w:p>
        </w:tc>
        <w:tc>
          <w:tcPr>
            <w:tcW w:w="1852" w:type="dxa"/>
            <w:noWrap/>
            <w:hideMark/>
          </w:tcPr>
          <w:p w:rsidR="00CF4AAB" w:rsidRPr="008E645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E645F">
              <w:rPr>
                <w:rFonts w:eastAsia="Times New Roman" w:cs="Times New Roman"/>
                <w:color w:val="000000"/>
                <w:sz w:val="24"/>
                <w:szCs w:val="24"/>
                <w:lang w:val="en-GB" w:eastAsia="en-GB"/>
              </w:rPr>
              <w:t>55775.2</w:t>
            </w:r>
          </w:p>
        </w:tc>
      </w:tr>
    </w:tbl>
    <w:p w:rsidR="00CF4AAB" w:rsidRPr="00DA062F" w:rsidRDefault="00270EC8" w:rsidP="00CF4AAB">
      <w:pPr>
        <w:jc w:val="center"/>
        <w:rPr>
          <w:rFonts w:cs="Times New Roman"/>
          <w:b/>
          <w:szCs w:val="24"/>
          <w:lang w:val="en-US"/>
        </w:rPr>
      </w:pPr>
      <w:r w:rsidRPr="00DA062F">
        <w:rPr>
          <w:rFonts w:cs="Times New Roman"/>
          <w:b/>
          <w:szCs w:val="24"/>
          <w:lang w:val="en-US"/>
        </w:rPr>
        <w:t>Table 2: Balance Sheet</w:t>
      </w:r>
    </w:p>
    <w:p w:rsidR="00CF4AAB" w:rsidRDefault="00270EC8" w:rsidP="00CF4AAB">
      <w:pPr>
        <w:jc w:val="center"/>
        <w:rPr>
          <w:rFonts w:cs="Times New Roman"/>
          <w:szCs w:val="24"/>
          <w:lang w:val="en-US"/>
        </w:rPr>
      </w:pPr>
      <w:r w:rsidRPr="00DA062F">
        <w:rPr>
          <w:rFonts w:cs="Times New Roman"/>
          <w:szCs w:val="24"/>
          <w:lang w:val="en-US"/>
        </w:rPr>
        <w:t>(Source: Created by Researcher)</w:t>
      </w:r>
    </w:p>
    <w:p w:rsidR="00CF4AAB" w:rsidRPr="00A546A0" w:rsidRDefault="00270EC8" w:rsidP="00CF4AAB">
      <w:pPr>
        <w:rPr>
          <w:lang w:val="en-GB"/>
        </w:rPr>
      </w:pPr>
      <w:r>
        <w:rPr>
          <w:rFonts w:cs="Times New Roman"/>
          <w:szCs w:val="24"/>
          <w:lang w:val="en-US"/>
        </w:rPr>
        <w:t>In the accounting period of 2019, both the total liabilities and assets of the company is measured 55775.20 GBP. There are no changes in the buildings for the revaluation, and that is why; the surplus due to revaluation is not taken into account.</w:t>
      </w:r>
    </w:p>
    <w:p w:rsidR="00CF4AAB" w:rsidRDefault="00270EC8" w:rsidP="00CF4AAB">
      <w:pPr>
        <w:pStyle w:val="Heading1"/>
        <w:rPr>
          <w:lang w:val="en-GB"/>
        </w:rPr>
      </w:pPr>
      <w:bookmarkStart w:id="5" w:name="_Toc49345338"/>
      <w:r>
        <w:rPr>
          <w:lang w:val="en-GB"/>
        </w:rPr>
        <w:lastRenderedPageBreak/>
        <w:t>Question 2</w:t>
      </w:r>
      <w:bookmarkEnd w:id="5"/>
    </w:p>
    <w:p w:rsidR="00CF4AAB" w:rsidRPr="00C5740F" w:rsidRDefault="00270EC8" w:rsidP="00CF4AAB">
      <w:pPr>
        <w:rPr>
          <w:lang w:val="en-GB"/>
        </w:rPr>
      </w:pPr>
      <w:r>
        <w:rPr>
          <w:lang w:val="en-GB"/>
        </w:rPr>
        <w:t>Performance of the Jerry plc is measured in this question with the help of the data that has been extracted from the given information. The organisation serves as the retailers supplying goods to supermarkets of the European region. Though, now, the company wants to expand its business in America. For the same, it needs to evaluate its financial position and wants to know if current status supports the decision of expansion. The choice is made with the help of the financial ratios that are calculated here.</w:t>
      </w:r>
    </w:p>
    <w:p w:rsidR="00CF4AAB" w:rsidRPr="00764546" w:rsidRDefault="00270EC8" w:rsidP="00CF4AAB">
      <w:pPr>
        <w:pStyle w:val="Heading2"/>
        <w:rPr>
          <w:szCs w:val="22"/>
          <w:lang w:val="en-GB"/>
        </w:rPr>
      </w:pPr>
      <w:bookmarkStart w:id="6" w:name="_Toc49345339"/>
      <w:r w:rsidRPr="00764546">
        <w:rPr>
          <w:lang w:val="en-GB"/>
        </w:rPr>
        <w:t>a) Measurements of the financial ratios for 2019 and 2018</w:t>
      </w:r>
      <w:bookmarkEnd w:id="6"/>
    </w:p>
    <w:tbl>
      <w:tblPr>
        <w:tblStyle w:val="GridTable5Dark-Accent310"/>
        <w:tblW w:w="8533" w:type="dxa"/>
        <w:jc w:val="center"/>
        <w:tblLook w:val="04A0" w:firstRow="1" w:lastRow="0" w:firstColumn="1" w:lastColumn="0" w:noHBand="0" w:noVBand="1"/>
      </w:tblPr>
      <w:tblGrid>
        <w:gridCol w:w="4242"/>
        <w:gridCol w:w="2080"/>
        <w:gridCol w:w="2211"/>
      </w:tblGrid>
      <w:tr w:rsidR="00E04516" w:rsidRPr="008B4B0F" w:rsidTr="008B4B0F">
        <w:trPr>
          <w:cnfStyle w:val="100000000000" w:firstRow="1" w:lastRow="0" w:firstColumn="0" w:lastColumn="0" w:oddVBand="0" w:evenVBand="0" w:oddHBand="0"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center"/>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Ratios</w:t>
            </w:r>
          </w:p>
        </w:tc>
        <w:tc>
          <w:tcPr>
            <w:tcW w:w="2080" w:type="dxa"/>
            <w:noWrap/>
            <w:hideMark/>
          </w:tcPr>
          <w:p w:rsidR="00CF4AAB" w:rsidRPr="008B4B0F" w:rsidRDefault="00270EC8" w:rsidP="00D85DE9">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2019</w:t>
            </w:r>
          </w:p>
        </w:tc>
        <w:tc>
          <w:tcPr>
            <w:tcW w:w="2211" w:type="dxa"/>
            <w:noWrap/>
            <w:hideMark/>
          </w:tcPr>
          <w:p w:rsidR="00CF4AAB" w:rsidRPr="008B4B0F" w:rsidRDefault="00270EC8" w:rsidP="00D85DE9">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2018</w:t>
            </w:r>
          </w:p>
        </w:tc>
      </w:tr>
      <w:tr w:rsidR="00E04516" w:rsidRPr="008B4B0F" w:rsidTr="008B4B0F">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1. Return on Capital employed</w:t>
            </w:r>
          </w:p>
        </w:tc>
        <w:tc>
          <w:tcPr>
            <w:tcW w:w="2080"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0.168763879</w:t>
            </w:r>
          </w:p>
        </w:tc>
        <w:tc>
          <w:tcPr>
            <w:tcW w:w="2211"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0.180192572</w:t>
            </w:r>
          </w:p>
        </w:tc>
      </w:tr>
      <w:tr w:rsidR="00E04516" w:rsidRPr="008B4B0F" w:rsidTr="008B4B0F">
        <w:trPr>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b w:val="0"/>
                <w:bCs w:val="0"/>
                <w:color w:val="000000"/>
                <w:sz w:val="24"/>
                <w:szCs w:val="24"/>
                <w:lang w:val="en-GB" w:eastAsia="en-GB"/>
              </w:rPr>
              <w:t>EBIT</w:t>
            </w:r>
          </w:p>
        </w:tc>
        <w:tc>
          <w:tcPr>
            <w:tcW w:w="2080"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22.8</w:t>
            </w:r>
          </w:p>
        </w:tc>
        <w:tc>
          <w:tcPr>
            <w:tcW w:w="2211"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26.2</w:t>
            </w:r>
          </w:p>
        </w:tc>
      </w:tr>
      <w:tr w:rsidR="00E04516" w:rsidRPr="008B4B0F" w:rsidTr="008B4B0F">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b w:val="0"/>
                <w:bCs w:val="0"/>
                <w:color w:val="000000"/>
                <w:sz w:val="24"/>
                <w:szCs w:val="24"/>
                <w:lang w:val="en-GB" w:eastAsia="en-GB"/>
              </w:rPr>
              <w:t>Total Assets</w:t>
            </w:r>
          </w:p>
        </w:tc>
        <w:tc>
          <w:tcPr>
            <w:tcW w:w="2080"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286.1</w:t>
            </w:r>
          </w:p>
        </w:tc>
        <w:tc>
          <w:tcPr>
            <w:tcW w:w="2211"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293.8</w:t>
            </w:r>
          </w:p>
        </w:tc>
      </w:tr>
      <w:tr w:rsidR="00E04516" w:rsidRPr="008B4B0F" w:rsidTr="008B4B0F">
        <w:trPr>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b w:val="0"/>
                <w:bCs w:val="0"/>
                <w:color w:val="000000"/>
                <w:sz w:val="24"/>
                <w:szCs w:val="24"/>
                <w:lang w:val="en-GB" w:eastAsia="en-GB"/>
              </w:rPr>
              <w:t>Total Current liabilities</w:t>
            </w:r>
          </w:p>
        </w:tc>
        <w:tc>
          <w:tcPr>
            <w:tcW w:w="2080"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151</w:t>
            </w:r>
          </w:p>
        </w:tc>
        <w:tc>
          <w:tcPr>
            <w:tcW w:w="2211"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148.4</w:t>
            </w:r>
          </w:p>
        </w:tc>
      </w:tr>
      <w:tr w:rsidR="00E04516" w:rsidRPr="008B4B0F" w:rsidTr="008B4B0F">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2. ROE</w:t>
            </w:r>
          </w:p>
        </w:tc>
        <w:tc>
          <w:tcPr>
            <w:tcW w:w="2080"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0.138412017</w:t>
            </w:r>
          </w:p>
        </w:tc>
        <w:tc>
          <w:tcPr>
            <w:tcW w:w="2211"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0.227895392</w:t>
            </w:r>
          </w:p>
        </w:tc>
      </w:tr>
      <w:tr w:rsidR="00E04516" w:rsidRPr="008B4B0F" w:rsidTr="008B4B0F">
        <w:trPr>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b w:val="0"/>
                <w:bCs w:val="0"/>
                <w:color w:val="000000"/>
                <w:sz w:val="24"/>
                <w:szCs w:val="24"/>
                <w:lang w:val="en-GB" w:eastAsia="en-GB"/>
              </w:rPr>
              <w:t>Net Income</w:t>
            </w:r>
          </w:p>
        </w:tc>
        <w:tc>
          <w:tcPr>
            <w:tcW w:w="2080"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12.9</w:t>
            </w:r>
          </w:p>
        </w:tc>
        <w:tc>
          <w:tcPr>
            <w:tcW w:w="2211"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18.3</w:t>
            </w:r>
          </w:p>
        </w:tc>
      </w:tr>
      <w:tr w:rsidR="00E04516" w:rsidRPr="008B4B0F" w:rsidTr="008B4B0F">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b w:val="0"/>
                <w:bCs w:val="0"/>
                <w:color w:val="000000"/>
                <w:sz w:val="24"/>
                <w:szCs w:val="24"/>
                <w:lang w:val="en-GB" w:eastAsia="en-GB"/>
              </w:rPr>
              <w:t>Equity</w:t>
            </w:r>
          </w:p>
        </w:tc>
        <w:tc>
          <w:tcPr>
            <w:tcW w:w="2080"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93.2</w:t>
            </w:r>
          </w:p>
        </w:tc>
        <w:tc>
          <w:tcPr>
            <w:tcW w:w="2211"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80.3</w:t>
            </w:r>
          </w:p>
        </w:tc>
      </w:tr>
      <w:tr w:rsidR="00E04516" w:rsidRPr="008B4B0F" w:rsidTr="008B4B0F">
        <w:trPr>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3. EPS</w:t>
            </w:r>
          </w:p>
        </w:tc>
        <w:tc>
          <w:tcPr>
            <w:tcW w:w="2080"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0.724719101</w:t>
            </w:r>
          </w:p>
        </w:tc>
        <w:tc>
          <w:tcPr>
            <w:tcW w:w="2211"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1.028089888</w:t>
            </w:r>
          </w:p>
        </w:tc>
      </w:tr>
      <w:tr w:rsidR="00E04516" w:rsidRPr="008B4B0F" w:rsidTr="008B4B0F">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b w:val="0"/>
                <w:bCs w:val="0"/>
                <w:color w:val="000000"/>
                <w:sz w:val="24"/>
                <w:szCs w:val="24"/>
                <w:lang w:val="en-GB" w:eastAsia="en-GB"/>
              </w:rPr>
              <w:t>Net Income</w:t>
            </w:r>
          </w:p>
        </w:tc>
        <w:tc>
          <w:tcPr>
            <w:tcW w:w="2080"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12.9</w:t>
            </w:r>
          </w:p>
        </w:tc>
        <w:tc>
          <w:tcPr>
            <w:tcW w:w="2211"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18.3</w:t>
            </w:r>
          </w:p>
        </w:tc>
      </w:tr>
      <w:tr w:rsidR="00E04516" w:rsidRPr="008B4B0F" w:rsidTr="008B4B0F">
        <w:trPr>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b w:val="0"/>
                <w:bCs w:val="0"/>
                <w:color w:val="000000"/>
                <w:sz w:val="24"/>
                <w:szCs w:val="24"/>
                <w:lang w:val="en-GB" w:eastAsia="en-GB"/>
              </w:rPr>
              <w:t>Number of Shares</w:t>
            </w:r>
          </w:p>
        </w:tc>
        <w:tc>
          <w:tcPr>
            <w:tcW w:w="2080"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17.8</w:t>
            </w:r>
          </w:p>
        </w:tc>
        <w:tc>
          <w:tcPr>
            <w:tcW w:w="2211"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17.8</w:t>
            </w:r>
          </w:p>
        </w:tc>
      </w:tr>
      <w:tr w:rsidR="00E04516" w:rsidRPr="008B4B0F" w:rsidTr="008B4B0F">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4. Gross profit margin</w:t>
            </w:r>
          </w:p>
        </w:tc>
        <w:tc>
          <w:tcPr>
            <w:tcW w:w="2080"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0.382605226</w:t>
            </w:r>
          </w:p>
        </w:tc>
        <w:tc>
          <w:tcPr>
            <w:tcW w:w="2211"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0.383935908</w:t>
            </w:r>
          </w:p>
        </w:tc>
      </w:tr>
      <w:tr w:rsidR="00E04516" w:rsidRPr="008B4B0F" w:rsidTr="008B4B0F">
        <w:trPr>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b w:val="0"/>
                <w:bCs w:val="0"/>
                <w:color w:val="000000"/>
                <w:sz w:val="24"/>
                <w:szCs w:val="24"/>
                <w:lang w:val="en-GB" w:eastAsia="en-GB"/>
              </w:rPr>
              <w:t>Gross profit</w:t>
            </w:r>
          </w:p>
        </w:tc>
        <w:tc>
          <w:tcPr>
            <w:tcW w:w="2080"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191.8</w:t>
            </w:r>
          </w:p>
        </w:tc>
        <w:tc>
          <w:tcPr>
            <w:tcW w:w="2211"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186.9</w:t>
            </w:r>
          </w:p>
        </w:tc>
      </w:tr>
      <w:tr w:rsidR="00E04516" w:rsidRPr="008B4B0F" w:rsidTr="008B4B0F">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b w:val="0"/>
                <w:bCs w:val="0"/>
                <w:color w:val="000000"/>
                <w:sz w:val="24"/>
                <w:szCs w:val="24"/>
                <w:lang w:val="en-GB" w:eastAsia="en-GB"/>
              </w:rPr>
              <w:t>Revenue</w:t>
            </w:r>
          </w:p>
        </w:tc>
        <w:tc>
          <w:tcPr>
            <w:tcW w:w="2080"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501.3</w:t>
            </w:r>
          </w:p>
        </w:tc>
        <w:tc>
          <w:tcPr>
            <w:tcW w:w="2211"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486.8</w:t>
            </w:r>
          </w:p>
        </w:tc>
      </w:tr>
      <w:tr w:rsidR="00E04516" w:rsidRPr="008B4B0F" w:rsidTr="008B4B0F">
        <w:trPr>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5. Asset Turnover</w:t>
            </w:r>
          </w:p>
        </w:tc>
        <w:tc>
          <w:tcPr>
            <w:tcW w:w="2080"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1.752184551</w:t>
            </w:r>
          </w:p>
        </w:tc>
        <w:tc>
          <w:tcPr>
            <w:tcW w:w="2211"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1.656909462</w:t>
            </w:r>
          </w:p>
        </w:tc>
      </w:tr>
      <w:tr w:rsidR="00E04516" w:rsidRPr="008B4B0F" w:rsidTr="008B4B0F">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b w:val="0"/>
                <w:bCs w:val="0"/>
                <w:color w:val="000000"/>
                <w:sz w:val="24"/>
                <w:szCs w:val="24"/>
                <w:lang w:val="en-GB" w:eastAsia="en-GB"/>
              </w:rPr>
              <w:t>Revenue</w:t>
            </w:r>
          </w:p>
        </w:tc>
        <w:tc>
          <w:tcPr>
            <w:tcW w:w="2080"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501.3</w:t>
            </w:r>
          </w:p>
        </w:tc>
        <w:tc>
          <w:tcPr>
            <w:tcW w:w="2211"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486.8</w:t>
            </w:r>
          </w:p>
        </w:tc>
      </w:tr>
      <w:tr w:rsidR="00E04516" w:rsidRPr="008B4B0F" w:rsidTr="008B4B0F">
        <w:trPr>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b w:val="0"/>
                <w:bCs w:val="0"/>
                <w:color w:val="000000"/>
                <w:sz w:val="24"/>
                <w:szCs w:val="24"/>
                <w:lang w:val="en-GB" w:eastAsia="en-GB"/>
              </w:rPr>
              <w:t>Assets</w:t>
            </w:r>
          </w:p>
        </w:tc>
        <w:tc>
          <w:tcPr>
            <w:tcW w:w="2080"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286.1</w:t>
            </w:r>
          </w:p>
        </w:tc>
        <w:tc>
          <w:tcPr>
            <w:tcW w:w="2211"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293.8</w:t>
            </w:r>
          </w:p>
        </w:tc>
      </w:tr>
      <w:tr w:rsidR="00E04516" w:rsidRPr="008B4B0F" w:rsidTr="008B4B0F">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6. Stock holding period</w:t>
            </w:r>
          </w:p>
        </w:tc>
        <w:tc>
          <w:tcPr>
            <w:tcW w:w="2080"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45.75767367</w:t>
            </w:r>
          </w:p>
        </w:tc>
        <w:tc>
          <w:tcPr>
            <w:tcW w:w="2211"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50.02167389</w:t>
            </w:r>
          </w:p>
        </w:tc>
      </w:tr>
      <w:tr w:rsidR="00E04516" w:rsidRPr="008B4B0F" w:rsidTr="008B4B0F">
        <w:trPr>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b w:val="0"/>
                <w:bCs w:val="0"/>
                <w:color w:val="000000"/>
                <w:sz w:val="24"/>
                <w:szCs w:val="24"/>
                <w:lang w:val="en-GB" w:eastAsia="en-GB"/>
              </w:rPr>
              <w:t>Inventory</w:t>
            </w:r>
          </w:p>
        </w:tc>
        <w:tc>
          <w:tcPr>
            <w:tcW w:w="2080"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38.8</w:t>
            </w:r>
          </w:p>
        </w:tc>
        <w:tc>
          <w:tcPr>
            <w:tcW w:w="2211"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41.1</w:t>
            </w:r>
          </w:p>
        </w:tc>
      </w:tr>
      <w:tr w:rsidR="00E04516" w:rsidRPr="008B4B0F" w:rsidTr="008B4B0F">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b w:val="0"/>
                <w:bCs w:val="0"/>
                <w:color w:val="000000"/>
                <w:sz w:val="24"/>
                <w:szCs w:val="24"/>
                <w:lang w:val="en-GB" w:eastAsia="en-GB"/>
              </w:rPr>
              <w:t>Cost of sales</w:t>
            </w:r>
          </w:p>
        </w:tc>
        <w:tc>
          <w:tcPr>
            <w:tcW w:w="2080"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309.5</w:t>
            </w:r>
          </w:p>
        </w:tc>
        <w:tc>
          <w:tcPr>
            <w:tcW w:w="2211"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299.9</w:t>
            </w:r>
          </w:p>
        </w:tc>
      </w:tr>
      <w:tr w:rsidR="00E04516" w:rsidRPr="008B4B0F" w:rsidTr="008B4B0F">
        <w:trPr>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7. Debtors collection period</w:t>
            </w:r>
          </w:p>
        </w:tc>
        <w:tc>
          <w:tcPr>
            <w:tcW w:w="2080"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61.23379214</w:t>
            </w:r>
          </w:p>
        </w:tc>
        <w:tc>
          <w:tcPr>
            <w:tcW w:w="2211"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56.83442892</w:t>
            </w:r>
          </w:p>
        </w:tc>
      </w:tr>
      <w:tr w:rsidR="00E04516" w:rsidRPr="008B4B0F" w:rsidTr="008B4B0F">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b w:val="0"/>
                <w:bCs w:val="0"/>
                <w:color w:val="000000"/>
                <w:sz w:val="24"/>
                <w:szCs w:val="24"/>
                <w:lang w:val="en-GB" w:eastAsia="en-GB"/>
              </w:rPr>
              <w:t>Trade payables</w:t>
            </w:r>
          </w:p>
        </w:tc>
        <w:tc>
          <w:tcPr>
            <w:tcW w:w="2080"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84.1</w:t>
            </w:r>
          </w:p>
        </w:tc>
        <w:tc>
          <w:tcPr>
            <w:tcW w:w="2211"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75.8</w:t>
            </w:r>
          </w:p>
        </w:tc>
      </w:tr>
      <w:tr w:rsidR="00E04516" w:rsidRPr="008B4B0F" w:rsidTr="008B4B0F">
        <w:trPr>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b w:val="0"/>
                <w:bCs w:val="0"/>
                <w:color w:val="000000"/>
                <w:sz w:val="24"/>
                <w:szCs w:val="24"/>
                <w:lang w:val="en-GB" w:eastAsia="en-GB"/>
              </w:rPr>
              <w:t>Revenue</w:t>
            </w:r>
          </w:p>
        </w:tc>
        <w:tc>
          <w:tcPr>
            <w:tcW w:w="2080"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501.3</w:t>
            </w:r>
          </w:p>
        </w:tc>
        <w:tc>
          <w:tcPr>
            <w:tcW w:w="2211"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486.8</w:t>
            </w:r>
          </w:p>
        </w:tc>
      </w:tr>
      <w:tr w:rsidR="00E04516" w:rsidRPr="008B4B0F" w:rsidTr="008B4B0F">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lastRenderedPageBreak/>
              <w:t>8. Current ratio</w:t>
            </w:r>
          </w:p>
        </w:tc>
        <w:tc>
          <w:tcPr>
            <w:tcW w:w="2080"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1.894701987</w:t>
            </w:r>
          </w:p>
        </w:tc>
        <w:tc>
          <w:tcPr>
            <w:tcW w:w="2211"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1.979784367</w:t>
            </w:r>
          </w:p>
        </w:tc>
      </w:tr>
      <w:tr w:rsidR="00E04516" w:rsidRPr="008B4B0F" w:rsidTr="008B4B0F">
        <w:trPr>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b w:val="0"/>
                <w:bCs w:val="0"/>
                <w:color w:val="000000"/>
                <w:sz w:val="24"/>
                <w:szCs w:val="24"/>
                <w:lang w:val="en-GB" w:eastAsia="en-GB"/>
              </w:rPr>
              <w:t>Current assets</w:t>
            </w:r>
          </w:p>
        </w:tc>
        <w:tc>
          <w:tcPr>
            <w:tcW w:w="2080"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286.1</w:t>
            </w:r>
          </w:p>
        </w:tc>
        <w:tc>
          <w:tcPr>
            <w:tcW w:w="2211"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293.8</w:t>
            </w:r>
          </w:p>
        </w:tc>
      </w:tr>
      <w:tr w:rsidR="00E04516" w:rsidRPr="008B4B0F" w:rsidTr="008B4B0F">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b w:val="0"/>
                <w:bCs w:val="0"/>
                <w:color w:val="000000"/>
                <w:sz w:val="24"/>
                <w:szCs w:val="24"/>
                <w:lang w:val="en-GB" w:eastAsia="en-GB"/>
              </w:rPr>
              <w:t>Current liabilities</w:t>
            </w:r>
          </w:p>
        </w:tc>
        <w:tc>
          <w:tcPr>
            <w:tcW w:w="2080"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151</w:t>
            </w:r>
          </w:p>
        </w:tc>
        <w:tc>
          <w:tcPr>
            <w:tcW w:w="2211"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148.4</w:t>
            </w:r>
          </w:p>
        </w:tc>
      </w:tr>
      <w:tr w:rsidR="00E04516" w:rsidRPr="008B4B0F" w:rsidTr="008B4B0F">
        <w:trPr>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9. Gearing ratio</w:t>
            </w:r>
          </w:p>
        </w:tc>
        <w:tc>
          <w:tcPr>
            <w:tcW w:w="2080"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2.069742489</w:t>
            </w:r>
          </w:p>
        </w:tc>
        <w:tc>
          <w:tcPr>
            <w:tcW w:w="2211"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2.658779577</w:t>
            </w:r>
          </w:p>
        </w:tc>
      </w:tr>
      <w:tr w:rsidR="00E04516" w:rsidRPr="008B4B0F" w:rsidTr="008B4B0F">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b w:val="0"/>
                <w:bCs w:val="0"/>
                <w:color w:val="000000"/>
                <w:sz w:val="24"/>
                <w:szCs w:val="24"/>
                <w:lang w:val="en-GB" w:eastAsia="en-GB"/>
              </w:rPr>
              <w:t>Total Debt</w:t>
            </w:r>
          </w:p>
        </w:tc>
        <w:tc>
          <w:tcPr>
            <w:tcW w:w="2080"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192.9</w:t>
            </w:r>
          </w:p>
        </w:tc>
        <w:tc>
          <w:tcPr>
            <w:tcW w:w="2211"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213.5</w:t>
            </w:r>
          </w:p>
        </w:tc>
      </w:tr>
      <w:tr w:rsidR="00E04516" w:rsidRPr="008B4B0F" w:rsidTr="008B4B0F">
        <w:trPr>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b w:val="0"/>
                <w:bCs w:val="0"/>
                <w:color w:val="000000"/>
                <w:sz w:val="24"/>
                <w:szCs w:val="24"/>
                <w:lang w:val="en-GB" w:eastAsia="en-GB"/>
              </w:rPr>
              <w:t>Total Equity</w:t>
            </w:r>
          </w:p>
        </w:tc>
        <w:tc>
          <w:tcPr>
            <w:tcW w:w="2080"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93.2</w:t>
            </w:r>
          </w:p>
        </w:tc>
        <w:tc>
          <w:tcPr>
            <w:tcW w:w="2211"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80.3</w:t>
            </w:r>
          </w:p>
        </w:tc>
      </w:tr>
      <w:tr w:rsidR="00E04516" w:rsidRPr="008B4B0F" w:rsidTr="008B4B0F">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10. Interest Cover</w:t>
            </w:r>
          </w:p>
        </w:tc>
        <w:tc>
          <w:tcPr>
            <w:tcW w:w="2080"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2.303030303</w:t>
            </w:r>
          </w:p>
        </w:tc>
        <w:tc>
          <w:tcPr>
            <w:tcW w:w="2211"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3.316455696</w:t>
            </w:r>
          </w:p>
        </w:tc>
      </w:tr>
      <w:tr w:rsidR="00E04516" w:rsidRPr="008B4B0F" w:rsidTr="008B4B0F">
        <w:trPr>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b w:val="0"/>
                <w:bCs w:val="0"/>
                <w:color w:val="000000"/>
                <w:sz w:val="24"/>
                <w:szCs w:val="24"/>
                <w:lang w:val="en-GB" w:eastAsia="en-GB"/>
              </w:rPr>
              <w:t>EBIT</w:t>
            </w:r>
          </w:p>
        </w:tc>
        <w:tc>
          <w:tcPr>
            <w:tcW w:w="2080"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22.8</w:t>
            </w:r>
          </w:p>
        </w:tc>
        <w:tc>
          <w:tcPr>
            <w:tcW w:w="2211" w:type="dxa"/>
            <w:noWrap/>
            <w:hideMark/>
          </w:tcPr>
          <w:p w:rsidR="00CF4AAB" w:rsidRPr="008B4B0F" w:rsidRDefault="00270EC8" w:rsidP="00D85DE9">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26.2</w:t>
            </w:r>
          </w:p>
        </w:tc>
      </w:tr>
      <w:tr w:rsidR="00E04516" w:rsidRPr="008B4B0F" w:rsidTr="008B4B0F">
        <w:trPr>
          <w:cnfStyle w:val="000000100000" w:firstRow="0" w:lastRow="0" w:firstColumn="0" w:lastColumn="0" w:oddVBand="0" w:evenVBand="0" w:oddHBand="1" w:evenHBand="0" w:firstRowFirstColumn="0" w:firstRowLastColumn="0" w:lastRowFirstColumn="0" w:lastRowLastColumn="0"/>
          <w:trHeight w:val="312"/>
          <w:jc w:val="center"/>
        </w:trPr>
        <w:tc>
          <w:tcPr>
            <w:cnfStyle w:val="001000000000" w:firstRow="0" w:lastRow="0" w:firstColumn="1" w:lastColumn="0" w:oddVBand="0" w:evenVBand="0" w:oddHBand="0" w:evenHBand="0" w:firstRowFirstColumn="0" w:firstRowLastColumn="0" w:lastRowFirstColumn="0" w:lastRowLastColumn="0"/>
            <w:tcW w:w="4242" w:type="dxa"/>
            <w:noWrap/>
            <w:hideMark/>
          </w:tcPr>
          <w:p w:rsidR="00CF4AAB" w:rsidRPr="008B4B0F" w:rsidRDefault="00270EC8" w:rsidP="00D85DE9">
            <w:pPr>
              <w:jc w:val="left"/>
              <w:rPr>
                <w:rFonts w:eastAsia="Times New Roman" w:cs="Times New Roman"/>
                <w:color w:val="000000"/>
                <w:sz w:val="24"/>
                <w:szCs w:val="24"/>
                <w:lang w:val="en-GB" w:eastAsia="en-GB"/>
              </w:rPr>
            </w:pPr>
            <w:r w:rsidRPr="008B4B0F">
              <w:rPr>
                <w:rFonts w:eastAsia="Times New Roman" w:cs="Times New Roman"/>
                <w:b w:val="0"/>
                <w:bCs w:val="0"/>
                <w:color w:val="000000"/>
                <w:sz w:val="24"/>
                <w:szCs w:val="24"/>
                <w:lang w:val="en-GB" w:eastAsia="en-GB"/>
              </w:rPr>
              <w:t>Tax expense</w:t>
            </w:r>
          </w:p>
        </w:tc>
        <w:tc>
          <w:tcPr>
            <w:tcW w:w="2080"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9.9</w:t>
            </w:r>
          </w:p>
        </w:tc>
        <w:tc>
          <w:tcPr>
            <w:tcW w:w="2211" w:type="dxa"/>
            <w:noWrap/>
            <w:hideMark/>
          </w:tcPr>
          <w:p w:rsidR="00CF4AAB" w:rsidRPr="008B4B0F" w:rsidRDefault="00270EC8" w:rsidP="00D85DE9">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lang w:val="en-GB" w:eastAsia="en-GB"/>
              </w:rPr>
            </w:pPr>
            <w:r w:rsidRPr="008B4B0F">
              <w:rPr>
                <w:rFonts w:eastAsia="Times New Roman" w:cs="Times New Roman"/>
                <w:color w:val="000000"/>
                <w:sz w:val="24"/>
                <w:szCs w:val="24"/>
                <w:lang w:val="en-GB" w:eastAsia="en-GB"/>
              </w:rPr>
              <w:t>7.9</w:t>
            </w:r>
          </w:p>
        </w:tc>
      </w:tr>
    </w:tbl>
    <w:p w:rsidR="00CF4AAB" w:rsidRPr="00DA062F" w:rsidRDefault="00270EC8" w:rsidP="00CF4AAB">
      <w:pPr>
        <w:jc w:val="center"/>
        <w:rPr>
          <w:rFonts w:cs="Times New Roman"/>
          <w:b/>
          <w:szCs w:val="24"/>
          <w:lang w:val="en-US"/>
        </w:rPr>
      </w:pPr>
      <w:r w:rsidRPr="00DA062F">
        <w:rPr>
          <w:rFonts w:cs="Times New Roman"/>
          <w:b/>
          <w:szCs w:val="24"/>
          <w:lang w:val="en-US"/>
        </w:rPr>
        <w:t>Table 3: Financial Ratios</w:t>
      </w:r>
    </w:p>
    <w:p w:rsidR="00CF4AAB" w:rsidRDefault="00270EC8" w:rsidP="00CF4AAB">
      <w:pPr>
        <w:jc w:val="center"/>
        <w:rPr>
          <w:rFonts w:cs="Times New Roman"/>
          <w:szCs w:val="24"/>
          <w:lang w:val="en-US"/>
        </w:rPr>
      </w:pPr>
      <w:r w:rsidRPr="00DA062F">
        <w:rPr>
          <w:rFonts w:cs="Times New Roman"/>
          <w:szCs w:val="24"/>
          <w:lang w:val="en-US"/>
        </w:rPr>
        <w:t>(Source: Created by Researcher)</w:t>
      </w:r>
    </w:p>
    <w:p w:rsidR="00CF4AAB" w:rsidRDefault="00270EC8" w:rsidP="00CF4AAB">
      <w:pPr>
        <w:pStyle w:val="Heading2"/>
        <w:rPr>
          <w:lang w:val="en-GB"/>
        </w:rPr>
      </w:pPr>
      <w:bookmarkStart w:id="7" w:name="_Toc49345340"/>
      <w:r>
        <w:rPr>
          <w:lang w:val="en-GB"/>
        </w:rPr>
        <w:t>b) Situation revealed by the ratios calculated in the previous table</w:t>
      </w:r>
      <w:bookmarkEnd w:id="7"/>
    </w:p>
    <w:p w:rsidR="00CF4AAB" w:rsidRDefault="00270EC8" w:rsidP="00CF4AAB">
      <w:pPr>
        <w:rPr>
          <w:rFonts w:eastAsia="Times New Roman" w:cs="Times New Roman"/>
          <w:b/>
          <w:bCs/>
          <w:color w:val="000000"/>
          <w:szCs w:val="24"/>
          <w:lang w:val="en-GB" w:eastAsia="en-GB"/>
        </w:rPr>
      </w:pPr>
      <w:r w:rsidRPr="00F07579">
        <w:rPr>
          <w:b/>
          <w:bCs/>
          <w:lang w:val="en-GB"/>
        </w:rPr>
        <w:t xml:space="preserve">ROE and </w:t>
      </w:r>
      <w:r w:rsidRPr="00F07579">
        <w:rPr>
          <w:rFonts w:eastAsia="Times New Roman" w:cs="Times New Roman"/>
          <w:b/>
          <w:bCs/>
          <w:color w:val="000000"/>
          <w:szCs w:val="24"/>
          <w:lang w:val="en-GB" w:eastAsia="en-GB"/>
        </w:rPr>
        <w:t>Return on Capital employed</w:t>
      </w:r>
    </w:p>
    <w:p w:rsidR="00CF4AAB" w:rsidRDefault="00270EC8" w:rsidP="00CF4AAB">
      <w:pPr>
        <w:rPr>
          <w:rFonts w:eastAsia="Times New Roman" w:cs="Times New Roman"/>
          <w:color w:val="000000"/>
          <w:szCs w:val="24"/>
          <w:lang w:val="en-GB" w:eastAsia="en-GB"/>
        </w:rPr>
      </w:pPr>
      <w:r>
        <w:rPr>
          <w:rFonts w:eastAsia="Times New Roman" w:cs="Times New Roman"/>
          <w:color w:val="000000"/>
          <w:szCs w:val="24"/>
          <w:lang w:val="en-GB" w:eastAsia="en-GB"/>
        </w:rPr>
        <w:t xml:space="preserve">According to the graph presented below, it can be observed that the ROE levels of Jerry plc are increased in the year 2019 compared to the previous year. Net income of the company decreased to 12.9 million GBP in 2019 from that of 18.3 million GBP in 2018. Therefore, it can be stated that the organisation somehow managed its lower </w:t>
      </w:r>
      <w:r w:rsidR="008B4B0F">
        <w:rPr>
          <w:rFonts w:eastAsia="Times New Roman" w:cs="Times New Roman"/>
          <w:color w:val="000000"/>
          <w:szCs w:val="24"/>
          <w:lang w:val="en-GB" w:eastAsia="en-GB"/>
        </w:rPr>
        <w:t>returns;</w:t>
      </w:r>
      <w:r>
        <w:rPr>
          <w:rFonts w:eastAsia="Times New Roman" w:cs="Times New Roman"/>
          <w:color w:val="000000"/>
          <w:szCs w:val="24"/>
          <w:lang w:val="en-GB" w:eastAsia="en-GB"/>
        </w:rPr>
        <w:t xml:space="preserve"> even there is a significant rise in its equity levels so far.</w:t>
      </w:r>
    </w:p>
    <w:p w:rsidR="00CF4AAB" w:rsidRDefault="00270EC8" w:rsidP="00CF4AAB">
      <w:pPr>
        <w:jc w:val="center"/>
        <w:rPr>
          <w:rFonts w:eastAsia="Times New Roman" w:cs="Times New Roman"/>
          <w:color w:val="000000"/>
          <w:szCs w:val="24"/>
          <w:lang w:val="en-GB" w:eastAsia="en-GB"/>
        </w:rPr>
      </w:pPr>
      <w:r>
        <w:rPr>
          <w:noProof/>
        </w:rPr>
        <w:drawing>
          <wp:inline distT="0" distB="0" distL="0" distR="0">
            <wp:extent cx="5733415" cy="2992755"/>
            <wp:effectExtent l="0" t="0" r="635" b="0"/>
            <wp:docPr id="1"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CF4AAB" w:rsidRPr="00DA062F" w:rsidRDefault="00270EC8" w:rsidP="00CF4AAB">
      <w:pPr>
        <w:jc w:val="center"/>
        <w:rPr>
          <w:rFonts w:cs="Times New Roman"/>
          <w:b/>
          <w:szCs w:val="24"/>
          <w:lang w:val="en-US"/>
        </w:rPr>
      </w:pPr>
      <w:r w:rsidRPr="00DA062F">
        <w:rPr>
          <w:rFonts w:cs="Times New Roman"/>
          <w:b/>
          <w:szCs w:val="24"/>
          <w:lang w:val="en-US"/>
        </w:rPr>
        <w:t>Figure 1: R</w:t>
      </w:r>
      <w:r>
        <w:rPr>
          <w:rFonts w:cs="Times New Roman"/>
          <w:b/>
          <w:szCs w:val="24"/>
          <w:lang w:val="en-US"/>
        </w:rPr>
        <w:t>eturn on capital employed</w:t>
      </w:r>
      <w:r w:rsidRPr="00DA062F">
        <w:rPr>
          <w:rFonts w:cs="Times New Roman"/>
          <w:b/>
          <w:szCs w:val="24"/>
          <w:lang w:val="en-US"/>
        </w:rPr>
        <w:t xml:space="preserve"> and ROE</w:t>
      </w:r>
    </w:p>
    <w:p w:rsidR="00CF4AAB" w:rsidRDefault="00270EC8" w:rsidP="00CF4AAB">
      <w:pPr>
        <w:jc w:val="center"/>
        <w:rPr>
          <w:rFonts w:cs="Times New Roman"/>
          <w:szCs w:val="24"/>
          <w:lang w:val="en-US"/>
        </w:rPr>
      </w:pPr>
      <w:r w:rsidRPr="00DA062F">
        <w:rPr>
          <w:rFonts w:cs="Times New Roman"/>
          <w:szCs w:val="24"/>
          <w:lang w:val="en-US"/>
        </w:rPr>
        <w:t>(Source: Created by Researcher)</w:t>
      </w:r>
    </w:p>
    <w:p w:rsidR="00CF4AAB" w:rsidRPr="00BE2E6F" w:rsidRDefault="00270EC8" w:rsidP="00CF4AAB">
      <w:pPr>
        <w:rPr>
          <w:rFonts w:eastAsia="Times New Roman" w:cs="Times New Roman"/>
          <w:color w:val="000000"/>
          <w:szCs w:val="24"/>
          <w:lang w:val="en-GB" w:eastAsia="en-GB"/>
        </w:rPr>
      </w:pPr>
      <w:r>
        <w:rPr>
          <w:rFonts w:eastAsia="Times New Roman" w:cs="Times New Roman"/>
          <w:color w:val="000000"/>
          <w:szCs w:val="24"/>
          <w:lang w:val="en-GB" w:eastAsia="en-GB"/>
        </w:rPr>
        <w:lastRenderedPageBreak/>
        <w:t>Similarly, the ratios of the return on capital employed (ROCE) give an estimation on how much is return on the capital that a company invested in supporting its operations. From the above graph, it is clear that there is a 0.02 amount of declination in ROCE. The current EBIT of the company is very low; still, the increase in liabilities and decrease in total assets automatically resulted in high capital invested for expansion. The ROCE ration was over 0.18 in 2018, but that lower down to less than 0.14 in 2019.</w:t>
      </w:r>
    </w:p>
    <w:p w:rsidR="00CF4AAB" w:rsidRDefault="00270EC8" w:rsidP="00CF4AAB">
      <w:pPr>
        <w:rPr>
          <w:rFonts w:cs="Times New Roman"/>
          <w:b/>
          <w:szCs w:val="24"/>
          <w:lang w:val="en-US"/>
        </w:rPr>
      </w:pPr>
      <w:r>
        <w:rPr>
          <w:rFonts w:cs="Times New Roman"/>
          <w:b/>
          <w:szCs w:val="24"/>
          <w:lang w:val="en-US"/>
        </w:rPr>
        <w:t>S</w:t>
      </w:r>
      <w:r w:rsidRPr="00DA062F">
        <w:rPr>
          <w:rFonts w:cs="Times New Roman"/>
          <w:b/>
          <w:szCs w:val="24"/>
          <w:lang w:val="en-US"/>
        </w:rPr>
        <w:t>tock holding period</w:t>
      </w:r>
      <w:r>
        <w:rPr>
          <w:rFonts w:cs="Times New Roman"/>
          <w:b/>
          <w:szCs w:val="24"/>
          <w:lang w:val="en-US"/>
        </w:rPr>
        <w:t xml:space="preserve"> and </w:t>
      </w:r>
      <w:r w:rsidRPr="00DA062F">
        <w:rPr>
          <w:rFonts w:cs="Times New Roman"/>
          <w:b/>
          <w:szCs w:val="24"/>
          <w:lang w:val="en-US"/>
        </w:rPr>
        <w:t>Debtors’ collection</w:t>
      </w:r>
    </w:p>
    <w:p w:rsidR="00CF4AAB" w:rsidRDefault="00270EC8" w:rsidP="00CF4AAB">
      <w:pPr>
        <w:rPr>
          <w:rFonts w:cs="Times New Roman"/>
          <w:bCs/>
          <w:szCs w:val="24"/>
          <w:lang w:val="en-US"/>
        </w:rPr>
      </w:pPr>
      <w:r>
        <w:rPr>
          <w:rFonts w:cs="Times New Roman"/>
          <w:bCs/>
          <w:szCs w:val="24"/>
          <w:lang w:val="en-US"/>
        </w:rPr>
        <w:t>The stock holding period is simply the duration until when a product can behold before its market introduction. Companies hold their product for various reasons, such as less demand for the product in the market or estimate revenue from the product is less than expectation</w:t>
      </w:r>
      <w:r w:rsidR="002D15DB">
        <w:rPr>
          <w:rFonts w:cs="Times New Roman"/>
          <w:bCs/>
          <w:szCs w:val="24"/>
          <w:lang w:val="en-US"/>
        </w:rPr>
        <w:t xml:space="preserve"> (</w:t>
      </w:r>
      <w:proofErr w:type="spellStart"/>
      <w:r w:rsidR="002D15DB" w:rsidRPr="00136C27">
        <w:rPr>
          <w:rFonts w:cs="Times New Roman"/>
          <w:szCs w:val="24"/>
          <w:shd w:val="clear" w:color="auto" w:fill="FFFFFF"/>
        </w:rPr>
        <w:t>Liivamägi</w:t>
      </w:r>
      <w:proofErr w:type="spellEnd"/>
      <w:r w:rsidR="002D15DB">
        <w:rPr>
          <w:rFonts w:cs="Times New Roman"/>
          <w:szCs w:val="24"/>
          <w:shd w:val="clear" w:color="auto" w:fill="FFFFFF"/>
        </w:rPr>
        <w:t>, 2016, p. 119</w:t>
      </w:r>
      <w:r w:rsidR="002D15DB">
        <w:rPr>
          <w:rFonts w:cs="Times New Roman"/>
          <w:bCs/>
          <w:szCs w:val="24"/>
          <w:lang w:val="en-US"/>
        </w:rPr>
        <w:t>)</w:t>
      </w:r>
      <w:r>
        <w:rPr>
          <w:rFonts w:cs="Times New Roman"/>
          <w:bCs/>
          <w:szCs w:val="24"/>
          <w:lang w:val="en-US"/>
        </w:rPr>
        <w:t>. From the graph below, it can be seen that the stock holding period in 2018 was almost 50 days and it decreased to nearly 45 days in the year 2019. Therefore, it can be stated that Jerry plc finds increasing demand or greater profit from the products in 2019 compared to 2018.</w:t>
      </w:r>
    </w:p>
    <w:p w:rsidR="00CF4AAB" w:rsidRDefault="00270EC8" w:rsidP="00CF4AAB">
      <w:pPr>
        <w:jc w:val="center"/>
        <w:rPr>
          <w:rFonts w:cs="Times New Roman"/>
          <w:bCs/>
          <w:szCs w:val="24"/>
          <w:lang w:val="en-US"/>
        </w:rPr>
      </w:pPr>
      <w:r>
        <w:rPr>
          <w:noProof/>
        </w:rPr>
        <w:drawing>
          <wp:inline distT="0" distB="0" distL="0" distR="0">
            <wp:extent cx="4930140" cy="2971800"/>
            <wp:effectExtent l="0" t="0" r="3810" b="0"/>
            <wp:docPr id="2" name="Chart 2">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CF4AAB" w:rsidRPr="00DA062F" w:rsidRDefault="00270EC8" w:rsidP="00CF4AAB">
      <w:pPr>
        <w:jc w:val="center"/>
        <w:rPr>
          <w:rFonts w:cs="Times New Roman"/>
          <w:b/>
          <w:szCs w:val="24"/>
          <w:lang w:val="en-US"/>
        </w:rPr>
      </w:pPr>
      <w:r w:rsidRPr="00DA062F">
        <w:rPr>
          <w:rFonts w:cs="Times New Roman"/>
          <w:b/>
          <w:szCs w:val="24"/>
          <w:lang w:val="en-US"/>
        </w:rPr>
        <w:t xml:space="preserve">Figure </w:t>
      </w:r>
      <w:r>
        <w:rPr>
          <w:rFonts w:cs="Times New Roman"/>
          <w:b/>
          <w:szCs w:val="24"/>
          <w:lang w:val="en-US"/>
        </w:rPr>
        <w:t>2</w:t>
      </w:r>
      <w:r w:rsidRPr="00DA062F">
        <w:rPr>
          <w:rFonts w:cs="Times New Roman"/>
          <w:b/>
          <w:szCs w:val="24"/>
          <w:lang w:val="en-US"/>
        </w:rPr>
        <w:t xml:space="preserve">: </w:t>
      </w:r>
      <w:r>
        <w:rPr>
          <w:rFonts w:cs="Times New Roman"/>
          <w:b/>
          <w:szCs w:val="24"/>
          <w:lang w:val="en-US"/>
        </w:rPr>
        <w:t>Stock holding period and debtor’s collection</w:t>
      </w:r>
    </w:p>
    <w:p w:rsidR="00CF4AAB" w:rsidRDefault="00270EC8" w:rsidP="00CF4AAB">
      <w:pPr>
        <w:jc w:val="center"/>
        <w:rPr>
          <w:rFonts w:cs="Times New Roman"/>
          <w:szCs w:val="24"/>
          <w:lang w:val="en-US"/>
        </w:rPr>
      </w:pPr>
      <w:r w:rsidRPr="00DA062F">
        <w:rPr>
          <w:rFonts w:cs="Times New Roman"/>
          <w:szCs w:val="24"/>
          <w:lang w:val="en-US"/>
        </w:rPr>
        <w:t>(Source: Created by Researcher)</w:t>
      </w:r>
    </w:p>
    <w:p w:rsidR="00CF4AAB" w:rsidRDefault="00270EC8" w:rsidP="00CF4AAB">
      <w:pPr>
        <w:rPr>
          <w:rFonts w:cs="Times New Roman"/>
          <w:bCs/>
          <w:szCs w:val="24"/>
          <w:lang w:val="en-US"/>
        </w:rPr>
      </w:pPr>
      <w:r>
        <w:rPr>
          <w:rFonts w:cs="Times New Roman"/>
          <w:bCs/>
          <w:szCs w:val="24"/>
          <w:lang w:val="en-US"/>
        </w:rPr>
        <w:t xml:space="preserve">Again, from the above figure, one can see that the debtor's collection period increased in 2019 from 2018. This is because, in 2018, it was just over 56 days, but it became almost 61 days in 2019. Now, the debtor's collection period </w:t>
      </w:r>
      <w:r w:rsidR="005F0FB6">
        <w:rPr>
          <w:rFonts w:cs="Times New Roman"/>
          <w:bCs/>
          <w:szCs w:val="24"/>
          <w:lang w:val="en-US"/>
        </w:rPr>
        <w:t>gives</w:t>
      </w:r>
      <w:r>
        <w:rPr>
          <w:rFonts w:cs="Times New Roman"/>
          <w:bCs/>
          <w:szCs w:val="24"/>
          <w:lang w:val="en-US"/>
        </w:rPr>
        <w:t xml:space="preserve"> the duration to collect payments from consumers or other debtors after producing invoices</w:t>
      </w:r>
      <w:r w:rsidR="005F0FB6">
        <w:rPr>
          <w:rFonts w:cs="Times New Roman"/>
          <w:bCs/>
          <w:szCs w:val="24"/>
          <w:lang w:val="en-US"/>
        </w:rPr>
        <w:t xml:space="preserve"> (</w:t>
      </w:r>
      <w:r w:rsidR="005F0FB6" w:rsidRPr="00471915">
        <w:rPr>
          <w:rFonts w:cs="Times New Roman"/>
          <w:szCs w:val="24"/>
          <w:shd w:val="clear" w:color="auto" w:fill="FFFFFF"/>
        </w:rPr>
        <w:t>Patel</w:t>
      </w:r>
      <w:r w:rsidR="005F0FB6">
        <w:rPr>
          <w:rFonts w:cs="Times New Roman"/>
          <w:szCs w:val="24"/>
          <w:shd w:val="clear" w:color="auto" w:fill="FFFFFF"/>
        </w:rPr>
        <w:t>, 2019, p. 27</w:t>
      </w:r>
      <w:r w:rsidR="005F0FB6">
        <w:rPr>
          <w:rFonts w:cs="Times New Roman"/>
          <w:bCs/>
          <w:szCs w:val="24"/>
          <w:lang w:val="en-US"/>
        </w:rPr>
        <w:t>)</w:t>
      </w:r>
      <w:r>
        <w:rPr>
          <w:rFonts w:cs="Times New Roman"/>
          <w:bCs/>
          <w:szCs w:val="24"/>
          <w:lang w:val="en-US"/>
        </w:rPr>
        <w:t xml:space="preserve">. Increased period </w:t>
      </w:r>
      <w:r w:rsidR="005F0FB6">
        <w:rPr>
          <w:rFonts w:cs="Times New Roman"/>
          <w:bCs/>
          <w:szCs w:val="24"/>
          <w:lang w:val="en-US"/>
        </w:rPr>
        <w:t>supports</w:t>
      </w:r>
      <w:r>
        <w:rPr>
          <w:rFonts w:cs="Times New Roman"/>
          <w:bCs/>
          <w:szCs w:val="24"/>
          <w:lang w:val="en-US"/>
        </w:rPr>
        <w:t xml:space="preserve"> the investment activities for a company as cash remains in the fund. </w:t>
      </w:r>
    </w:p>
    <w:p w:rsidR="0090140F" w:rsidRDefault="00270EC8" w:rsidP="00335AEF">
      <w:pPr>
        <w:rPr>
          <w:rFonts w:cs="Times New Roman"/>
          <w:b/>
          <w:szCs w:val="24"/>
          <w:lang w:val="en-US"/>
        </w:rPr>
      </w:pPr>
      <w:r w:rsidRPr="00DA062F">
        <w:rPr>
          <w:rFonts w:cs="Times New Roman"/>
          <w:b/>
          <w:szCs w:val="24"/>
          <w:lang w:val="en-US"/>
        </w:rPr>
        <w:t>Asset Turnover</w:t>
      </w:r>
      <w:r>
        <w:rPr>
          <w:rFonts w:cs="Times New Roman"/>
          <w:b/>
          <w:szCs w:val="24"/>
          <w:lang w:val="en-US"/>
        </w:rPr>
        <w:t xml:space="preserve">, </w:t>
      </w:r>
      <w:r w:rsidR="007D5FC5" w:rsidRPr="00DA062F">
        <w:rPr>
          <w:rFonts w:cs="Times New Roman"/>
          <w:b/>
          <w:szCs w:val="24"/>
          <w:lang w:val="en-US"/>
        </w:rPr>
        <w:t>Gross profit margin</w:t>
      </w:r>
      <w:r w:rsidR="007D5FC5">
        <w:rPr>
          <w:rFonts w:cs="Times New Roman"/>
          <w:b/>
          <w:szCs w:val="24"/>
          <w:lang w:val="en-US"/>
        </w:rPr>
        <w:t xml:space="preserve"> and </w:t>
      </w:r>
      <w:r w:rsidR="007D5FC5" w:rsidRPr="00DA062F">
        <w:rPr>
          <w:rFonts w:cs="Times New Roman"/>
          <w:b/>
          <w:szCs w:val="24"/>
          <w:lang w:val="en-US"/>
        </w:rPr>
        <w:t>Current Ratio</w:t>
      </w:r>
    </w:p>
    <w:p w:rsidR="00BE2E6F" w:rsidRDefault="00270EC8" w:rsidP="00335AEF">
      <w:pPr>
        <w:rPr>
          <w:rFonts w:cs="Times New Roman"/>
          <w:bCs/>
          <w:szCs w:val="24"/>
          <w:lang w:val="en-US"/>
        </w:rPr>
      </w:pPr>
      <w:r>
        <w:rPr>
          <w:rFonts w:cs="Times New Roman"/>
          <w:bCs/>
          <w:szCs w:val="24"/>
          <w:lang w:val="en-US"/>
        </w:rPr>
        <w:lastRenderedPageBreak/>
        <w:t>Asset turnover depicted how a company used its assets and converted it to its profits</w:t>
      </w:r>
      <w:r w:rsidR="00980D91">
        <w:rPr>
          <w:rFonts w:cs="Times New Roman"/>
          <w:bCs/>
          <w:szCs w:val="24"/>
          <w:lang w:val="en-US"/>
        </w:rPr>
        <w:t xml:space="preserve"> (</w:t>
      </w:r>
      <w:proofErr w:type="spellStart"/>
      <w:r w:rsidR="00980D91" w:rsidRPr="00471915">
        <w:rPr>
          <w:rFonts w:cs="Times New Roman"/>
          <w:szCs w:val="24"/>
          <w:shd w:val="clear" w:color="auto" w:fill="FFFFFF"/>
        </w:rPr>
        <w:t>Ginting</w:t>
      </w:r>
      <w:proofErr w:type="spellEnd"/>
      <w:r w:rsidR="00980D91">
        <w:rPr>
          <w:rFonts w:cs="Times New Roman"/>
          <w:szCs w:val="24"/>
          <w:shd w:val="clear" w:color="auto" w:fill="FFFFFF"/>
        </w:rPr>
        <w:t>, 2018, p. 169</w:t>
      </w:r>
      <w:r w:rsidR="00980D91">
        <w:rPr>
          <w:rFonts w:cs="Times New Roman"/>
          <w:bCs/>
          <w:szCs w:val="24"/>
          <w:lang w:val="en-US"/>
        </w:rPr>
        <w:t>)</w:t>
      </w:r>
      <w:r>
        <w:rPr>
          <w:rFonts w:cs="Times New Roman"/>
          <w:bCs/>
          <w:szCs w:val="24"/>
          <w:lang w:val="en-US"/>
        </w:rPr>
        <w:t>. For Jerry plc, the asset turnover in the financial year 2018 was approximately 1.65. On the other hand, it increases to 1.75 in the accounting year 2019. That means, the company used its assets more effectively in the current year.</w:t>
      </w:r>
    </w:p>
    <w:p w:rsidR="00136594" w:rsidRDefault="00270EC8" w:rsidP="00335AEF">
      <w:pPr>
        <w:rPr>
          <w:rFonts w:cs="Times New Roman"/>
          <w:bCs/>
          <w:szCs w:val="24"/>
          <w:lang w:val="en-US"/>
        </w:rPr>
      </w:pPr>
      <w:r>
        <w:rPr>
          <w:rFonts w:cs="Times New Roman"/>
          <w:bCs/>
          <w:szCs w:val="24"/>
          <w:lang w:val="en-US"/>
        </w:rPr>
        <w:t xml:space="preserve">The gross profit margin of the company remains almost the same in both of the years that valued practically equal to 0.38. </w:t>
      </w:r>
      <w:r w:rsidR="00740971">
        <w:rPr>
          <w:rFonts w:cs="Times New Roman"/>
          <w:bCs/>
          <w:szCs w:val="24"/>
          <w:lang w:val="en-US"/>
        </w:rPr>
        <w:t>That means the difference between revenue and cost of good remains nearly the same in both of the years</w:t>
      </w:r>
      <w:r w:rsidR="00CD2B13">
        <w:rPr>
          <w:rFonts w:cs="Times New Roman"/>
          <w:bCs/>
          <w:szCs w:val="24"/>
          <w:lang w:val="en-US"/>
        </w:rPr>
        <w:t xml:space="preserve"> (</w:t>
      </w:r>
      <w:r w:rsidR="00CD2B13" w:rsidRPr="00471915">
        <w:rPr>
          <w:rFonts w:cs="Times New Roman"/>
          <w:szCs w:val="24"/>
          <w:shd w:val="clear" w:color="auto" w:fill="FFFFFF"/>
        </w:rPr>
        <w:t>Wijaya</w:t>
      </w:r>
      <w:r w:rsidR="00CD2B13">
        <w:rPr>
          <w:rFonts w:cs="Times New Roman"/>
          <w:szCs w:val="24"/>
          <w:shd w:val="clear" w:color="auto" w:fill="FFFFFF"/>
        </w:rPr>
        <w:t xml:space="preserve"> </w:t>
      </w:r>
      <w:r w:rsidR="00CD2B13">
        <w:rPr>
          <w:rFonts w:cs="Times New Roman"/>
          <w:i/>
          <w:iCs/>
          <w:szCs w:val="24"/>
          <w:shd w:val="clear" w:color="auto" w:fill="FFFFFF"/>
        </w:rPr>
        <w:t xml:space="preserve">et al. </w:t>
      </w:r>
      <w:r w:rsidR="00CD2B13">
        <w:rPr>
          <w:rFonts w:cs="Times New Roman"/>
          <w:szCs w:val="24"/>
          <w:shd w:val="clear" w:color="auto" w:fill="FFFFFF"/>
        </w:rPr>
        <w:t>2020, p. 71</w:t>
      </w:r>
      <w:r w:rsidR="00CD2B13">
        <w:rPr>
          <w:rFonts w:cs="Times New Roman"/>
          <w:bCs/>
          <w:szCs w:val="24"/>
          <w:lang w:val="en-US"/>
        </w:rPr>
        <w:t>)</w:t>
      </w:r>
      <w:r w:rsidR="00740971">
        <w:rPr>
          <w:rFonts w:cs="Times New Roman"/>
          <w:bCs/>
          <w:szCs w:val="24"/>
          <w:lang w:val="en-US"/>
        </w:rPr>
        <w:t>. The graph presented below shows the asset turnover, gross profit margin together with the current ratio of Jerry plc.</w:t>
      </w:r>
    </w:p>
    <w:p w:rsidR="00740971" w:rsidRDefault="00270EC8" w:rsidP="00740971">
      <w:pPr>
        <w:jc w:val="center"/>
        <w:rPr>
          <w:rFonts w:cs="Times New Roman"/>
          <w:bCs/>
          <w:szCs w:val="24"/>
          <w:lang w:val="en-US"/>
        </w:rPr>
      </w:pPr>
      <w:r>
        <w:rPr>
          <w:noProof/>
        </w:rPr>
        <w:drawing>
          <wp:inline distT="0" distB="0" distL="0" distR="0">
            <wp:extent cx="5684520" cy="3741420"/>
            <wp:effectExtent l="0" t="0" r="11430" b="11430"/>
            <wp:docPr id="3" name="Chart 3">
              <a:extLst xmlns:a="http://schemas.openxmlformats.org/drawingml/2006/main">
                <a:ext uri="{FF2B5EF4-FFF2-40B4-BE49-F238E27FC236}">
                  <a16:creationId xmlns:a16="http://schemas.microsoft.com/office/drawing/2014/main"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740971" w:rsidRPr="00DA062F" w:rsidRDefault="00270EC8" w:rsidP="00740971">
      <w:pPr>
        <w:jc w:val="center"/>
        <w:rPr>
          <w:rFonts w:cs="Times New Roman"/>
          <w:b/>
          <w:szCs w:val="24"/>
          <w:lang w:val="en-US"/>
        </w:rPr>
      </w:pPr>
      <w:bookmarkStart w:id="8" w:name="_Hlk49336314"/>
      <w:r w:rsidRPr="00DA062F">
        <w:rPr>
          <w:rFonts w:cs="Times New Roman"/>
          <w:b/>
          <w:szCs w:val="24"/>
          <w:lang w:val="en-US"/>
        </w:rPr>
        <w:t xml:space="preserve">Figure 3: </w:t>
      </w:r>
      <w:r>
        <w:rPr>
          <w:rFonts w:cs="Times New Roman"/>
          <w:b/>
          <w:szCs w:val="24"/>
          <w:lang w:val="en-US"/>
        </w:rPr>
        <w:t>A</w:t>
      </w:r>
      <w:r w:rsidRPr="00DA062F">
        <w:rPr>
          <w:rFonts w:cs="Times New Roman"/>
          <w:b/>
          <w:szCs w:val="24"/>
          <w:lang w:val="en-US"/>
        </w:rPr>
        <w:t>sset turnover ratio</w:t>
      </w:r>
      <w:r>
        <w:rPr>
          <w:rFonts w:cs="Times New Roman"/>
          <w:b/>
          <w:szCs w:val="24"/>
          <w:lang w:val="en-US"/>
        </w:rPr>
        <w:t>, Gross</w:t>
      </w:r>
      <w:r w:rsidRPr="00DA062F">
        <w:rPr>
          <w:rFonts w:cs="Times New Roman"/>
          <w:b/>
          <w:szCs w:val="24"/>
          <w:lang w:val="en-US"/>
        </w:rPr>
        <w:t xml:space="preserve"> Profit </w:t>
      </w:r>
      <w:r>
        <w:rPr>
          <w:rFonts w:cs="Times New Roman"/>
          <w:b/>
          <w:szCs w:val="24"/>
          <w:lang w:val="en-US"/>
        </w:rPr>
        <w:t>margin, and</w:t>
      </w:r>
      <w:r w:rsidRPr="00DA062F">
        <w:rPr>
          <w:rFonts w:cs="Times New Roman"/>
          <w:b/>
          <w:szCs w:val="24"/>
          <w:lang w:val="en-US"/>
        </w:rPr>
        <w:t xml:space="preserve"> a current ratio </w:t>
      </w:r>
    </w:p>
    <w:p w:rsidR="00740971" w:rsidRDefault="00270EC8" w:rsidP="00740971">
      <w:pPr>
        <w:jc w:val="center"/>
        <w:rPr>
          <w:rFonts w:cs="Times New Roman"/>
          <w:szCs w:val="24"/>
          <w:lang w:val="en-US"/>
        </w:rPr>
      </w:pPr>
      <w:r w:rsidRPr="00DA062F">
        <w:rPr>
          <w:rFonts w:cs="Times New Roman"/>
          <w:szCs w:val="24"/>
          <w:lang w:val="en-US"/>
        </w:rPr>
        <w:t>(Source: Created by Researcher)</w:t>
      </w:r>
      <w:bookmarkEnd w:id="8"/>
    </w:p>
    <w:p w:rsidR="00740971" w:rsidRPr="00BE2E6F" w:rsidRDefault="00270EC8" w:rsidP="00740971">
      <w:pPr>
        <w:rPr>
          <w:rFonts w:cs="Times New Roman"/>
          <w:bCs/>
          <w:szCs w:val="24"/>
          <w:lang w:val="en-US"/>
        </w:rPr>
      </w:pPr>
      <w:r>
        <w:rPr>
          <w:rFonts w:cs="Times New Roman"/>
          <w:bCs/>
          <w:szCs w:val="24"/>
          <w:lang w:val="en-US"/>
        </w:rPr>
        <w:t xml:space="preserve">Hence, the current ratio of the company decreased in the current year from the previous year. The rounded values of gross profit margin in 2018 and 2019 are 1.98 and 1.89 respectively. </w:t>
      </w:r>
      <w:r w:rsidR="001141EC">
        <w:rPr>
          <w:rFonts w:cs="Times New Roman"/>
          <w:bCs/>
          <w:szCs w:val="24"/>
          <w:lang w:val="en-US"/>
        </w:rPr>
        <w:t xml:space="preserve">The primary reasons for this decrease </w:t>
      </w:r>
      <w:r w:rsidR="00CF4AAB">
        <w:rPr>
          <w:rFonts w:cs="Times New Roman"/>
          <w:bCs/>
          <w:szCs w:val="24"/>
          <w:lang w:val="en-US"/>
        </w:rPr>
        <w:t>are</w:t>
      </w:r>
      <w:r w:rsidR="001141EC">
        <w:rPr>
          <w:rFonts w:cs="Times New Roman"/>
          <w:bCs/>
          <w:szCs w:val="24"/>
          <w:lang w:val="en-US"/>
        </w:rPr>
        <w:t xml:space="preserve"> rise in the liabilities and fall in the current assets as well</w:t>
      </w:r>
      <w:r w:rsidR="00947525">
        <w:rPr>
          <w:rFonts w:cs="Times New Roman"/>
          <w:bCs/>
          <w:szCs w:val="24"/>
          <w:lang w:val="en-US"/>
        </w:rPr>
        <w:t xml:space="preserve"> (</w:t>
      </w:r>
      <w:proofErr w:type="spellStart"/>
      <w:r w:rsidR="00947525" w:rsidRPr="00471915">
        <w:rPr>
          <w:rFonts w:cs="Times New Roman"/>
          <w:szCs w:val="24"/>
          <w:shd w:val="clear" w:color="auto" w:fill="FFFFFF"/>
        </w:rPr>
        <w:t>Öztürk</w:t>
      </w:r>
      <w:proofErr w:type="spellEnd"/>
      <w:r w:rsidR="00947525">
        <w:rPr>
          <w:rFonts w:cs="Times New Roman"/>
          <w:szCs w:val="24"/>
          <w:shd w:val="clear" w:color="auto" w:fill="FFFFFF"/>
        </w:rPr>
        <w:t xml:space="preserve"> and </w:t>
      </w:r>
      <w:proofErr w:type="spellStart"/>
      <w:r w:rsidR="00947525" w:rsidRPr="00471915">
        <w:rPr>
          <w:rFonts w:cs="Times New Roman"/>
          <w:szCs w:val="24"/>
          <w:shd w:val="clear" w:color="auto" w:fill="FFFFFF"/>
        </w:rPr>
        <w:t>Karabulut</w:t>
      </w:r>
      <w:proofErr w:type="spellEnd"/>
      <w:r w:rsidR="00947525">
        <w:rPr>
          <w:rFonts w:cs="Times New Roman"/>
          <w:szCs w:val="24"/>
          <w:shd w:val="clear" w:color="auto" w:fill="FFFFFF"/>
        </w:rPr>
        <w:t>, 2018, p. 113</w:t>
      </w:r>
      <w:r w:rsidR="00947525">
        <w:rPr>
          <w:rFonts w:cs="Times New Roman"/>
          <w:bCs/>
          <w:szCs w:val="24"/>
          <w:lang w:val="en-US"/>
        </w:rPr>
        <w:t>)</w:t>
      </w:r>
      <w:r w:rsidR="001141EC">
        <w:rPr>
          <w:rFonts w:cs="Times New Roman"/>
          <w:bCs/>
          <w:szCs w:val="24"/>
          <w:lang w:val="en-US"/>
        </w:rPr>
        <w:t xml:space="preserve">. </w:t>
      </w:r>
      <w:r w:rsidR="00B967FC">
        <w:rPr>
          <w:rFonts w:cs="Times New Roman"/>
          <w:bCs/>
          <w:szCs w:val="24"/>
          <w:lang w:val="en-US"/>
        </w:rPr>
        <w:t xml:space="preserve">The liquidity base of the company is </w:t>
      </w:r>
      <w:proofErr w:type="spellStart"/>
      <w:r w:rsidR="00B967FC">
        <w:rPr>
          <w:rFonts w:cs="Times New Roman"/>
          <w:bCs/>
          <w:szCs w:val="24"/>
          <w:lang w:val="en-US"/>
        </w:rPr>
        <w:t>destabilised</w:t>
      </w:r>
      <w:proofErr w:type="spellEnd"/>
      <w:r w:rsidR="00B967FC">
        <w:rPr>
          <w:rFonts w:cs="Times New Roman"/>
          <w:bCs/>
          <w:szCs w:val="24"/>
          <w:lang w:val="en-US"/>
        </w:rPr>
        <w:t xml:space="preserve"> as it is very relied on the asset base funding to meet the debts' obligations so far.</w:t>
      </w:r>
    </w:p>
    <w:p w:rsidR="007D5FC5" w:rsidRDefault="00270EC8" w:rsidP="00335AEF">
      <w:pPr>
        <w:rPr>
          <w:rFonts w:cs="Times New Roman"/>
          <w:b/>
          <w:szCs w:val="24"/>
          <w:lang w:val="en-US"/>
        </w:rPr>
      </w:pPr>
      <w:r w:rsidRPr="00DA062F">
        <w:rPr>
          <w:rFonts w:cs="Times New Roman"/>
          <w:b/>
          <w:szCs w:val="24"/>
          <w:lang w:val="en-US"/>
        </w:rPr>
        <w:t>Gearing Ratio</w:t>
      </w:r>
      <w:r>
        <w:rPr>
          <w:rFonts w:cs="Times New Roman"/>
          <w:b/>
          <w:szCs w:val="24"/>
          <w:lang w:val="en-US"/>
        </w:rPr>
        <w:t xml:space="preserve"> and </w:t>
      </w:r>
      <w:r w:rsidRPr="00DA062F">
        <w:rPr>
          <w:rFonts w:cs="Times New Roman"/>
          <w:b/>
          <w:szCs w:val="24"/>
          <w:lang w:val="en-US"/>
        </w:rPr>
        <w:t>Interest Cover</w:t>
      </w:r>
    </w:p>
    <w:p w:rsidR="00BE2E6F" w:rsidRDefault="00270EC8" w:rsidP="00335AEF">
      <w:pPr>
        <w:rPr>
          <w:bCs/>
          <w:lang w:val="en-GB"/>
        </w:rPr>
      </w:pPr>
      <w:r>
        <w:rPr>
          <w:bCs/>
          <w:lang w:val="en-GB"/>
        </w:rPr>
        <w:t>The gearing ratio provides the division between the equity of the company and liabilities or funds borrowed by it.</w:t>
      </w:r>
      <w:r w:rsidR="00553E59">
        <w:rPr>
          <w:bCs/>
          <w:lang w:val="en-GB"/>
        </w:rPr>
        <w:t xml:space="preserve"> Here the gearing ratio of Jerry plc is decreased, that means the debts </w:t>
      </w:r>
      <w:r w:rsidR="00553E59">
        <w:rPr>
          <w:bCs/>
          <w:lang w:val="en-GB"/>
        </w:rPr>
        <w:lastRenderedPageBreak/>
        <w:t>become higher than the equity</w:t>
      </w:r>
      <w:r w:rsidR="00E57B7A">
        <w:rPr>
          <w:bCs/>
          <w:lang w:val="en-GB"/>
        </w:rPr>
        <w:t xml:space="preserve"> (</w:t>
      </w:r>
      <w:proofErr w:type="spellStart"/>
      <w:r w:rsidR="00E57B7A" w:rsidRPr="00471915">
        <w:rPr>
          <w:rFonts w:cs="Times New Roman"/>
          <w:szCs w:val="24"/>
          <w:shd w:val="clear" w:color="auto" w:fill="FFFFFF"/>
        </w:rPr>
        <w:t>Muthee</w:t>
      </w:r>
      <w:proofErr w:type="spellEnd"/>
      <w:r w:rsidR="00E57B7A">
        <w:rPr>
          <w:rFonts w:cs="Times New Roman"/>
          <w:szCs w:val="24"/>
          <w:shd w:val="clear" w:color="auto" w:fill="FFFFFF"/>
        </w:rPr>
        <w:t xml:space="preserve"> </w:t>
      </w:r>
      <w:r w:rsidR="00E57B7A">
        <w:rPr>
          <w:rFonts w:cs="Times New Roman"/>
          <w:i/>
          <w:iCs/>
          <w:szCs w:val="24"/>
          <w:shd w:val="clear" w:color="auto" w:fill="FFFFFF"/>
        </w:rPr>
        <w:t xml:space="preserve">et al. </w:t>
      </w:r>
      <w:r w:rsidR="00E57B7A">
        <w:rPr>
          <w:rFonts w:cs="Times New Roman"/>
          <w:szCs w:val="24"/>
          <w:shd w:val="clear" w:color="auto" w:fill="FFFFFF"/>
        </w:rPr>
        <w:t>2018, p. 39</w:t>
      </w:r>
      <w:r w:rsidR="00E57B7A">
        <w:rPr>
          <w:bCs/>
          <w:lang w:val="en-GB"/>
        </w:rPr>
        <w:t>)</w:t>
      </w:r>
      <w:r w:rsidR="00553E59">
        <w:rPr>
          <w:bCs/>
          <w:lang w:val="en-GB"/>
        </w:rPr>
        <w:t xml:space="preserve">. </w:t>
      </w:r>
      <w:r w:rsidR="00FB38CF">
        <w:rPr>
          <w:bCs/>
          <w:lang w:val="en-GB"/>
        </w:rPr>
        <w:t xml:space="preserve">The value for gearing ratio is 2.07 in 2019, and that is 2.66 in 2018, which gives a sharp decline of 0.59 in one-year duration. The values can be better </w:t>
      </w:r>
      <w:r w:rsidR="00126B5D">
        <w:rPr>
          <w:bCs/>
          <w:lang w:val="en-GB"/>
        </w:rPr>
        <w:t>visualising</w:t>
      </w:r>
      <w:r w:rsidR="00FB38CF">
        <w:rPr>
          <w:bCs/>
          <w:lang w:val="en-GB"/>
        </w:rPr>
        <w:t xml:space="preserve"> from the graph below.</w:t>
      </w:r>
    </w:p>
    <w:p w:rsidR="00FB38CF" w:rsidRDefault="00270EC8" w:rsidP="00FB38CF">
      <w:pPr>
        <w:jc w:val="center"/>
        <w:rPr>
          <w:bCs/>
          <w:lang w:val="en-GB"/>
        </w:rPr>
      </w:pPr>
      <w:r>
        <w:rPr>
          <w:noProof/>
        </w:rPr>
        <w:drawing>
          <wp:inline distT="0" distB="0" distL="0" distR="0">
            <wp:extent cx="4572000" cy="2743200"/>
            <wp:effectExtent l="0" t="0" r="0" b="0"/>
            <wp:docPr id="4" name="Chart 4">
              <a:extLst xmlns:a="http://schemas.openxmlformats.org/drawingml/2006/main">
                <a:ext uri="{FF2B5EF4-FFF2-40B4-BE49-F238E27FC236}">
                  <a16:creationId xmlns:a16="http://schemas.microsoft.com/office/drawing/2014/main" id="{996695DA-CE00-4DC5-B23E-3CFBE591F2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FB38CF" w:rsidRPr="00FB38CF" w:rsidRDefault="00270EC8" w:rsidP="00FB38CF">
      <w:pPr>
        <w:jc w:val="center"/>
        <w:rPr>
          <w:b/>
          <w:lang w:val="en-GB"/>
        </w:rPr>
      </w:pPr>
      <w:r>
        <w:rPr>
          <w:b/>
          <w:lang w:val="en-GB"/>
        </w:rPr>
        <w:t>Figure 4: Gearing ratio and interest cover</w:t>
      </w:r>
    </w:p>
    <w:p w:rsidR="00FB38CF" w:rsidRDefault="00270EC8" w:rsidP="00FB38CF">
      <w:pPr>
        <w:jc w:val="center"/>
        <w:rPr>
          <w:bCs/>
          <w:lang w:val="en-GB"/>
        </w:rPr>
      </w:pPr>
      <w:r>
        <w:rPr>
          <w:bCs/>
          <w:lang w:val="en-GB"/>
        </w:rPr>
        <w:t>(Source: Created by Researcher)</w:t>
      </w:r>
    </w:p>
    <w:p w:rsidR="000048F1" w:rsidRDefault="00270EC8" w:rsidP="000048F1">
      <w:pPr>
        <w:rPr>
          <w:bCs/>
          <w:lang w:val="en-GB"/>
        </w:rPr>
      </w:pPr>
      <w:r>
        <w:rPr>
          <w:bCs/>
          <w:lang w:val="en-GB"/>
        </w:rPr>
        <w:t xml:space="preserve">On the other hand, the interest cover ratio was also decreased from 3.32 in 2018 to 2.30 in 2019. </w:t>
      </w:r>
      <w:r w:rsidR="00FD6704">
        <w:rPr>
          <w:bCs/>
          <w:lang w:val="en-GB"/>
        </w:rPr>
        <w:t>Interest cover is the measurement of a company's ability to respect its debt payment</w:t>
      </w:r>
      <w:r w:rsidR="00126B5D">
        <w:rPr>
          <w:bCs/>
          <w:lang w:val="en-GB"/>
        </w:rPr>
        <w:t xml:space="preserve"> ()</w:t>
      </w:r>
      <w:r w:rsidR="00FD6704">
        <w:rPr>
          <w:bCs/>
          <w:lang w:val="en-GB"/>
        </w:rPr>
        <w:t>. Thus, this is clear from the above picture that this ability is decreasing in Jerry plc, and it must look over it.</w:t>
      </w:r>
    </w:p>
    <w:p w:rsidR="00BE2E6F" w:rsidRDefault="00270EC8" w:rsidP="00BE2E6F">
      <w:pPr>
        <w:pStyle w:val="Heading1"/>
        <w:rPr>
          <w:lang w:val="en-GB"/>
        </w:rPr>
      </w:pPr>
      <w:bookmarkStart w:id="9" w:name="_Toc49345341"/>
      <w:r>
        <w:rPr>
          <w:lang w:val="en-GB"/>
        </w:rPr>
        <w:t>Question 3</w:t>
      </w:r>
      <w:bookmarkEnd w:id="9"/>
    </w:p>
    <w:p w:rsidR="00BE2E6F" w:rsidRDefault="00270EC8" w:rsidP="00AB0A5E">
      <w:pPr>
        <w:pStyle w:val="Heading2"/>
        <w:rPr>
          <w:lang w:val="en-GB"/>
        </w:rPr>
      </w:pPr>
      <w:bookmarkStart w:id="10" w:name="_Toc49345342"/>
      <w:r>
        <w:rPr>
          <w:lang w:val="en-GB"/>
        </w:rPr>
        <w:t>a) User groups interested in financial statements</w:t>
      </w:r>
      <w:bookmarkEnd w:id="10"/>
    </w:p>
    <w:p w:rsidR="00AB0A5E" w:rsidRPr="000E5465" w:rsidRDefault="00270EC8" w:rsidP="00AB0A5E">
      <w:pPr>
        <w:rPr>
          <w:b/>
          <w:bCs/>
          <w:i/>
          <w:iCs/>
          <w:lang w:val="en-GB"/>
        </w:rPr>
      </w:pPr>
      <w:r w:rsidRPr="000E5465">
        <w:rPr>
          <w:b/>
          <w:bCs/>
          <w:i/>
          <w:iCs/>
          <w:lang w:val="en-GB"/>
        </w:rPr>
        <w:t>Creditors and lenders</w:t>
      </w:r>
    </w:p>
    <w:p w:rsidR="00EC3C2F" w:rsidRDefault="00270EC8" w:rsidP="00AB0A5E">
      <w:pPr>
        <w:rPr>
          <w:lang w:val="en-GB"/>
        </w:rPr>
      </w:pPr>
      <w:r>
        <w:rPr>
          <w:lang w:val="en-GB"/>
        </w:rPr>
        <w:t>Short term liquidity is the foremost concerned of the creditor in the financial statement so they can understand if the business can repay in the short term or not.</w:t>
      </w:r>
    </w:p>
    <w:p w:rsidR="003A70EF" w:rsidRDefault="00270EC8" w:rsidP="00AB0A5E">
      <w:pPr>
        <w:rPr>
          <w:lang w:val="en-GB"/>
        </w:rPr>
      </w:pPr>
      <w:r>
        <w:rPr>
          <w:lang w:val="en-GB"/>
        </w:rPr>
        <w:t>Lenders have an interest in the financial statements of the company to analyse if the company is capable of taking the required loans and paying the attention so far.</w:t>
      </w:r>
    </w:p>
    <w:p w:rsidR="006E0480" w:rsidRPr="000E5465" w:rsidRDefault="00270EC8" w:rsidP="00AB0A5E">
      <w:pPr>
        <w:rPr>
          <w:b/>
          <w:bCs/>
          <w:i/>
          <w:iCs/>
          <w:lang w:val="en-GB"/>
        </w:rPr>
      </w:pPr>
      <w:r w:rsidRPr="000E5465">
        <w:rPr>
          <w:b/>
          <w:bCs/>
          <w:i/>
          <w:iCs/>
          <w:lang w:val="en-GB"/>
        </w:rPr>
        <w:t>Investors</w:t>
      </w:r>
    </w:p>
    <w:p w:rsidR="003A70EF" w:rsidRDefault="00270EC8" w:rsidP="00AB0A5E">
      <w:pPr>
        <w:rPr>
          <w:lang w:val="en-GB"/>
        </w:rPr>
      </w:pPr>
      <w:r>
        <w:rPr>
          <w:lang w:val="en-GB"/>
        </w:rPr>
        <w:t>Investors are interested in the reports to understand the financial risks in a proposed business and returns of their investments as well</w:t>
      </w:r>
      <w:r w:rsidR="00A80828" w:rsidRPr="00A80828">
        <w:rPr>
          <w:rFonts w:cs="Times New Roman"/>
          <w:szCs w:val="24"/>
          <w:shd w:val="clear" w:color="auto" w:fill="FFFFFF"/>
        </w:rPr>
        <w:t xml:space="preserve"> </w:t>
      </w:r>
      <w:r w:rsidR="00A80828">
        <w:rPr>
          <w:rFonts w:cs="Times New Roman"/>
          <w:szCs w:val="24"/>
          <w:shd w:val="clear" w:color="auto" w:fill="FFFFFF"/>
        </w:rPr>
        <w:t>(</w:t>
      </w:r>
      <w:proofErr w:type="spellStart"/>
      <w:r w:rsidR="00A80828" w:rsidRPr="00B739F0">
        <w:rPr>
          <w:rFonts w:cs="Times New Roman"/>
          <w:szCs w:val="24"/>
          <w:shd w:val="clear" w:color="auto" w:fill="FFFFFF"/>
        </w:rPr>
        <w:t>Aisah</w:t>
      </w:r>
      <w:proofErr w:type="spellEnd"/>
      <w:r w:rsidR="00A80828">
        <w:rPr>
          <w:rFonts w:cs="Times New Roman"/>
          <w:szCs w:val="24"/>
          <w:shd w:val="clear" w:color="auto" w:fill="FFFFFF"/>
        </w:rPr>
        <w:t xml:space="preserve"> and </w:t>
      </w:r>
      <w:r w:rsidR="00A80828" w:rsidRPr="00B739F0">
        <w:rPr>
          <w:rFonts w:cs="Times New Roman"/>
          <w:szCs w:val="24"/>
          <w:shd w:val="clear" w:color="auto" w:fill="FFFFFF"/>
        </w:rPr>
        <w:t>Mandala</w:t>
      </w:r>
      <w:r w:rsidR="00A80828">
        <w:rPr>
          <w:rFonts w:cs="Times New Roman"/>
          <w:szCs w:val="24"/>
          <w:shd w:val="clear" w:color="auto" w:fill="FFFFFF"/>
        </w:rPr>
        <w:t>, 2016, p. 11)</w:t>
      </w:r>
      <w:r>
        <w:rPr>
          <w:lang w:val="en-GB"/>
        </w:rPr>
        <w:t xml:space="preserve">. </w:t>
      </w:r>
      <w:r w:rsidR="00184659">
        <w:rPr>
          <w:lang w:val="en-GB"/>
        </w:rPr>
        <w:t>The statements also help them to understand the duration to do business with the company.</w:t>
      </w:r>
    </w:p>
    <w:p w:rsidR="006E0480" w:rsidRPr="000E5465" w:rsidRDefault="00270EC8" w:rsidP="00AB0A5E">
      <w:pPr>
        <w:rPr>
          <w:b/>
          <w:bCs/>
          <w:i/>
          <w:iCs/>
          <w:lang w:val="en-GB"/>
        </w:rPr>
      </w:pPr>
      <w:r w:rsidRPr="000E5465">
        <w:rPr>
          <w:b/>
          <w:bCs/>
          <w:i/>
          <w:iCs/>
          <w:lang w:val="en-GB"/>
        </w:rPr>
        <w:t>Employees</w:t>
      </w:r>
    </w:p>
    <w:p w:rsidR="003A70EF" w:rsidRPr="00AB0A5E" w:rsidRDefault="00270EC8" w:rsidP="00AB0A5E">
      <w:pPr>
        <w:rPr>
          <w:lang w:val="en-GB"/>
        </w:rPr>
      </w:pPr>
      <w:r>
        <w:rPr>
          <w:lang w:val="en-GB"/>
        </w:rPr>
        <w:lastRenderedPageBreak/>
        <w:t xml:space="preserve">Pension, promotions and hike in salaries can be analysed from the financial statement that mainly impacted the employees. </w:t>
      </w:r>
      <w:r w:rsidR="008D32EF">
        <w:rPr>
          <w:lang w:val="en-GB"/>
        </w:rPr>
        <w:t>This helps the employees to stay in the company or making other decisions related to their career.</w:t>
      </w:r>
    </w:p>
    <w:p w:rsidR="005F5301" w:rsidRDefault="00270EC8" w:rsidP="00AB0A5E">
      <w:pPr>
        <w:pStyle w:val="Heading2"/>
        <w:rPr>
          <w:lang w:val="en-GB"/>
        </w:rPr>
      </w:pPr>
      <w:bookmarkStart w:id="11" w:name="_Toc49345343"/>
      <w:r>
        <w:rPr>
          <w:lang w:val="en-GB"/>
        </w:rPr>
        <w:t xml:space="preserve">b) </w:t>
      </w:r>
      <w:r w:rsidR="00F737DA">
        <w:rPr>
          <w:lang w:val="en-GB"/>
        </w:rPr>
        <w:t>Advantages and disadvantages</w:t>
      </w:r>
      <w:bookmarkEnd w:id="11"/>
    </w:p>
    <w:tbl>
      <w:tblPr>
        <w:tblStyle w:val="GridTable3-Accent41"/>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81"/>
        <w:gridCol w:w="3082"/>
        <w:gridCol w:w="3082"/>
      </w:tblGrid>
      <w:tr w:rsidR="00E04516" w:rsidRPr="00A80828" w:rsidTr="00E04516">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3081" w:type="dxa"/>
            <w:tcBorders>
              <w:top w:val="none" w:sz="0" w:space="0" w:color="auto"/>
              <w:left w:val="none" w:sz="0" w:space="0" w:color="auto"/>
              <w:bottom w:val="none" w:sz="0" w:space="0" w:color="auto"/>
              <w:right w:val="none" w:sz="0" w:space="0" w:color="auto"/>
            </w:tcBorders>
          </w:tcPr>
          <w:p w:rsidR="001D59AE" w:rsidRPr="00A80828" w:rsidRDefault="001D59AE" w:rsidP="00A80828">
            <w:pPr>
              <w:jc w:val="center"/>
              <w:rPr>
                <w:sz w:val="24"/>
                <w:szCs w:val="24"/>
                <w:lang w:val="en-GB"/>
              </w:rPr>
            </w:pPr>
          </w:p>
        </w:tc>
        <w:tc>
          <w:tcPr>
            <w:tcW w:w="3082" w:type="dxa"/>
            <w:tcBorders>
              <w:top w:val="none" w:sz="0" w:space="0" w:color="auto"/>
              <w:left w:val="none" w:sz="0" w:space="0" w:color="auto"/>
              <w:right w:val="none" w:sz="0" w:space="0" w:color="auto"/>
            </w:tcBorders>
          </w:tcPr>
          <w:p w:rsidR="001D59AE" w:rsidRPr="00A80828" w:rsidRDefault="00270EC8" w:rsidP="00A80828">
            <w:pPr>
              <w:jc w:val="center"/>
              <w:cnfStyle w:val="100000000000" w:firstRow="1" w:lastRow="0" w:firstColumn="0" w:lastColumn="0" w:oddVBand="0" w:evenVBand="0" w:oddHBand="0" w:evenHBand="0" w:firstRowFirstColumn="0" w:firstRowLastColumn="0" w:lastRowFirstColumn="0" w:lastRowLastColumn="0"/>
              <w:rPr>
                <w:sz w:val="24"/>
                <w:szCs w:val="24"/>
                <w:lang w:val="en-GB"/>
              </w:rPr>
            </w:pPr>
            <w:r w:rsidRPr="00A80828">
              <w:rPr>
                <w:sz w:val="24"/>
                <w:szCs w:val="24"/>
                <w:lang w:val="en-GB"/>
              </w:rPr>
              <w:t>Advantages</w:t>
            </w:r>
          </w:p>
        </w:tc>
        <w:tc>
          <w:tcPr>
            <w:tcW w:w="3082" w:type="dxa"/>
            <w:tcBorders>
              <w:top w:val="none" w:sz="0" w:space="0" w:color="auto"/>
              <w:left w:val="none" w:sz="0" w:space="0" w:color="auto"/>
              <w:right w:val="none" w:sz="0" w:space="0" w:color="auto"/>
            </w:tcBorders>
          </w:tcPr>
          <w:p w:rsidR="001D59AE" w:rsidRPr="00A80828" w:rsidRDefault="00270EC8" w:rsidP="00A80828">
            <w:pPr>
              <w:jc w:val="center"/>
              <w:cnfStyle w:val="100000000000" w:firstRow="1" w:lastRow="0" w:firstColumn="0" w:lastColumn="0" w:oddVBand="0" w:evenVBand="0" w:oddHBand="0" w:evenHBand="0" w:firstRowFirstColumn="0" w:firstRowLastColumn="0" w:lastRowFirstColumn="0" w:lastRowLastColumn="0"/>
              <w:rPr>
                <w:sz w:val="24"/>
                <w:szCs w:val="24"/>
                <w:lang w:val="en-GB"/>
              </w:rPr>
            </w:pPr>
            <w:r w:rsidRPr="00A80828">
              <w:rPr>
                <w:sz w:val="24"/>
                <w:szCs w:val="24"/>
                <w:lang w:val="en-GB"/>
              </w:rPr>
              <w:t>Disadvantages</w:t>
            </w:r>
          </w:p>
        </w:tc>
      </w:tr>
      <w:tr w:rsidR="00E04516" w:rsidRPr="00A80828" w:rsidTr="00E0451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081" w:type="dxa"/>
            <w:tcBorders>
              <w:left w:val="none" w:sz="0" w:space="0" w:color="auto"/>
              <w:bottom w:val="none" w:sz="0" w:space="0" w:color="auto"/>
            </w:tcBorders>
          </w:tcPr>
          <w:p w:rsidR="001D59AE" w:rsidRPr="00A80828" w:rsidRDefault="00270EC8" w:rsidP="00A80828">
            <w:pPr>
              <w:jc w:val="center"/>
              <w:rPr>
                <w:b/>
                <w:bCs/>
                <w:sz w:val="24"/>
                <w:szCs w:val="24"/>
                <w:lang w:val="en-GB"/>
              </w:rPr>
            </w:pPr>
            <w:r w:rsidRPr="00A80828">
              <w:rPr>
                <w:b/>
                <w:bCs/>
                <w:sz w:val="24"/>
                <w:szCs w:val="24"/>
                <w:lang w:val="en-GB"/>
              </w:rPr>
              <w:t>Preparer</w:t>
            </w:r>
          </w:p>
        </w:tc>
        <w:tc>
          <w:tcPr>
            <w:tcW w:w="3082" w:type="dxa"/>
          </w:tcPr>
          <w:p w:rsidR="001D59AE" w:rsidRPr="00A80828" w:rsidRDefault="00270EC8" w:rsidP="00A80828">
            <w:pPr>
              <w:cnfStyle w:val="000000100000" w:firstRow="0" w:lastRow="0" w:firstColumn="0" w:lastColumn="0" w:oddVBand="0" w:evenVBand="0" w:oddHBand="1" w:evenHBand="0" w:firstRowFirstColumn="0" w:firstRowLastColumn="0" w:lastRowFirstColumn="0" w:lastRowLastColumn="0"/>
              <w:rPr>
                <w:sz w:val="24"/>
                <w:szCs w:val="24"/>
                <w:lang w:val="en-GB"/>
              </w:rPr>
            </w:pPr>
            <w:r w:rsidRPr="00A80828">
              <w:rPr>
                <w:sz w:val="24"/>
                <w:szCs w:val="24"/>
                <w:lang w:val="en-GB"/>
              </w:rPr>
              <w:t>The layout and rules are given by preparer that followed in making financial statements.</w:t>
            </w:r>
          </w:p>
          <w:p w:rsidR="00AF6094" w:rsidRPr="00A80828" w:rsidRDefault="00270EC8" w:rsidP="00A80828">
            <w:pPr>
              <w:cnfStyle w:val="000000100000" w:firstRow="0" w:lastRow="0" w:firstColumn="0" w:lastColumn="0" w:oddVBand="0" w:evenVBand="0" w:oddHBand="1" w:evenHBand="0" w:firstRowFirstColumn="0" w:firstRowLastColumn="0" w:lastRowFirstColumn="0" w:lastRowLastColumn="0"/>
              <w:rPr>
                <w:sz w:val="24"/>
                <w:szCs w:val="24"/>
                <w:lang w:val="en-GB"/>
              </w:rPr>
            </w:pPr>
            <w:r w:rsidRPr="00A80828">
              <w:rPr>
                <w:sz w:val="24"/>
                <w:szCs w:val="24"/>
                <w:lang w:val="en-GB"/>
              </w:rPr>
              <w:t>Resource allocation for a financial statement made accessible by them. Moreover, fair value during marketing price measurements is given by their stocks of specific methods</w:t>
            </w:r>
            <w:r w:rsidR="008C2D0D">
              <w:t xml:space="preserve"> (</w:t>
            </w:r>
            <w:r w:rsidR="008C2D0D" w:rsidRPr="008C2D0D">
              <w:rPr>
                <w:sz w:val="24"/>
                <w:szCs w:val="24"/>
                <w:lang w:val="en-GB"/>
              </w:rPr>
              <w:t xml:space="preserve">Murtala </w:t>
            </w:r>
            <w:r w:rsidR="008C2D0D" w:rsidRPr="008C2D0D">
              <w:rPr>
                <w:i/>
                <w:sz w:val="24"/>
                <w:szCs w:val="24"/>
                <w:lang w:val="en-GB"/>
              </w:rPr>
              <w:t>et al.</w:t>
            </w:r>
            <w:r w:rsidR="008C2D0D" w:rsidRPr="008C2D0D">
              <w:rPr>
                <w:sz w:val="24"/>
                <w:szCs w:val="24"/>
                <w:lang w:val="en-GB"/>
              </w:rPr>
              <w:t xml:space="preserve"> 2018, p. 11</w:t>
            </w:r>
            <w:r w:rsidR="008C2D0D">
              <w:rPr>
                <w:sz w:val="24"/>
                <w:szCs w:val="24"/>
                <w:lang w:val="en-GB"/>
              </w:rPr>
              <w:t>)</w:t>
            </w:r>
            <w:r w:rsidRPr="00A80828">
              <w:rPr>
                <w:sz w:val="24"/>
                <w:szCs w:val="24"/>
                <w:lang w:val="en-GB"/>
              </w:rPr>
              <w:t>.</w:t>
            </w:r>
          </w:p>
        </w:tc>
        <w:tc>
          <w:tcPr>
            <w:tcW w:w="3082" w:type="dxa"/>
          </w:tcPr>
          <w:p w:rsidR="001D59AE" w:rsidRPr="00A80828" w:rsidRDefault="00270EC8" w:rsidP="00A80828">
            <w:pPr>
              <w:cnfStyle w:val="000000100000" w:firstRow="0" w:lastRow="0" w:firstColumn="0" w:lastColumn="0" w:oddVBand="0" w:evenVBand="0" w:oddHBand="1" w:evenHBand="0" w:firstRowFirstColumn="0" w:firstRowLastColumn="0" w:lastRowFirstColumn="0" w:lastRowLastColumn="0"/>
              <w:rPr>
                <w:sz w:val="24"/>
                <w:szCs w:val="24"/>
                <w:lang w:val="en-GB"/>
              </w:rPr>
            </w:pPr>
            <w:r w:rsidRPr="00A80828">
              <w:rPr>
                <w:sz w:val="24"/>
                <w:szCs w:val="24"/>
                <w:lang w:val="en-GB"/>
              </w:rPr>
              <w:t xml:space="preserve">An investor has a negative sign if an organisation cannot comply with the regulated regime. </w:t>
            </w:r>
            <w:r w:rsidR="008829CE" w:rsidRPr="00A80828">
              <w:rPr>
                <w:sz w:val="24"/>
                <w:szCs w:val="24"/>
                <w:lang w:val="en-GB"/>
              </w:rPr>
              <w:t>On the other hand, most of the experts think that it is tough for the company, especially the small enterprises, to make the financial statements as per the regulations.</w:t>
            </w:r>
          </w:p>
        </w:tc>
      </w:tr>
      <w:tr w:rsidR="00E04516" w:rsidRPr="00A80828" w:rsidTr="00E04516">
        <w:trPr>
          <w:jc w:val="center"/>
        </w:trPr>
        <w:tc>
          <w:tcPr>
            <w:cnfStyle w:val="001000000000" w:firstRow="0" w:lastRow="0" w:firstColumn="1" w:lastColumn="0" w:oddVBand="0" w:evenVBand="0" w:oddHBand="0" w:evenHBand="0" w:firstRowFirstColumn="0" w:firstRowLastColumn="0" w:lastRowFirstColumn="0" w:lastRowLastColumn="0"/>
            <w:tcW w:w="3081" w:type="dxa"/>
            <w:tcBorders>
              <w:left w:val="none" w:sz="0" w:space="0" w:color="auto"/>
              <w:bottom w:val="none" w:sz="0" w:space="0" w:color="auto"/>
            </w:tcBorders>
          </w:tcPr>
          <w:p w:rsidR="001D59AE" w:rsidRPr="00A80828" w:rsidRDefault="00270EC8" w:rsidP="00A80828">
            <w:pPr>
              <w:jc w:val="center"/>
              <w:rPr>
                <w:b/>
                <w:bCs/>
                <w:sz w:val="24"/>
                <w:szCs w:val="24"/>
                <w:lang w:val="en-GB"/>
              </w:rPr>
            </w:pPr>
            <w:r w:rsidRPr="00A80828">
              <w:rPr>
                <w:b/>
                <w:bCs/>
                <w:sz w:val="24"/>
                <w:szCs w:val="24"/>
                <w:lang w:val="en-GB"/>
              </w:rPr>
              <w:t>Users</w:t>
            </w:r>
          </w:p>
        </w:tc>
        <w:tc>
          <w:tcPr>
            <w:tcW w:w="3082" w:type="dxa"/>
          </w:tcPr>
          <w:p w:rsidR="001D59AE" w:rsidRPr="00A80828" w:rsidRDefault="00270EC8" w:rsidP="00A80828">
            <w:pPr>
              <w:cnfStyle w:val="000000000000" w:firstRow="0" w:lastRow="0" w:firstColumn="0" w:lastColumn="0" w:oddVBand="0" w:evenVBand="0" w:oddHBand="0" w:evenHBand="0" w:firstRowFirstColumn="0" w:firstRowLastColumn="0" w:lastRowFirstColumn="0" w:lastRowLastColumn="0"/>
              <w:rPr>
                <w:sz w:val="24"/>
                <w:szCs w:val="24"/>
                <w:lang w:val="en-GB"/>
              </w:rPr>
            </w:pPr>
            <w:r w:rsidRPr="00A80828">
              <w:rPr>
                <w:sz w:val="24"/>
                <w:szCs w:val="24"/>
                <w:lang w:val="en-GB"/>
              </w:rPr>
              <w:t>The users can make decisions about a company according to the financial statements quickly.</w:t>
            </w:r>
          </w:p>
          <w:p w:rsidR="00CE62EB" w:rsidRPr="00A80828" w:rsidRDefault="00270EC8" w:rsidP="00A80828">
            <w:pPr>
              <w:cnfStyle w:val="000000000000" w:firstRow="0" w:lastRow="0" w:firstColumn="0" w:lastColumn="0" w:oddVBand="0" w:evenVBand="0" w:oddHBand="0" w:evenHBand="0" w:firstRowFirstColumn="0" w:firstRowLastColumn="0" w:lastRowFirstColumn="0" w:lastRowLastColumn="0"/>
              <w:rPr>
                <w:sz w:val="24"/>
                <w:szCs w:val="24"/>
                <w:lang w:val="en-GB"/>
              </w:rPr>
            </w:pPr>
            <w:r w:rsidRPr="00A80828">
              <w:rPr>
                <w:sz w:val="24"/>
                <w:szCs w:val="24"/>
                <w:lang w:val="en-GB"/>
              </w:rPr>
              <w:t>Performance of the company can be evaluated using financial reports. In this case, the rules proposed by IFRS are used by investors.</w:t>
            </w:r>
          </w:p>
        </w:tc>
        <w:tc>
          <w:tcPr>
            <w:tcW w:w="3082" w:type="dxa"/>
          </w:tcPr>
          <w:p w:rsidR="001D59AE" w:rsidRPr="00A80828" w:rsidRDefault="00270EC8" w:rsidP="00A80828">
            <w:pPr>
              <w:cnfStyle w:val="000000000000" w:firstRow="0" w:lastRow="0" w:firstColumn="0" w:lastColumn="0" w:oddVBand="0" w:evenVBand="0" w:oddHBand="0" w:evenHBand="0" w:firstRowFirstColumn="0" w:firstRowLastColumn="0" w:lastRowFirstColumn="0" w:lastRowLastColumn="0"/>
              <w:rPr>
                <w:sz w:val="24"/>
                <w:szCs w:val="24"/>
                <w:lang w:val="en-GB"/>
              </w:rPr>
            </w:pPr>
            <w:r w:rsidRPr="00A80828">
              <w:rPr>
                <w:sz w:val="24"/>
                <w:szCs w:val="24"/>
                <w:lang w:val="en-GB"/>
              </w:rPr>
              <w:t>The productivity of a company is affected as the external users gain more benefit of it than the internal users.</w:t>
            </w:r>
            <w:r w:rsidR="00316D15" w:rsidRPr="00A80828">
              <w:rPr>
                <w:sz w:val="24"/>
                <w:szCs w:val="24"/>
                <w:lang w:val="en-GB"/>
              </w:rPr>
              <w:t xml:space="preserve"> Though, the reform financial statements cannot be interpreted correctly by the users with basic financial knowledge.</w:t>
            </w:r>
          </w:p>
        </w:tc>
      </w:tr>
    </w:tbl>
    <w:p w:rsidR="00AB0A5E" w:rsidRDefault="00AB0A5E" w:rsidP="00967DE4">
      <w:pPr>
        <w:jc w:val="center"/>
        <w:rPr>
          <w:lang w:val="en-GB"/>
        </w:rPr>
      </w:pPr>
    </w:p>
    <w:p w:rsidR="00967DE4" w:rsidRPr="00967DE4" w:rsidRDefault="00270EC8" w:rsidP="00967DE4">
      <w:pPr>
        <w:jc w:val="center"/>
        <w:rPr>
          <w:b/>
          <w:bCs/>
          <w:lang w:val="en-GB"/>
        </w:rPr>
      </w:pPr>
      <w:r>
        <w:rPr>
          <w:b/>
          <w:bCs/>
          <w:lang w:val="en-GB"/>
        </w:rPr>
        <w:t xml:space="preserve">Table </w:t>
      </w:r>
      <w:r w:rsidR="008D5898">
        <w:rPr>
          <w:b/>
          <w:bCs/>
          <w:lang w:val="en-GB"/>
        </w:rPr>
        <w:t>4</w:t>
      </w:r>
      <w:r>
        <w:rPr>
          <w:b/>
          <w:bCs/>
          <w:lang w:val="en-GB"/>
        </w:rPr>
        <w:t xml:space="preserve">: </w:t>
      </w:r>
      <w:r w:rsidR="008D5898" w:rsidRPr="00DA062F">
        <w:rPr>
          <w:rFonts w:cs="Times New Roman"/>
          <w:b/>
          <w:szCs w:val="24"/>
          <w:lang w:val="en-US"/>
        </w:rPr>
        <w:t xml:space="preserve">Advantages and disadvantages </w:t>
      </w:r>
      <w:r w:rsidR="005915B0">
        <w:rPr>
          <w:rFonts w:cs="Times New Roman"/>
          <w:b/>
          <w:szCs w:val="24"/>
          <w:lang w:val="en-US"/>
        </w:rPr>
        <w:t>in</w:t>
      </w:r>
      <w:r w:rsidR="008D5898" w:rsidRPr="00DA062F">
        <w:rPr>
          <w:rFonts w:cs="Times New Roman"/>
          <w:b/>
          <w:szCs w:val="24"/>
          <w:lang w:val="en-US"/>
        </w:rPr>
        <w:t xml:space="preserve"> financial reporting</w:t>
      </w:r>
    </w:p>
    <w:p w:rsidR="00967DE4" w:rsidRPr="00AB0A5E" w:rsidRDefault="00270EC8" w:rsidP="00967DE4">
      <w:pPr>
        <w:jc w:val="center"/>
        <w:rPr>
          <w:lang w:val="en-GB"/>
        </w:rPr>
      </w:pPr>
      <w:r>
        <w:rPr>
          <w:lang w:val="en-GB"/>
        </w:rPr>
        <w:t xml:space="preserve">(Source: </w:t>
      </w:r>
      <w:r w:rsidR="008C2D0D" w:rsidRPr="008C2D0D">
        <w:rPr>
          <w:szCs w:val="24"/>
          <w:lang w:val="en-GB"/>
        </w:rPr>
        <w:t xml:space="preserve">Murtala </w:t>
      </w:r>
      <w:r w:rsidR="008C2D0D" w:rsidRPr="008C2D0D">
        <w:rPr>
          <w:i/>
          <w:szCs w:val="24"/>
          <w:lang w:val="en-GB"/>
        </w:rPr>
        <w:t>et al.</w:t>
      </w:r>
      <w:r w:rsidR="008C2D0D" w:rsidRPr="008C2D0D">
        <w:rPr>
          <w:szCs w:val="24"/>
          <w:lang w:val="en-GB"/>
        </w:rPr>
        <w:t xml:space="preserve"> 2018, p. 11</w:t>
      </w:r>
      <w:r>
        <w:rPr>
          <w:lang w:val="en-GB"/>
        </w:rPr>
        <w:t>)</w:t>
      </w:r>
    </w:p>
    <w:p w:rsidR="00F737DA" w:rsidRDefault="00270EC8" w:rsidP="00AB0A5E">
      <w:pPr>
        <w:pStyle w:val="Heading2"/>
        <w:rPr>
          <w:lang w:val="en-GB"/>
        </w:rPr>
      </w:pPr>
      <w:bookmarkStart w:id="12" w:name="_Toc49345344"/>
      <w:r>
        <w:rPr>
          <w:lang w:val="en-GB"/>
        </w:rPr>
        <w:lastRenderedPageBreak/>
        <w:t xml:space="preserve">c) </w:t>
      </w:r>
      <w:r w:rsidR="00AB0A5E">
        <w:rPr>
          <w:lang w:val="en-GB"/>
        </w:rPr>
        <w:t>Limitation in financial statements</w:t>
      </w:r>
      <w:bookmarkEnd w:id="12"/>
    </w:p>
    <w:p w:rsidR="00361CF9" w:rsidRDefault="00270EC8" w:rsidP="00954502">
      <w:pPr>
        <w:rPr>
          <w:rFonts w:cs="Times New Roman"/>
          <w:b/>
          <w:i/>
          <w:iCs/>
          <w:szCs w:val="24"/>
          <w:lang w:val="en-US"/>
        </w:rPr>
      </w:pPr>
      <w:r w:rsidRPr="00954502">
        <w:rPr>
          <w:rFonts w:cs="Times New Roman"/>
          <w:b/>
          <w:i/>
          <w:iCs/>
          <w:szCs w:val="24"/>
          <w:lang w:val="en-US"/>
        </w:rPr>
        <w:t>Adjustment in inflation</w:t>
      </w:r>
    </w:p>
    <w:p w:rsidR="00954502" w:rsidRPr="00954502" w:rsidRDefault="00270EC8" w:rsidP="00954502">
      <w:pPr>
        <w:rPr>
          <w:rFonts w:cs="Times New Roman"/>
          <w:bCs/>
          <w:szCs w:val="24"/>
          <w:lang w:val="en-US"/>
        </w:rPr>
      </w:pPr>
      <w:r>
        <w:rPr>
          <w:rFonts w:cs="Times New Roman"/>
          <w:bCs/>
          <w:szCs w:val="24"/>
          <w:lang w:val="en-US"/>
        </w:rPr>
        <w:t>This is impossible to make any changes in the statements after final statements are publishes. That produce difficulties as the inflation rate changes rapidly over the short term, and those cannot be included in the statements after the final report.</w:t>
      </w:r>
    </w:p>
    <w:p w:rsidR="00EE60E4" w:rsidRDefault="00270EC8" w:rsidP="00954502">
      <w:pPr>
        <w:rPr>
          <w:rFonts w:cs="Times New Roman"/>
          <w:b/>
          <w:i/>
          <w:iCs/>
          <w:szCs w:val="24"/>
          <w:lang w:val="en-US"/>
        </w:rPr>
      </w:pPr>
      <w:r>
        <w:rPr>
          <w:rFonts w:cs="Times New Roman"/>
          <w:b/>
          <w:i/>
          <w:iCs/>
          <w:szCs w:val="24"/>
          <w:lang w:val="en-US"/>
        </w:rPr>
        <w:t>N</w:t>
      </w:r>
      <w:r w:rsidRPr="00954502">
        <w:rPr>
          <w:rFonts w:cs="Times New Roman"/>
          <w:b/>
          <w:i/>
          <w:iCs/>
          <w:szCs w:val="24"/>
          <w:lang w:val="en-US"/>
        </w:rPr>
        <w:t>on-financial issues</w:t>
      </w:r>
      <w:r>
        <w:rPr>
          <w:rFonts w:cs="Times New Roman"/>
          <w:b/>
          <w:i/>
          <w:iCs/>
          <w:szCs w:val="24"/>
          <w:lang w:val="en-US"/>
        </w:rPr>
        <w:t xml:space="preserve"> are not included</w:t>
      </w:r>
    </w:p>
    <w:p w:rsidR="005C692D" w:rsidRPr="005C692D" w:rsidRDefault="00270EC8" w:rsidP="00954502">
      <w:pPr>
        <w:rPr>
          <w:rFonts w:cs="Times New Roman"/>
          <w:bCs/>
          <w:szCs w:val="24"/>
          <w:lang w:val="en-US"/>
        </w:rPr>
      </w:pPr>
      <w:r>
        <w:rPr>
          <w:rFonts w:cs="Times New Roman"/>
          <w:bCs/>
          <w:szCs w:val="24"/>
          <w:lang w:val="en-US"/>
        </w:rPr>
        <w:t>Non-financial sectors, like an investment in community development, is not involved at all times. That did not appropriately evaluate the performance of the company so far. On the other hand, companies are also investing in environmental issues which are not included as well</w:t>
      </w:r>
      <w:r w:rsidR="00A75A32">
        <w:rPr>
          <w:rFonts w:cs="Times New Roman"/>
          <w:bCs/>
          <w:szCs w:val="24"/>
          <w:lang w:val="en-US"/>
        </w:rPr>
        <w:t xml:space="preserve"> (</w:t>
      </w:r>
      <w:r w:rsidR="00A75A32" w:rsidRPr="00471915">
        <w:rPr>
          <w:rFonts w:cs="Times New Roman"/>
          <w:szCs w:val="24"/>
          <w:shd w:val="clear" w:color="auto" w:fill="FFFFFF"/>
        </w:rPr>
        <w:t>Wijaya</w:t>
      </w:r>
      <w:r w:rsidR="00A75A32">
        <w:rPr>
          <w:rFonts w:cs="Times New Roman"/>
          <w:szCs w:val="24"/>
          <w:shd w:val="clear" w:color="auto" w:fill="FFFFFF"/>
        </w:rPr>
        <w:t xml:space="preserve"> </w:t>
      </w:r>
      <w:r w:rsidR="00A75A32">
        <w:rPr>
          <w:rFonts w:cs="Times New Roman"/>
          <w:i/>
          <w:iCs/>
          <w:szCs w:val="24"/>
          <w:shd w:val="clear" w:color="auto" w:fill="FFFFFF"/>
        </w:rPr>
        <w:t xml:space="preserve">et al. </w:t>
      </w:r>
      <w:r w:rsidR="00A75A32">
        <w:rPr>
          <w:rFonts w:cs="Times New Roman"/>
          <w:szCs w:val="24"/>
          <w:shd w:val="clear" w:color="auto" w:fill="FFFFFF"/>
        </w:rPr>
        <w:t>2020, p. 71)</w:t>
      </w:r>
      <w:r>
        <w:rPr>
          <w:rFonts w:cs="Times New Roman"/>
          <w:bCs/>
          <w:szCs w:val="24"/>
          <w:lang w:val="en-US"/>
        </w:rPr>
        <w:t>.</w:t>
      </w:r>
    </w:p>
    <w:p w:rsidR="00B32AE3" w:rsidRDefault="00270EC8" w:rsidP="00954502">
      <w:pPr>
        <w:rPr>
          <w:rFonts w:cs="Times New Roman"/>
          <w:b/>
          <w:i/>
          <w:iCs/>
          <w:szCs w:val="24"/>
          <w:lang w:val="en-US"/>
        </w:rPr>
      </w:pPr>
      <w:r w:rsidRPr="00954502">
        <w:rPr>
          <w:rFonts w:cs="Times New Roman"/>
          <w:b/>
          <w:i/>
          <w:iCs/>
          <w:szCs w:val="24"/>
          <w:lang w:val="en-US"/>
        </w:rPr>
        <w:t>Manipulation</w:t>
      </w:r>
    </w:p>
    <w:p w:rsidR="005C692D" w:rsidRPr="005C692D" w:rsidRDefault="00270EC8" w:rsidP="00954502">
      <w:pPr>
        <w:rPr>
          <w:rFonts w:cs="Times New Roman"/>
          <w:bCs/>
          <w:szCs w:val="24"/>
          <w:lang w:val="en-US"/>
        </w:rPr>
      </w:pPr>
      <w:r>
        <w:rPr>
          <w:rFonts w:cs="Times New Roman"/>
          <w:bCs/>
          <w:szCs w:val="24"/>
          <w:lang w:val="en-US"/>
        </w:rPr>
        <w:t xml:space="preserve">In order to please the investors and other stakeholders, the managers in a company might consist of some wrong information in </w:t>
      </w:r>
      <w:r w:rsidR="00CA5039">
        <w:rPr>
          <w:rFonts w:cs="Times New Roman"/>
          <w:bCs/>
          <w:szCs w:val="24"/>
          <w:lang w:val="en-US"/>
        </w:rPr>
        <w:t>favor</w:t>
      </w:r>
      <w:r>
        <w:rPr>
          <w:rFonts w:cs="Times New Roman"/>
          <w:bCs/>
          <w:szCs w:val="24"/>
          <w:lang w:val="en-US"/>
        </w:rPr>
        <w:t xml:space="preserve"> of the company in the statements. </w:t>
      </w:r>
      <w:r w:rsidR="00653F55">
        <w:rPr>
          <w:rFonts w:cs="Times New Roman"/>
          <w:bCs/>
          <w:szCs w:val="24"/>
          <w:lang w:val="en-US"/>
        </w:rPr>
        <w:t>This is very unethical as the investor invested money as per the false information given to them.</w:t>
      </w:r>
    </w:p>
    <w:p w:rsidR="00B46677" w:rsidRPr="00954502" w:rsidRDefault="00270EC8" w:rsidP="00954502">
      <w:pPr>
        <w:rPr>
          <w:rFonts w:cs="Times New Roman"/>
          <w:b/>
          <w:i/>
          <w:iCs/>
          <w:szCs w:val="24"/>
          <w:lang w:val="en-US"/>
        </w:rPr>
      </w:pPr>
      <w:r w:rsidRPr="00954502">
        <w:rPr>
          <w:rFonts w:cs="Times New Roman"/>
          <w:b/>
          <w:i/>
          <w:iCs/>
          <w:szCs w:val="24"/>
          <w:lang w:val="en-US"/>
        </w:rPr>
        <w:t>Dependenc</w:t>
      </w:r>
      <w:r w:rsidR="00B94DDA">
        <w:rPr>
          <w:rFonts w:cs="Times New Roman"/>
          <w:b/>
          <w:i/>
          <w:iCs/>
          <w:szCs w:val="24"/>
          <w:lang w:val="en-US"/>
        </w:rPr>
        <w:t>ies</w:t>
      </w:r>
    </w:p>
    <w:p w:rsidR="00AB0A5E" w:rsidRPr="00AB0A5E" w:rsidRDefault="00270EC8" w:rsidP="00AB0A5E">
      <w:pPr>
        <w:rPr>
          <w:lang w:val="en-GB"/>
        </w:rPr>
      </w:pPr>
      <w:r>
        <w:rPr>
          <w:lang w:val="en-GB"/>
        </w:rPr>
        <w:t xml:space="preserve">The financial statements misinterpreted the current costs and liabilities as it is based on the prices of last year. </w:t>
      </w:r>
      <w:r w:rsidR="004C2D54">
        <w:rPr>
          <w:lang w:val="en-GB"/>
        </w:rPr>
        <w:t>The values change rapidly according to the market condition, which cannot be included in the statement.</w:t>
      </w:r>
    </w:p>
    <w:p w:rsidR="0045229A" w:rsidRDefault="00270EC8" w:rsidP="00C5740F">
      <w:pPr>
        <w:pStyle w:val="Heading1"/>
        <w:rPr>
          <w:lang w:val="en-GB"/>
        </w:rPr>
      </w:pPr>
      <w:bookmarkStart w:id="13" w:name="_Toc49345345"/>
      <w:r>
        <w:rPr>
          <w:lang w:val="en-GB"/>
        </w:rPr>
        <w:t>Conclusion</w:t>
      </w:r>
      <w:bookmarkEnd w:id="13"/>
    </w:p>
    <w:p w:rsidR="004A2D60" w:rsidRDefault="00270EC8" w:rsidP="00C5740F">
      <w:pPr>
        <w:rPr>
          <w:highlight w:val="white"/>
          <w:lang w:val="en-GB"/>
        </w:rPr>
      </w:pPr>
      <w:r>
        <w:rPr>
          <w:highlight w:val="white"/>
          <w:lang w:val="en-GB"/>
        </w:rPr>
        <w:t xml:space="preserve">From the overall discussion, this can be concluded that financial statements are very crucial when a company wants to evaluate its financial position and try to manage different variables in the business. On the other hand, from this study, one can state that the financial statement is also essential when a company wants </w:t>
      </w:r>
      <w:r w:rsidR="00DC6053">
        <w:rPr>
          <w:highlight w:val="white"/>
          <w:lang w:val="en-GB"/>
        </w:rPr>
        <w:t xml:space="preserve">to expand in the industry. For example, in this case, Jerry plc wished to market its product to America. For which, it evaluated its market position through income statements. </w:t>
      </w:r>
      <w:r w:rsidR="008E3389">
        <w:rPr>
          <w:highlight w:val="white"/>
          <w:lang w:val="en-GB"/>
        </w:rPr>
        <w:t xml:space="preserve">Similarly, the financial situation of Wales plc is also illustrated through the balance sheet. </w:t>
      </w:r>
      <w:r w:rsidR="00216041">
        <w:rPr>
          <w:highlight w:val="white"/>
          <w:lang w:val="en-GB"/>
        </w:rPr>
        <w:t>At last, the study shows the advantages, disadvantages and limitations of these statements.</w:t>
      </w:r>
    </w:p>
    <w:p w:rsidR="004A2D60" w:rsidRDefault="00270EC8">
      <w:pPr>
        <w:spacing w:line="276" w:lineRule="auto"/>
        <w:jc w:val="left"/>
        <w:rPr>
          <w:highlight w:val="white"/>
          <w:lang w:val="en-GB"/>
        </w:rPr>
      </w:pPr>
      <w:r>
        <w:rPr>
          <w:highlight w:val="white"/>
          <w:lang w:val="en-GB"/>
        </w:rPr>
        <w:br w:type="page"/>
      </w:r>
    </w:p>
    <w:p w:rsidR="00CA5039" w:rsidRPr="00471915" w:rsidRDefault="00CA5039" w:rsidP="00CA5039">
      <w:pPr>
        <w:pStyle w:val="Heading1"/>
        <w:rPr>
          <w:rFonts w:cs="Times New Roman"/>
          <w:szCs w:val="24"/>
          <w:lang w:val="en-US"/>
        </w:rPr>
      </w:pPr>
      <w:bookmarkStart w:id="14" w:name="_Toc49345346"/>
      <w:r w:rsidRPr="00471915">
        <w:rPr>
          <w:rFonts w:cs="Times New Roman"/>
          <w:szCs w:val="24"/>
          <w:lang w:val="en-US"/>
        </w:rPr>
        <w:lastRenderedPageBreak/>
        <w:t>References</w:t>
      </w:r>
      <w:bookmarkEnd w:id="14"/>
    </w:p>
    <w:p w:rsidR="00CA5039" w:rsidRPr="00B739F0" w:rsidRDefault="00CA5039" w:rsidP="00CA5039">
      <w:pPr>
        <w:rPr>
          <w:rFonts w:cs="Times New Roman"/>
          <w:szCs w:val="24"/>
          <w:lang w:val="en-US"/>
        </w:rPr>
      </w:pPr>
      <w:bookmarkStart w:id="15" w:name="_Hlk49340087"/>
      <w:proofErr w:type="spellStart"/>
      <w:r w:rsidRPr="00B739F0">
        <w:rPr>
          <w:rFonts w:cs="Times New Roman"/>
          <w:szCs w:val="24"/>
          <w:shd w:val="clear" w:color="auto" w:fill="FFFFFF"/>
        </w:rPr>
        <w:t>Aisah</w:t>
      </w:r>
      <w:bookmarkEnd w:id="15"/>
      <w:proofErr w:type="spellEnd"/>
      <w:r w:rsidRPr="00B739F0">
        <w:rPr>
          <w:rFonts w:cs="Times New Roman"/>
          <w:szCs w:val="24"/>
          <w:shd w:val="clear" w:color="auto" w:fill="FFFFFF"/>
        </w:rPr>
        <w:t xml:space="preserve">, A.N. and </w:t>
      </w:r>
      <w:bookmarkStart w:id="16" w:name="_Hlk49340092"/>
      <w:r w:rsidRPr="00B739F0">
        <w:rPr>
          <w:rFonts w:cs="Times New Roman"/>
          <w:szCs w:val="24"/>
          <w:shd w:val="clear" w:color="auto" w:fill="FFFFFF"/>
        </w:rPr>
        <w:t>Mandala</w:t>
      </w:r>
      <w:bookmarkEnd w:id="16"/>
      <w:r w:rsidRPr="00B739F0">
        <w:rPr>
          <w:rFonts w:cs="Times New Roman"/>
          <w:szCs w:val="24"/>
          <w:shd w:val="clear" w:color="auto" w:fill="FFFFFF"/>
        </w:rPr>
        <w:t xml:space="preserve">, K., 2016. </w:t>
      </w:r>
      <w:proofErr w:type="spellStart"/>
      <w:r w:rsidRPr="00B739F0">
        <w:rPr>
          <w:rFonts w:cs="Times New Roman"/>
          <w:szCs w:val="24"/>
          <w:shd w:val="clear" w:color="auto" w:fill="FFFFFF"/>
        </w:rPr>
        <w:t>Pengaruh</w:t>
      </w:r>
      <w:proofErr w:type="spellEnd"/>
      <w:r w:rsidRPr="00B739F0">
        <w:rPr>
          <w:rFonts w:cs="Times New Roman"/>
          <w:szCs w:val="24"/>
          <w:shd w:val="clear" w:color="auto" w:fill="FFFFFF"/>
        </w:rPr>
        <w:t xml:space="preserve"> Return On Equity, Earning Per Share, Firm Size dan Operating Cash Flow </w:t>
      </w:r>
      <w:proofErr w:type="spellStart"/>
      <w:r w:rsidRPr="00B739F0">
        <w:rPr>
          <w:rFonts w:cs="Times New Roman"/>
          <w:szCs w:val="24"/>
          <w:shd w:val="clear" w:color="auto" w:fill="FFFFFF"/>
        </w:rPr>
        <w:t>Terhadap</w:t>
      </w:r>
      <w:proofErr w:type="spellEnd"/>
      <w:r w:rsidRPr="00B739F0">
        <w:rPr>
          <w:rFonts w:cs="Times New Roman"/>
          <w:szCs w:val="24"/>
          <w:shd w:val="clear" w:color="auto" w:fill="FFFFFF"/>
        </w:rPr>
        <w:t xml:space="preserve"> Return Saham. </w:t>
      </w:r>
      <w:r w:rsidRPr="00B739F0">
        <w:rPr>
          <w:rFonts w:cs="Times New Roman"/>
          <w:i/>
          <w:iCs/>
          <w:szCs w:val="24"/>
          <w:shd w:val="clear" w:color="auto" w:fill="FFFFFF"/>
        </w:rPr>
        <w:t>E-</w:t>
      </w:r>
      <w:proofErr w:type="spellStart"/>
      <w:r w:rsidRPr="00B739F0">
        <w:rPr>
          <w:rFonts w:cs="Times New Roman"/>
          <w:i/>
          <w:iCs/>
          <w:szCs w:val="24"/>
          <w:shd w:val="clear" w:color="auto" w:fill="FFFFFF"/>
        </w:rPr>
        <w:t>Jurnal</w:t>
      </w:r>
      <w:proofErr w:type="spellEnd"/>
      <w:r w:rsidRPr="00B739F0">
        <w:rPr>
          <w:rFonts w:cs="Times New Roman"/>
          <w:i/>
          <w:iCs/>
          <w:szCs w:val="24"/>
          <w:shd w:val="clear" w:color="auto" w:fill="FFFFFF"/>
        </w:rPr>
        <w:t xml:space="preserve"> </w:t>
      </w:r>
      <w:proofErr w:type="spellStart"/>
      <w:r w:rsidRPr="00B739F0">
        <w:rPr>
          <w:rFonts w:cs="Times New Roman"/>
          <w:i/>
          <w:iCs/>
          <w:szCs w:val="24"/>
          <w:shd w:val="clear" w:color="auto" w:fill="FFFFFF"/>
        </w:rPr>
        <w:t>Manajemen</w:t>
      </w:r>
      <w:proofErr w:type="spellEnd"/>
      <w:r w:rsidRPr="00B739F0">
        <w:rPr>
          <w:rFonts w:cs="Times New Roman"/>
          <w:i/>
          <w:iCs/>
          <w:szCs w:val="24"/>
          <w:shd w:val="clear" w:color="auto" w:fill="FFFFFF"/>
        </w:rPr>
        <w:t xml:space="preserve"> Universitas </w:t>
      </w:r>
      <w:proofErr w:type="spellStart"/>
      <w:r w:rsidRPr="00B739F0">
        <w:rPr>
          <w:rFonts w:cs="Times New Roman"/>
          <w:i/>
          <w:iCs/>
          <w:szCs w:val="24"/>
          <w:shd w:val="clear" w:color="auto" w:fill="FFFFFF"/>
        </w:rPr>
        <w:t>Udayana</w:t>
      </w:r>
      <w:proofErr w:type="spellEnd"/>
      <w:r w:rsidRPr="00B739F0">
        <w:rPr>
          <w:rFonts w:cs="Times New Roman"/>
          <w:szCs w:val="24"/>
          <w:shd w:val="clear" w:color="auto" w:fill="FFFFFF"/>
        </w:rPr>
        <w:t>, </w:t>
      </w:r>
      <w:r w:rsidRPr="00B739F0">
        <w:rPr>
          <w:rFonts w:cs="Times New Roman"/>
          <w:i/>
          <w:iCs/>
          <w:szCs w:val="24"/>
          <w:shd w:val="clear" w:color="auto" w:fill="FFFFFF"/>
        </w:rPr>
        <w:t>5</w:t>
      </w:r>
      <w:r w:rsidRPr="00B739F0">
        <w:rPr>
          <w:rFonts w:cs="Times New Roman"/>
          <w:szCs w:val="24"/>
          <w:shd w:val="clear" w:color="auto" w:fill="FFFFFF"/>
        </w:rPr>
        <w:t>(11).</w:t>
      </w:r>
    </w:p>
    <w:p w:rsidR="00CA5039" w:rsidRPr="00471915" w:rsidRDefault="00CA5039" w:rsidP="00CA5039">
      <w:pPr>
        <w:rPr>
          <w:rFonts w:cs="Times New Roman"/>
          <w:szCs w:val="24"/>
          <w:lang w:val="en-US"/>
        </w:rPr>
      </w:pPr>
      <w:bookmarkStart w:id="17" w:name="_Hlk49340290"/>
      <w:proofErr w:type="spellStart"/>
      <w:r w:rsidRPr="00471915">
        <w:rPr>
          <w:rFonts w:cs="Times New Roman"/>
          <w:szCs w:val="24"/>
          <w:shd w:val="clear" w:color="auto" w:fill="FFFFFF"/>
        </w:rPr>
        <w:t>Ginting</w:t>
      </w:r>
      <w:bookmarkEnd w:id="17"/>
      <w:proofErr w:type="spellEnd"/>
      <w:r w:rsidRPr="00471915">
        <w:rPr>
          <w:rFonts w:cs="Times New Roman"/>
          <w:szCs w:val="24"/>
          <w:shd w:val="clear" w:color="auto" w:fill="FFFFFF"/>
        </w:rPr>
        <w:t xml:space="preserve">, W.A., 2018. </w:t>
      </w:r>
      <w:proofErr w:type="spellStart"/>
      <w:r w:rsidRPr="00471915">
        <w:rPr>
          <w:rFonts w:cs="Times New Roman"/>
          <w:szCs w:val="24"/>
          <w:shd w:val="clear" w:color="auto" w:fill="FFFFFF"/>
        </w:rPr>
        <w:t>Analisis</w:t>
      </w:r>
      <w:proofErr w:type="spellEnd"/>
      <w:r w:rsidRPr="00471915">
        <w:rPr>
          <w:rFonts w:cs="Times New Roman"/>
          <w:szCs w:val="24"/>
          <w:shd w:val="clear" w:color="auto" w:fill="FFFFFF"/>
        </w:rPr>
        <w:t xml:space="preserve"> </w:t>
      </w:r>
      <w:proofErr w:type="spellStart"/>
      <w:r w:rsidRPr="00471915">
        <w:rPr>
          <w:rFonts w:cs="Times New Roman"/>
          <w:szCs w:val="24"/>
          <w:shd w:val="clear" w:color="auto" w:fill="FFFFFF"/>
        </w:rPr>
        <w:t>Pengaruh</w:t>
      </w:r>
      <w:proofErr w:type="spellEnd"/>
      <w:r w:rsidRPr="00471915">
        <w:rPr>
          <w:rFonts w:cs="Times New Roman"/>
          <w:szCs w:val="24"/>
          <w:shd w:val="clear" w:color="auto" w:fill="FFFFFF"/>
        </w:rPr>
        <w:t xml:space="preserve"> Current Ratio, Working Capital Turnover, dan Total Asset Turnover </w:t>
      </w:r>
      <w:proofErr w:type="spellStart"/>
      <w:r w:rsidRPr="00471915">
        <w:rPr>
          <w:rFonts w:cs="Times New Roman"/>
          <w:szCs w:val="24"/>
          <w:shd w:val="clear" w:color="auto" w:fill="FFFFFF"/>
        </w:rPr>
        <w:t>Terhadap</w:t>
      </w:r>
      <w:proofErr w:type="spellEnd"/>
      <w:r w:rsidRPr="00471915">
        <w:rPr>
          <w:rFonts w:cs="Times New Roman"/>
          <w:szCs w:val="24"/>
          <w:shd w:val="clear" w:color="auto" w:fill="FFFFFF"/>
        </w:rPr>
        <w:t xml:space="preserve"> Return On Asset. </w:t>
      </w:r>
      <w:r w:rsidRPr="00471915">
        <w:rPr>
          <w:rFonts w:cs="Times New Roman"/>
          <w:i/>
          <w:iCs/>
          <w:szCs w:val="24"/>
          <w:shd w:val="clear" w:color="auto" w:fill="FFFFFF"/>
        </w:rPr>
        <w:t xml:space="preserve">VALID </w:t>
      </w:r>
      <w:proofErr w:type="spellStart"/>
      <w:r w:rsidRPr="00471915">
        <w:rPr>
          <w:rFonts w:cs="Times New Roman"/>
          <w:i/>
          <w:iCs/>
          <w:szCs w:val="24"/>
          <w:shd w:val="clear" w:color="auto" w:fill="FFFFFF"/>
        </w:rPr>
        <w:t>Jurnal</w:t>
      </w:r>
      <w:proofErr w:type="spellEnd"/>
      <w:r w:rsidRPr="00471915">
        <w:rPr>
          <w:rFonts w:cs="Times New Roman"/>
          <w:i/>
          <w:iCs/>
          <w:szCs w:val="24"/>
          <w:shd w:val="clear" w:color="auto" w:fill="FFFFFF"/>
        </w:rPr>
        <w:t xml:space="preserve"> </w:t>
      </w:r>
      <w:proofErr w:type="spellStart"/>
      <w:r w:rsidRPr="00471915">
        <w:rPr>
          <w:rFonts w:cs="Times New Roman"/>
          <w:i/>
          <w:iCs/>
          <w:szCs w:val="24"/>
          <w:shd w:val="clear" w:color="auto" w:fill="FFFFFF"/>
        </w:rPr>
        <w:t>Ilmiah</w:t>
      </w:r>
      <w:proofErr w:type="spellEnd"/>
      <w:r w:rsidRPr="00471915">
        <w:rPr>
          <w:rFonts w:cs="Times New Roman"/>
          <w:szCs w:val="24"/>
          <w:shd w:val="clear" w:color="auto" w:fill="FFFFFF"/>
        </w:rPr>
        <w:t>, </w:t>
      </w:r>
      <w:r w:rsidRPr="00471915">
        <w:rPr>
          <w:rFonts w:cs="Times New Roman"/>
          <w:i/>
          <w:iCs/>
          <w:szCs w:val="24"/>
          <w:shd w:val="clear" w:color="auto" w:fill="FFFFFF"/>
        </w:rPr>
        <w:t>15</w:t>
      </w:r>
      <w:r w:rsidRPr="00471915">
        <w:rPr>
          <w:rFonts w:cs="Times New Roman"/>
          <w:szCs w:val="24"/>
          <w:shd w:val="clear" w:color="auto" w:fill="FFFFFF"/>
        </w:rPr>
        <w:t>(2), pp.163-172.</w:t>
      </w:r>
    </w:p>
    <w:p w:rsidR="00CA5039" w:rsidRPr="00471915" w:rsidRDefault="00CA5039" w:rsidP="00CA5039">
      <w:pPr>
        <w:rPr>
          <w:rFonts w:cs="Times New Roman"/>
          <w:szCs w:val="24"/>
          <w:lang w:val="en-US"/>
        </w:rPr>
      </w:pPr>
      <w:r w:rsidRPr="00471915">
        <w:rPr>
          <w:rFonts w:cs="Times New Roman"/>
          <w:szCs w:val="24"/>
          <w:lang w:val="en-US"/>
        </w:rPr>
        <w:t xml:space="preserve">legislation.gov.uk, 2020, </w:t>
      </w:r>
      <w:r w:rsidRPr="00471915">
        <w:rPr>
          <w:rFonts w:cs="Times New Roman"/>
          <w:i/>
          <w:iCs/>
          <w:szCs w:val="24"/>
          <w:lang w:val="en-US"/>
        </w:rPr>
        <w:t xml:space="preserve">companies act 2006. </w:t>
      </w:r>
      <w:r w:rsidRPr="00471915">
        <w:rPr>
          <w:rFonts w:cs="Times New Roman"/>
          <w:szCs w:val="24"/>
          <w:lang w:val="en-US"/>
        </w:rPr>
        <w:t>Available at: https://www.legislation.gov.uk/ukpga/2006/46/pdfs/ukpga_20060046_en.pdf [Accessed on 21</w:t>
      </w:r>
      <w:r w:rsidRPr="00471915">
        <w:rPr>
          <w:rFonts w:cs="Times New Roman"/>
          <w:szCs w:val="24"/>
          <w:vertAlign w:val="superscript"/>
          <w:lang w:val="en-US"/>
        </w:rPr>
        <w:t>st</w:t>
      </w:r>
      <w:r w:rsidRPr="00471915">
        <w:rPr>
          <w:rFonts w:cs="Times New Roman"/>
          <w:szCs w:val="24"/>
          <w:lang w:val="en-US"/>
        </w:rPr>
        <w:t xml:space="preserve"> August 2020]</w:t>
      </w:r>
    </w:p>
    <w:p w:rsidR="00CA5039" w:rsidRPr="00136C27" w:rsidRDefault="00CA5039" w:rsidP="00CA5039">
      <w:pPr>
        <w:rPr>
          <w:rFonts w:cs="Times New Roman"/>
          <w:szCs w:val="24"/>
          <w:lang w:val="en-US"/>
        </w:rPr>
      </w:pPr>
      <w:bookmarkStart w:id="18" w:name="_Hlk49340226"/>
      <w:proofErr w:type="spellStart"/>
      <w:r w:rsidRPr="00136C27">
        <w:rPr>
          <w:rFonts w:cs="Times New Roman"/>
          <w:szCs w:val="24"/>
          <w:shd w:val="clear" w:color="auto" w:fill="FFFFFF"/>
        </w:rPr>
        <w:t>Liivamägi</w:t>
      </w:r>
      <w:bookmarkEnd w:id="18"/>
      <w:proofErr w:type="spellEnd"/>
      <w:r w:rsidRPr="00136C27">
        <w:rPr>
          <w:rFonts w:cs="Times New Roman"/>
          <w:szCs w:val="24"/>
          <w:shd w:val="clear" w:color="auto" w:fill="FFFFFF"/>
        </w:rPr>
        <w:t>, K., 2016. Investor education and trading activity on the stock market. </w:t>
      </w:r>
      <w:r w:rsidRPr="00136C27">
        <w:rPr>
          <w:rFonts w:cs="Times New Roman"/>
          <w:i/>
          <w:iCs/>
          <w:szCs w:val="24"/>
          <w:shd w:val="clear" w:color="auto" w:fill="FFFFFF"/>
        </w:rPr>
        <w:t>Baltic Journal of Economics</w:t>
      </w:r>
      <w:r w:rsidRPr="00136C27">
        <w:rPr>
          <w:rFonts w:cs="Times New Roman"/>
          <w:szCs w:val="24"/>
          <w:shd w:val="clear" w:color="auto" w:fill="FFFFFF"/>
        </w:rPr>
        <w:t>, </w:t>
      </w:r>
      <w:r w:rsidRPr="00136C27">
        <w:rPr>
          <w:rFonts w:cs="Times New Roman"/>
          <w:i/>
          <w:iCs/>
          <w:szCs w:val="24"/>
          <w:shd w:val="clear" w:color="auto" w:fill="FFFFFF"/>
        </w:rPr>
        <w:t>16</w:t>
      </w:r>
      <w:r w:rsidRPr="00136C27">
        <w:rPr>
          <w:rFonts w:cs="Times New Roman"/>
          <w:szCs w:val="24"/>
          <w:shd w:val="clear" w:color="auto" w:fill="FFFFFF"/>
        </w:rPr>
        <w:t>(2), pp.114-131.</w:t>
      </w:r>
    </w:p>
    <w:p w:rsidR="00CA5039" w:rsidRPr="00471915" w:rsidRDefault="00CA5039" w:rsidP="00CA5039">
      <w:pPr>
        <w:rPr>
          <w:rFonts w:cs="Times New Roman"/>
          <w:szCs w:val="24"/>
          <w:lang w:val="en-US"/>
        </w:rPr>
      </w:pPr>
      <w:bookmarkStart w:id="19" w:name="_Hlk49340118"/>
      <w:r w:rsidRPr="00471915">
        <w:rPr>
          <w:rFonts w:cs="Times New Roman"/>
          <w:szCs w:val="24"/>
          <w:shd w:val="clear" w:color="auto" w:fill="FFFFFF"/>
        </w:rPr>
        <w:t>Murtala</w:t>
      </w:r>
      <w:bookmarkEnd w:id="19"/>
      <w:r w:rsidRPr="00471915">
        <w:rPr>
          <w:rFonts w:cs="Times New Roman"/>
          <w:szCs w:val="24"/>
          <w:shd w:val="clear" w:color="auto" w:fill="FFFFFF"/>
        </w:rPr>
        <w:t>, S., Ibrahim, M., Lawal, S. and Abdullahi, B.B., 2018. Capital structure and return on capital employed of construction companies in Nigeria. </w:t>
      </w:r>
      <w:r w:rsidRPr="00471915">
        <w:rPr>
          <w:rFonts w:cs="Times New Roman"/>
          <w:i/>
          <w:iCs/>
          <w:szCs w:val="24"/>
          <w:shd w:val="clear" w:color="auto" w:fill="FFFFFF"/>
        </w:rPr>
        <w:t>African Journal of Accounting, Auditing and Finance</w:t>
      </w:r>
      <w:r w:rsidRPr="00471915">
        <w:rPr>
          <w:rFonts w:cs="Times New Roman"/>
          <w:szCs w:val="24"/>
          <w:shd w:val="clear" w:color="auto" w:fill="FFFFFF"/>
        </w:rPr>
        <w:t>, </w:t>
      </w:r>
      <w:r w:rsidRPr="00471915">
        <w:rPr>
          <w:rFonts w:cs="Times New Roman"/>
          <w:i/>
          <w:iCs/>
          <w:szCs w:val="24"/>
          <w:shd w:val="clear" w:color="auto" w:fill="FFFFFF"/>
        </w:rPr>
        <w:t>6</w:t>
      </w:r>
      <w:r w:rsidRPr="00471915">
        <w:rPr>
          <w:rFonts w:cs="Times New Roman"/>
          <w:szCs w:val="24"/>
          <w:shd w:val="clear" w:color="auto" w:fill="FFFFFF"/>
        </w:rPr>
        <w:t>(1), pp.1-20.</w:t>
      </w:r>
    </w:p>
    <w:p w:rsidR="00CA5039" w:rsidRPr="00471915" w:rsidRDefault="00CA5039" w:rsidP="00CA5039">
      <w:pPr>
        <w:rPr>
          <w:rFonts w:cs="Times New Roman"/>
          <w:szCs w:val="24"/>
          <w:lang w:val="en-US"/>
        </w:rPr>
      </w:pPr>
      <w:bookmarkStart w:id="20" w:name="_Hlk49340394"/>
      <w:proofErr w:type="spellStart"/>
      <w:r w:rsidRPr="00471915">
        <w:rPr>
          <w:rFonts w:cs="Times New Roman"/>
          <w:szCs w:val="24"/>
          <w:shd w:val="clear" w:color="auto" w:fill="FFFFFF"/>
        </w:rPr>
        <w:t>Muthee</w:t>
      </w:r>
      <w:bookmarkEnd w:id="20"/>
      <w:proofErr w:type="spellEnd"/>
      <w:r w:rsidRPr="00471915">
        <w:rPr>
          <w:rFonts w:cs="Times New Roman"/>
          <w:szCs w:val="24"/>
          <w:shd w:val="clear" w:color="auto" w:fill="FFFFFF"/>
        </w:rPr>
        <w:t xml:space="preserve">, B., </w:t>
      </w:r>
      <w:proofErr w:type="spellStart"/>
      <w:r w:rsidRPr="00471915">
        <w:rPr>
          <w:rFonts w:cs="Times New Roman"/>
          <w:szCs w:val="24"/>
          <w:shd w:val="clear" w:color="auto" w:fill="FFFFFF"/>
        </w:rPr>
        <w:t>Adudah</w:t>
      </w:r>
      <w:proofErr w:type="spellEnd"/>
      <w:r w:rsidRPr="00471915">
        <w:rPr>
          <w:rFonts w:cs="Times New Roman"/>
          <w:szCs w:val="24"/>
          <w:shd w:val="clear" w:color="auto" w:fill="FFFFFF"/>
        </w:rPr>
        <w:t xml:space="preserve">, J. and </w:t>
      </w:r>
      <w:proofErr w:type="spellStart"/>
      <w:r w:rsidRPr="00471915">
        <w:rPr>
          <w:rFonts w:cs="Times New Roman"/>
          <w:szCs w:val="24"/>
          <w:shd w:val="clear" w:color="auto" w:fill="FFFFFF"/>
        </w:rPr>
        <w:t>Ondigo</w:t>
      </w:r>
      <w:proofErr w:type="spellEnd"/>
      <w:r w:rsidRPr="00471915">
        <w:rPr>
          <w:rFonts w:cs="Times New Roman"/>
          <w:szCs w:val="24"/>
          <w:shd w:val="clear" w:color="auto" w:fill="FFFFFF"/>
        </w:rPr>
        <w:t>, H., 2016. Relationship between Interest Rates and Gearing Ratios of Firms Listed in the Nairobi Securities Exchange. </w:t>
      </w:r>
      <w:r w:rsidRPr="00471915">
        <w:rPr>
          <w:rFonts w:cs="Times New Roman"/>
          <w:i/>
          <w:iCs/>
          <w:szCs w:val="24"/>
          <w:shd w:val="clear" w:color="auto" w:fill="FFFFFF"/>
        </w:rPr>
        <w:t>International Journal of Finance and Accounting</w:t>
      </w:r>
      <w:r w:rsidRPr="00471915">
        <w:rPr>
          <w:rFonts w:cs="Times New Roman"/>
          <w:szCs w:val="24"/>
          <w:shd w:val="clear" w:color="auto" w:fill="FFFFFF"/>
        </w:rPr>
        <w:t>, </w:t>
      </w:r>
      <w:r w:rsidRPr="00471915">
        <w:rPr>
          <w:rFonts w:cs="Times New Roman"/>
          <w:i/>
          <w:iCs/>
          <w:szCs w:val="24"/>
          <w:shd w:val="clear" w:color="auto" w:fill="FFFFFF"/>
        </w:rPr>
        <w:t>1</w:t>
      </w:r>
      <w:r w:rsidRPr="00471915">
        <w:rPr>
          <w:rFonts w:cs="Times New Roman"/>
          <w:szCs w:val="24"/>
          <w:shd w:val="clear" w:color="auto" w:fill="FFFFFF"/>
        </w:rPr>
        <w:t>(1), pp.30-44.</w:t>
      </w:r>
    </w:p>
    <w:p w:rsidR="00CA5039" w:rsidRPr="00471915" w:rsidRDefault="00CA5039" w:rsidP="00CA5039">
      <w:pPr>
        <w:rPr>
          <w:rFonts w:cs="Times New Roman"/>
          <w:szCs w:val="24"/>
          <w:lang w:val="en-US"/>
        </w:rPr>
      </w:pPr>
      <w:bookmarkStart w:id="21" w:name="_Hlk49340354"/>
      <w:proofErr w:type="spellStart"/>
      <w:r w:rsidRPr="00471915">
        <w:rPr>
          <w:rFonts w:cs="Times New Roman"/>
          <w:szCs w:val="24"/>
          <w:shd w:val="clear" w:color="auto" w:fill="FFFFFF"/>
        </w:rPr>
        <w:t>Öztürk</w:t>
      </w:r>
      <w:bookmarkEnd w:id="21"/>
      <w:proofErr w:type="spellEnd"/>
      <w:r w:rsidRPr="00471915">
        <w:rPr>
          <w:rFonts w:cs="Times New Roman"/>
          <w:szCs w:val="24"/>
          <w:shd w:val="clear" w:color="auto" w:fill="FFFFFF"/>
        </w:rPr>
        <w:t xml:space="preserve">, H. and </w:t>
      </w:r>
      <w:bookmarkStart w:id="22" w:name="_Hlk49340361"/>
      <w:proofErr w:type="spellStart"/>
      <w:r w:rsidRPr="00471915">
        <w:rPr>
          <w:rFonts w:cs="Times New Roman"/>
          <w:szCs w:val="24"/>
          <w:shd w:val="clear" w:color="auto" w:fill="FFFFFF"/>
        </w:rPr>
        <w:t>Karabulut</w:t>
      </w:r>
      <w:bookmarkEnd w:id="22"/>
      <w:proofErr w:type="spellEnd"/>
      <w:r w:rsidRPr="00471915">
        <w:rPr>
          <w:rFonts w:cs="Times New Roman"/>
          <w:szCs w:val="24"/>
          <w:shd w:val="clear" w:color="auto" w:fill="FFFFFF"/>
        </w:rPr>
        <w:t>, T.A., 2018. The relationship between earnings-to-price, current ratio, profit margin and return: an empirical analysis on Istanbul stock exchange. </w:t>
      </w:r>
      <w:r w:rsidRPr="00471915">
        <w:rPr>
          <w:rFonts w:cs="Times New Roman"/>
          <w:i/>
          <w:iCs/>
          <w:szCs w:val="24"/>
          <w:shd w:val="clear" w:color="auto" w:fill="FFFFFF"/>
        </w:rPr>
        <w:t>Accounting and Finance Research</w:t>
      </w:r>
      <w:r w:rsidRPr="00471915">
        <w:rPr>
          <w:rFonts w:cs="Times New Roman"/>
          <w:szCs w:val="24"/>
          <w:shd w:val="clear" w:color="auto" w:fill="FFFFFF"/>
        </w:rPr>
        <w:t>, </w:t>
      </w:r>
      <w:r w:rsidRPr="00471915">
        <w:rPr>
          <w:rFonts w:cs="Times New Roman"/>
          <w:i/>
          <w:iCs/>
          <w:szCs w:val="24"/>
          <w:shd w:val="clear" w:color="auto" w:fill="FFFFFF"/>
        </w:rPr>
        <w:t>7</w:t>
      </w:r>
      <w:r w:rsidRPr="00471915">
        <w:rPr>
          <w:rFonts w:cs="Times New Roman"/>
          <w:szCs w:val="24"/>
          <w:shd w:val="clear" w:color="auto" w:fill="FFFFFF"/>
        </w:rPr>
        <w:t>(1), pp.109-115.</w:t>
      </w:r>
    </w:p>
    <w:p w:rsidR="00CA5039" w:rsidRPr="00471915" w:rsidRDefault="00CA5039" w:rsidP="00CA5039">
      <w:pPr>
        <w:rPr>
          <w:rFonts w:cs="Times New Roman"/>
          <w:szCs w:val="24"/>
          <w:lang w:val="en-US"/>
        </w:rPr>
      </w:pPr>
      <w:bookmarkStart w:id="23" w:name="_Hlk49340258"/>
      <w:r w:rsidRPr="00471915">
        <w:rPr>
          <w:rFonts w:cs="Times New Roman"/>
          <w:szCs w:val="24"/>
          <w:shd w:val="clear" w:color="auto" w:fill="FFFFFF"/>
        </w:rPr>
        <w:t>Patel</w:t>
      </w:r>
      <w:bookmarkEnd w:id="23"/>
      <w:r w:rsidRPr="00471915">
        <w:rPr>
          <w:rFonts w:cs="Times New Roman"/>
          <w:szCs w:val="24"/>
          <w:shd w:val="clear" w:color="auto" w:fill="FFFFFF"/>
        </w:rPr>
        <w:t>, S.V., 2019. TREND ANALYSIS OF CREDIT MANAGEMENT: A CASE STUDY ON INFOSYS LIMITED. </w:t>
      </w:r>
      <w:r w:rsidRPr="00471915">
        <w:rPr>
          <w:rFonts w:cs="Times New Roman"/>
          <w:i/>
          <w:iCs/>
          <w:szCs w:val="24"/>
          <w:shd w:val="clear" w:color="auto" w:fill="FFFFFF"/>
        </w:rPr>
        <w:t>Advance and Innovative Research</w:t>
      </w:r>
      <w:r w:rsidRPr="00471915">
        <w:rPr>
          <w:rFonts w:cs="Times New Roman"/>
          <w:szCs w:val="24"/>
          <w:shd w:val="clear" w:color="auto" w:fill="FFFFFF"/>
        </w:rPr>
        <w:t>, p.27.</w:t>
      </w:r>
    </w:p>
    <w:p w:rsidR="0032419E" w:rsidRPr="0032419E" w:rsidRDefault="00CA5039" w:rsidP="0032419E">
      <w:pPr>
        <w:rPr>
          <w:rFonts w:cs="Times New Roman"/>
          <w:szCs w:val="24"/>
          <w:lang w:val="en-US"/>
        </w:rPr>
      </w:pPr>
      <w:bookmarkStart w:id="24" w:name="_Hlk49340316"/>
      <w:r w:rsidRPr="00471915">
        <w:rPr>
          <w:rFonts w:cs="Times New Roman"/>
          <w:szCs w:val="24"/>
          <w:shd w:val="clear" w:color="auto" w:fill="FFFFFF"/>
        </w:rPr>
        <w:t>Wijaya</w:t>
      </w:r>
      <w:bookmarkEnd w:id="24"/>
      <w:r w:rsidRPr="00471915">
        <w:rPr>
          <w:rFonts w:cs="Times New Roman"/>
          <w:szCs w:val="24"/>
          <w:shd w:val="clear" w:color="auto" w:fill="FFFFFF"/>
        </w:rPr>
        <w:t xml:space="preserve">, T.W., </w:t>
      </w:r>
      <w:proofErr w:type="spellStart"/>
      <w:r w:rsidRPr="00471915">
        <w:rPr>
          <w:rFonts w:cs="Times New Roman"/>
          <w:szCs w:val="24"/>
          <w:shd w:val="clear" w:color="auto" w:fill="FFFFFF"/>
        </w:rPr>
        <w:t>Mursito</w:t>
      </w:r>
      <w:proofErr w:type="spellEnd"/>
      <w:r w:rsidRPr="00471915">
        <w:rPr>
          <w:rFonts w:cs="Times New Roman"/>
          <w:szCs w:val="24"/>
          <w:shd w:val="clear" w:color="auto" w:fill="FFFFFF"/>
        </w:rPr>
        <w:t xml:space="preserve">, B. and </w:t>
      </w:r>
      <w:proofErr w:type="spellStart"/>
      <w:r w:rsidRPr="00471915">
        <w:rPr>
          <w:rFonts w:cs="Times New Roman"/>
          <w:szCs w:val="24"/>
          <w:shd w:val="clear" w:color="auto" w:fill="FFFFFF"/>
        </w:rPr>
        <w:t>Djumali</w:t>
      </w:r>
      <w:proofErr w:type="spellEnd"/>
      <w:r w:rsidRPr="00471915">
        <w:rPr>
          <w:rFonts w:cs="Times New Roman"/>
          <w:szCs w:val="24"/>
          <w:shd w:val="clear" w:color="auto" w:fill="FFFFFF"/>
        </w:rPr>
        <w:t xml:space="preserve">, D., 2020, March. ANALISIS PENGARUH CURRENT RATIO (CR), DEBT TO EQUITY RATIO (DER), TOTAL ASSET TURN OVER (TATO), DAN NET PROFIT MARGIN (NPM), TERHADAP RETURN ON ASSET (ROA)(Study </w:t>
      </w:r>
      <w:proofErr w:type="spellStart"/>
      <w:r w:rsidRPr="00471915">
        <w:rPr>
          <w:rFonts w:cs="Times New Roman"/>
          <w:szCs w:val="24"/>
          <w:shd w:val="clear" w:color="auto" w:fill="FFFFFF"/>
        </w:rPr>
        <w:t>Empiris</w:t>
      </w:r>
      <w:proofErr w:type="spellEnd"/>
      <w:r w:rsidRPr="00471915">
        <w:rPr>
          <w:rFonts w:cs="Times New Roman"/>
          <w:szCs w:val="24"/>
          <w:shd w:val="clear" w:color="auto" w:fill="FFFFFF"/>
        </w:rPr>
        <w:t xml:space="preserve"> Pada Perusahaan </w:t>
      </w:r>
      <w:proofErr w:type="spellStart"/>
      <w:r w:rsidRPr="00471915">
        <w:rPr>
          <w:rFonts w:cs="Times New Roman"/>
          <w:szCs w:val="24"/>
          <w:shd w:val="clear" w:color="auto" w:fill="FFFFFF"/>
        </w:rPr>
        <w:t>Pertanian</w:t>
      </w:r>
      <w:proofErr w:type="spellEnd"/>
      <w:r w:rsidRPr="00471915">
        <w:rPr>
          <w:rFonts w:cs="Times New Roman"/>
          <w:szCs w:val="24"/>
          <w:shd w:val="clear" w:color="auto" w:fill="FFFFFF"/>
        </w:rPr>
        <w:t xml:space="preserve"> Yang </w:t>
      </w:r>
      <w:proofErr w:type="spellStart"/>
      <w:r w:rsidRPr="00471915">
        <w:rPr>
          <w:rFonts w:cs="Times New Roman"/>
          <w:szCs w:val="24"/>
          <w:shd w:val="clear" w:color="auto" w:fill="FFFFFF"/>
        </w:rPr>
        <w:t>Terdaftar</w:t>
      </w:r>
      <w:proofErr w:type="spellEnd"/>
      <w:r w:rsidRPr="00471915">
        <w:rPr>
          <w:rFonts w:cs="Times New Roman"/>
          <w:szCs w:val="24"/>
          <w:shd w:val="clear" w:color="auto" w:fill="FFFFFF"/>
        </w:rPr>
        <w:t xml:space="preserve"> Di Bursa </w:t>
      </w:r>
      <w:proofErr w:type="spellStart"/>
      <w:r w:rsidRPr="00471915">
        <w:rPr>
          <w:rFonts w:cs="Times New Roman"/>
          <w:szCs w:val="24"/>
          <w:shd w:val="clear" w:color="auto" w:fill="FFFFFF"/>
        </w:rPr>
        <w:t>Efek</w:t>
      </w:r>
      <w:proofErr w:type="spellEnd"/>
      <w:r w:rsidRPr="00471915">
        <w:rPr>
          <w:rFonts w:cs="Times New Roman"/>
          <w:szCs w:val="24"/>
          <w:shd w:val="clear" w:color="auto" w:fill="FFFFFF"/>
        </w:rPr>
        <w:t xml:space="preserve"> Indonesia </w:t>
      </w:r>
      <w:proofErr w:type="spellStart"/>
      <w:r w:rsidRPr="00471915">
        <w:rPr>
          <w:rFonts w:cs="Times New Roman"/>
          <w:szCs w:val="24"/>
          <w:shd w:val="clear" w:color="auto" w:fill="FFFFFF"/>
        </w:rPr>
        <w:t>Tahun</w:t>
      </w:r>
      <w:proofErr w:type="spellEnd"/>
      <w:r w:rsidRPr="00471915">
        <w:rPr>
          <w:rFonts w:cs="Times New Roman"/>
          <w:szCs w:val="24"/>
          <w:shd w:val="clear" w:color="auto" w:fill="FFFFFF"/>
        </w:rPr>
        <w:t xml:space="preserve"> 2016-2018). In </w:t>
      </w:r>
      <w:r w:rsidRPr="00471915">
        <w:rPr>
          <w:rFonts w:cs="Times New Roman"/>
          <w:i/>
          <w:iCs/>
          <w:szCs w:val="24"/>
          <w:shd w:val="clear" w:color="auto" w:fill="FFFFFF"/>
        </w:rPr>
        <w:t>PROSIDING SEMINAR NASIONAL</w:t>
      </w:r>
      <w:r w:rsidRPr="00471915">
        <w:rPr>
          <w:rFonts w:cs="Times New Roman"/>
          <w:szCs w:val="24"/>
          <w:shd w:val="clear" w:color="auto" w:fill="FFFFFF"/>
        </w:rPr>
        <w:t> (Vol. 1, No. 01, pp. 69-85).</w:t>
      </w:r>
      <w:bookmarkStart w:id="25" w:name="_Toc49260214"/>
      <w:r w:rsidR="0032419E">
        <w:rPr>
          <w:rFonts w:cs="Times New Roman"/>
          <w:szCs w:val="24"/>
          <w:shd w:val="clear" w:color="auto" w:fill="FFFFFF"/>
        </w:rPr>
        <w:br w:type="page"/>
      </w:r>
    </w:p>
    <w:p w:rsidR="004A2D60" w:rsidRPr="00DA062F" w:rsidRDefault="00270EC8" w:rsidP="004A2D60">
      <w:pPr>
        <w:pStyle w:val="Heading1"/>
        <w:rPr>
          <w:rFonts w:cs="Times New Roman"/>
          <w:szCs w:val="24"/>
          <w:shd w:val="clear" w:color="auto" w:fill="FFFFFF"/>
        </w:rPr>
      </w:pPr>
      <w:bookmarkStart w:id="26" w:name="_Toc49345347"/>
      <w:r w:rsidRPr="00DA062F">
        <w:rPr>
          <w:rFonts w:cs="Times New Roman"/>
          <w:szCs w:val="24"/>
          <w:shd w:val="clear" w:color="auto" w:fill="FFFFFF"/>
        </w:rPr>
        <w:lastRenderedPageBreak/>
        <w:t>Appendix</w:t>
      </w:r>
      <w:r w:rsidR="008228CD">
        <w:rPr>
          <w:rFonts w:cs="Times New Roman"/>
          <w:szCs w:val="24"/>
          <w:shd w:val="clear" w:color="auto" w:fill="FFFFFF"/>
        </w:rPr>
        <w:t xml:space="preserve"> 1</w:t>
      </w:r>
      <w:r w:rsidRPr="00DA062F">
        <w:rPr>
          <w:rFonts w:cs="Times New Roman"/>
          <w:szCs w:val="24"/>
          <w:shd w:val="clear" w:color="auto" w:fill="FFFFFF"/>
        </w:rPr>
        <w:t xml:space="preserve">: </w:t>
      </w:r>
      <w:r w:rsidR="008228CD">
        <w:rPr>
          <w:rFonts w:cs="Times New Roman"/>
          <w:szCs w:val="24"/>
          <w:shd w:val="clear" w:color="auto" w:fill="FFFFFF"/>
        </w:rPr>
        <w:t>Key w</w:t>
      </w:r>
      <w:r w:rsidRPr="00DA062F">
        <w:rPr>
          <w:rFonts w:cs="Times New Roman"/>
          <w:szCs w:val="24"/>
          <w:shd w:val="clear" w:color="auto" w:fill="FFFFFF"/>
        </w:rPr>
        <w:t>orkings</w:t>
      </w:r>
      <w:bookmarkEnd w:id="25"/>
      <w:bookmarkEnd w:id="26"/>
    </w:p>
    <w:p w:rsidR="004A2D60" w:rsidRPr="00DA062F" w:rsidRDefault="00270EC8" w:rsidP="004A2D60">
      <w:pPr>
        <w:rPr>
          <w:rFonts w:cs="Times New Roman"/>
          <w:szCs w:val="24"/>
        </w:rPr>
      </w:pPr>
      <w:r w:rsidRPr="00DA062F">
        <w:rPr>
          <w:rFonts w:cs="Times New Roman"/>
          <w:szCs w:val="24"/>
        </w:rPr>
        <w:t>Depreciation</w:t>
      </w:r>
    </w:p>
    <w:p w:rsidR="004A2D60" w:rsidRPr="00DA062F" w:rsidRDefault="00270EC8" w:rsidP="004A2D60">
      <w:pPr>
        <w:pStyle w:val="ListParagraph"/>
        <w:numPr>
          <w:ilvl w:val="0"/>
          <w:numId w:val="2"/>
        </w:numPr>
        <w:spacing w:line="360" w:lineRule="auto"/>
        <w:jc w:val="both"/>
        <w:rPr>
          <w:rFonts w:ascii="Times New Roman" w:hAnsi="Times New Roman" w:cs="Times New Roman"/>
          <w:sz w:val="24"/>
          <w:szCs w:val="24"/>
        </w:rPr>
      </w:pPr>
      <w:r w:rsidRPr="00DA062F">
        <w:rPr>
          <w:rFonts w:ascii="Times New Roman" w:hAnsi="Times New Roman" w:cs="Times New Roman"/>
          <w:sz w:val="24"/>
          <w:szCs w:val="24"/>
        </w:rPr>
        <w:t xml:space="preserve">Buildings 2% </w:t>
      </w:r>
      <w:r>
        <w:rPr>
          <w:rFonts w:ascii="Times New Roman" w:hAnsi="Times New Roman" w:cs="Times New Roman"/>
          <w:sz w:val="24"/>
          <w:szCs w:val="24"/>
        </w:rPr>
        <w:t xml:space="preserve">every </w:t>
      </w:r>
      <w:r w:rsidRPr="00DA062F">
        <w:rPr>
          <w:rFonts w:ascii="Times New Roman" w:hAnsi="Times New Roman" w:cs="Times New Roman"/>
          <w:sz w:val="24"/>
          <w:szCs w:val="24"/>
        </w:rPr>
        <w:t>year on cost</w:t>
      </w:r>
    </w:p>
    <w:p w:rsidR="004A2D60" w:rsidRPr="00DA062F" w:rsidRDefault="00270EC8" w:rsidP="004A2D60">
      <w:pPr>
        <w:rPr>
          <w:rFonts w:cs="Times New Roman"/>
          <w:szCs w:val="24"/>
        </w:rPr>
      </w:pPr>
      <w:r w:rsidRPr="00DA062F">
        <w:rPr>
          <w:rFonts w:cs="Times New Roman"/>
          <w:szCs w:val="24"/>
        </w:rPr>
        <w:t>= 16000*0.02 = 3200</w:t>
      </w:r>
    </w:p>
    <w:p w:rsidR="004A2D60" w:rsidRPr="00DA062F" w:rsidRDefault="00270EC8" w:rsidP="004A2D60">
      <w:pPr>
        <w:pStyle w:val="ListParagraph"/>
        <w:numPr>
          <w:ilvl w:val="0"/>
          <w:numId w:val="2"/>
        </w:numPr>
        <w:spacing w:line="360" w:lineRule="auto"/>
        <w:jc w:val="both"/>
        <w:rPr>
          <w:rFonts w:ascii="Times New Roman" w:hAnsi="Times New Roman" w:cs="Times New Roman"/>
          <w:color w:val="000000" w:themeColor="text1"/>
          <w:sz w:val="24"/>
          <w:szCs w:val="24"/>
          <w:shd w:val="clear" w:color="auto" w:fill="FFFFFF"/>
        </w:rPr>
      </w:pPr>
      <w:r w:rsidRPr="00DA062F">
        <w:rPr>
          <w:rFonts w:ascii="Times New Roman" w:hAnsi="Times New Roman" w:cs="Times New Roman"/>
          <w:sz w:val="24"/>
          <w:szCs w:val="24"/>
        </w:rPr>
        <w:t xml:space="preserve">Plant 10% </w:t>
      </w:r>
      <w:r>
        <w:rPr>
          <w:rFonts w:ascii="Times New Roman" w:hAnsi="Times New Roman" w:cs="Times New Roman"/>
          <w:sz w:val="24"/>
          <w:szCs w:val="24"/>
        </w:rPr>
        <w:t>every</w:t>
      </w:r>
      <w:r w:rsidRPr="00DA062F">
        <w:rPr>
          <w:rFonts w:ascii="Times New Roman" w:hAnsi="Times New Roman" w:cs="Times New Roman"/>
          <w:sz w:val="24"/>
          <w:szCs w:val="24"/>
        </w:rPr>
        <w:t xml:space="preserve"> year on cost</w:t>
      </w:r>
    </w:p>
    <w:p w:rsidR="004A2D60" w:rsidRPr="00DA062F" w:rsidRDefault="00270EC8" w:rsidP="004A2D60">
      <w:pPr>
        <w:rPr>
          <w:rFonts w:cs="Times New Roman"/>
          <w:szCs w:val="24"/>
          <w:lang w:val="en-US"/>
        </w:rPr>
      </w:pPr>
      <w:r w:rsidRPr="00DA062F">
        <w:rPr>
          <w:rFonts w:cs="Times New Roman"/>
          <w:szCs w:val="24"/>
          <w:lang w:val="en-US"/>
        </w:rPr>
        <w:t>= 25600 *</w:t>
      </w:r>
      <w:r>
        <w:rPr>
          <w:rFonts w:cs="Times New Roman"/>
          <w:szCs w:val="24"/>
          <w:lang w:val="en-US"/>
        </w:rPr>
        <w:t xml:space="preserve"> </w:t>
      </w:r>
      <w:r w:rsidRPr="00DA062F">
        <w:rPr>
          <w:rFonts w:cs="Times New Roman"/>
          <w:szCs w:val="24"/>
          <w:lang w:val="en-US"/>
        </w:rPr>
        <w:t>0.1= 2560</w:t>
      </w:r>
    </w:p>
    <w:p w:rsidR="004A2D60" w:rsidRPr="00DA062F" w:rsidRDefault="00270EC8" w:rsidP="004A2D60">
      <w:pPr>
        <w:pStyle w:val="ListParagraph"/>
        <w:numPr>
          <w:ilvl w:val="0"/>
          <w:numId w:val="2"/>
        </w:numPr>
        <w:spacing w:line="360" w:lineRule="auto"/>
        <w:rPr>
          <w:rFonts w:ascii="Times New Roman" w:hAnsi="Times New Roman" w:cs="Times New Roman"/>
          <w:color w:val="000000" w:themeColor="text1"/>
          <w:sz w:val="24"/>
          <w:szCs w:val="24"/>
          <w:lang w:val="en-US"/>
        </w:rPr>
      </w:pPr>
      <w:r w:rsidRPr="00DA062F">
        <w:rPr>
          <w:rFonts w:ascii="Times New Roman" w:hAnsi="Times New Roman" w:cs="Times New Roman"/>
          <w:sz w:val="24"/>
          <w:szCs w:val="24"/>
        </w:rPr>
        <w:t xml:space="preserve">allowance </w:t>
      </w:r>
      <w:r>
        <w:rPr>
          <w:rFonts w:ascii="Times New Roman" w:hAnsi="Times New Roman" w:cs="Times New Roman"/>
          <w:sz w:val="24"/>
          <w:szCs w:val="24"/>
        </w:rPr>
        <w:t>(</w:t>
      </w:r>
      <w:r w:rsidRPr="00DA062F">
        <w:rPr>
          <w:rFonts w:ascii="Times New Roman" w:hAnsi="Times New Roman" w:cs="Times New Roman"/>
          <w:sz w:val="24"/>
          <w:szCs w:val="24"/>
        </w:rPr>
        <w:t>receivables</w:t>
      </w:r>
      <w:r>
        <w:rPr>
          <w:rFonts w:ascii="Times New Roman" w:hAnsi="Times New Roman" w:cs="Times New Roman"/>
          <w:sz w:val="24"/>
          <w:szCs w:val="24"/>
        </w:rPr>
        <w:t>)</w:t>
      </w:r>
      <w:r w:rsidRPr="00DA062F">
        <w:rPr>
          <w:rFonts w:ascii="Times New Roman" w:hAnsi="Times New Roman" w:cs="Times New Roman"/>
          <w:sz w:val="24"/>
          <w:szCs w:val="24"/>
        </w:rPr>
        <w:t xml:space="preserve"> of 2%</w:t>
      </w:r>
    </w:p>
    <w:p w:rsidR="00C5740F" w:rsidRPr="00C5740F" w:rsidRDefault="00270EC8" w:rsidP="004A2D60">
      <w:pPr>
        <w:rPr>
          <w:highlight w:val="white"/>
          <w:lang w:val="en-GB"/>
        </w:rPr>
      </w:pPr>
      <w:r w:rsidRPr="00DA062F">
        <w:rPr>
          <w:rFonts w:cs="Times New Roman"/>
          <w:szCs w:val="24"/>
          <w:lang w:val="en-US"/>
        </w:rPr>
        <w:t>Provision for bad Debt = 8240*0.02 = 164.8</w:t>
      </w:r>
    </w:p>
    <w:sectPr w:rsidR="00C5740F" w:rsidRPr="00C5740F" w:rsidSect="00E45FB6">
      <w:footerReference w:type="defaul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22810" w:rsidRDefault="00D22810">
      <w:pPr>
        <w:spacing w:line="240" w:lineRule="auto"/>
      </w:pPr>
      <w:r>
        <w:separator/>
      </w:r>
    </w:p>
  </w:endnote>
  <w:endnote w:type="continuationSeparator" w:id="0">
    <w:p w:rsidR="00D22810" w:rsidRDefault="00D228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venir Next Condensed">
    <w:panose1 w:val="020B0506020202020204"/>
    <w:charset w:val="00"/>
    <w:family w:val="swiss"/>
    <w:pitch w:val="variable"/>
    <w:sig w:usb0="8000002F" w:usb1="5000204A" w:usb2="00000000" w:usb3="00000000" w:csb0="0000009B" w:csb1="00000000"/>
  </w:font>
  <w:font w:name="APPLE CHANCERY">
    <w:panose1 w:val="03020702040506060504"/>
    <w:charset w:val="B1"/>
    <w:family w:val="script"/>
    <w:pitch w:val="variable"/>
    <w:sig w:usb0="80000867" w:usb1="00000003" w:usb2="00000000" w:usb3="00000000" w:csb0="000001F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64902174"/>
      <w:docPartObj>
        <w:docPartGallery w:val="Page Numbers (Bottom of Page)"/>
        <w:docPartUnique/>
      </w:docPartObj>
    </w:sdtPr>
    <w:sdtEndPr>
      <w:rPr>
        <w:noProof/>
        <w:sz w:val="20"/>
        <w:szCs w:val="20"/>
      </w:rPr>
    </w:sdtEndPr>
    <w:sdtContent>
      <w:p w:rsidR="00E45FB6" w:rsidRPr="00E45FB6" w:rsidRDefault="001D5F23" w:rsidP="00E45FB6">
        <w:pPr>
          <w:pStyle w:val="Footer"/>
          <w:spacing w:line="360" w:lineRule="auto"/>
          <w:jc w:val="right"/>
          <w:rPr>
            <w:sz w:val="20"/>
            <w:szCs w:val="20"/>
          </w:rPr>
        </w:pPr>
        <w:r w:rsidRPr="00E45FB6">
          <w:rPr>
            <w:sz w:val="20"/>
            <w:szCs w:val="20"/>
          </w:rPr>
          <w:fldChar w:fldCharType="begin"/>
        </w:r>
        <w:r w:rsidR="00270EC8" w:rsidRPr="00E45FB6">
          <w:rPr>
            <w:sz w:val="20"/>
            <w:szCs w:val="20"/>
          </w:rPr>
          <w:instrText xml:space="preserve"> PAGE   \* MERGEFORMAT </w:instrText>
        </w:r>
        <w:r w:rsidRPr="00E45FB6">
          <w:rPr>
            <w:sz w:val="20"/>
            <w:szCs w:val="20"/>
          </w:rPr>
          <w:fldChar w:fldCharType="separate"/>
        </w:r>
        <w:r w:rsidR="00BB1B0D">
          <w:rPr>
            <w:noProof/>
            <w:sz w:val="20"/>
            <w:szCs w:val="20"/>
          </w:rPr>
          <w:t>1</w:t>
        </w:r>
        <w:r w:rsidRPr="00E45FB6">
          <w:rPr>
            <w:noProof/>
            <w:sz w:val="20"/>
            <w:szCs w:val="20"/>
          </w:rPr>
          <w:fldChar w:fldCharType="end"/>
        </w:r>
      </w:p>
    </w:sdtContent>
  </w:sdt>
  <w:p w:rsidR="00E45FB6" w:rsidRDefault="00E45F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22810" w:rsidRDefault="00D22810">
      <w:pPr>
        <w:spacing w:line="240" w:lineRule="auto"/>
      </w:pPr>
      <w:r>
        <w:separator/>
      </w:r>
    </w:p>
  </w:footnote>
  <w:footnote w:type="continuationSeparator" w:id="0">
    <w:p w:rsidR="00D22810" w:rsidRDefault="00D2281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9F1B19"/>
    <w:multiLevelType w:val="hybridMultilevel"/>
    <w:tmpl w:val="414689DC"/>
    <w:lvl w:ilvl="0" w:tplc="7C707A64">
      <w:start w:val="1"/>
      <w:numFmt w:val="bullet"/>
      <w:lvlText w:val=""/>
      <w:lvlJc w:val="left"/>
      <w:pPr>
        <w:ind w:left="720" w:hanging="360"/>
      </w:pPr>
      <w:rPr>
        <w:rFonts w:ascii="Symbol" w:hAnsi="Symbol" w:hint="default"/>
      </w:rPr>
    </w:lvl>
    <w:lvl w:ilvl="1" w:tplc="E3CA48C2" w:tentative="1">
      <w:start w:val="1"/>
      <w:numFmt w:val="bullet"/>
      <w:lvlText w:val="o"/>
      <w:lvlJc w:val="left"/>
      <w:pPr>
        <w:ind w:left="1440" w:hanging="360"/>
      </w:pPr>
      <w:rPr>
        <w:rFonts w:ascii="Courier New" w:hAnsi="Courier New" w:cs="Courier New" w:hint="default"/>
      </w:rPr>
    </w:lvl>
    <w:lvl w:ilvl="2" w:tplc="8774FDEE" w:tentative="1">
      <w:start w:val="1"/>
      <w:numFmt w:val="bullet"/>
      <w:lvlText w:val=""/>
      <w:lvlJc w:val="left"/>
      <w:pPr>
        <w:ind w:left="2160" w:hanging="360"/>
      </w:pPr>
      <w:rPr>
        <w:rFonts w:ascii="Wingdings" w:hAnsi="Wingdings" w:hint="default"/>
      </w:rPr>
    </w:lvl>
    <w:lvl w:ilvl="3" w:tplc="44F4BC98" w:tentative="1">
      <w:start w:val="1"/>
      <w:numFmt w:val="bullet"/>
      <w:lvlText w:val=""/>
      <w:lvlJc w:val="left"/>
      <w:pPr>
        <w:ind w:left="2880" w:hanging="360"/>
      </w:pPr>
      <w:rPr>
        <w:rFonts w:ascii="Symbol" w:hAnsi="Symbol" w:hint="default"/>
      </w:rPr>
    </w:lvl>
    <w:lvl w:ilvl="4" w:tplc="AA1C7898" w:tentative="1">
      <w:start w:val="1"/>
      <w:numFmt w:val="bullet"/>
      <w:lvlText w:val="o"/>
      <w:lvlJc w:val="left"/>
      <w:pPr>
        <w:ind w:left="3600" w:hanging="360"/>
      </w:pPr>
      <w:rPr>
        <w:rFonts w:ascii="Courier New" w:hAnsi="Courier New" w:cs="Courier New" w:hint="default"/>
      </w:rPr>
    </w:lvl>
    <w:lvl w:ilvl="5" w:tplc="EB3CF8B2" w:tentative="1">
      <w:start w:val="1"/>
      <w:numFmt w:val="bullet"/>
      <w:lvlText w:val=""/>
      <w:lvlJc w:val="left"/>
      <w:pPr>
        <w:ind w:left="4320" w:hanging="360"/>
      </w:pPr>
      <w:rPr>
        <w:rFonts w:ascii="Wingdings" w:hAnsi="Wingdings" w:hint="default"/>
      </w:rPr>
    </w:lvl>
    <w:lvl w:ilvl="6" w:tplc="8E9ECB70" w:tentative="1">
      <w:start w:val="1"/>
      <w:numFmt w:val="bullet"/>
      <w:lvlText w:val=""/>
      <w:lvlJc w:val="left"/>
      <w:pPr>
        <w:ind w:left="5040" w:hanging="360"/>
      </w:pPr>
      <w:rPr>
        <w:rFonts w:ascii="Symbol" w:hAnsi="Symbol" w:hint="default"/>
      </w:rPr>
    </w:lvl>
    <w:lvl w:ilvl="7" w:tplc="222C5754" w:tentative="1">
      <w:start w:val="1"/>
      <w:numFmt w:val="bullet"/>
      <w:lvlText w:val="o"/>
      <w:lvlJc w:val="left"/>
      <w:pPr>
        <w:ind w:left="5760" w:hanging="360"/>
      </w:pPr>
      <w:rPr>
        <w:rFonts w:ascii="Courier New" w:hAnsi="Courier New" w:cs="Courier New" w:hint="default"/>
      </w:rPr>
    </w:lvl>
    <w:lvl w:ilvl="8" w:tplc="8354BB82" w:tentative="1">
      <w:start w:val="1"/>
      <w:numFmt w:val="bullet"/>
      <w:lvlText w:val=""/>
      <w:lvlJc w:val="left"/>
      <w:pPr>
        <w:ind w:left="6480" w:hanging="360"/>
      </w:pPr>
      <w:rPr>
        <w:rFonts w:ascii="Wingdings" w:hAnsi="Wingdings" w:hint="default"/>
      </w:rPr>
    </w:lvl>
  </w:abstractNum>
  <w:abstractNum w:abstractNumId="1" w15:restartNumberingAfterBreak="0">
    <w:nsid w:val="2AE020CF"/>
    <w:multiLevelType w:val="hybridMultilevel"/>
    <w:tmpl w:val="65166B8A"/>
    <w:lvl w:ilvl="0" w:tplc="8D4ABE74">
      <w:start w:val="1"/>
      <w:numFmt w:val="bullet"/>
      <w:lvlText w:val=""/>
      <w:lvlJc w:val="left"/>
      <w:pPr>
        <w:ind w:left="720" w:hanging="360"/>
      </w:pPr>
      <w:rPr>
        <w:rFonts w:ascii="Symbol" w:hAnsi="Symbol" w:hint="default"/>
      </w:rPr>
    </w:lvl>
    <w:lvl w:ilvl="1" w:tplc="DD8CD59A" w:tentative="1">
      <w:start w:val="1"/>
      <w:numFmt w:val="bullet"/>
      <w:lvlText w:val="o"/>
      <w:lvlJc w:val="left"/>
      <w:pPr>
        <w:ind w:left="1440" w:hanging="360"/>
      </w:pPr>
      <w:rPr>
        <w:rFonts w:ascii="Courier New" w:hAnsi="Courier New" w:cs="Courier New" w:hint="default"/>
      </w:rPr>
    </w:lvl>
    <w:lvl w:ilvl="2" w:tplc="F2DECA32" w:tentative="1">
      <w:start w:val="1"/>
      <w:numFmt w:val="bullet"/>
      <w:lvlText w:val=""/>
      <w:lvlJc w:val="left"/>
      <w:pPr>
        <w:ind w:left="2160" w:hanging="360"/>
      </w:pPr>
      <w:rPr>
        <w:rFonts w:ascii="Wingdings" w:hAnsi="Wingdings" w:hint="default"/>
      </w:rPr>
    </w:lvl>
    <w:lvl w:ilvl="3" w:tplc="63729530" w:tentative="1">
      <w:start w:val="1"/>
      <w:numFmt w:val="bullet"/>
      <w:lvlText w:val=""/>
      <w:lvlJc w:val="left"/>
      <w:pPr>
        <w:ind w:left="2880" w:hanging="360"/>
      </w:pPr>
      <w:rPr>
        <w:rFonts w:ascii="Symbol" w:hAnsi="Symbol" w:hint="default"/>
      </w:rPr>
    </w:lvl>
    <w:lvl w:ilvl="4" w:tplc="F394FF0E" w:tentative="1">
      <w:start w:val="1"/>
      <w:numFmt w:val="bullet"/>
      <w:lvlText w:val="o"/>
      <w:lvlJc w:val="left"/>
      <w:pPr>
        <w:ind w:left="3600" w:hanging="360"/>
      </w:pPr>
      <w:rPr>
        <w:rFonts w:ascii="Courier New" w:hAnsi="Courier New" w:cs="Courier New" w:hint="default"/>
      </w:rPr>
    </w:lvl>
    <w:lvl w:ilvl="5" w:tplc="5A4C9DDC" w:tentative="1">
      <w:start w:val="1"/>
      <w:numFmt w:val="bullet"/>
      <w:lvlText w:val=""/>
      <w:lvlJc w:val="left"/>
      <w:pPr>
        <w:ind w:left="4320" w:hanging="360"/>
      </w:pPr>
      <w:rPr>
        <w:rFonts w:ascii="Wingdings" w:hAnsi="Wingdings" w:hint="default"/>
      </w:rPr>
    </w:lvl>
    <w:lvl w:ilvl="6" w:tplc="8F5C5518" w:tentative="1">
      <w:start w:val="1"/>
      <w:numFmt w:val="bullet"/>
      <w:lvlText w:val=""/>
      <w:lvlJc w:val="left"/>
      <w:pPr>
        <w:ind w:left="5040" w:hanging="360"/>
      </w:pPr>
      <w:rPr>
        <w:rFonts w:ascii="Symbol" w:hAnsi="Symbol" w:hint="default"/>
      </w:rPr>
    </w:lvl>
    <w:lvl w:ilvl="7" w:tplc="E4DA3E62" w:tentative="1">
      <w:start w:val="1"/>
      <w:numFmt w:val="bullet"/>
      <w:lvlText w:val="o"/>
      <w:lvlJc w:val="left"/>
      <w:pPr>
        <w:ind w:left="5760" w:hanging="360"/>
      </w:pPr>
      <w:rPr>
        <w:rFonts w:ascii="Courier New" w:hAnsi="Courier New" w:cs="Courier New" w:hint="default"/>
      </w:rPr>
    </w:lvl>
    <w:lvl w:ilvl="8" w:tplc="8662DE5A"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5229A"/>
    <w:rsid w:val="000048F1"/>
    <w:rsid w:val="00012C93"/>
    <w:rsid w:val="00022EA7"/>
    <w:rsid w:val="000833C1"/>
    <w:rsid w:val="00092BDB"/>
    <w:rsid w:val="00095392"/>
    <w:rsid w:val="000A2B8D"/>
    <w:rsid w:val="000A55BA"/>
    <w:rsid w:val="000B7E29"/>
    <w:rsid w:val="000D1B35"/>
    <w:rsid w:val="000D6981"/>
    <w:rsid w:val="000E53D9"/>
    <w:rsid w:val="000E5465"/>
    <w:rsid w:val="000F506D"/>
    <w:rsid w:val="00100CEF"/>
    <w:rsid w:val="00101150"/>
    <w:rsid w:val="001141EC"/>
    <w:rsid w:val="0012332C"/>
    <w:rsid w:val="00126B5D"/>
    <w:rsid w:val="00136594"/>
    <w:rsid w:val="00136C27"/>
    <w:rsid w:val="00137730"/>
    <w:rsid w:val="00157504"/>
    <w:rsid w:val="00166056"/>
    <w:rsid w:val="00184659"/>
    <w:rsid w:val="001B4D1A"/>
    <w:rsid w:val="001D59AE"/>
    <w:rsid w:val="001D5F23"/>
    <w:rsid w:val="001E3055"/>
    <w:rsid w:val="001F1784"/>
    <w:rsid w:val="00216041"/>
    <w:rsid w:val="00226769"/>
    <w:rsid w:val="00236F57"/>
    <w:rsid w:val="0025031A"/>
    <w:rsid w:val="00270EC8"/>
    <w:rsid w:val="00283AC5"/>
    <w:rsid w:val="00290EC9"/>
    <w:rsid w:val="00294886"/>
    <w:rsid w:val="00296757"/>
    <w:rsid w:val="002C1D29"/>
    <w:rsid w:val="002C2801"/>
    <w:rsid w:val="002C36D9"/>
    <w:rsid w:val="002D15DB"/>
    <w:rsid w:val="002D1A10"/>
    <w:rsid w:val="002E1E77"/>
    <w:rsid w:val="002E3599"/>
    <w:rsid w:val="00307DD8"/>
    <w:rsid w:val="00316D15"/>
    <w:rsid w:val="0032419E"/>
    <w:rsid w:val="00335AEF"/>
    <w:rsid w:val="0034285C"/>
    <w:rsid w:val="00360C6E"/>
    <w:rsid w:val="00361CF9"/>
    <w:rsid w:val="003A1059"/>
    <w:rsid w:val="003A70EF"/>
    <w:rsid w:val="003B4CB0"/>
    <w:rsid w:val="003F0B5F"/>
    <w:rsid w:val="0045229A"/>
    <w:rsid w:val="004536B0"/>
    <w:rsid w:val="0045710C"/>
    <w:rsid w:val="00471915"/>
    <w:rsid w:val="004914BA"/>
    <w:rsid w:val="004A2D60"/>
    <w:rsid w:val="004A3888"/>
    <w:rsid w:val="004C2D54"/>
    <w:rsid w:val="004C44AD"/>
    <w:rsid w:val="00534363"/>
    <w:rsid w:val="0053449A"/>
    <w:rsid w:val="005479A6"/>
    <w:rsid w:val="005539F1"/>
    <w:rsid w:val="00553E59"/>
    <w:rsid w:val="005540DB"/>
    <w:rsid w:val="005915B0"/>
    <w:rsid w:val="00596CDB"/>
    <w:rsid w:val="005A29FC"/>
    <w:rsid w:val="005C1B8C"/>
    <w:rsid w:val="005C5F84"/>
    <w:rsid w:val="005C692D"/>
    <w:rsid w:val="005D25B1"/>
    <w:rsid w:val="005D28E7"/>
    <w:rsid w:val="005F0FB6"/>
    <w:rsid w:val="005F122E"/>
    <w:rsid w:val="005F5301"/>
    <w:rsid w:val="00613F46"/>
    <w:rsid w:val="00616A49"/>
    <w:rsid w:val="00641D55"/>
    <w:rsid w:val="00641F65"/>
    <w:rsid w:val="00653F55"/>
    <w:rsid w:val="00672E9C"/>
    <w:rsid w:val="0068721C"/>
    <w:rsid w:val="006A3E23"/>
    <w:rsid w:val="006E0480"/>
    <w:rsid w:val="006E6C79"/>
    <w:rsid w:val="0070363B"/>
    <w:rsid w:val="00705763"/>
    <w:rsid w:val="00714AC9"/>
    <w:rsid w:val="0071795D"/>
    <w:rsid w:val="0072776C"/>
    <w:rsid w:val="00740971"/>
    <w:rsid w:val="007502D2"/>
    <w:rsid w:val="00764546"/>
    <w:rsid w:val="007A200C"/>
    <w:rsid w:val="007B5356"/>
    <w:rsid w:val="007C681E"/>
    <w:rsid w:val="007D5FC5"/>
    <w:rsid w:val="007F7434"/>
    <w:rsid w:val="00803A24"/>
    <w:rsid w:val="00807610"/>
    <w:rsid w:val="008228CD"/>
    <w:rsid w:val="00857A5C"/>
    <w:rsid w:val="008829CE"/>
    <w:rsid w:val="008B0CF1"/>
    <w:rsid w:val="008B4B0F"/>
    <w:rsid w:val="008B5DB5"/>
    <w:rsid w:val="008C2D0D"/>
    <w:rsid w:val="008D32EF"/>
    <w:rsid w:val="008D5898"/>
    <w:rsid w:val="008D78CF"/>
    <w:rsid w:val="008E3389"/>
    <w:rsid w:val="008E645F"/>
    <w:rsid w:val="0090140F"/>
    <w:rsid w:val="0091163B"/>
    <w:rsid w:val="00924CB6"/>
    <w:rsid w:val="00926932"/>
    <w:rsid w:val="00947525"/>
    <w:rsid w:val="00954502"/>
    <w:rsid w:val="00967DE4"/>
    <w:rsid w:val="00973249"/>
    <w:rsid w:val="00974BF3"/>
    <w:rsid w:val="00980945"/>
    <w:rsid w:val="00980D91"/>
    <w:rsid w:val="00984D2D"/>
    <w:rsid w:val="009927B6"/>
    <w:rsid w:val="009C4121"/>
    <w:rsid w:val="009C5D3E"/>
    <w:rsid w:val="009C6D60"/>
    <w:rsid w:val="009E599A"/>
    <w:rsid w:val="00A0464B"/>
    <w:rsid w:val="00A546A0"/>
    <w:rsid w:val="00A61928"/>
    <w:rsid w:val="00A75A32"/>
    <w:rsid w:val="00A80828"/>
    <w:rsid w:val="00A82FCD"/>
    <w:rsid w:val="00A905FE"/>
    <w:rsid w:val="00AB0A5E"/>
    <w:rsid w:val="00AB248C"/>
    <w:rsid w:val="00AC1C68"/>
    <w:rsid w:val="00AF6094"/>
    <w:rsid w:val="00B10016"/>
    <w:rsid w:val="00B32AE3"/>
    <w:rsid w:val="00B4158D"/>
    <w:rsid w:val="00B46677"/>
    <w:rsid w:val="00B57619"/>
    <w:rsid w:val="00B70772"/>
    <w:rsid w:val="00B71DF6"/>
    <w:rsid w:val="00B739F0"/>
    <w:rsid w:val="00B83297"/>
    <w:rsid w:val="00B94DDA"/>
    <w:rsid w:val="00B95CA8"/>
    <w:rsid w:val="00B967FC"/>
    <w:rsid w:val="00B97778"/>
    <w:rsid w:val="00BB1B0D"/>
    <w:rsid w:val="00BC3D52"/>
    <w:rsid w:val="00BC453D"/>
    <w:rsid w:val="00BE2B67"/>
    <w:rsid w:val="00BE2E6F"/>
    <w:rsid w:val="00BE59BB"/>
    <w:rsid w:val="00BF10FA"/>
    <w:rsid w:val="00C26354"/>
    <w:rsid w:val="00C5740F"/>
    <w:rsid w:val="00C8787A"/>
    <w:rsid w:val="00C954A5"/>
    <w:rsid w:val="00CA5039"/>
    <w:rsid w:val="00CA650E"/>
    <w:rsid w:val="00CA6BCE"/>
    <w:rsid w:val="00CD2B13"/>
    <w:rsid w:val="00CE62EB"/>
    <w:rsid w:val="00CF267A"/>
    <w:rsid w:val="00CF4AAB"/>
    <w:rsid w:val="00D0205B"/>
    <w:rsid w:val="00D15E09"/>
    <w:rsid w:val="00D206A4"/>
    <w:rsid w:val="00D22810"/>
    <w:rsid w:val="00D40498"/>
    <w:rsid w:val="00D42F82"/>
    <w:rsid w:val="00D43638"/>
    <w:rsid w:val="00D66E09"/>
    <w:rsid w:val="00D77AAA"/>
    <w:rsid w:val="00D8018F"/>
    <w:rsid w:val="00D815C8"/>
    <w:rsid w:val="00D85DE9"/>
    <w:rsid w:val="00DA062F"/>
    <w:rsid w:val="00DC6053"/>
    <w:rsid w:val="00DF34E6"/>
    <w:rsid w:val="00E04516"/>
    <w:rsid w:val="00E112CE"/>
    <w:rsid w:val="00E45FB6"/>
    <w:rsid w:val="00E57B7A"/>
    <w:rsid w:val="00E57D82"/>
    <w:rsid w:val="00E72EF5"/>
    <w:rsid w:val="00E74480"/>
    <w:rsid w:val="00E9299F"/>
    <w:rsid w:val="00EC3C2F"/>
    <w:rsid w:val="00ED6BC7"/>
    <w:rsid w:val="00EE60E4"/>
    <w:rsid w:val="00EF7F49"/>
    <w:rsid w:val="00F07579"/>
    <w:rsid w:val="00F20AE2"/>
    <w:rsid w:val="00F37147"/>
    <w:rsid w:val="00F4511A"/>
    <w:rsid w:val="00F6045D"/>
    <w:rsid w:val="00F65064"/>
    <w:rsid w:val="00F737DA"/>
    <w:rsid w:val="00FB38CF"/>
    <w:rsid w:val="00FC0371"/>
    <w:rsid w:val="00FD4B6E"/>
    <w:rsid w:val="00FD6704"/>
    <w:rsid w:val="00FE0AFC"/>
    <w:rsid w:val="00FF154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BBF5D8"/>
  <w15:docId w15:val="{C83D5A55-07A6-684E-A547-EC08B34BE9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45FB6"/>
    <w:pPr>
      <w:spacing w:line="360" w:lineRule="auto"/>
      <w:jc w:val="both"/>
    </w:pPr>
    <w:rPr>
      <w:rFonts w:ascii="Times New Roman" w:hAnsi="Times New Roman"/>
      <w:color w:val="000000" w:themeColor="text1"/>
      <w:sz w:val="24"/>
    </w:rPr>
  </w:style>
  <w:style w:type="paragraph" w:styleId="Heading1">
    <w:name w:val="heading 1"/>
    <w:basedOn w:val="Normal"/>
    <w:next w:val="Normal"/>
    <w:rsid w:val="00E45FB6"/>
    <w:pPr>
      <w:keepNext/>
      <w:keepLines/>
      <w:spacing w:before="400" w:after="120"/>
      <w:outlineLvl w:val="0"/>
    </w:pPr>
    <w:rPr>
      <w:b/>
      <w:szCs w:val="40"/>
    </w:rPr>
  </w:style>
  <w:style w:type="paragraph" w:styleId="Heading2">
    <w:name w:val="heading 2"/>
    <w:basedOn w:val="Normal"/>
    <w:next w:val="Normal"/>
    <w:rsid w:val="00E45FB6"/>
    <w:pPr>
      <w:keepNext/>
      <w:keepLines/>
      <w:spacing w:before="360" w:after="120"/>
      <w:outlineLvl w:val="1"/>
    </w:pPr>
    <w:rPr>
      <w:b/>
      <w:szCs w:val="32"/>
    </w:rPr>
  </w:style>
  <w:style w:type="paragraph" w:styleId="Heading3">
    <w:name w:val="heading 3"/>
    <w:basedOn w:val="Normal"/>
    <w:next w:val="Normal"/>
    <w:rsid w:val="00E45FB6"/>
    <w:pPr>
      <w:keepNext/>
      <w:keepLines/>
      <w:spacing w:before="320" w:after="80"/>
      <w:outlineLvl w:val="2"/>
    </w:pPr>
    <w:rPr>
      <w:b/>
      <w:szCs w:val="28"/>
    </w:rPr>
  </w:style>
  <w:style w:type="paragraph" w:styleId="Heading4">
    <w:name w:val="heading 4"/>
    <w:basedOn w:val="Normal"/>
    <w:next w:val="Normal"/>
    <w:rsid w:val="00E45FB6"/>
    <w:pPr>
      <w:keepNext/>
      <w:keepLines/>
      <w:spacing w:before="280" w:after="80"/>
      <w:outlineLvl w:val="3"/>
    </w:pPr>
    <w:rPr>
      <w:b/>
      <w:szCs w:val="24"/>
    </w:rPr>
  </w:style>
  <w:style w:type="paragraph" w:styleId="Heading5">
    <w:name w:val="heading 5"/>
    <w:basedOn w:val="Normal"/>
    <w:next w:val="Normal"/>
    <w:rsid w:val="001D5F23"/>
    <w:pPr>
      <w:keepNext/>
      <w:keepLines/>
      <w:spacing w:before="240" w:after="80"/>
      <w:outlineLvl w:val="4"/>
    </w:pPr>
    <w:rPr>
      <w:color w:val="666666"/>
      <w:sz w:val="22"/>
    </w:rPr>
  </w:style>
  <w:style w:type="paragraph" w:styleId="Heading6">
    <w:name w:val="heading 6"/>
    <w:basedOn w:val="Normal"/>
    <w:next w:val="Normal"/>
    <w:rsid w:val="001D5F23"/>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1D5F23"/>
    <w:pPr>
      <w:keepNext/>
      <w:keepLines/>
      <w:spacing w:after="60"/>
    </w:pPr>
    <w:rPr>
      <w:sz w:val="52"/>
      <w:szCs w:val="52"/>
    </w:rPr>
  </w:style>
  <w:style w:type="paragraph" w:styleId="Subtitle">
    <w:name w:val="Subtitle"/>
    <w:basedOn w:val="Normal"/>
    <w:next w:val="Normal"/>
    <w:rsid w:val="001D5F23"/>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E45FB6"/>
    <w:pPr>
      <w:tabs>
        <w:tab w:val="center" w:pos="4513"/>
        <w:tab w:val="right" w:pos="9026"/>
      </w:tabs>
      <w:spacing w:line="240" w:lineRule="auto"/>
    </w:pPr>
  </w:style>
  <w:style w:type="character" w:customStyle="1" w:styleId="HeaderChar">
    <w:name w:val="Header Char"/>
    <w:basedOn w:val="DefaultParagraphFont"/>
    <w:link w:val="Header"/>
    <w:uiPriority w:val="99"/>
    <w:rsid w:val="00E45FB6"/>
    <w:rPr>
      <w:rFonts w:ascii="Times New Roman" w:hAnsi="Times New Roman"/>
      <w:color w:val="000000" w:themeColor="text1"/>
      <w:sz w:val="24"/>
    </w:rPr>
  </w:style>
  <w:style w:type="paragraph" w:styleId="Footer">
    <w:name w:val="footer"/>
    <w:basedOn w:val="Normal"/>
    <w:link w:val="FooterChar"/>
    <w:uiPriority w:val="99"/>
    <w:unhideWhenUsed/>
    <w:rsid w:val="00E45FB6"/>
    <w:pPr>
      <w:tabs>
        <w:tab w:val="center" w:pos="4513"/>
        <w:tab w:val="right" w:pos="9026"/>
      </w:tabs>
      <w:spacing w:line="240" w:lineRule="auto"/>
    </w:pPr>
  </w:style>
  <w:style w:type="character" w:customStyle="1" w:styleId="FooterChar">
    <w:name w:val="Footer Char"/>
    <w:basedOn w:val="DefaultParagraphFont"/>
    <w:link w:val="Footer"/>
    <w:uiPriority w:val="99"/>
    <w:rsid w:val="00E45FB6"/>
    <w:rPr>
      <w:rFonts w:ascii="Times New Roman" w:hAnsi="Times New Roman"/>
      <w:color w:val="000000" w:themeColor="text1"/>
      <w:sz w:val="24"/>
    </w:rPr>
  </w:style>
  <w:style w:type="table" w:customStyle="1" w:styleId="GridTable4-Accent51">
    <w:name w:val="Grid Table 4 - Accent 51"/>
    <w:basedOn w:val="TableNormal"/>
    <w:uiPriority w:val="49"/>
    <w:rsid w:val="00D15E09"/>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customStyle="1" w:styleId="GridTable4-Accent61">
    <w:name w:val="Grid Table 4 - Accent 61"/>
    <w:basedOn w:val="TableNormal"/>
    <w:uiPriority w:val="49"/>
    <w:rsid w:val="00F4511A"/>
    <w:pPr>
      <w:spacing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customStyle="1" w:styleId="GridTable5Dark-Accent31">
    <w:name w:val="Grid Table 5 Dark - Accent 31"/>
    <w:basedOn w:val="TableNormal"/>
    <w:uiPriority w:val="50"/>
    <w:rsid w:val="00294886"/>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customStyle="1" w:styleId="GridTable4-Accent510">
    <w:name w:val="Grid Table 4 - Accent 51"/>
    <w:basedOn w:val="TableNormal"/>
    <w:uiPriority w:val="49"/>
    <w:rsid w:val="00CF4AAB"/>
    <w:pPr>
      <w:spacing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customStyle="1" w:styleId="GridTable4-Accent610">
    <w:name w:val="Grid Table 4 - Accent 61"/>
    <w:basedOn w:val="TableNormal"/>
    <w:uiPriority w:val="49"/>
    <w:rsid w:val="00CF4AAB"/>
    <w:pPr>
      <w:spacing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customStyle="1" w:styleId="GridTable5Dark-Accent310">
    <w:name w:val="Grid Table 5 Dark - Accent 31"/>
    <w:basedOn w:val="TableNormal"/>
    <w:uiPriority w:val="50"/>
    <w:rsid w:val="00CF4AAB"/>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table" w:styleId="TableGrid">
    <w:name w:val="Table Grid"/>
    <w:basedOn w:val="TableNormal"/>
    <w:uiPriority w:val="59"/>
    <w:unhideWhenUsed/>
    <w:rsid w:val="001D59A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3-Accent41">
    <w:name w:val="Grid Table 3 - Accent 41"/>
    <w:basedOn w:val="TableNormal"/>
    <w:uiPriority w:val="48"/>
    <w:rsid w:val="00157504"/>
    <w:pPr>
      <w:spacing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paragraph" w:styleId="ListParagraph">
    <w:name w:val="List Paragraph"/>
    <w:basedOn w:val="Normal"/>
    <w:uiPriority w:val="34"/>
    <w:qFormat/>
    <w:rsid w:val="00361CF9"/>
    <w:pPr>
      <w:spacing w:after="160" w:line="259" w:lineRule="auto"/>
      <w:ind w:left="720"/>
      <w:contextualSpacing/>
      <w:jc w:val="left"/>
    </w:pPr>
    <w:rPr>
      <w:rFonts w:asciiTheme="minorHAnsi" w:eastAsiaTheme="minorHAnsi" w:hAnsiTheme="minorHAnsi" w:cstheme="minorBidi"/>
      <w:color w:val="auto"/>
      <w:sz w:val="22"/>
      <w:lang w:val="en-GB" w:eastAsia="en-US"/>
    </w:rPr>
  </w:style>
  <w:style w:type="paragraph" w:customStyle="1" w:styleId="Default">
    <w:name w:val="Default"/>
    <w:rsid w:val="00596CDB"/>
    <w:pPr>
      <w:autoSpaceDE w:val="0"/>
      <w:autoSpaceDN w:val="0"/>
      <w:adjustRightInd w:val="0"/>
      <w:spacing w:line="240" w:lineRule="auto"/>
    </w:pPr>
    <w:rPr>
      <w:rFonts w:ascii="Times New Roman" w:eastAsiaTheme="minorHAnsi" w:hAnsi="Times New Roman" w:cs="Times New Roman"/>
      <w:color w:val="000000"/>
      <w:sz w:val="24"/>
      <w:szCs w:val="24"/>
      <w:lang w:eastAsia="en-US"/>
    </w:rPr>
  </w:style>
  <w:style w:type="paragraph" w:styleId="TOCHeading">
    <w:name w:val="TOC Heading"/>
    <w:basedOn w:val="Heading1"/>
    <w:next w:val="Normal"/>
    <w:uiPriority w:val="39"/>
    <w:unhideWhenUsed/>
    <w:qFormat/>
    <w:rsid w:val="00A82FC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82FCD"/>
    <w:pPr>
      <w:spacing w:after="100"/>
    </w:pPr>
  </w:style>
  <w:style w:type="paragraph" w:styleId="TOC2">
    <w:name w:val="toc 2"/>
    <w:basedOn w:val="Normal"/>
    <w:next w:val="Normal"/>
    <w:autoRedefine/>
    <w:uiPriority w:val="39"/>
    <w:unhideWhenUsed/>
    <w:rsid w:val="00A82FCD"/>
    <w:pPr>
      <w:spacing w:after="100"/>
      <w:ind w:left="240"/>
    </w:pPr>
  </w:style>
  <w:style w:type="character" w:styleId="Hyperlink">
    <w:name w:val="Hyperlink"/>
    <w:basedOn w:val="DefaultParagraphFont"/>
    <w:uiPriority w:val="99"/>
    <w:unhideWhenUsed/>
    <w:rsid w:val="00A82FCD"/>
    <w:rPr>
      <w:color w:val="0000FF" w:themeColor="hyperlink"/>
      <w:u w:val="single"/>
    </w:rPr>
  </w:style>
  <w:style w:type="paragraph" w:styleId="BalloonText">
    <w:name w:val="Balloon Text"/>
    <w:basedOn w:val="Normal"/>
    <w:link w:val="BalloonTextChar"/>
    <w:uiPriority w:val="99"/>
    <w:semiHidden/>
    <w:unhideWhenUsed/>
    <w:rsid w:val="00BC453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453D"/>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file:///D:\Job(Wh)\August\26.08\1\SOU-AUG-24082020-0327PM-Gabor%20Class,%20Daniel%20Class,%20Cristian(yo).12%20days-COPY%202_Calculation.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Job(Wh)\August\26.08\1\SOU-AUG-24082020-0327PM-Gabor%20Class,%20Daniel%20Class,%20Cristian(yo).12%20days-COPY%202_Calculation.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D:\Job(Wh)\August\26.08\1\SOU-AUG-24082020-0327PM-Gabor%20Class,%20Daniel%20Class,%20Cristian(yo).12%20days-COPY%202_Calculation.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D:\Job(Wh)\August\26.08\1\SOU-AUG-24082020-0327PM-Gabor%20Class,%20Daniel%20Class,%20Cristian(yo).12%20days-COPY%202_Calculation.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200">
                <a:solidFill>
                  <a:schemeClr val="bg1">
                    <a:lumMod val="95000"/>
                  </a:schemeClr>
                </a:solidFill>
                <a:latin typeface="Times New Roman" panose="02020603050405020304" pitchFamily="18" charset="0"/>
                <a:cs typeface="Times New Roman" panose="02020603050405020304" pitchFamily="18" charset="0"/>
              </a:rPr>
              <a:t>ROE and ROCE</a:t>
            </a:r>
          </a:p>
        </c:rich>
      </c:tx>
      <c:overlay val="0"/>
      <c:spPr>
        <a:noFill/>
        <a:ln>
          <a:noFill/>
        </a:ln>
        <a:effectLst/>
      </c:spPr>
    </c:title>
    <c:autoTitleDeleted val="0"/>
    <c:plotArea>
      <c:layout/>
      <c:barChart>
        <c:barDir val="bar"/>
        <c:grouping val="clustered"/>
        <c:varyColors val="0"/>
        <c:ser>
          <c:idx val="0"/>
          <c:order val="0"/>
          <c:tx>
            <c:strRef>
              <c:f>Sheet1!$A$2</c:f>
              <c:strCache>
                <c:ptCount val="1"/>
                <c:pt idx="0">
                  <c:v>1. Return on Capital employed</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Sheet1!$B$1:$C$1</c:f>
              <c:numCache>
                <c:formatCode>General</c:formatCode>
                <c:ptCount val="2"/>
                <c:pt idx="0">
                  <c:v>2019</c:v>
                </c:pt>
                <c:pt idx="1">
                  <c:v>2018</c:v>
                </c:pt>
              </c:numCache>
            </c:numRef>
          </c:cat>
          <c:val>
            <c:numRef>
              <c:f>Sheet1!$B$2:$C$2</c:f>
              <c:numCache>
                <c:formatCode>General</c:formatCode>
                <c:ptCount val="2"/>
                <c:pt idx="0">
                  <c:v>0.16876387860843822</c:v>
                </c:pt>
                <c:pt idx="1">
                  <c:v>0.18019257221458035</c:v>
                </c:pt>
              </c:numCache>
            </c:numRef>
          </c:val>
          <c:extLst>
            <c:ext xmlns:c16="http://schemas.microsoft.com/office/drawing/2014/chart" uri="{C3380CC4-5D6E-409C-BE32-E72D297353CC}">
              <c16:uniqueId val="{00000000-3913-4852-83BC-D80FE2481951}"/>
            </c:ext>
          </c:extLst>
        </c:ser>
        <c:ser>
          <c:idx val="1"/>
          <c:order val="1"/>
          <c:tx>
            <c:strRef>
              <c:f>Sheet1!$A$6</c:f>
              <c:strCache>
                <c:ptCount val="1"/>
                <c:pt idx="0">
                  <c:v>2. ROE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Sheet1!$B$1:$C$1</c:f>
              <c:numCache>
                <c:formatCode>General</c:formatCode>
                <c:ptCount val="2"/>
                <c:pt idx="0">
                  <c:v>2019</c:v>
                </c:pt>
                <c:pt idx="1">
                  <c:v>2018</c:v>
                </c:pt>
              </c:numCache>
            </c:numRef>
          </c:cat>
          <c:val>
            <c:numRef>
              <c:f>Sheet1!$B$6:$C$6</c:f>
              <c:numCache>
                <c:formatCode>General</c:formatCode>
                <c:ptCount val="2"/>
                <c:pt idx="0">
                  <c:v>0.13841201716738208</c:v>
                </c:pt>
                <c:pt idx="1">
                  <c:v>0.22789539227895397</c:v>
                </c:pt>
              </c:numCache>
            </c:numRef>
          </c:val>
          <c:extLst>
            <c:ext xmlns:c16="http://schemas.microsoft.com/office/drawing/2014/chart" uri="{C3380CC4-5D6E-409C-BE32-E72D297353CC}">
              <c16:uniqueId val="{00000001-3913-4852-83BC-D80FE2481951}"/>
            </c:ext>
          </c:extLst>
        </c:ser>
        <c:dLbls>
          <c:showLegendKey val="0"/>
          <c:showVal val="0"/>
          <c:showCatName val="0"/>
          <c:showSerName val="0"/>
          <c:showPercent val="0"/>
          <c:showBubbleSize val="0"/>
        </c:dLbls>
        <c:gapWidth val="150"/>
        <c:axId val="85922176"/>
        <c:axId val="86352640"/>
      </c:barChart>
      <c:catAx>
        <c:axId val="85922176"/>
        <c:scaling>
          <c:orientation val="minMax"/>
        </c:scaling>
        <c:delete val="0"/>
        <c:axPos val="l"/>
        <c:numFmt formatCode="General" sourceLinked="1"/>
        <c:majorTickMark val="none"/>
        <c:minorTickMark val="none"/>
        <c:tickLblPos val="nextTo"/>
        <c:spPr>
          <a:noFill/>
          <a:ln w="9525">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6352640"/>
        <c:crosses val="autoZero"/>
        <c:auto val="1"/>
        <c:lblAlgn val="ctr"/>
        <c:lblOffset val="100"/>
        <c:noMultiLvlLbl val="0"/>
      </c:catAx>
      <c:valAx>
        <c:axId val="86352640"/>
        <c:scaling>
          <c:orientation val="minMax"/>
        </c:scaling>
        <c:delete val="0"/>
        <c:axPos val="b"/>
        <c:majorGridlines>
          <c:spPr>
            <a:ln w="9525">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59221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cap="all" spc="0" baseline="0">
                <a:gradFill rotWithShape="1">
                  <a:gsLst>
                    <a:gs pos="0">
                      <a:schemeClr val="dk1">
                        <a:lumMod val="50000"/>
                        <a:lumOff val="50000"/>
                      </a:schemeClr>
                    </a:gs>
                    <a:gs pos="100000">
                      <a:schemeClr val="dk1">
                        <a:lumMod val="85000"/>
                        <a:lumOff val="15000"/>
                      </a:schemeClr>
                    </a:gs>
                  </a:gsLst>
                  <a:lin ang="5400000" scaled="0"/>
                </a:gradFill>
                <a:latin typeface="+mn-lt"/>
                <a:ea typeface="+mn-ea"/>
                <a:cs typeface="+mn-cs"/>
              </a:defRPr>
            </a:pPr>
            <a:r>
              <a:rPr lang="en-GB" sz="1200">
                <a:solidFill>
                  <a:schemeClr val="tx1"/>
                </a:solidFill>
                <a:latin typeface="Times New Roman" panose="02020603050405020304" pitchFamily="18" charset="0"/>
                <a:cs typeface="Times New Roman" panose="02020603050405020304" pitchFamily="18" charset="0"/>
              </a:rPr>
              <a:t>STOCK</a:t>
            </a:r>
            <a:r>
              <a:rPr lang="en-GB" sz="1200" baseline="0">
                <a:solidFill>
                  <a:schemeClr val="tx1"/>
                </a:solidFill>
                <a:latin typeface="Times New Roman" panose="02020603050405020304" pitchFamily="18" charset="0"/>
                <a:cs typeface="Times New Roman" panose="02020603050405020304" pitchFamily="18" charset="0"/>
              </a:rPr>
              <a:t> HOLDING AND DEBTOR COLLECTION PERIOD</a:t>
            </a:r>
            <a:endParaRPr lang="en-GB" sz="1200">
              <a:solidFill>
                <a:schemeClr val="tx1"/>
              </a:solidFill>
              <a:latin typeface="Times New Roman" panose="02020603050405020304" pitchFamily="18" charset="0"/>
              <a:cs typeface="Times New Roman" panose="02020603050405020304" pitchFamily="18" charset="0"/>
            </a:endParaRPr>
          </a:p>
        </c:rich>
      </c:tx>
      <c:overlay val="0"/>
      <c:spPr>
        <a:noFill/>
        <a:ln>
          <a:noFill/>
        </a:ln>
        <a:effectLst/>
      </c:spPr>
    </c:title>
    <c:autoTitleDeleted val="0"/>
    <c:plotArea>
      <c:layout/>
      <c:lineChart>
        <c:grouping val="standard"/>
        <c:varyColors val="0"/>
        <c:ser>
          <c:idx val="0"/>
          <c:order val="0"/>
          <c:tx>
            <c:strRef>
              <c:f>Sheet1!$A$18</c:f>
              <c:strCache>
                <c:ptCount val="1"/>
                <c:pt idx="0">
                  <c:v>6. Stock holding period</c:v>
                </c:pt>
              </c:strCache>
            </c:strRef>
          </c:tx>
          <c:spPr>
            <a:ln w="19050" cap="rnd">
              <a:solidFill>
                <a:schemeClr val="accent6">
                  <a:shade val="95000"/>
                  <a:satMod val="105000"/>
                </a:schemeClr>
              </a:solidFill>
              <a:round/>
            </a:ln>
            <a:effectLst/>
          </c:spPr>
          <c:marker>
            <c:symbol val="circle"/>
            <c:size val="17"/>
            <c:spPr>
              <a:solidFill>
                <a:schemeClr val="l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6"/>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Sheet1!$B$1:$C$1</c:f>
              <c:numCache>
                <c:formatCode>General</c:formatCode>
                <c:ptCount val="2"/>
                <c:pt idx="0">
                  <c:v>2019</c:v>
                </c:pt>
                <c:pt idx="1">
                  <c:v>2018</c:v>
                </c:pt>
              </c:numCache>
            </c:numRef>
          </c:cat>
          <c:val>
            <c:numRef>
              <c:f>Sheet1!$B$18:$C$18</c:f>
              <c:numCache>
                <c:formatCode>General</c:formatCode>
                <c:ptCount val="2"/>
                <c:pt idx="0">
                  <c:v>45.757673667205147</c:v>
                </c:pt>
                <c:pt idx="1">
                  <c:v>50.021673891297091</c:v>
                </c:pt>
              </c:numCache>
            </c:numRef>
          </c:val>
          <c:smooth val="0"/>
          <c:extLst>
            <c:ext xmlns:c16="http://schemas.microsoft.com/office/drawing/2014/chart" uri="{C3380CC4-5D6E-409C-BE32-E72D297353CC}">
              <c16:uniqueId val="{00000000-5013-47FC-B36A-32983EE180E7}"/>
            </c:ext>
          </c:extLst>
        </c:ser>
        <c:ser>
          <c:idx val="1"/>
          <c:order val="1"/>
          <c:tx>
            <c:strRef>
              <c:f>Sheet1!$A$21</c:f>
              <c:strCache>
                <c:ptCount val="1"/>
                <c:pt idx="0">
                  <c:v>7. Debtors collection period</c:v>
                </c:pt>
              </c:strCache>
            </c:strRef>
          </c:tx>
          <c:spPr>
            <a:ln w="19050" cap="rnd">
              <a:solidFill>
                <a:schemeClr val="accent5">
                  <a:shade val="95000"/>
                  <a:satMod val="105000"/>
                </a:schemeClr>
              </a:solidFill>
              <a:round/>
            </a:ln>
            <a:effectLst/>
          </c:spPr>
          <c:marker>
            <c:symbol val="circle"/>
            <c:size val="17"/>
            <c:spPr>
              <a:solidFill>
                <a:schemeClr val="l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5"/>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numRef>
              <c:f>Sheet1!$B$1:$C$1</c:f>
              <c:numCache>
                <c:formatCode>General</c:formatCode>
                <c:ptCount val="2"/>
                <c:pt idx="0">
                  <c:v>2019</c:v>
                </c:pt>
                <c:pt idx="1">
                  <c:v>2018</c:v>
                </c:pt>
              </c:numCache>
            </c:numRef>
          </c:cat>
          <c:val>
            <c:numRef>
              <c:f>Sheet1!$B$21:$C$21</c:f>
              <c:numCache>
                <c:formatCode>General</c:formatCode>
                <c:ptCount val="2"/>
                <c:pt idx="0">
                  <c:v>61.233792140434893</c:v>
                </c:pt>
                <c:pt idx="1">
                  <c:v>56.834428923582564</c:v>
                </c:pt>
              </c:numCache>
            </c:numRef>
          </c:val>
          <c:smooth val="0"/>
          <c:extLst>
            <c:ext xmlns:c16="http://schemas.microsoft.com/office/drawing/2014/chart" uri="{C3380CC4-5D6E-409C-BE32-E72D297353CC}">
              <c16:uniqueId val="{00000001-5013-47FC-B36A-32983EE180E7}"/>
            </c:ext>
          </c:extLst>
        </c:ser>
        <c:dLbls>
          <c:showLegendKey val="0"/>
          <c:showVal val="1"/>
          <c:showCatName val="0"/>
          <c:showSerName val="0"/>
          <c:showPercent val="0"/>
          <c:showBubbleSize val="0"/>
        </c:dLbls>
        <c:marker val="1"/>
        <c:smooth val="0"/>
        <c:axId val="89129344"/>
        <c:axId val="89130880"/>
      </c:lineChart>
      <c:catAx>
        <c:axId val="89129344"/>
        <c:scaling>
          <c:orientation val="minMax"/>
        </c:scaling>
        <c:delete val="0"/>
        <c:axPos val="b"/>
        <c:numFmt formatCode="General" sourceLinked="1"/>
        <c:majorTickMark val="none"/>
        <c:minorTickMark val="none"/>
        <c:tickLblPos val="nextTo"/>
        <c:spPr>
          <a:noFill/>
          <a:ln w="9525">
            <a:solidFill>
              <a:schemeClr val="dk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dk1">
                    <a:lumMod val="65000"/>
                    <a:lumOff val="35000"/>
                  </a:schemeClr>
                </a:solidFill>
                <a:latin typeface="+mn-lt"/>
                <a:ea typeface="+mn-ea"/>
                <a:cs typeface="+mn-cs"/>
              </a:defRPr>
            </a:pPr>
            <a:endParaRPr lang="en-US"/>
          </a:p>
        </c:txPr>
        <c:crossAx val="89130880"/>
        <c:crosses val="autoZero"/>
        <c:auto val="1"/>
        <c:lblAlgn val="ctr"/>
        <c:lblOffset val="100"/>
        <c:noMultiLvlLbl val="0"/>
      </c:catAx>
      <c:valAx>
        <c:axId val="89130880"/>
        <c:scaling>
          <c:orientation val="minMax"/>
        </c:scaling>
        <c:delete val="1"/>
        <c:axPos val="l"/>
        <c:numFmt formatCode="General" sourceLinked="1"/>
        <c:majorTickMark val="none"/>
        <c:minorTickMark val="none"/>
        <c:tickLblPos val="none"/>
        <c:crossAx val="891293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sz="1200">
                <a:solidFill>
                  <a:schemeClr val="tx1"/>
                </a:solidFill>
                <a:latin typeface="Times New Roman" panose="02020603050405020304" pitchFamily="18" charset="0"/>
                <a:cs typeface="Times New Roman" panose="02020603050405020304" pitchFamily="18" charset="0"/>
              </a:rPr>
              <a:t>Asset turnover, current ratio and gross profit margin</a:t>
            </a:r>
          </a:p>
        </c:rich>
      </c:tx>
      <c:overlay val="0"/>
      <c:spPr>
        <a:noFill/>
        <a:ln>
          <a:noFill/>
        </a:ln>
        <a:effectLst/>
      </c:spPr>
    </c:title>
    <c:autoTitleDeleted val="0"/>
    <c:view3D>
      <c:rotX val="15"/>
      <c:rotY val="20"/>
      <c:rAngAx val="1"/>
    </c:view3D>
    <c:floor>
      <c:thickness val="0"/>
      <c:spPr>
        <a:noFill/>
        <a:ln w="19050">
          <a:solidFill>
            <a:schemeClr val="tx1">
              <a:lumMod val="25000"/>
              <a:lumOff val="75000"/>
            </a:schemeClr>
          </a:solidFill>
          <a:round/>
        </a:ln>
        <a:effectLst/>
        <a:sp3d contourW="19050">
          <a:contourClr>
            <a:schemeClr val="tx1">
              <a:lumMod val="25000"/>
              <a:lumOff val="75000"/>
            </a:schemeClr>
          </a:contourClr>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Sheet1!$A$12</c:f>
              <c:strCache>
                <c:ptCount val="1"/>
                <c:pt idx="0">
                  <c:v>4. Gross profit margin</c:v>
                </c:pt>
              </c:strCache>
            </c:strRef>
          </c:tx>
          <c:spPr>
            <a:pattFill prst="ltDnDiag">
              <a:fgClr>
                <a:schemeClr val="accent6"/>
              </a:fgClr>
              <a:bgClr>
                <a:schemeClr val="accent6">
                  <a:lumMod val="20000"/>
                  <a:lumOff val="80000"/>
                </a:schemeClr>
              </a:bgClr>
            </a:pattFill>
            <a:ln>
              <a:solidFill>
                <a:schemeClr val="accent6"/>
              </a:solidFill>
            </a:ln>
            <a:effectLst/>
            <a:sp3d>
              <a:contourClr>
                <a:schemeClr val="accent6"/>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Sheet1!$B$1:$C$1</c:f>
              <c:numCache>
                <c:formatCode>General</c:formatCode>
                <c:ptCount val="2"/>
                <c:pt idx="0">
                  <c:v>2019</c:v>
                </c:pt>
                <c:pt idx="1">
                  <c:v>2018</c:v>
                </c:pt>
              </c:numCache>
            </c:numRef>
          </c:cat>
          <c:val>
            <c:numRef>
              <c:f>Sheet1!$B$12:$C$12</c:f>
              <c:numCache>
                <c:formatCode>General</c:formatCode>
                <c:ptCount val="2"/>
                <c:pt idx="0">
                  <c:v>0.38260522641133043</c:v>
                </c:pt>
                <c:pt idx="1">
                  <c:v>0.38393590797041927</c:v>
                </c:pt>
              </c:numCache>
            </c:numRef>
          </c:val>
          <c:extLst>
            <c:ext xmlns:c16="http://schemas.microsoft.com/office/drawing/2014/chart" uri="{C3380CC4-5D6E-409C-BE32-E72D297353CC}">
              <c16:uniqueId val="{00000000-3B73-4F0F-89D5-82E28D1D0180}"/>
            </c:ext>
          </c:extLst>
        </c:ser>
        <c:ser>
          <c:idx val="1"/>
          <c:order val="1"/>
          <c:tx>
            <c:strRef>
              <c:f>Sheet1!$A$15</c:f>
              <c:strCache>
                <c:ptCount val="1"/>
                <c:pt idx="0">
                  <c:v>5. Asset Turnover</c:v>
                </c:pt>
              </c:strCache>
            </c:strRef>
          </c:tx>
          <c:spPr>
            <a:pattFill prst="ltDnDiag">
              <a:fgClr>
                <a:schemeClr val="accent5"/>
              </a:fgClr>
              <a:bgClr>
                <a:schemeClr val="accent5">
                  <a:lumMod val="20000"/>
                  <a:lumOff val="80000"/>
                </a:schemeClr>
              </a:bgClr>
            </a:pattFill>
            <a:ln>
              <a:solidFill>
                <a:schemeClr val="accent5"/>
              </a:solidFill>
            </a:ln>
            <a:effectLst/>
            <a:sp3d>
              <a:contourClr>
                <a:schemeClr val="accent5"/>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Sheet1!$B$1:$C$1</c:f>
              <c:numCache>
                <c:formatCode>General</c:formatCode>
                <c:ptCount val="2"/>
                <c:pt idx="0">
                  <c:v>2019</c:v>
                </c:pt>
                <c:pt idx="1">
                  <c:v>2018</c:v>
                </c:pt>
              </c:numCache>
            </c:numRef>
          </c:cat>
          <c:val>
            <c:numRef>
              <c:f>Sheet1!$B$15:$C$15</c:f>
              <c:numCache>
                <c:formatCode>General</c:formatCode>
                <c:ptCount val="2"/>
                <c:pt idx="0">
                  <c:v>1.7521845508563441</c:v>
                </c:pt>
                <c:pt idx="1">
                  <c:v>1.6569094622191962</c:v>
                </c:pt>
              </c:numCache>
            </c:numRef>
          </c:val>
          <c:extLst>
            <c:ext xmlns:c16="http://schemas.microsoft.com/office/drawing/2014/chart" uri="{C3380CC4-5D6E-409C-BE32-E72D297353CC}">
              <c16:uniqueId val="{00000001-3B73-4F0F-89D5-82E28D1D0180}"/>
            </c:ext>
          </c:extLst>
        </c:ser>
        <c:ser>
          <c:idx val="2"/>
          <c:order val="2"/>
          <c:tx>
            <c:strRef>
              <c:f>Sheet1!$A$24</c:f>
              <c:strCache>
                <c:ptCount val="1"/>
                <c:pt idx="0">
                  <c:v>8. Current ratio</c:v>
                </c:pt>
              </c:strCache>
            </c:strRef>
          </c:tx>
          <c:spPr>
            <a:pattFill prst="ltDnDiag">
              <a:fgClr>
                <a:schemeClr val="accent4"/>
              </a:fgClr>
              <a:bgClr>
                <a:schemeClr val="accent4">
                  <a:lumMod val="20000"/>
                  <a:lumOff val="80000"/>
                </a:schemeClr>
              </a:bgClr>
            </a:pattFill>
            <a:ln>
              <a:solidFill>
                <a:schemeClr val="accent4"/>
              </a:solidFill>
            </a:ln>
            <a:effectLst/>
            <a:sp3d>
              <a:contourClr>
                <a:schemeClr val="accent4"/>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Sheet1!$B$1:$C$1</c:f>
              <c:numCache>
                <c:formatCode>General</c:formatCode>
                <c:ptCount val="2"/>
                <c:pt idx="0">
                  <c:v>2019</c:v>
                </c:pt>
                <c:pt idx="1">
                  <c:v>2018</c:v>
                </c:pt>
              </c:numCache>
            </c:numRef>
          </c:cat>
          <c:val>
            <c:numRef>
              <c:f>Sheet1!$B$24:$C$24</c:f>
              <c:numCache>
                <c:formatCode>General</c:formatCode>
                <c:ptCount val="2"/>
                <c:pt idx="0">
                  <c:v>1.894701986754967</c:v>
                </c:pt>
                <c:pt idx="1">
                  <c:v>1.97978436657682</c:v>
                </c:pt>
              </c:numCache>
            </c:numRef>
          </c:val>
          <c:extLst>
            <c:ext xmlns:c16="http://schemas.microsoft.com/office/drawing/2014/chart" uri="{C3380CC4-5D6E-409C-BE32-E72D297353CC}">
              <c16:uniqueId val="{00000002-3B73-4F0F-89D5-82E28D1D0180}"/>
            </c:ext>
          </c:extLst>
        </c:ser>
        <c:dLbls>
          <c:showLegendKey val="0"/>
          <c:showVal val="0"/>
          <c:showCatName val="0"/>
          <c:showSerName val="0"/>
          <c:showPercent val="0"/>
          <c:showBubbleSize val="0"/>
        </c:dLbls>
        <c:gapWidth val="150"/>
        <c:shape val="box"/>
        <c:axId val="103629952"/>
        <c:axId val="103632256"/>
        <c:axId val="0"/>
      </c:bar3DChart>
      <c:catAx>
        <c:axId val="103629952"/>
        <c:scaling>
          <c:orientation val="minMax"/>
        </c:scaling>
        <c:delete val="0"/>
        <c:axPos val="b"/>
        <c:numFmt formatCode="General" sourceLinked="1"/>
        <c:majorTickMark val="none"/>
        <c:minorTickMark val="none"/>
        <c:tickLblPos val="nextTo"/>
        <c:spPr>
          <a:noFill/>
          <a:ln w="19050">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632256"/>
        <c:crosses val="autoZero"/>
        <c:auto val="1"/>
        <c:lblAlgn val="ctr"/>
        <c:lblOffset val="100"/>
        <c:noMultiLvlLbl val="0"/>
      </c:catAx>
      <c:valAx>
        <c:axId val="103632256"/>
        <c:scaling>
          <c:orientation val="minMax"/>
        </c:scaling>
        <c:delete val="0"/>
        <c:axPos val="l"/>
        <c:majorGridlines>
          <c:spPr>
            <a:ln>
              <a:solidFill>
                <a:schemeClr val="tx1">
                  <a:lumMod val="15000"/>
                  <a:lumOff val="85000"/>
                </a:schemeClr>
              </a:solidFill>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362995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sz="1200">
                <a:latin typeface="Times New Roman" panose="02020603050405020304" pitchFamily="18" charset="0"/>
                <a:cs typeface="Times New Roman" panose="02020603050405020304" pitchFamily="18" charset="0"/>
              </a:rPr>
              <a:t>Gearing Ratio and Interest Cover</a:t>
            </a:r>
          </a:p>
        </c:rich>
      </c:tx>
      <c:overlay val="0"/>
      <c:spPr>
        <a:solidFill>
          <a:schemeClr val="accent2"/>
        </a:solidFill>
        <a:ln>
          <a:noFill/>
        </a:ln>
        <a:effectLst/>
      </c:spPr>
    </c:title>
    <c:autoTitleDeleted val="0"/>
    <c:plotArea>
      <c:layout/>
      <c:barChart>
        <c:barDir val="col"/>
        <c:grouping val="clustered"/>
        <c:varyColors val="0"/>
        <c:ser>
          <c:idx val="0"/>
          <c:order val="0"/>
          <c:tx>
            <c:strRef>
              <c:f>Sheet1!$A$27</c:f>
              <c:strCache>
                <c:ptCount val="1"/>
                <c:pt idx="0">
                  <c:v>9. Gearing ratio</c:v>
                </c:pt>
              </c:strCache>
            </c:strRef>
          </c:tx>
          <c:spPr>
            <a:noFill/>
            <a:ln w="9525">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Sheet1!$B$1:$C$1</c:f>
              <c:numCache>
                <c:formatCode>General</c:formatCode>
                <c:ptCount val="2"/>
                <c:pt idx="0">
                  <c:v>2019</c:v>
                </c:pt>
                <c:pt idx="1">
                  <c:v>2018</c:v>
                </c:pt>
              </c:numCache>
            </c:numRef>
          </c:cat>
          <c:val>
            <c:numRef>
              <c:f>Sheet1!$B$27:$C$27</c:f>
              <c:numCache>
                <c:formatCode>General</c:formatCode>
                <c:ptCount val="2"/>
                <c:pt idx="0">
                  <c:v>2.0697424892703853</c:v>
                </c:pt>
                <c:pt idx="1">
                  <c:v>2.6587795765877966</c:v>
                </c:pt>
              </c:numCache>
            </c:numRef>
          </c:val>
          <c:extLst>
            <c:ext xmlns:c16="http://schemas.microsoft.com/office/drawing/2014/chart" uri="{C3380CC4-5D6E-409C-BE32-E72D297353CC}">
              <c16:uniqueId val="{00000000-24CF-4164-A651-CDEF39D1FD3C}"/>
            </c:ext>
          </c:extLst>
        </c:ser>
        <c:ser>
          <c:idx val="1"/>
          <c:order val="1"/>
          <c:tx>
            <c:strRef>
              <c:f>Sheet1!$A$30</c:f>
              <c:strCache>
                <c:ptCount val="1"/>
                <c:pt idx="0">
                  <c:v>10. Interest Cover</c:v>
                </c:pt>
              </c:strCache>
            </c:strRef>
          </c:tx>
          <c:spPr>
            <a:noFill/>
            <a:ln w="9525">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Sheet1!$B$1:$C$1</c:f>
              <c:numCache>
                <c:formatCode>General</c:formatCode>
                <c:ptCount val="2"/>
                <c:pt idx="0">
                  <c:v>2019</c:v>
                </c:pt>
                <c:pt idx="1">
                  <c:v>2018</c:v>
                </c:pt>
              </c:numCache>
            </c:numRef>
          </c:cat>
          <c:val>
            <c:numRef>
              <c:f>Sheet1!$B$30:$C$30</c:f>
              <c:numCache>
                <c:formatCode>General</c:formatCode>
                <c:ptCount val="2"/>
                <c:pt idx="0">
                  <c:v>2.3030303030303032</c:v>
                </c:pt>
                <c:pt idx="1">
                  <c:v>3.3164556962025302</c:v>
                </c:pt>
              </c:numCache>
            </c:numRef>
          </c:val>
          <c:extLst>
            <c:ext xmlns:c16="http://schemas.microsoft.com/office/drawing/2014/chart" uri="{C3380CC4-5D6E-409C-BE32-E72D297353CC}">
              <c16:uniqueId val="{00000001-24CF-4164-A651-CDEF39D1FD3C}"/>
            </c:ext>
          </c:extLst>
        </c:ser>
        <c:dLbls>
          <c:showLegendKey val="0"/>
          <c:showVal val="0"/>
          <c:showCatName val="0"/>
          <c:showSerName val="0"/>
          <c:showPercent val="0"/>
          <c:showBubbleSize val="0"/>
        </c:dLbls>
        <c:gapWidth val="315"/>
        <c:overlap val="-40"/>
        <c:axId val="89273472"/>
        <c:axId val="89275008"/>
      </c:barChart>
      <c:catAx>
        <c:axId val="89273472"/>
        <c:scaling>
          <c:orientation val="minMax"/>
        </c:scaling>
        <c:delete val="0"/>
        <c:axPos val="b"/>
        <c:majorGridlines>
          <c:spPr>
            <a:ln w="9525">
              <a:gradFill rotWithShape="1">
                <a:gsLst>
                  <a:gs pos="0">
                    <a:schemeClr val="dk1">
                      <a:lumMod val="65000"/>
                      <a:lumOff val="35000"/>
                    </a:schemeClr>
                  </a:gs>
                  <a:gs pos="100000">
                    <a:schemeClr val="dk1">
                      <a:lumMod val="75000"/>
                      <a:lumOff val="2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9275008"/>
        <c:crosses val="autoZero"/>
        <c:auto val="1"/>
        <c:lblAlgn val="ctr"/>
        <c:lblOffset val="100"/>
        <c:noMultiLvlLbl val="0"/>
      </c:catAx>
      <c:valAx>
        <c:axId val="89275008"/>
        <c:scaling>
          <c:orientation val="minMax"/>
        </c:scaling>
        <c:delete val="0"/>
        <c:axPos val="l"/>
        <c:majorGridlines>
          <c:spPr>
            <a:ln w="9525">
              <a:gradFill rotWithShape="1">
                <a:gsLst>
                  <a:gs pos="0">
                    <a:schemeClr val="dk1">
                      <a:lumMod val="65000"/>
                      <a:lumOff val="35000"/>
                    </a:schemeClr>
                  </a:gs>
                  <a:gs pos="100000">
                    <a:schemeClr val="dk1">
                      <a:lumMod val="75000"/>
                      <a:lumOff val="2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927347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a:solidFill>
        <a:schemeClr val="dk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130B13-FB5A-4F81-ADFF-5B9A62EFAD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199</TotalTime>
  <Pages>13</Pages>
  <Words>2438</Words>
  <Characters>13900</Characters>
  <Application>Microsoft Office Word</Application>
  <DocSecurity>0</DocSecurity>
  <Lines>115</Lines>
  <Paragraphs>32</Paragraphs>
  <ScaleCrop>false</ScaleCrop>
  <Company/>
  <LinksUpToDate>false</LinksUpToDate>
  <CharactersWithSpaces>16306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gg</dc:creator>
  <cp:lastModifiedBy>Cristian Pichiu</cp:lastModifiedBy>
  <cp:revision>216</cp:revision>
  <dcterms:created xsi:type="dcterms:W3CDTF">2020-04-04T05:02:00Z</dcterms:created>
  <dcterms:modified xsi:type="dcterms:W3CDTF">2020-08-28T22:19:00Z</dcterms:modified>
</cp:coreProperties>
</file>