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5495759" w:rsidP="4B51A803" w:rsidRDefault="75495759" w14:paraId="41DE07B2" w14:textId="42A0982E">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51A803" w:rsidR="7E8DF885">
        <w:rPr>
          <w:rFonts w:ascii="Arial" w:hAnsi="Arial" w:eastAsia="Arial" w:cs="Arial"/>
          <w:b w:val="0"/>
          <w:bCs w:val="0"/>
          <w:i w:val="0"/>
          <w:iCs w:val="0"/>
          <w:caps w:val="0"/>
          <w:smallCaps w:val="0"/>
          <w:noProof w:val="0"/>
          <w:color w:val="000000" w:themeColor="text1" w:themeTint="FF" w:themeShade="FF"/>
          <w:sz w:val="24"/>
          <w:szCs w:val="24"/>
          <w:lang w:val="en-GB"/>
        </w:rPr>
        <w:t>Introduction</w:t>
      </w:r>
    </w:p>
    <w:p w:rsidR="4B51A803" w:rsidP="4B51A803" w:rsidRDefault="4B51A803" w14:paraId="2B9BCABB" w14:textId="32F89001">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5495759" w:rsidP="3809861B" w:rsidRDefault="75495759" w14:paraId="22B39BE0" w14:textId="70B15D5A">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809861B" w:rsidR="75495759">
        <w:rPr>
          <w:rFonts w:ascii="Arial" w:hAnsi="Arial" w:eastAsia="Arial" w:cs="Arial"/>
          <w:b w:val="0"/>
          <w:bCs w:val="0"/>
          <w:i w:val="0"/>
          <w:iCs w:val="0"/>
          <w:caps w:val="0"/>
          <w:smallCaps w:val="0"/>
          <w:noProof w:val="0"/>
          <w:color w:val="000000" w:themeColor="text1" w:themeTint="FF" w:themeShade="FF"/>
          <w:sz w:val="24"/>
          <w:szCs w:val="24"/>
          <w:lang w:val="en-GB"/>
        </w:rPr>
        <w:t>The archaeology excavated from the Royal Tombs of Ur, Iraq, is unique to royalty and priests, and suggests ways in which Pu-</w:t>
      </w:r>
      <w:proofErr w:type="spellStart"/>
      <w:r w:rsidRPr="3809861B" w:rsidR="75495759">
        <w:rPr>
          <w:rFonts w:ascii="Arial" w:hAnsi="Arial" w:eastAsia="Arial" w:cs="Arial"/>
          <w:b w:val="0"/>
          <w:bCs w:val="0"/>
          <w:i w:val="0"/>
          <w:iCs w:val="0"/>
          <w:caps w:val="0"/>
          <w:smallCaps w:val="0"/>
          <w:noProof w:val="0"/>
          <w:color w:val="000000" w:themeColor="text1" w:themeTint="FF" w:themeShade="FF"/>
          <w:sz w:val="24"/>
          <w:szCs w:val="24"/>
          <w:lang w:val="en-GB"/>
        </w:rPr>
        <w:t>abi</w:t>
      </w:r>
      <w:proofErr w:type="spellEnd"/>
      <w:r w:rsidRPr="3809861B" w:rsidR="75495759">
        <w:rPr>
          <w:rFonts w:ascii="Arial" w:hAnsi="Arial" w:eastAsia="Arial" w:cs="Arial"/>
          <w:b w:val="0"/>
          <w:bCs w:val="0"/>
          <w:i w:val="0"/>
          <w:iCs w:val="0"/>
          <w:caps w:val="0"/>
          <w:smallCaps w:val="0"/>
          <w:noProof w:val="0"/>
          <w:color w:val="000000" w:themeColor="text1" w:themeTint="FF" w:themeShade="FF"/>
          <w:sz w:val="24"/>
          <w:szCs w:val="24"/>
          <w:lang w:val="en-GB"/>
        </w:rPr>
        <w:t xml:space="preserve"> asserted her royal power. It gives the scholar an insight into the way Pu-</w:t>
      </w:r>
      <w:proofErr w:type="spellStart"/>
      <w:r w:rsidRPr="3809861B" w:rsidR="75495759">
        <w:rPr>
          <w:rFonts w:ascii="Arial" w:hAnsi="Arial" w:eastAsia="Arial" w:cs="Arial"/>
          <w:b w:val="0"/>
          <w:bCs w:val="0"/>
          <w:i w:val="0"/>
          <w:iCs w:val="0"/>
          <w:caps w:val="0"/>
          <w:smallCaps w:val="0"/>
          <w:noProof w:val="0"/>
          <w:color w:val="000000" w:themeColor="text1" w:themeTint="FF" w:themeShade="FF"/>
          <w:sz w:val="24"/>
          <w:szCs w:val="24"/>
          <w:lang w:val="en-GB"/>
        </w:rPr>
        <w:t>abi</w:t>
      </w:r>
      <w:proofErr w:type="spellEnd"/>
      <w:r w:rsidRPr="3809861B" w:rsidR="75495759">
        <w:rPr>
          <w:rFonts w:ascii="Arial" w:hAnsi="Arial" w:eastAsia="Arial" w:cs="Arial"/>
          <w:b w:val="0"/>
          <w:bCs w:val="0"/>
          <w:i w:val="0"/>
          <w:iCs w:val="0"/>
          <w:caps w:val="0"/>
          <w:smallCaps w:val="0"/>
          <w:noProof w:val="0"/>
          <w:color w:val="000000" w:themeColor="text1" w:themeTint="FF" w:themeShade="FF"/>
          <w:sz w:val="24"/>
          <w:szCs w:val="24"/>
          <w:lang w:val="en-GB"/>
        </w:rPr>
        <w:t xml:space="preserve"> manipulated Mesopotamian worldviews associated to, colour, technologies, materiality and methods of artistic creation. It shows how she displayed these worldviews during her death, creating a performance, whilst emphasising important aspects of her civilisation, all while, creating enchantments to enhance her own image as a ruler. </w:t>
      </w:r>
    </w:p>
    <w:p w:rsidR="75495759" w:rsidP="4B51A803" w:rsidRDefault="75495759" w14:paraId="509C9922" w14:textId="7B040587">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51A803" w:rsidR="7549575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5495759" w:rsidP="165ADA0B" w:rsidRDefault="75495759" w14:paraId="0731E072" w14:textId="3D1A6432">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65ADA0B" w:rsidR="75495759">
        <w:rPr>
          <w:rFonts w:ascii="Arial" w:hAnsi="Arial" w:eastAsia="Arial" w:cs="Arial"/>
          <w:b w:val="0"/>
          <w:bCs w:val="0"/>
          <w:i w:val="0"/>
          <w:iCs w:val="0"/>
          <w:caps w:val="0"/>
          <w:smallCaps w:val="0"/>
          <w:noProof w:val="0"/>
          <w:color w:val="000000" w:themeColor="text1" w:themeTint="FF" w:themeShade="FF"/>
          <w:sz w:val="24"/>
          <w:szCs w:val="24"/>
          <w:lang w:val="en-GB"/>
        </w:rPr>
        <w:t>The significance of colour for a Mesopotamian</w:t>
      </w:r>
    </w:p>
    <w:p w:rsidR="4B51A803" w:rsidP="4B51A803" w:rsidRDefault="4B51A803" w14:paraId="00237142" w14:textId="03AED67F">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5495759" w:rsidP="18EA5F2B" w:rsidRDefault="75495759" w14:paraId="42CBD699" w14:textId="2BAD834E">
      <w:pPr>
        <w:spacing w:after="160" w:line="360" w:lineRule="auto"/>
        <w:jc w:val="left"/>
        <w:rPr>
          <w:rFonts w:ascii="Arial" w:hAnsi="Arial" w:eastAsia="Arial" w:cs="Arial"/>
          <w:b w:val="0"/>
          <w:bCs w:val="0"/>
          <w:i w:val="1"/>
          <w:iCs w:val="1"/>
          <w:caps w:val="0"/>
          <w:smallCaps w:val="0"/>
          <w:noProof w:val="0"/>
          <w:color w:val="000000" w:themeColor="text1" w:themeTint="FF" w:themeShade="FF"/>
          <w:sz w:val="24"/>
          <w:szCs w:val="24"/>
          <w:lang w:val="en-GB"/>
        </w:rPr>
      </w:pP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In a world created with mud and clay, colour directly and indirectly expressed power and wealth. It was expensive, in terms of time and costs, to mine and transport material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containing</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colour. Colour in Ancient Mesopotamia is monochromatic. Beyond natures colours, the only way society would have seen colours, would have been through its deliberate presentation of polished stones, forged metals, vitreous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glazes,</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and mineral pigments. All used to create artifacts and artworks, in places of power, such as temples, palaces and the treasuries and bodies of priests and Royalty. </w:t>
      </w:r>
    </w:p>
    <w:p w:rsidR="75495759" w:rsidP="3809861B" w:rsidRDefault="75495759" w14:paraId="6367E64C" w14:textId="7AECCD40">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809861B" w:rsidR="75495759">
        <w:rPr>
          <w:rFonts w:ascii="Arial" w:hAnsi="Arial" w:eastAsia="Arial" w:cs="Arial"/>
          <w:b w:val="0"/>
          <w:bCs w:val="0"/>
          <w:i w:val="0"/>
          <w:iCs w:val="0"/>
          <w:caps w:val="0"/>
          <w:smallCaps w:val="0"/>
          <w:noProof w:val="0"/>
          <w:color w:val="000000" w:themeColor="text1" w:themeTint="FF" w:themeShade="FF"/>
          <w:sz w:val="24"/>
          <w:szCs w:val="24"/>
          <w:lang w:val="en-GB"/>
        </w:rPr>
        <w:t>The jewellery used to make the Royal assemblage discussed, entailed methods akin to what Alfred Gell called “</w:t>
      </w:r>
      <w:r w:rsidRPr="3809861B" w:rsidR="75495759">
        <w:rPr>
          <w:rFonts w:ascii="Arial" w:hAnsi="Arial" w:eastAsia="Arial" w:cs="Arial"/>
          <w:b w:val="0"/>
          <w:bCs w:val="0"/>
          <w:i w:val="1"/>
          <w:iCs w:val="1"/>
          <w:caps w:val="0"/>
          <w:smallCaps w:val="0"/>
          <w:noProof w:val="0"/>
          <w:color w:val="000000" w:themeColor="text1" w:themeTint="FF" w:themeShade="FF"/>
          <w:sz w:val="24"/>
          <w:szCs w:val="24"/>
          <w:lang w:val="en-GB"/>
        </w:rPr>
        <w:t>the technology of enchantment and enchantment of technology.”</w:t>
      </w:r>
      <w:r w:rsidRPr="3809861B" w:rsidR="75495759">
        <w:rPr>
          <w:rFonts w:ascii="Arial" w:hAnsi="Arial" w:eastAsia="Arial" w:cs="Arial"/>
          <w:b w:val="0"/>
          <w:bCs w:val="0"/>
          <w:i w:val="0"/>
          <w:iCs w:val="0"/>
          <w:caps w:val="0"/>
          <w:smallCaps w:val="0"/>
          <w:noProof w:val="0"/>
          <w:color w:val="000000" w:themeColor="text1" w:themeTint="FF" w:themeShade="FF"/>
          <w:sz w:val="24"/>
          <w:szCs w:val="24"/>
          <w:lang w:val="en-GB"/>
        </w:rPr>
        <w:t xml:space="preserve"> (Gell, 1992). The jewellery was not only </w:t>
      </w:r>
      <w:r w:rsidRPr="3809861B" w:rsidR="75495759">
        <w:rPr>
          <w:rFonts w:ascii="Arial" w:hAnsi="Arial" w:eastAsia="Arial" w:cs="Arial"/>
          <w:b w:val="0"/>
          <w:bCs w:val="0"/>
          <w:i w:val="1"/>
          <w:iCs w:val="1"/>
          <w:caps w:val="0"/>
          <w:smallCaps w:val="0"/>
          <w:noProof w:val="0"/>
          <w:color w:val="000000" w:themeColor="text1" w:themeTint="FF" w:themeShade="FF"/>
          <w:sz w:val="24"/>
          <w:szCs w:val="24"/>
          <w:lang w:val="en-GB"/>
        </w:rPr>
        <w:t xml:space="preserve">beautiful, but beautifully made, even magically made, </w:t>
      </w:r>
      <w:r w:rsidRPr="3809861B" w:rsidR="75495759">
        <w:rPr>
          <w:rFonts w:ascii="Arial" w:hAnsi="Arial" w:eastAsia="Arial" w:cs="Arial"/>
          <w:b w:val="0"/>
          <w:bCs w:val="0"/>
          <w:i w:val="0"/>
          <w:iCs w:val="0"/>
          <w:caps w:val="0"/>
          <w:smallCaps w:val="0"/>
          <w:noProof w:val="0"/>
          <w:color w:val="000000" w:themeColor="text1" w:themeTint="FF" w:themeShade="FF"/>
          <w:sz w:val="24"/>
          <w:szCs w:val="24"/>
          <w:lang w:val="en-GB"/>
        </w:rPr>
        <w:t>and able to activate agency [</w:t>
      </w:r>
      <w:r w:rsidRPr="3809861B" w:rsidR="75495759">
        <w:rPr>
          <w:rFonts w:ascii="Arial" w:hAnsi="Arial" w:eastAsia="Arial" w:cs="Arial"/>
          <w:b w:val="0"/>
          <w:bCs w:val="0"/>
          <w:i w:val="0"/>
          <w:iCs w:val="0"/>
          <w:caps w:val="0"/>
          <w:smallCaps w:val="0"/>
          <w:noProof w:val="0"/>
          <w:color w:val="000000" w:themeColor="text1" w:themeTint="FF" w:themeShade="FF"/>
          <w:sz w:val="24"/>
          <w:szCs w:val="24"/>
          <w:lang w:val="en-GB"/>
        </w:rPr>
        <w:t>performative</w:t>
      </w:r>
      <w:r w:rsidRPr="3809861B" w:rsidR="75495759">
        <w:rPr>
          <w:rFonts w:ascii="Arial" w:hAnsi="Arial" w:eastAsia="Arial" w:cs="Arial"/>
          <w:b w:val="0"/>
          <w:bCs w:val="0"/>
          <w:i w:val="0"/>
          <w:iCs w:val="0"/>
          <w:caps w:val="0"/>
          <w:smallCaps w:val="0"/>
          <w:noProof w:val="0"/>
          <w:color w:val="000000" w:themeColor="text1" w:themeTint="FF" w:themeShade="FF"/>
          <w:sz w:val="24"/>
          <w:szCs w:val="24"/>
          <w:lang w:val="en-GB"/>
        </w:rPr>
        <w:t xml:space="preserve"> agency], through its creation alone. (Winter, 2008b).</w:t>
      </w:r>
    </w:p>
    <w:p w:rsidR="75495759" w:rsidP="18EA5F2B" w:rsidRDefault="75495759" w14:paraId="242713E0" w14:textId="6BFD74E7">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Gold, the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colour</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material, was considered, pure and divine. Material scientists go as far as to say it is because it is the only organic metal that does not oxidize over time (Benzel, 2013).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Sumerologists would have seen that it does not corrode – it is a “noble metal.” </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 xml:space="preserve">(Ibid)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As long, as it was not alloyed with copper, then it would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retain</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its shininess in perpetuity. Gold might have been considered as </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eternal</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metal and colour, metaphorically and metaphysically correlating with the idea of the divine, and immortality. </w:t>
      </w:r>
    </w:p>
    <w:p w:rsidR="75495759" w:rsidP="18EA5F2B" w:rsidRDefault="75495759" w14:paraId="3D213A3D" w14:textId="04A234B3">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The choice of red, could be used as the artists agency of depicting the Akkadian term of ‘red gold</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used to describe a specific shade of the precious metal. (Reiner et., al. 1995). It was used, to portray wealth and social status. Blue was used to display prestige as blue was the colour of many precious stones, which were accepted into the realm of gods, following Mesopotamian epics</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(Geller, 2002, pg. 89, 96</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It could be used as a symbol of prestige of the royal queens. Lapis lazuli, “yields a kind of lustrousness that is seen as particularly positive and auspicious, so that persons, and things that are holy, ritually pure, joyous or beautiful, are generally described in terms of light.” (Winter, 1999, pg. 46). It could be an enchantment of pure beauty, and power on the bodies, in the form of jewellery.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Fig. 1</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Religious texts point towards blue lapis lazuli being used for religious agency, even more, than gold and silver. </w:t>
      </w:r>
    </w:p>
    <w:p w:rsidR="75495759" w:rsidP="005EF3F6" w:rsidRDefault="75495759" w14:paraId="036394D5" w14:textId="0A9C7DCA">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5495759" w:rsidP="005EF3F6" w:rsidRDefault="75495759" w14:paraId="59682AD2" w14:textId="77A548F8">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05EF3F6" w:rsidR="75495759">
        <w:rPr>
          <w:rFonts w:ascii="Arial" w:hAnsi="Arial" w:eastAsia="Arial" w:cs="Arial"/>
          <w:b w:val="0"/>
          <w:bCs w:val="0"/>
          <w:i w:val="0"/>
          <w:iCs w:val="0"/>
          <w:caps w:val="0"/>
          <w:smallCaps w:val="0"/>
          <w:noProof w:val="0"/>
          <w:color w:val="000000" w:themeColor="text1" w:themeTint="FF" w:themeShade="FF"/>
          <w:sz w:val="24"/>
          <w:szCs w:val="24"/>
          <w:lang w:val="en-GB"/>
        </w:rPr>
        <w:t>Materiality and Method to create Pu-</w:t>
      </w:r>
      <w:proofErr w:type="spellStart"/>
      <w:r w:rsidRPr="005EF3F6" w:rsidR="75495759">
        <w:rPr>
          <w:rFonts w:ascii="Arial" w:hAnsi="Arial" w:eastAsia="Arial" w:cs="Arial"/>
          <w:b w:val="0"/>
          <w:bCs w:val="0"/>
          <w:i w:val="0"/>
          <w:iCs w:val="0"/>
          <w:caps w:val="0"/>
          <w:smallCaps w:val="0"/>
          <w:noProof w:val="0"/>
          <w:color w:val="000000" w:themeColor="text1" w:themeTint="FF" w:themeShade="FF"/>
          <w:sz w:val="24"/>
          <w:szCs w:val="24"/>
          <w:lang w:val="en-GB"/>
        </w:rPr>
        <w:t>abi's</w:t>
      </w:r>
      <w:proofErr w:type="spellEnd"/>
      <w:r w:rsidRPr="005EF3F6" w:rsidR="75495759">
        <w:rPr>
          <w:rFonts w:ascii="Arial" w:hAnsi="Arial" w:eastAsia="Arial" w:cs="Arial"/>
          <w:b w:val="0"/>
          <w:bCs w:val="0"/>
          <w:i w:val="0"/>
          <w:iCs w:val="0"/>
          <w:caps w:val="0"/>
          <w:smallCaps w:val="0"/>
          <w:noProof w:val="0"/>
          <w:color w:val="000000" w:themeColor="text1" w:themeTint="FF" w:themeShade="FF"/>
          <w:sz w:val="24"/>
          <w:szCs w:val="24"/>
          <w:lang w:val="en-GB"/>
        </w:rPr>
        <w:t xml:space="preserve"> Royal assemblage </w:t>
      </w:r>
    </w:p>
    <w:p w:rsidR="75495759" w:rsidP="005EF3F6" w:rsidRDefault="75495759" w14:paraId="33AA62FF" w14:textId="7CBF151C">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5495759" w:rsidP="3809861B" w:rsidRDefault="75495759" w14:paraId="6AB45AA3" w14:textId="2D7D3D9A">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809861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The ornaments fashioned from gold, appear to be simplistic, they are made from one sheet of undecorated hammered gold in the headdress. (Benzel, 2013, pg. 13) However, microscopic study illustrates that the method used to hammer and assemblage the pieces was complicating and time-consuming, requiring exceptional artistic skill, and knowledge of the agency in the metals, to manipulate the representations in the ores. </w:t>
      </w:r>
      <w:r w:rsidRPr="3809861B" w:rsidR="03523D11">
        <w:rPr>
          <w:rFonts w:ascii="Arial" w:hAnsi="Arial" w:eastAsia="Arial" w:cs="Arial"/>
          <w:b w:val="0"/>
          <w:bCs w:val="0"/>
          <w:i w:val="0"/>
          <w:iCs w:val="0"/>
          <w:caps w:val="0"/>
          <w:smallCaps w:val="0"/>
          <w:noProof w:val="0"/>
          <w:color w:val="000000" w:themeColor="text1" w:themeTint="FF" w:themeShade="FF"/>
          <w:sz w:val="24"/>
          <w:szCs w:val="24"/>
          <w:lang w:val="en-GB"/>
        </w:rPr>
        <w:t>(Helms, 1993, pg. 59-60</w:t>
      </w:r>
      <w:r w:rsidRPr="3809861B" w:rsidR="03523D11">
        <w:rPr>
          <w:rFonts w:ascii="Arial" w:hAnsi="Arial" w:eastAsia="Arial" w:cs="Arial"/>
          <w:b w:val="0"/>
          <w:bCs w:val="0"/>
          <w:i w:val="0"/>
          <w:iCs w:val="0"/>
          <w:caps w:val="0"/>
          <w:smallCaps w:val="0"/>
          <w:noProof w:val="0"/>
          <w:color w:val="000000" w:themeColor="text1" w:themeTint="FF" w:themeShade="FF"/>
          <w:sz w:val="24"/>
          <w:szCs w:val="24"/>
          <w:lang w:val="en-GB"/>
        </w:rPr>
        <w:t>)</w:t>
      </w:r>
      <w:r w:rsidRPr="3809861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The artist has crafted most of the piece from one piece of gold, this attests to the demands of the patron. </w:t>
      </w:r>
    </w:p>
    <w:p w:rsidR="75495759" w:rsidP="18EA5F2B" w:rsidRDefault="75495759" w14:paraId="5E9BBDB2" w14:textId="5EC00947">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Symmetry runs through the assemblage, which can attest to the same technique was used to hammer the gold, otherwise, it would have a ‘vein-like’ appearance. It speaks to the level of precision and time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required</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to make it. The assemblage link to cult-ritualistic references, illustrates that the artist must have had experience creating objects with cultic-ritualistic specifications. (Bahrani, 2002)</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As a result of the precision and repetitive work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evidenced</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in the technique used to create the assemblage, it is likely that it was made for one occasion.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5495759" w:rsidP="18EA5F2B" w:rsidRDefault="75495759" w14:paraId="12EE5019" w14:textId="6D83E80D">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It is submitted that ritualistic production is obvious in the making of the jewellery. (</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 xml:space="preserve">Ibid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pg. 125</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 xml:space="preserve">). As such,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the bodies were able to perform through the magically charged jewellery.</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The complete assemblage is made from gold, lapis lazuli,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turquoise</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and carnelian, (Fig.2), which is mentioned in texts to have a link with the sacred, </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 xml:space="preserve">and as if even sacred or divine.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This empowers the jewels – giving them possible sacred agency. Support for this is in epigraphic data, which illustrates that jewellery dating before the end of the third millennium BCE, was made by craftsperson(s), connected to temples, out of material which was the temples and thus the gods. (Maxwell-Hyslop 1960 pg. 106-107). As such, we can think of the jewels as immutable, because of their distributive agency with the vessels of the divine; the priests. This idea is flawed, as texts refer to the sacred nature of the materials, not the finished assemblage. As such, this is modern scholars applying concepts of divinity to the finished form and not considering that the divinity, might be in the pure materiality of the unworked materials, in which the properties of radiance, purity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reside</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in the metal itself, and emits from it. (Benzel, 2013, pg. 23)</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Asiatic cultures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provide</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examples of this, in which unworked or untouched objects, are set aside as cult-objects, due to their “form suggesting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inherence</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...that their divine origin was self-evident.” (Freedberg, 1989,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pg.</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66-74) </w:t>
      </w:r>
    </w:p>
    <w:p w:rsidR="75495759" w:rsidP="18EA5F2B" w:rsidRDefault="75495759" w14:paraId="2411CB08" w14:textId="7561058B">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Gold veins do not produce pure gold, they still have clay fragments, therefore the ‘purity’ of the gold is based on the end-properties, of shininess and radiance, when it has been worked, not based on the material in the vein. Lapis lazuli, which is commonly used, and referred to in cultural and religious texts, is not pure in its original form. It is embedded in marble and must be extracted with effort from the composition of other soluble metals, such as pyrite and calcite, before it can be worked-on. (</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Ibid</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pg. 86-87) The shine or radiance portrayed in texts can only be achieved in its polished form. It is not, as is gold, inherently shiny or immutable. Therefore, its shiny properties are not in perpetuity, such as the properties of gold. </w:t>
      </w:r>
    </w:p>
    <w:p w:rsidR="75495759" w:rsidP="18EA5F2B" w:rsidRDefault="75495759" w14:paraId="6C869D87" w14:textId="762F5104">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Saying this, contextual evidence points to lapis lazuli being used for religious purposes, cultic-ceremonies and to depict deities. </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(Ibid)</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In the archaeology, lapis lazuli has been found in temple deposits, and references to it being </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“plundered</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 xml:space="preserve"> metaphorically linked to the gods themselves being sacralised (Ibid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pg. 79</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suggesting that the lapis is an enchantment of the gods themselves. It has characteristics of being ‘alive,’ when it is polished, it can look “wet-like” and flowing. (Fig. 3) It is then different to other stones, and there is enchantment in the ‘living’ texture of the blue lapis lazuli. This also links well to the importance of water and purification in rituals. (Winter, 2007</w:t>
      </w:r>
      <w:proofErr w:type="gramStart"/>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a ,</w:t>
      </w:r>
      <w:proofErr w:type="gramEnd"/>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pg. 54) The lapis lazuli is deliberately being made to look like ‘water,’ which</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might be representational enchantments of holy water flowing through it</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We know holy water has been used to purify heretics from sin, therefore the representation of water in lapis lazuli, could be like holy water, cleansing the body, when worn, as a baptise from sin. </w:t>
      </w:r>
    </w:p>
    <w:p w:rsidR="75495759" w:rsidP="18EA5F2B" w:rsidRDefault="75495759" w14:paraId="4FC8CB23" w14:textId="1C6F955E">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Hematite</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was available in Mesopotamia in Pu-</w:t>
      </w:r>
      <w:proofErr w:type="spellStart"/>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abi’s</w:t>
      </w:r>
      <w:proofErr w:type="spellEnd"/>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period, but it was not really used. </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 xml:space="preserve">(Ibid,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pg. 62</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It might be because, it did not have this ‘living’ animations to it, either through its symbolic communication with religion or with narratives. </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(Ibid Fig</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3) This idea is supported because lapis lazuli was used to wade off demons and malevolence from the body, as well as beautify its wearer. Carnelian, a volcanic precious stone, was used in Pu-</w:t>
      </w:r>
      <w:proofErr w:type="spellStart"/>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abi's</w:t>
      </w:r>
      <w:proofErr w:type="spellEnd"/>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assemblage.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Fig. 4</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The stone comes directly from nature, and it might have been used because of its lustrous red, against the backdrop of the darker red and turquoise colours in the piece, to highlight the pure metals, such as the silver and gold. </w:t>
      </w:r>
    </w:p>
    <w:p w:rsidR="75495759" w:rsidP="005EF3F6" w:rsidRDefault="75495759" w14:paraId="60045DC4" w14:textId="24828322">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5495759" w:rsidP="005EF3F6" w:rsidRDefault="75495759" w14:paraId="68A416CF" w14:textId="0B7DC589">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05EF3F6" w:rsidR="75495759">
        <w:rPr>
          <w:rFonts w:ascii="Arial" w:hAnsi="Arial" w:eastAsia="Arial" w:cs="Arial"/>
          <w:b w:val="0"/>
          <w:bCs w:val="0"/>
          <w:i w:val="0"/>
          <w:iCs w:val="0"/>
          <w:caps w:val="0"/>
          <w:smallCaps w:val="0"/>
          <w:noProof w:val="0"/>
          <w:color w:val="000000" w:themeColor="text1" w:themeTint="FF" w:themeShade="FF"/>
          <w:sz w:val="24"/>
          <w:szCs w:val="24"/>
          <w:lang w:val="en-GB"/>
        </w:rPr>
        <w:t>Pu-</w:t>
      </w:r>
      <w:proofErr w:type="spellStart"/>
      <w:r w:rsidRPr="005EF3F6" w:rsidR="75495759">
        <w:rPr>
          <w:rFonts w:ascii="Arial" w:hAnsi="Arial" w:eastAsia="Arial" w:cs="Arial"/>
          <w:b w:val="0"/>
          <w:bCs w:val="0"/>
          <w:i w:val="0"/>
          <w:iCs w:val="0"/>
          <w:caps w:val="0"/>
          <w:smallCaps w:val="0"/>
          <w:noProof w:val="0"/>
          <w:color w:val="000000" w:themeColor="text1" w:themeTint="FF" w:themeShade="FF"/>
          <w:sz w:val="24"/>
          <w:szCs w:val="24"/>
          <w:lang w:val="en-GB"/>
        </w:rPr>
        <w:t>abi</w:t>
      </w:r>
      <w:r w:rsidRPr="005EF3F6" w:rsidR="75495759">
        <w:rPr>
          <w:rFonts w:ascii="Arial" w:hAnsi="Arial" w:eastAsia="Arial" w:cs="Arial"/>
          <w:b w:val="0"/>
          <w:bCs w:val="0"/>
          <w:i w:val="0"/>
          <w:iCs w:val="0"/>
          <w:caps w:val="0"/>
          <w:smallCaps w:val="0"/>
          <w:noProof w:val="0"/>
          <w:color w:val="000000" w:themeColor="text1" w:themeTint="FF" w:themeShade="FF"/>
          <w:sz w:val="24"/>
          <w:szCs w:val="24"/>
          <w:lang w:val="en-GB"/>
        </w:rPr>
        <w:t>’s</w:t>
      </w:r>
      <w:proofErr w:type="spellEnd"/>
      <w:r w:rsidRPr="005EF3F6" w:rsidR="75495759">
        <w:rPr>
          <w:rFonts w:ascii="Arial" w:hAnsi="Arial" w:eastAsia="Arial" w:cs="Arial"/>
          <w:b w:val="0"/>
          <w:bCs w:val="0"/>
          <w:i w:val="0"/>
          <w:iCs w:val="0"/>
          <w:caps w:val="0"/>
          <w:smallCaps w:val="0"/>
          <w:noProof w:val="0"/>
          <w:color w:val="000000" w:themeColor="text1" w:themeTint="FF" w:themeShade="FF"/>
          <w:sz w:val="24"/>
          <w:szCs w:val="24"/>
          <w:lang w:val="en-GB"/>
        </w:rPr>
        <w:t xml:space="preserve"> burial as a performance </w:t>
      </w:r>
    </w:p>
    <w:p w:rsidR="75495759" w:rsidP="005EF3F6" w:rsidRDefault="75495759" w14:paraId="0AB30B27" w14:textId="2312C422">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5495759" w:rsidP="3809861B" w:rsidRDefault="75495759" w14:paraId="3DE9DC4D" w14:textId="203C4B57">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809861B" w:rsidR="75495759">
        <w:rPr>
          <w:rFonts w:ascii="Arial" w:hAnsi="Arial" w:eastAsia="Arial" w:cs="Arial"/>
          <w:b w:val="0"/>
          <w:bCs w:val="0"/>
          <w:i w:val="0"/>
          <w:iCs w:val="0"/>
          <w:caps w:val="0"/>
          <w:smallCaps w:val="0"/>
          <w:noProof w:val="0"/>
          <w:color w:val="000000" w:themeColor="text1" w:themeTint="FF" w:themeShade="FF"/>
          <w:sz w:val="24"/>
          <w:szCs w:val="24"/>
          <w:lang w:val="en-GB"/>
        </w:rPr>
        <w:t xml:space="preserve">At an astonishing tomb, PG 800, skeletal remains of a primary occupant were found un-looted, with three lapis lazuli cylinder rings, inscribing the name </w:t>
      </w:r>
      <w:r w:rsidRPr="3809861B" w:rsidR="75495759">
        <w:rPr>
          <w:rFonts w:ascii="Arial" w:hAnsi="Arial" w:eastAsia="Arial" w:cs="Arial"/>
          <w:b w:val="0"/>
          <w:bCs w:val="0"/>
          <w:i w:val="0"/>
          <w:iCs w:val="0"/>
          <w:caps w:val="0"/>
          <w:smallCaps w:val="0"/>
          <w:noProof w:val="0"/>
          <w:color w:val="000000" w:themeColor="text1" w:themeTint="FF" w:themeShade="FF"/>
          <w:sz w:val="24"/>
          <w:szCs w:val="24"/>
          <w:lang w:val="en-GB"/>
        </w:rPr>
        <w:t>Pu-</w:t>
      </w:r>
      <w:proofErr w:type="spellStart"/>
      <w:r w:rsidRPr="3809861B" w:rsidR="75495759">
        <w:rPr>
          <w:rFonts w:ascii="Arial" w:hAnsi="Arial" w:eastAsia="Arial" w:cs="Arial"/>
          <w:b w:val="0"/>
          <w:bCs w:val="0"/>
          <w:i w:val="0"/>
          <w:iCs w:val="0"/>
          <w:caps w:val="0"/>
          <w:smallCaps w:val="0"/>
          <w:noProof w:val="0"/>
          <w:color w:val="000000" w:themeColor="text1" w:themeTint="FF" w:themeShade="FF"/>
          <w:sz w:val="24"/>
          <w:szCs w:val="24"/>
          <w:lang w:val="en-GB"/>
        </w:rPr>
        <w:t>abi</w:t>
      </w:r>
      <w:proofErr w:type="spellEnd"/>
      <w:r w:rsidRPr="3809861B" w:rsidR="75495759">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title </w:t>
      </w:r>
      <w:proofErr w:type="spellStart"/>
      <w:r w:rsidRPr="3809861B" w:rsidR="75495759">
        <w:rPr>
          <w:rFonts w:ascii="Arial" w:hAnsi="Arial" w:eastAsia="Arial" w:cs="Arial"/>
          <w:b w:val="0"/>
          <w:bCs w:val="0"/>
          <w:i w:val="1"/>
          <w:iCs w:val="1"/>
          <w:caps w:val="0"/>
          <w:smallCaps w:val="0"/>
          <w:noProof w:val="0"/>
          <w:color w:val="000000" w:themeColor="text1" w:themeTint="FF" w:themeShade="FF"/>
          <w:sz w:val="24"/>
          <w:szCs w:val="24"/>
          <w:lang w:val="en-GB"/>
        </w:rPr>
        <w:t>nin</w:t>
      </w:r>
      <w:proofErr w:type="spellEnd"/>
      <w:r w:rsidRPr="3809861B" w:rsidR="75495759">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3809861B" w:rsidR="75495759">
        <w:rPr>
          <w:rFonts w:ascii="Arial" w:hAnsi="Arial" w:eastAsia="Arial" w:cs="Arial"/>
          <w:b w:val="0"/>
          <w:bCs w:val="0"/>
          <w:i w:val="0"/>
          <w:iCs w:val="0"/>
          <w:caps w:val="0"/>
          <w:smallCaps w:val="0"/>
          <w:noProof w:val="0"/>
          <w:color w:val="000000" w:themeColor="text1" w:themeTint="FF" w:themeShade="FF"/>
          <w:sz w:val="24"/>
          <w:szCs w:val="24"/>
          <w:lang w:val="en-GB"/>
        </w:rPr>
        <w:t xml:space="preserve">(1934: 88). Applied to mortal women </w:t>
      </w:r>
      <w:proofErr w:type="spellStart"/>
      <w:r w:rsidRPr="3809861B" w:rsidR="75495759">
        <w:rPr>
          <w:rFonts w:ascii="Arial" w:hAnsi="Arial" w:eastAsia="Arial" w:cs="Arial"/>
          <w:b w:val="0"/>
          <w:bCs w:val="0"/>
          <w:i w:val="1"/>
          <w:iCs w:val="1"/>
          <w:caps w:val="0"/>
          <w:smallCaps w:val="0"/>
          <w:noProof w:val="0"/>
          <w:color w:val="000000" w:themeColor="text1" w:themeTint="FF" w:themeShade="FF"/>
          <w:sz w:val="24"/>
          <w:szCs w:val="24"/>
          <w:lang w:val="en-GB"/>
        </w:rPr>
        <w:t>nin</w:t>
      </w:r>
      <w:proofErr w:type="spellEnd"/>
      <w:r w:rsidRPr="3809861B" w:rsidR="75495759">
        <w:rPr>
          <w:rFonts w:ascii="Arial" w:hAnsi="Arial" w:eastAsia="Arial" w:cs="Arial"/>
          <w:b w:val="0"/>
          <w:bCs w:val="0"/>
          <w:i w:val="0"/>
          <w:iCs w:val="0"/>
          <w:caps w:val="0"/>
          <w:smallCaps w:val="0"/>
          <w:noProof w:val="0"/>
          <w:color w:val="000000" w:themeColor="text1" w:themeTint="FF" w:themeShade="FF"/>
          <w:sz w:val="24"/>
          <w:szCs w:val="24"/>
          <w:lang w:val="en-GB"/>
        </w:rPr>
        <w:t xml:space="preserve"> in Sumerian translates to </w:t>
      </w:r>
      <w:r w:rsidRPr="3809861B" w:rsidR="75495759">
        <w:rPr>
          <w:rFonts w:ascii="Arial" w:hAnsi="Arial" w:eastAsia="Arial" w:cs="Arial"/>
          <w:b w:val="0"/>
          <w:bCs w:val="0"/>
          <w:i w:val="1"/>
          <w:iCs w:val="1"/>
          <w:caps w:val="0"/>
          <w:smallCaps w:val="0"/>
          <w:noProof w:val="0"/>
          <w:color w:val="000000" w:themeColor="text1" w:themeTint="FF" w:themeShade="FF"/>
          <w:sz w:val="24"/>
          <w:szCs w:val="24"/>
          <w:lang w:val="en-GB"/>
        </w:rPr>
        <w:t>queen</w:t>
      </w:r>
      <w:r w:rsidRPr="3809861B" w:rsidR="75495759">
        <w:rPr>
          <w:rFonts w:ascii="Arial" w:hAnsi="Arial" w:eastAsia="Arial" w:cs="Arial"/>
          <w:b w:val="0"/>
          <w:bCs w:val="0"/>
          <w:i w:val="0"/>
          <w:iCs w:val="0"/>
          <w:caps w:val="0"/>
          <w:smallCaps w:val="0"/>
          <w:noProof w:val="0"/>
          <w:color w:val="000000" w:themeColor="text1" w:themeTint="FF" w:themeShade="FF"/>
          <w:sz w:val="24"/>
          <w:szCs w:val="24"/>
          <w:lang w:val="en-GB"/>
        </w:rPr>
        <w:t xml:space="preserve">. (Moorey, 1977, 27). </w:t>
      </w:r>
    </w:p>
    <w:p w:rsidR="75495759" w:rsidP="18EA5F2B" w:rsidRDefault="75495759" w14:paraId="193F3BB1" w14:textId="7C78425A">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Pu-</w:t>
      </w:r>
      <w:proofErr w:type="spellStart"/>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abi</w:t>
      </w:r>
      <w:proofErr w:type="spellEnd"/>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 xml:space="preserve"> was wearing an elaborate headdress including a long band of gold, gold leaves, carnelian rings, lapis lazuli beads and a five-pointed golden barrette decorated with gold and lapis lazuli flowers. Huge gold crescent-shaped earrings dangled from her ears and her entire upper-body (torso), had been covered with jewellery made from blue lapis lazuli and gold. (Fig. 1) Woolley infers that </w:t>
      </w:r>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Pu-</w:t>
      </w:r>
      <w:proofErr w:type="spellStart"/>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abi</w:t>
      </w:r>
      <w:proofErr w:type="spellEnd"/>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 xml:space="preserve"> was the principal internment, she was queen of Ur at the time of her death, buried </w:t>
      </w:r>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adjacent to</w:t>
      </w:r>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 xml:space="preserve"> her husband, the king in room PG789. (Woolley, 1934, pg. 84). </w:t>
      </w:r>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Pu-</w:t>
      </w:r>
      <w:proofErr w:type="spellStart"/>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abi’s</w:t>
      </w:r>
      <w:proofErr w:type="spellEnd"/>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 xml:space="preserve"> death was not only ritualistic, but also a display of power and ego – there were sacrifices, both human and animal, because she wielded the power to make that happen. Religious festivals were not prevalent during her reign, (</w:t>
      </w:r>
      <w:r w:rsidRPr="18EA5F2B" w:rsidR="75495759">
        <w:rPr>
          <w:rFonts w:ascii="Arial" w:hAnsi="Arial" w:eastAsia="Arial" w:cs="Arial"/>
          <w:b w:val="0"/>
          <w:bCs w:val="0"/>
          <w:i w:val="1"/>
          <w:iCs w:val="1"/>
          <w:caps w:val="0"/>
          <w:smallCaps w:val="0"/>
          <w:noProof w:val="0"/>
          <w:color w:val="000000" w:themeColor="text1" w:themeTint="FF" w:themeShade="FF"/>
          <w:sz w:val="24"/>
          <w:szCs w:val="24"/>
          <w:lang w:val="en-GB"/>
        </w:rPr>
        <w:t>Akitu ceremonies</w:t>
      </w:r>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 so this was considered special. (Dickson</w:t>
      </w:r>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 2006 pg. 130) Furthermore, scientific analysis suggests that these occupants were ‘slaves</w:t>
      </w:r>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w:t>
      </w:r>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 xml:space="preserve"> as their physiologies resemble bodies understood to have gone through hard years of intense laborious activities. (Cohen, 2000, pg. 1-2). Although, Mesopotamians may have had a difficult life. </w:t>
      </w:r>
    </w:p>
    <w:p w:rsidR="75495759" w:rsidP="18EA5F2B" w:rsidRDefault="75495759" w14:paraId="14851B36" w14:textId="22A6FF60">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The long-band of gold looks like gold-hair.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Fig. 5</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It could have been used a prop to seduce the gods, based on the notion that kings were seduced by long-hair, so perhaps the Sumerians thought gods would be. (George, Andrew, et al. 2003, The Epic of Gilgamesh) In the tomb, it might have been the inherently immutability of the purity and shine of the gold adornments, that occupants cognitively correlated with sacred or divine concepts/beliefs. (</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 xml:space="preserve">Ibid,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2013,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pg. 53) It is the inherent properties of gold to be shiny, and opulent,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whereas</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it is human intervention or belief which makes us suggest gods are pure, shiny, and omniscient. Humans like to be logic, and this might explain why we tend to prefer alluring or shiny objects, because we can consciously link them to our Lord God, and then perhaps the Mesopotamian Gods – who’s function is to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provide</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benefit</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or governance, to humanity. </w:t>
      </w:r>
    </w:p>
    <w:p w:rsidR="75495759" w:rsidP="18EA5F2B" w:rsidRDefault="75495759" w14:paraId="70059D45" w14:textId="3BA88CD1">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This explains, why we then subject the properties of gold and construct them to fit around our descriptions of the divine, which craftsperson's and patrons would be aware of and aim to manipulate, to reproduce divinity in objects. (Ingold, 2011, pg. 29-30). Winter further strengthens the correlation between gold and divinity, by suggesting that gold is shiny and pure because it has had contact with the sacred or divine. (Winter, 1995, pg. 2573) Sumerologists would not have been able to distinguish between purity in metals and purity in the divine, because the human intervention or beliefs, imposed on the gold as a material, would have influenced artistic creation. (Gell, 1998) Artists and the tombs occupants would have had no choice but to make correlations, between the gold assemblage on the body of Pu-</w:t>
      </w:r>
      <w:proofErr w:type="spellStart"/>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abi</w:t>
      </w:r>
      <w:proofErr w:type="spellEnd"/>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divine. However, this academic thought is flawed, as ancient thought process, might have been able to differentiate between gold as pure and divine as pure. We do know that they lived in a polytheistic world where a lot of different representations were made, to mean the same thing, unlike our monotheistic world –  But indications point against this, as gold was used to adorn temples, for religious festivals and assorted magical procedures, fashioned into cultic equipment and inventoried in temples and temple warehouses as the property of the gods, not to include its variety in literary compositions. (Benzel, 2013 pg. 59) </w:t>
      </w:r>
    </w:p>
    <w:p w:rsidR="75495759" w:rsidP="18EA5F2B" w:rsidRDefault="75495759" w14:paraId="20C99D43" w14:textId="03FD4986">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 xml:space="preserve">In Sumerian artwork, leaves are a depiction of fertility. (Gansell, 2014) Her headdress is not only standard vine leaves, but also there seems to be an array of botanical pleasures on her head. (Fig. 6) King’s attempted to recreate travelled lands in their own gardens, and the presentation of this as a gift to the queen, might have been an attempt to show the vast reach of Mesopotamia on the rulers – for either, those witnessing her or future generations. (Thomason, 2005, pg. 150). Support for this is found if you look deeply into the top-part of the headdress, which looks like a canopy, symbolising a forest, not just a plant or flower – but a part of land. </w:t>
      </w:r>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5495759" w:rsidP="18EA5F2B" w:rsidRDefault="75495759" w14:paraId="496D3BAC" w14:textId="7FB9F18B">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 xml:space="preserve">Miller submits that the twisted wire, in the rings, of her assemblage </w:t>
      </w:r>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represents</w:t>
      </w:r>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 xml:space="preserve"> rope. (Fig. 7) This symbolically references sheep, and narratively evokes or enchants one to think about the flock of </w:t>
      </w:r>
      <w:proofErr w:type="spellStart"/>
      <w:r w:rsidRPr="18EA5F2B" w:rsidR="75495759">
        <w:rPr>
          <w:rFonts w:ascii="Arial" w:hAnsi="Arial" w:eastAsia="Arial" w:cs="Arial"/>
          <w:b w:val="0"/>
          <w:bCs w:val="0"/>
          <w:i w:val="1"/>
          <w:iCs w:val="1"/>
          <w:caps w:val="0"/>
          <w:smallCaps w:val="0"/>
          <w:noProof w:val="0"/>
          <w:color w:val="000000" w:themeColor="text1" w:themeTint="FF" w:themeShade="FF"/>
          <w:sz w:val="24"/>
          <w:szCs w:val="24"/>
          <w:lang w:val="en-GB"/>
        </w:rPr>
        <w:t>Damuzi</w:t>
      </w:r>
      <w:proofErr w:type="spellEnd"/>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 (Wright, 1981) P</w:t>
      </w:r>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alatial reliefs show goats and sheep being herd together with wool, which looks closely like the archaeology found in the tomb. (Fig. 8) Mesopotamian society was one of the first to rely on herding animals to strengthen its own economy. (</w:t>
      </w:r>
      <w:proofErr w:type="spellStart"/>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Sallaberger</w:t>
      </w:r>
      <w:proofErr w:type="spellEnd"/>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 2014). They placed a lot of emp</w:t>
      </w:r>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hasis on rep</w:t>
      </w:r>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resenting their histories, as such the gold-wire could be symbolic of a representation of the importance of wool and how it has helped develop society.</w:t>
      </w:r>
    </w:p>
    <w:p w:rsidR="75495759" w:rsidP="18EA5F2B" w:rsidRDefault="75495759" w14:paraId="3E470490" w14:textId="0AC21357">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In Old Babylonian ritualistic text, Ishtar is described as wearing publicly displayed jewels, which are the object of libations as an emblem of the goddess herself. (Cohen, 2005). The burial of the queen demonstrating all the adornments, shows links to the divine itself, because the jewellery has sacred or religious agency. Although, all the jewels are not made from gold, silver, and the “pure” materials, those that are not made pure, are, through their mixture/associations with pure materials, like gold and silver. (</w:t>
      </w:r>
      <w:proofErr w:type="spellStart"/>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Wiggermann</w:t>
      </w:r>
      <w:proofErr w:type="spellEnd"/>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 xml:space="preserve">, 1992, pg. 28-32) Inscriptions indicate that Sumerians attempted to ‘purify’ impure materials; “When you make the statues of </w:t>
      </w:r>
      <w:r w:rsidRPr="18EA5F2B" w:rsidR="75495759">
        <w:rPr>
          <w:rFonts w:ascii="Arial" w:hAnsi="Arial" w:eastAsia="Arial" w:cs="Arial"/>
          <w:b w:val="0"/>
          <w:bCs w:val="0"/>
          <w:i w:val="1"/>
          <w:iCs w:val="1"/>
          <w:caps w:val="0"/>
          <w:smallCaps w:val="0"/>
          <w:noProof w:val="0"/>
          <w:color w:val="000000" w:themeColor="text1" w:themeTint="FF" w:themeShade="FF"/>
          <w:sz w:val="24"/>
          <w:szCs w:val="24"/>
          <w:lang w:val="en-GB"/>
        </w:rPr>
        <w:t>cornel</w:t>
      </w:r>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 xml:space="preserve"> wood, in the morning at sunrise you shall go to the wood, [you shall] take a golden axe and a [silver] saw, with censer, torch and [holy] water you shall consecrate [the </w:t>
      </w:r>
      <w:r w:rsidRPr="18EA5F2B" w:rsidR="75495759">
        <w:rPr>
          <w:rFonts w:ascii="Arial" w:hAnsi="Arial" w:eastAsia="Arial" w:cs="Arial"/>
          <w:b w:val="0"/>
          <w:bCs w:val="0"/>
          <w:i w:val="1"/>
          <w:iCs w:val="1"/>
          <w:caps w:val="0"/>
          <w:smallCaps w:val="0"/>
          <w:noProof w:val="0"/>
          <w:color w:val="000000" w:themeColor="text1" w:themeTint="FF" w:themeShade="FF"/>
          <w:sz w:val="24"/>
          <w:szCs w:val="24"/>
          <w:lang w:val="en-GB"/>
        </w:rPr>
        <w:t>cornel</w:t>
      </w:r>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 xml:space="preserve"> tree],… with the golden axe and the silver saw you shall touch </w:t>
      </w:r>
      <w:r w:rsidRPr="18EA5F2B" w:rsidR="75495759">
        <w:rPr>
          <w:rFonts w:ascii="Arial" w:hAnsi="Arial" w:eastAsia="Arial" w:cs="Arial"/>
          <w:b w:val="0"/>
          <w:bCs w:val="0"/>
          <w:i w:val="1"/>
          <w:iCs w:val="1"/>
          <w:caps w:val="0"/>
          <w:smallCaps w:val="0"/>
          <w:noProof w:val="0"/>
          <w:color w:val="000000" w:themeColor="text1" w:themeTint="FF" w:themeShade="FF"/>
          <w:sz w:val="24"/>
          <w:szCs w:val="24"/>
          <w:lang w:val="en-GB"/>
        </w:rPr>
        <w:t xml:space="preserve">the cornel </w:t>
      </w:r>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tree and cut it down with a hatchet;…in the morning purify the clay pit [with], seven grains of silver, seven grains of gold and carnelian;…" (</w:t>
      </w:r>
      <w:proofErr w:type="spellStart"/>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Wiggermann</w:t>
      </w:r>
      <w:proofErr w:type="spellEnd"/>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 1992, pg. 7, I. 28-32 and I.41-42 and pg.13 II. 145-148) Here, gold and silver are pure, but the wood in the tree is not, when the precious metals mix with the wood in the tree, it becomes pure, similarly when they mix with the clay, it purifies the clay. (</w:t>
      </w:r>
      <w:r w:rsidRPr="18EA5F2B" w:rsidR="75495759">
        <w:rPr>
          <w:rFonts w:ascii="Arial" w:hAnsi="Arial" w:eastAsia="Arial" w:cs="Arial"/>
          <w:b w:val="0"/>
          <w:bCs w:val="0"/>
          <w:i w:val="1"/>
          <w:iCs w:val="1"/>
          <w:caps w:val="0"/>
          <w:smallCaps w:val="0"/>
          <w:noProof w:val="0"/>
          <w:color w:val="000000" w:themeColor="text1" w:themeTint="FF" w:themeShade="FF"/>
          <w:sz w:val="24"/>
          <w:szCs w:val="24"/>
          <w:lang w:val="en-GB"/>
        </w:rPr>
        <w:t>Ibid</w:t>
      </w:r>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 xml:space="preserve">) The reference to a “consecration”, means that, not only were these able to purify, but they were able to make something holy, as subsequently, animate the cognitive thoughts about ritualistic procedures, which reproduces schemas about the sacred, divine, or magic. </w:t>
      </w:r>
      <w:r w:rsidRPr="18EA5F2B" w:rsidR="75495759">
        <w:rPr>
          <w:rFonts w:ascii="Arial" w:hAnsi="Arial" w:eastAsia="Arial" w:cs="Arial"/>
          <w:b w:val="0"/>
          <w:bCs w:val="0"/>
          <w:i w:val="1"/>
          <w:iCs w:val="1"/>
          <w:caps w:val="0"/>
          <w:smallCaps w:val="0"/>
          <w:noProof w:val="0"/>
          <w:color w:val="000000" w:themeColor="text1" w:themeTint="FF" w:themeShade="FF"/>
          <w:sz w:val="24"/>
          <w:szCs w:val="24"/>
          <w:lang w:val="en-GB"/>
        </w:rPr>
        <w:t>(Ibid),</w:t>
      </w:r>
      <w:r w:rsidRPr="18EA5F2B" w:rsidR="75495759">
        <w:rPr>
          <w:rFonts w:ascii="Arial" w:hAnsi="Arial" w:eastAsia="Arial" w:cs="Arial"/>
          <w:b w:val="0"/>
          <w:bCs w:val="0"/>
          <w:i w:val="0"/>
          <w:iCs w:val="0"/>
          <w:caps w:val="0"/>
          <w:smallCaps w:val="0"/>
          <w:noProof w:val="0"/>
          <w:color w:val="000000" w:themeColor="text1" w:themeTint="FF" w:themeShade="FF"/>
          <w:sz w:val="24"/>
          <w:szCs w:val="24"/>
          <w:lang w:val="en-GB"/>
        </w:rPr>
        <w:t xml:space="preserve"> even if such thoughts are unconscious. </w:t>
      </w:r>
    </w:p>
    <w:p w:rsidR="75495759" w:rsidP="18EA5F2B" w:rsidRDefault="75495759" w14:paraId="7E455C7A" w14:textId="45579CB1">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Pu-</w:t>
      </w:r>
      <w:proofErr w:type="spellStart"/>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abi</w:t>
      </w:r>
      <w:proofErr w:type="spellEnd"/>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was discovered in a carnelian and turquoise bead skirt. (Fig. 9) The bead has agency from foundation deposits discovered in Mesopotamia, which also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contained</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animal sacrifices. </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(Ibid)</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These deposits were found in the corner of incomplete buildings, and they were placed there to ensure that the build was completed...and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provide</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luck for inhabitants. (</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Ibid</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They are considered to have a ceremonial or magical, and developmental purpose, as the water running through the lapis, could be metaphorically linked to water, enabling growth and life. </w:t>
      </w:r>
    </w:p>
    <w:p w:rsidR="75495759" w:rsidP="18EA5F2B" w:rsidRDefault="75495759" w14:paraId="4ECB541B" w14:textId="6B39E05D">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The deposits materials were also found in chipped or bead forms, around Ur III, and are identical to the ones used to create Pu-</w:t>
      </w:r>
      <w:proofErr w:type="spellStart"/>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abi's</w:t>
      </w:r>
      <w:proofErr w:type="spellEnd"/>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skirt. </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(Ibid</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The agency in the skirt can then be attributed to the already existing unworked agency in the deposits. Although the beads have been crafted, for its aesthetic pleasing appearance, enhancing performability, they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represent</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the unworked deposits of land, which has religious connotations. An example of this, can also be found in the adornment of temples, in which religious text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indicates</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 material is much more important than the finished product, as lapis lazuli and precious materials is repeated fourteen times. (Cooper, 1986, pg. 78-79, La 9.5) </w:t>
      </w:r>
    </w:p>
    <w:p w:rsidR="75495759" w:rsidP="18EA5F2B" w:rsidRDefault="75495759" w14:paraId="7C404DAA" w14:textId="069E6EE5">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If we explore it through its simple aesthetic pleasures, the material, still is mined from land, and the entire civilisation and those succeeded it believed land was given by the gods, as such it still carried these religious animations. It has been made from land under the territories, so it is also the agency of ruler's geographical control and her political prowess, or husbands, displayed on her body. The stones/beads on the skirt, could be considered enchanting, as on inspection, all are not the same size. (Fig. 10) S</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tones which are shiny, are in a parachute ‘divine gem cut,’ which emphasises their shininess, unlike the standard trapezoid shape of a stone. </w:t>
      </w:r>
    </w:p>
    <w:p w:rsidR="75495759" w:rsidP="18EA5F2B" w:rsidRDefault="75495759" w14:paraId="7825B1A5" w14:textId="7E523FE2">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Specifically, to the lapis lazuli the artist has focused on ensuring there is a ‘lake-like’ water flow, running through them. (Fig. 10) Enchantments happens because other stones cannot obtain this polished state of radiance. In studying the Akkadian text known as the </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w:t>
      </w:r>
      <w:proofErr w:type="spellStart"/>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Abnu</w:t>
      </w:r>
      <w:proofErr w:type="spellEnd"/>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 xml:space="preserve"> </w:t>
      </w:r>
      <w:proofErr w:type="spellStart"/>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sikinsu</w:t>
      </w:r>
      <w:proofErr w:type="spellEnd"/>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 xml:space="preserve"> a handbook of stones</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and materials, the term </w:t>
      </w:r>
      <w:proofErr w:type="spellStart"/>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siknu</w:t>
      </w:r>
      <w:proofErr w:type="spellEnd"/>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which has been translated to form, which means “nature</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has been used to describe the stones. (Reiner, 1995, pg. 120) </w:t>
      </w:r>
      <w:proofErr w:type="spellStart"/>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Siknu</w:t>
      </w:r>
      <w:proofErr w:type="spellEnd"/>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or the nature in the lapis lazuli is therefore what the Sumerians might have considered the powerful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emanation</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of nature, and these properties are in the originally mined lapis, before it is given any craftsperson's agency. </w:t>
      </w:r>
    </w:p>
    <w:p w:rsidR="75495759" w:rsidP="18EA5F2B" w:rsidRDefault="75495759" w14:paraId="6CF53D32" w14:textId="5FD3B974">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All the beads are varied sizes, and this could be symbolic of their affinity with nature, for example, when a stone is washed onto shore, it is eroded by the sea. The smaller beads could have been eroded by nature, and then polished to create an aesthetically pleasing appearance. Furthermore, the opal shape, in a lot of the skirt ensemble, is a natural cut. It takes time, to cut down the metal, but the most popular cut, using a diamond, is the opal-shape. (Clark, Shang, 2022) The smaller carnelian beads are like the cultic beads from the Asiatic - “untouched and thus pure.” (Freedberg, 1989, pg. 66-74) T</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he smaller “ugly”</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beads draw the eye to the bigger, opulent, and precious metals, such as the lapis and gold. </w:t>
      </w:r>
    </w:p>
    <w:p w:rsidR="75495759" w:rsidP="18EA5F2B" w:rsidRDefault="75495759" w14:paraId="26FEE8C2" w14:textId="1511DA28">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The precious stones appear</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pure, keeping their naturalistic and religious schemas, such as gold.</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The epic </w:t>
      </w:r>
      <w:proofErr w:type="spellStart"/>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Lugale</w:t>
      </w:r>
      <w:proofErr w:type="spellEnd"/>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emphasises Mesopotamian worldviews on nature and </w:t>
      </w:r>
      <w:proofErr w:type="spellStart"/>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siknu</w:t>
      </w:r>
      <w:proofErr w:type="spellEnd"/>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by featuring characters who are stones, and thus stones are used. In their natural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environment</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to, as the main character, or as extras, to wade off evil forces, [or not], in a mythical uprising against the god Ninurta and his values</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(Black et al. 2004, pg. 163-180) The epic ends with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Ninurta's</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victory and the passing of judgment and verdict over the stones. As such, the stones are personified, as if criminals given a formal trial. By way of the judgement, each stone is set into its cultural context, and provided with its meaning for Mesopotamians to understand. </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 xml:space="preserve">(Ibid) This enchantment in the text, highlights,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that the civilisation wanted the stones to be personified and given agency. </w:t>
      </w:r>
    </w:p>
    <w:p w:rsidR="75495759" w:rsidP="18EA5F2B" w:rsidRDefault="75495759" w14:paraId="003B1893" w14:textId="01C8643B">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In the epic, lapis lazuli, does not join the rebellion, and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remains</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loyal to Ninurta,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consequently</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it is provided with mercy and is assigned to the realm of gods. (Simko, 2013, pg. 6)</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T</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he stones are representative of the values the god Ninurta placed on Pu-</w:t>
      </w:r>
      <w:proofErr w:type="spellStart"/>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abi</w:t>
      </w:r>
      <w:proofErr w:type="spellEnd"/>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or that is what Pu-</w:t>
      </w:r>
      <w:proofErr w:type="spellStart"/>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abi</w:t>
      </w:r>
      <w:proofErr w:type="spellEnd"/>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wanted to project, to preserve her political power, her subject's obedience, and her [perceived] legitimacy to rule, alongside the king. The combination of gold, silver, and lapis lazuli in an assemblage, allows Pu-</w:t>
      </w:r>
      <w:proofErr w:type="spellStart"/>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abi</w:t>
      </w:r>
      <w:proofErr w:type="spellEnd"/>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to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represent</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herself in lesser material, but include the same associations of purity, as gold and silver, by allowing the metal to join the precious metals, silver, and gold, on display on her body. In a way, these stones are being “consecrated” as precious stones, on a perceived deified body. (</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Ibid</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pg. 28-31) As such, lapis lazuli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provided</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similar agency than gold, but was a material much more in abundance/cheaper to mine and distribute. The beads were also made from carnelian. </w:t>
      </w:r>
    </w:p>
    <w:p w:rsidR="75495759" w:rsidP="18EA5F2B" w:rsidRDefault="75495759" w14:paraId="61D3D40F" w14:textId="37EC0074">
      <w:pPr>
        <w:pStyle w:val="Normal"/>
        <w:spacing w:after="160" w:line="360" w:lineRule="auto"/>
        <w:jc w:val="left"/>
        <w:rPr>
          <w:rFonts w:ascii="Arial" w:hAnsi="Arial" w:eastAsia="Arial" w:cs="Arial"/>
          <w:b w:val="0"/>
          <w:bCs w:val="0"/>
          <w:i w:val="1"/>
          <w:iCs w:val="1"/>
          <w:caps w:val="0"/>
          <w:smallCaps w:val="0"/>
          <w:noProof w:val="0"/>
          <w:color w:val="000000" w:themeColor="text1" w:themeTint="FF" w:themeShade="FF"/>
          <w:sz w:val="24"/>
          <w:szCs w:val="24"/>
          <w:lang w:val="en-GB"/>
        </w:rPr>
      </w:pP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In the </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epic of Gilgamesh</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carnelian has been represented as a suitable material to provide as a gift to the gods, “</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 xml:space="preserve">there was brilliance: he went straight as soon as he saw them, to the trees of the gods. A carnelian tree was in fruit, hung with bunches of grapes, lovely to look on.”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(George, 1999, pg. 75, </w:t>
      </w:r>
      <w:proofErr w:type="spellStart"/>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Tabl</w:t>
      </w:r>
      <w:proofErr w:type="spellEnd"/>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IX, II. 171-176)</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The ‘living’ or active nature of the carnelian, and depiction of it as a fertile tree, with grapes and bunches, suggests it is an enchantment of something more than prestige and value.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Grapes</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are a</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regeneratio</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n of the vine, and thus depict the queens’ fertility, linking well with the script ascribing carnelian as female. (Black et al, 2004, pg. 176, I. 534) It was not possible though for Pu-</w:t>
      </w:r>
      <w:proofErr w:type="spellStart"/>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abi</w:t>
      </w:r>
      <w:proofErr w:type="spellEnd"/>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to have more children, but the presentation of her able might be an enchantment of a false reality – an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imaginary</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image. As such, its presenting Mesopotamian reality as a perceived or constructed reality. Carnelian is from volcanoes, and its shiny-red properties would have highlighted the shiny properties in the </w:t>
      </w:r>
      <w:proofErr w:type="spellStart"/>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the</w:t>
      </w:r>
      <w:proofErr w:type="spellEnd"/>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lapis lazuli, turquoise, and backdrop of gold and silver, emphasising the ‘purer’ metals associated with divinity, political and social power. (</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 xml:space="preserve">Ibid,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pg. 73)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Smaller pieces of carnelian were found in alluvial deposits, which has links to nature,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and</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religion as being pebbles “sent from heaven [the divine]”, in the realm of gods. </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(Ibid</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pg. 74</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It was a stone ‘consecrated’ in the </w:t>
      </w:r>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epic of</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Lugale</w:t>
      </w:r>
      <w:proofErr w:type="spellEnd"/>
      <w:r w:rsidRPr="18EA5F2B" w:rsidR="03523D11">
        <w:rPr>
          <w:rFonts w:ascii="Arial" w:hAnsi="Arial" w:eastAsia="Arial" w:cs="Arial"/>
          <w:b w:val="0"/>
          <w:bCs w:val="0"/>
          <w:i w:val="1"/>
          <w:iCs w:val="1"/>
          <w:caps w:val="0"/>
          <w:smallCaps w:val="0"/>
          <w:noProof w:val="0"/>
          <w:color w:val="000000" w:themeColor="text1" w:themeTint="FF" w:themeShade="FF"/>
          <w:sz w:val="24"/>
          <w:szCs w:val="24"/>
          <w:lang w:val="en-GB"/>
        </w:rPr>
        <w:t xml:space="preserve">. </w:t>
      </w:r>
    </w:p>
    <w:p w:rsidR="005EF3F6" w:rsidP="005EF3F6" w:rsidRDefault="005EF3F6" w14:paraId="3C7FF81B" w14:textId="742A335F">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5495759" w:rsidP="005EF3F6" w:rsidRDefault="75495759" w14:paraId="02DF434B" w14:textId="424E9F8F">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05EF3F6" w:rsidR="75495759">
        <w:rPr>
          <w:rFonts w:ascii="Arial" w:hAnsi="Arial" w:eastAsia="Arial" w:cs="Arial"/>
          <w:b w:val="0"/>
          <w:bCs w:val="0"/>
          <w:i w:val="0"/>
          <w:iCs w:val="0"/>
          <w:caps w:val="0"/>
          <w:smallCaps w:val="0"/>
          <w:noProof w:val="0"/>
          <w:color w:val="000000" w:themeColor="text1" w:themeTint="FF" w:themeShade="FF"/>
          <w:sz w:val="24"/>
          <w:szCs w:val="24"/>
          <w:lang w:val="en-GB"/>
        </w:rPr>
        <w:t xml:space="preserve">The Importance of the ‘other’ senses on technologies of enchantment </w:t>
      </w:r>
    </w:p>
    <w:p w:rsidR="75495759" w:rsidP="005EF3F6" w:rsidRDefault="75495759" w14:paraId="759437D0" w14:textId="283A5576">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5495759" w:rsidP="18EA5F2B" w:rsidRDefault="75495759" w14:paraId="60534927" w14:textId="7567AA64">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These technologies would create an emergence of theatrics. Materials are an artwork if it makes one stop in trance and consider the work. (</w:t>
      </w:r>
      <w:proofErr w:type="spellStart"/>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Derlon</w:t>
      </w:r>
      <w:proofErr w:type="spellEnd"/>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Jeudy-</w:t>
      </w:r>
      <w:proofErr w:type="spellStart"/>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Ballini</w:t>
      </w:r>
      <w:proofErr w:type="spellEnd"/>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2010, pg. 130). Post-modernism, views of artwork are through the gaze, instead of through the other corporeal senses, such as taste, </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touch,</w:t>
      </w:r>
      <w:r w:rsidRPr="18EA5F2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and smell. (Cifarelli, Neumann, Thomason, 2021) These have been neglected, because of our past views of how we have ‘viewed’ artifacts as artwork. (c.f. Hogarth's 1753 “hedonistic aesthetics”). (Fig. 10). Viewing has been the primary sense because it can be separated from our feelings. (Kant, 2006 [1798], pg. 4, 19). Sight is the only sense that can be completely intuitive and free from other sensual organs. (Kant, 2006 [1798], pg. 46, 16). </w:t>
      </w:r>
    </w:p>
    <w:p w:rsidR="75495759" w:rsidP="3809861B" w:rsidRDefault="75495759" w14:paraId="14A133E6" w14:textId="4EDBC51F">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809861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In the tombs, the individuals were in confinement, and they would have smelled different things. Gold does not smell, but materials, such as copper, zinc, and the shells, would have smelled, giving of an odour, adding to the decay, creating a diffusion of smells. The different deaths, plus the added smells, and elaborate displays of power and prestige, would have added to the performability. The people would have been seeing the jewels, witnessing the death around them. </w:t>
      </w:r>
      <w:r w:rsidRPr="3809861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Culturally speaking, agency of the assemblage, then becomes enchantments of the ritualistic, once the images are transferred into our minds, </w:t>
      </w:r>
      <w:r w:rsidRPr="3809861B" w:rsidR="03523D11">
        <w:rPr>
          <w:rFonts w:ascii="Arial" w:hAnsi="Arial" w:eastAsia="Arial" w:cs="Arial"/>
          <w:b w:val="0"/>
          <w:bCs w:val="0"/>
          <w:i w:val="0"/>
          <w:iCs w:val="0"/>
          <w:caps w:val="0"/>
          <w:smallCaps w:val="0"/>
          <w:noProof w:val="0"/>
          <w:color w:val="000000" w:themeColor="text1" w:themeTint="FF" w:themeShade="FF"/>
          <w:sz w:val="24"/>
          <w:szCs w:val="24"/>
          <w:lang w:val="en-GB"/>
        </w:rPr>
        <w:t>because of</w:t>
      </w:r>
      <w:r w:rsidRPr="3809861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the tinges of our senses – linking the objects to what we can culturally </w:t>
      </w:r>
      <w:r w:rsidRPr="3809861B" w:rsidR="03523D11">
        <w:rPr>
          <w:rFonts w:ascii="Arial" w:hAnsi="Arial" w:eastAsia="Arial" w:cs="Arial"/>
          <w:b w:val="0"/>
          <w:bCs w:val="0"/>
          <w:i w:val="0"/>
          <w:iCs w:val="0"/>
          <w:caps w:val="0"/>
          <w:smallCaps w:val="0"/>
          <w:noProof w:val="0"/>
          <w:color w:val="000000" w:themeColor="text1" w:themeTint="FF" w:themeShade="FF"/>
          <w:sz w:val="24"/>
          <w:szCs w:val="24"/>
          <w:lang w:val="en-GB"/>
        </w:rPr>
        <w:t>appropriate</w:t>
      </w:r>
      <w:r w:rsidRPr="3809861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or understand</w:t>
      </w:r>
      <w:r w:rsidRPr="3809861B" w:rsidR="03523D11">
        <w:rPr>
          <w:rFonts w:ascii="Arial" w:hAnsi="Arial" w:eastAsia="Arial" w:cs="Arial"/>
          <w:b w:val="0"/>
          <w:bCs w:val="0"/>
          <w:i w:val="0"/>
          <w:iCs w:val="0"/>
          <w:caps w:val="0"/>
          <w:smallCaps w:val="0"/>
          <w:noProof w:val="0"/>
          <w:color w:val="000000" w:themeColor="text1" w:themeTint="FF" w:themeShade="FF"/>
          <w:sz w:val="24"/>
          <w:szCs w:val="24"/>
          <w:lang w:val="en-GB"/>
        </w:rPr>
        <w:t>. T</w:t>
      </w:r>
      <w:r w:rsidRPr="3809861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he </w:t>
      </w:r>
      <w:r w:rsidRPr="3809861B" w:rsidR="03523D11">
        <w:rPr>
          <w:rFonts w:ascii="Arial" w:hAnsi="Arial" w:eastAsia="Arial" w:cs="Arial"/>
          <w:b w:val="0"/>
          <w:bCs w:val="0"/>
          <w:i w:val="0"/>
          <w:iCs w:val="0"/>
          <w:caps w:val="0"/>
          <w:smallCaps w:val="0"/>
          <w:noProof w:val="0"/>
          <w:color w:val="000000" w:themeColor="text1" w:themeTint="FF" w:themeShade="FF"/>
          <w:sz w:val="24"/>
          <w:szCs w:val="24"/>
          <w:lang w:val="en-GB"/>
        </w:rPr>
        <w:t>carnelian</w:t>
      </w:r>
      <w:r w:rsidRPr="3809861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809861B" w:rsidR="03523D11">
        <w:rPr>
          <w:rFonts w:ascii="Arial" w:hAnsi="Arial" w:eastAsia="Arial" w:cs="Arial"/>
          <w:b w:val="0"/>
          <w:bCs w:val="0"/>
          <w:i w:val="0"/>
          <w:iCs w:val="0"/>
          <w:caps w:val="0"/>
          <w:smallCaps w:val="0"/>
          <w:noProof w:val="0"/>
          <w:color w:val="000000" w:themeColor="text1" w:themeTint="FF" w:themeShade="FF"/>
          <w:sz w:val="24"/>
          <w:szCs w:val="24"/>
          <w:lang w:val="en-GB"/>
        </w:rPr>
        <w:t>turquoise</w:t>
      </w:r>
      <w:r w:rsidRPr="3809861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and lapis lazuli skirt would have chimed in the darkness, animating itself across the tombs</w:t>
      </w:r>
      <w:r w:rsidRPr="3809861B" w:rsidR="03523D1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5495759" w:rsidP="005EF3F6" w:rsidRDefault="75495759" w14:paraId="2C47801F" w14:textId="3E82E851">
      <w:pPr>
        <w:pStyle w:val="Normal"/>
        <w:spacing w:after="160" w:line="360" w:lineRule="auto"/>
        <w:jc w:val="left"/>
        <w:rPr>
          <w:rFonts w:ascii="Arial" w:hAnsi="Arial" w:eastAsia="Arial" w:cs="Arial"/>
          <w:noProof w:val="0"/>
          <w:sz w:val="24"/>
          <w:szCs w:val="24"/>
          <w:lang w:val="en-US"/>
        </w:rPr>
      </w:pPr>
    </w:p>
    <w:p w:rsidR="75495759" w:rsidP="005EF3F6" w:rsidRDefault="75495759" w14:paraId="02FB9025" w14:textId="0D8BBAC2">
      <w:pPr>
        <w:pStyle w:val="Normal"/>
        <w:spacing w:after="160" w:line="360" w:lineRule="auto"/>
        <w:jc w:val="left"/>
        <w:rPr>
          <w:rFonts w:ascii="Arial" w:hAnsi="Arial" w:eastAsia="Arial" w:cs="Arial"/>
          <w:noProof w:val="0"/>
          <w:lang w:val="en-US"/>
        </w:rPr>
      </w:pPr>
      <w:r w:rsidRPr="005EF3F6" w:rsidR="75495759">
        <w:rPr>
          <w:rFonts w:ascii="Arial" w:hAnsi="Arial" w:eastAsia="Arial" w:cs="Arial"/>
          <w:noProof w:val="0"/>
          <w:sz w:val="24"/>
          <w:szCs w:val="24"/>
          <w:lang w:val="en-US"/>
        </w:rPr>
        <w:t>Summary</w:t>
      </w:r>
    </w:p>
    <w:p w:rsidR="005EF3F6" w:rsidP="005EF3F6" w:rsidRDefault="005EF3F6" w14:paraId="361970B0" w14:textId="408BE614">
      <w:pPr>
        <w:pStyle w:val="Normal"/>
        <w:spacing w:after="160" w:line="360" w:lineRule="auto"/>
        <w:jc w:val="left"/>
        <w:rPr>
          <w:rFonts w:ascii="Arial" w:hAnsi="Arial" w:eastAsia="Arial" w:cs="Arial"/>
          <w:noProof w:val="0"/>
          <w:sz w:val="24"/>
          <w:szCs w:val="24"/>
          <w:lang w:val="en-US"/>
        </w:rPr>
      </w:pPr>
    </w:p>
    <w:p w:rsidR="005EF3F6" w:rsidP="02C6D0CE" w:rsidRDefault="005EF3F6" w14:paraId="6A10B8DB" w14:textId="22BFCB8C">
      <w:pPr>
        <w:pStyle w:val="Normal"/>
        <w:spacing w:line="360" w:lineRule="auto"/>
        <w:rPr>
          <w:rFonts w:ascii="Arial" w:hAnsi="Arial" w:eastAsia="Arial" w:cs="Arial"/>
          <w:noProof w:val="0"/>
          <w:sz w:val="24"/>
          <w:szCs w:val="24"/>
          <w:lang w:val="en-US"/>
        </w:rPr>
      </w:pPr>
      <w:r w:rsidRPr="18EA5F2B" w:rsidR="005EF3F6">
        <w:rPr>
          <w:rFonts w:ascii="Arial" w:hAnsi="Arial" w:eastAsia="Arial" w:cs="Arial"/>
          <w:noProof w:val="0"/>
          <w:sz w:val="24"/>
          <w:szCs w:val="24"/>
          <w:lang w:val="en-US"/>
        </w:rPr>
        <w:t xml:space="preserve">This author has </w:t>
      </w:r>
      <w:r w:rsidRPr="18EA5F2B" w:rsidR="005EF3F6">
        <w:rPr>
          <w:rFonts w:ascii="Arial" w:hAnsi="Arial" w:eastAsia="Arial" w:cs="Arial"/>
          <w:noProof w:val="0"/>
          <w:sz w:val="24"/>
          <w:szCs w:val="24"/>
          <w:lang w:val="en-US"/>
        </w:rPr>
        <w:t>attempted</w:t>
      </w:r>
      <w:r w:rsidRPr="18EA5F2B" w:rsidR="005EF3F6">
        <w:rPr>
          <w:rFonts w:ascii="Arial" w:hAnsi="Arial" w:eastAsia="Arial" w:cs="Arial"/>
          <w:noProof w:val="0"/>
          <w:sz w:val="24"/>
          <w:szCs w:val="24"/>
          <w:lang w:val="en-US"/>
        </w:rPr>
        <w:t xml:space="preserve"> to demonstrate how the technologies of enchantment have been applied to the Mesopotamian, queen Pu-</w:t>
      </w:r>
      <w:r w:rsidRPr="18EA5F2B" w:rsidR="005EF3F6">
        <w:rPr>
          <w:rFonts w:ascii="Arial" w:hAnsi="Arial" w:eastAsia="Arial" w:cs="Arial"/>
          <w:noProof w:val="0"/>
          <w:sz w:val="24"/>
          <w:szCs w:val="24"/>
          <w:lang w:val="en-US"/>
        </w:rPr>
        <w:t>abi</w:t>
      </w:r>
      <w:r w:rsidRPr="18EA5F2B" w:rsidR="005EF3F6">
        <w:rPr>
          <w:rFonts w:ascii="Arial" w:hAnsi="Arial" w:eastAsia="Arial" w:cs="Arial"/>
          <w:noProof w:val="0"/>
          <w:sz w:val="24"/>
          <w:szCs w:val="24"/>
          <w:lang w:val="en-US"/>
        </w:rPr>
        <w:t xml:space="preserve"> in the third dynastic era IIIa. How Pu-</w:t>
      </w:r>
      <w:proofErr w:type="spellStart"/>
      <w:r w:rsidRPr="18EA5F2B" w:rsidR="005EF3F6">
        <w:rPr>
          <w:rFonts w:ascii="Arial" w:hAnsi="Arial" w:eastAsia="Arial" w:cs="Arial"/>
          <w:noProof w:val="0"/>
          <w:sz w:val="24"/>
          <w:szCs w:val="24"/>
          <w:lang w:val="en-US"/>
        </w:rPr>
        <w:t>abi</w:t>
      </w:r>
      <w:proofErr w:type="spellEnd"/>
      <w:r w:rsidRPr="18EA5F2B" w:rsidR="005EF3F6">
        <w:rPr>
          <w:rFonts w:ascii="Arial" w:hAnsi="Arial" w:eastAsia="Arial" w:cs="Arial"/>
          <w:noProof w:val="0"/>
          <w:sz w:val="24"/>
          <w:szCs w:val="24"/>
          <w:lang w:val="en-US"/>
        </w:rPr>
        <w:t xml:space="preserve"> used religious texts and buildings to empower her legitimacy through her sacred link, or perceived sacred link, through her assemblage, with the divine. The occupants would have witnessed this and seen, felt, smelled and tasted, through the atoms in the sand, what she was wearing. As most in Mesopotamia were illiterate, these iconographies of power in the form of performance, based on narratives and religious texts, would be aimed at the people in court, who were the minority of literates, who had the resources and capacity to usurp the queen. </w:t>
      </w:r>
    </w:p>
    <w:p w:rsidR="75495759" w:rsidP="75495759" w:rsidRDefault="75495759" w14:paraId="36F8B66D" w14:textId="15BB41FF">
      <w:pPr>
        <w:pStyle w:val="Normal"/>
        <w:rPr>
          <w:noProof w:val="0"/>
          <w:sz w:val="24"/>
          <w:szCs w:val="24"/>
          <w:lang w:val="en-US"/>
        </w:rPr>
      </w:pPr>
    </w:p>
    <w:p w:rsidR="18EA5F2B" w:rsidP="18EA5F2B" w:rsidRDefault="18EA5F2B" w14:paraId="6FCDFEE9" w14:textId="38270796">
      <w:pPr>
        <w:pStyle w:val="Normal"/>
        <w:rPr>
          <w:noProof w:val="0"/>
          <w:sz w:val="24"/>
          <w:szCs w:val="24"/>
          <w:lang w:val="en-US"/>
        </w:rPr>
      </w:pPr>
    </w:p>
    <w:p w:rsidR="18EA5F2B" w:rsidP="18EA5F2B" w:rsidRDefault="18EA5F2B" w14:paraId="1726811C" w14:textId="78695E8D">
      <w:pPr>
        <w:pStyle w:val="Normal"/>
        <w:rPr>
          <w:noProof w:val="0"/>
          <w:sz w:val="24"/>
          <w:szCs w:val="24"/>
          <w:lang w:val="en-US"/>
        </w:rPr>
      </w:pPr>
    </w:p>
    <w:p w:rsidR="18EA5F2B" w:rsidP="18EA5F2B" w:rsidRDefault="18EA5F2B" w14:paraId="48F7EA7D" w14:textId="642A0081">
      <w:pPr>
        <w:pStyle w:val="Normal"/>
        <w:rPr>
          <w:noProof w:val="0"/>
          <w:sz w:val="24"/>
          <w:szCs w:val="24"/>
          <w:lang w:val="en-US"/>
        </w:rPr>
      </w:pPr>
    </w:p>
    <w:p w:rsidR="18EA5F2B" w:rsidP="18EA5F2B" w:rsidRDefault="18EA5F2B" w14:paraId="6A0A1FC8" w14:textId="11476E25">
      <w:pPr>
        <w:pStyle w:val="Normal"/>
        <w:rPr>
          <w:noProof w:val="0"/>
          <w:sz w:val="24"/>
          <w:szCs w:val="24"/>
          <w:lang w:val="en-US"/>
        </w:rPr>
      </w:pPr>
    </w:p>
    <w:p w:rsidR="18EA5F2B" w:rsidP="18EA5F2B" w:rsidRDefault="18EA5F2B" w14:paraId="29E47A11" w14:textId="7D9FF6D1">
      <w:pPr>
        <w:pStyle w:val="Normal"/>
        <w:rPr>
          <w:noProof w:val="0"/>
          <w:sz w:val="24"/>
          <w:szCs w:val="24"/>
          <w:lang w:val="en-US"/>
        </w:rPr>
      </w:pPr>
    </w:p>
    <w:p w:rsidR="18EA5F2B" w:rsidP="18EA5F2B" w:rsidRDefault="18EA5F2B" w14:paraId="2DFEC0BF" w14:textId="4642EEB7">
      <w:pPr>
        <w:pStyle w:val="Normal"/>
        <w:rPr>
          <w:noProof w:val="0"/>
          <w:sz w:val="24"/>
          <w:szCs w:val="24"/>
          <w:lang w:val="en-US"/>
        </w:rPr>
      </w:pPr>
    </w:p>
    <w:p w:rsidR="18EA5F2B" w:rsidP="18EA5F2B" w:rsidRDefault="18EA5F2B" w14:paraId="5454C236" w14:textId="1896BC76">
      <w:pPr>
        <w:pStyle w:val="Normal"/>
        <w:rPr>
          <w:noProof w:val="0"/>
          <w:sz w:val="24"/>
          <w:szCs w:val="24"/>
          <w:lang w:val="en-US"/>
        </w:rPr>
      </w:pPr>
    </w:p>
    <w:p w:rsidR="18EA5F2B" w:rsidP="18EA5F2B" w:rsidRDefault="18EA5F2B" w14:paraId="3037DF5F" w14:textId="4453E77C">
      <w:pPr>
        <w:pStyle w:val="Normal"/>
        <w:rPr>
          <w:noProof w:val="0"/>
          <w:sz w:val="24"/>
          <w:szCs w:val="24"/>
          <w:lang w:val="en-US"/>
        </w:rPr>
      </w:pPr>
    </w:p>
    <w:p w:rsidR="18EA5F2B" w:rsidP="18EA5F2B" w:rsidRDefault="18EA5F2B" w14:paraId="06C90A31" w14:textId="743129E2">
      <w:pPr>
        <w:pStyle w:val="Normal"/>
        <w:rPr>
          <w:noProof w:val="0"/>
          <w:sz w:val="24"/>
          <w:szCs w:val="24"/>
          <w:lang w:val="en-US"/>
        </w:rPr>
      </w:pPr>
    </w:p>
    <w:p w:rsidR="18EA5F2B" w:rsidP="18EA5F2B" w:rsidRDefault="18EA5F2B" w14:paraId="7E01738B" w14:textId="6BEE662C">
      <w:pPr>
        <w:pStyle w:val="Normal"/>
        <w:rPr>
          <w:noProof w:val="0"/>
          <w:sz w:val="24"/>
          <w:szCs w:val="24"/>
          <w:lang w:val="en-US"/>
        </w:rPr>
      </w:pPr>
    </w:p>
    <w:p w:rsidR="18EA5F2B" w:rsidP="18EA5F2B" w:rsidRDefault="18EA5F2B" w14:paraId="17E7FF12" w14:textId="64C38DF2">
      <w:pPr>
        <w:pStyle w:val="Normal"/>
        <w:jc w:val="center"/>
        <w:rPr>
          <w:b w:val="1"/>
          <w:bCs w:val="1"/>
          <w:noProof w:val="0"/>
          <w:sz w:val="24"/>
          <w:szCs w:val="24"/>
          <w:lang w:val="en-US"/>
        </w:rPr>
      </w:pPr>
      <w:r w:rsidRPr="18EA5F2B" w:rsidR="18EA5F2B">
        <w:rPr>
          <w:b w:val="1"/>
          <w:bCs w:val="1"/>
          <w:noProof w:val="0"/>
          <w:sz w:val="24"/>
          <w:szCs w:val="24"/>
          <w:u w:val="single"/>
          <w:lang w:val="en-US"/>
        </w:rPr>
        <w:t>Bibliography</w:t>
      </w:r>
    </w:p>
    <w:p w:rsidR="18EA5F2B" w:rsidP="18EA5F2B" w:rsidRDefault="18EA5F2B" w14:paraId="0E469E5D" w14:textId="0BF22E24">
      <w:pPr>
        <w:pStyle w:val="Normal"/>
        <w:jc w:val="center"/>
        <w:rPr>
          <w:b w:val="1"/>
          <w:bCs w:val="1"/>
          <w:noProof w:val="0"/>
          <w:sz w:val="24"/>
          <w:szCs w:val="24"/>
          <w:u w:val="single"/>
          <w:lang w:val="en-US"/>
        </w:rPr>
      </w:pPr>
    </w:p>
    <w:p w:rsidR="18EA5F2B" w:rsidP="18EA5F2B" w:rsidRDefault="18EA5F2B" w14:paraId="62754E69" w14:textId="2B90F3B3">
      <w:pPr>
        <w:pStyle w:val="Normal"/>
        <w:jc w:val="left"/>
        <w:rPr>
          <w:b w:val="1"/>
          <w:bCs w:val="1"/>
          <w:noProof w:val="0"/>
          <w:sz w:val="24"/>
          <w:szCs w:val="24"/>
          <w:u w:val="single"/>
          <w:lang w:val="en-US"/>
        </w:rPr>
      </w:pPr>
      <w:r w:rsidRPr="18EA5F2B" w:rsidR="18EA5F2B">
        <w:rPr>
          <w:b w:val="1"/>
          <w:bCs w:val="1"/>
          <w:noProof w:val="0"/>
          <w:sz w:val="24"/>
          <w:szCs w:val="24"/>
          <w:u w:val="single"/>
          <w:lang w:val="en-US"/>
        </w:rPr>
        <w:t xml:space="preserve">Table of Books </w:t>
      </w:r>
    </w:p>
    <w:p w:rsidR="18EA5F2B" w:rsidP="18EA5F2B" w:rsidRDefault="18EA5F2B" w14:paraId="26047DF6" w14:textId="4B9EB21D">
      <w:pPr>
        <w:pStyle w:val="Normal"/>
        <w:jc w:val="left"/>
        <w:rPr>
          <w:b w:val="0"/>
          <w:bCs w:val="0"/>
          <w:noProof w:val="0"/>
          <w:sz w:val="24"/>
          <w:szCs w:val="24"/>
          <w:u w:val="none"/>
          <w:lang w:val="en-US"/>
        </w:rPr>
      </w:pPr>
    </w:p>
    <w:p w:rsidR="18EA5F2B" w:rsidP="18EA5F2B" w:rsidRDefault="18EA5F2B" w14:paraId="2FF0227A" w14:textId="1EBF7E45">
      <w:pPr>
        <w:pStyle w:val="Normal"/>
        <w:jc w:val="left"/>
        <w:rPr>
          <w:b w:val="0"/>
          <w:bCs w:val="0"/>
          <w:noProof w:val="0"/>
          <w:sz w:val="24"/>
          <w:szCs w:val="24"/>
          <w:u w:val="none"/>
          <w:lang w:val="en-US"/>
        </w:rPr>
      </w:pPr>
      <w:r w:rsidRPr="18EA5F2B" w:rsidR="18EA5F2B">
        <w:rPr>
          <w:b w:val="0"/>
          <w:bCs w:val="0"/>
          <w:noProof w:val="0"/>
          <w:sz w:val="24"/>
          <w:szCs w:val="24"/>
          <w:u w:val="none"/>
          <w:lang w:val="en-US"/>
        </w:rPr>
        <w:t xml:space="preserve">Cifarelli, Neumann, Thomason, </w:t>
      </w:r>
      <w:r w:rsidRPr="18EA5F2B" w:rsidR="18EA5F2B">
        <w:rPr>
          <w:b w:val="0"/>
          <w:bCs w:val="0"/>
          <w:i w:val="1"/>
          <w:iCs w:val="1"/>
          <w:noProof w:val="0"/>
          <w:sz w:val="24"/>
          <w:szCs w:val="24"/>
          <w:u w:val="none"/>
          <w:lang w:val="en-US"/>
        </w:rPr>
        <w:t xml:space="preserve">The Routledge Handbook of the Senses in the Ancient Near East, </w:t>
      </w:r>
      <w:r w:rsidRPr="18EA5F2B" w:rsidR="18EA5F2B">
        <w:rPr>
          <w:b w:val="0"/>
          <w:bCs w:val="0"/>
          <w:i w:val="0"/>
          <w:iCs w:val="0"/>
          <w:noProof w:val="0"/>
          <w:sz w:val="24"/>
          <w:szCs w:val="24"/>
          <w:u w:val="none"/>
          <w:lang w:val="en-US"/>
        </w:rPr>
        <w:t>2021, Routledge Press, 1</w:t>
      </w:r>
      <w:r w:rsidRPr="18EA5F2B" w:rsidR="18EA5F2B">
        <w:rPr>
          <w:b w:val="0"/>
          <w:bCs w:val="0"/>
          <w:i w:val="0"/>
          <w:iCs w:val="0"/>
          <w:noProof w:val="0"/>
          <w:sz w:val="24"/>
          <w:szCs w:val="24"/>
          <w:u w:val="none"/>
          <w:vertAlign w:val="superscript"/>
          <w:lang w:val="en-US"/>
        </w:rPr>
        <w:t>st</w:t>
      </w:r>
      <w:r w:rsidRPr="18EA5F2B" w:rsidR="18EA5F2B">
        <w:rPr>
          <w:b w:val="0"/>
          <w:bCs w:val="0"/>
          <w:i w:val="0"/>
          <w:iCs w:val="0"/>
          <w:noProof w:val="0"/>
          <w:sz w:val="24"/>
          <w:szCs w:val="24"/>
          <w:u w:val="none"/>
          <w:lang w:val="en-US"/>
        </w:rPr>
        <w:t xml:space="preserve"> Edition, London.</w:t>
      </w:r>
    </w:p>
    <w:p w:rsidR="18EA5F2B" w:rsidP="18EA5F2B" w:rsidRDefault="18EA5F2B" w14:paraId="77441243" w14:textId="23255A58">
      <w:pPr>
        <w:pStyle w:val="Normal"/>
        <w:jc w:val="left"/>
        <w:rPr>
          <w:b w:val="0"/>
          <w:bCs w:val="0"/>
          <w:noProof w:val="0"/>
          <w:sz w:val="24"/>
          <w:szCs w:val="24"/>
          <w:u w:val="none"/>
          <w:lang w:val="en-US"/>
        </w:rPr>
      </w:pPr>
      <w:r w:rsidRPr="18EA5F2B" w:rsidR="18EA5F2B">
        <w:rPr>
          <w:b w:val="0"/>
          <w:bCs w:val="0"/>
          <w:i w:val="0"/>
          <w:iCs w:val="0"/>
          <w:noProof w:val="0"/>
          <w:sz w:val="24"/>
          <w:szCs w:val="24"/>
          <w:u w:val="none"/>
          <w:lang w:val="en-US"/>
        </w:rPr>
        <w:t xml:space="preserve">Gell, Hirsch, </w:t>
      </w:r>
      <w:r w:rsidRPr="18EA5F2B" w:rsidR="18EA5F2B">
        <w:rPr>
          <w:b w:val="0"/>
          <w:bCs w:val="0"/>
          <w:i w:val="1"/>
          <w:iCs w:val="1"/>
          <w:noProof w:val="0"/>
          <w:sz w:val="24"/>
          <w:szCs w:val="24"/>
          <w:u w:val="none"/>
          <w:lang w:val="en-US"/>
        </w:rPr>
        <w:t xml:space="preserve">The Art of Anthropology 1998 e-book 2020, </w:t>
      </w:r>
      <w:r w:rsidRPr="18EA5F2B" w:rsidR="18EA5F2B">
        <w:rPr>
          <w:b w:val="0"/>
          <w:bCs w:val="0"/>
          <w:i w:val="0"/>
          <w:iCs w:val="0"/>
          <w:noProof w:val="0"/>
          <w:sz w:val="24"/>
          <w:szCs w:val="24"/>
          <w:u w:val="none"/>
          <w:lang w:val="en-US"/>
        </w:rPr>
        <w:t>Routledge Press, 1</w:t>
      </w:r>
      <w:r w:rsidRPr="18EA5F2B" w:rsidR="18EA5F2B">
        <w:rPr>
          <w:b w:val="0"/>
          <w:bCs w:val="0"/>
          <w:i w:val="0"/>
          <w:iCs w:val="0"/>
          <w:noProof w:val="0"/>
          <w:sz w:val="24"/>
          <w:szCs w:val="24"/>
          <w:u w:val="none"/>
          <w:vertAlign w:val="superscript"/>
          <w:lang w:val="en-US"/>
        </w:rPr>
        <w:t>st</w:t>
      </w:r>
      <w:r w:rsidRPr="18EA5F2B" w:rsidR="18EA5F2B">
        <w:rPr>
          <w:b w:val="0"/>
          <w:bCs w:val="0"/>
          <w:i w:val="0"/>
          <w:iCs w:val="0"/>
          <w:noProof w:val="0"/>
          <w:sz w:val="24"/>
          <w:szCs w:val="24"/>
          <w:u w:val="none"/>
          <w:lang w:val="en-US"/>
        </w:rPr>
        <w:t xml:space="preserve"> Edition, London.  </w:t>
      </w:r>
    </w:p>
    <w:p w:rsidR="18EA5F2B" w:rsidP="18EA5F2B" w:rsidRDefault="18EA5F2B" w14:paraId="71858527" w14:textId="43EFAA7E">
      <w:pPr>
        <w:pStyle w:val="Normal"/>
        <w:jc w:val="left"/>
        <w:rPr>
          <w:b w:val="0"/>
          <w:bCs w:val="0"/>
          <w:i w:val="0"/>
          <w:iCs w:val="0"/>
          <w:noProof w:val="0"/>
          <w:sz w:val="24"/>
          <w:szCs w:val="24"/>
          <w:u w:val="none"/>
          <w:lang w:val="en-US"/>
        </w:rPr>
      </w:pPr>
      <w:r w:rsidRPr="18EA5F2B" w:rsidR="18EA5F2B">
        <w:rPr>
          <w:b w:val="0"/>
          <w:bCs w:val="0"/>
          <w:i w:val="0"/>
          <w:iCs w:val="0"/>
          <w:noProof w:val="0"/>
          <w:sz w:val="24"/>
          <w:szCs w:val="24"/>
          <w:u w:val="none"/>
          <w:lang w:val="en-US"/>
        </w:rPr>
        <w:t xml:space="preserve">Brown, Feldman, </w:t>
      </w:r>
      <w:r w:rsidRPr="18EA5F2B" w:rsidR="18EA5F2B">
        <w:rPr>
          <w:b w:val="0"/>
          <w:bCs w:val="0"/>
          <w:i w:val="1"/>
          <w:iCs w:val="1"/>
          <w:noProof w:val="0"/>
          <w:sz w:val="24"/>
          <w:szCs w:val="24"/>
          <w:u w:val="none"/>
          <w:lang w:val="en-US"/>
        </w:rPr>
        <w:t xml:space="preserve">Critical Approaches to Ancient Near Eastern Art, </w:t>
      </w:r>
      <w:r w:rsidRPr="18EA5F2B" w:rsidR="18EA5F2B">
        <w:rPr>
          <w:b w:val="0"/>
          <w:bCs w:val="0"/>
          <w:i w:val="0"/>
          <w:iCs w:val="0"/>
          <w:noProof w:val="0"/>
          <w:sz w:val="24"/>
          <w:szCs w:val="24"/>
          <w:u w:val="none"/>
          <w:lang w:val="en-US"/>
        </w:rPr>
        <w:t xml:space="preserve">2014, De Gruyter. </w:t>
      </w:r>
    </w:p>
    <w:p w:rsidR="18EA5F2B" w:rsidP="18EA5F2B" w:rsidRDefault="18EA5F2B" w14:paraId="39002DDD" w14:textId="50666F3A">
      <w:pPr>
        <w:pStyle w:val="Normal"/>
        <w:jc w:val="left"/>
        <w:rPr>
          <w:b w:val="0"/>
          <w:bCs w:val="0"/>
          <w:i w:val="0"/>
          <w:iCs w:val="0"/>
          <w:noProof w:val="0"/>
          <w:sz w:val="24"/>
          <w:szCs w:val="24"/>
          <w:u w:val="none"/>
          <w:lang w:val="en-US"/>
        </w:rPr>
      </w:pPr>
      <w:r w:rsidRPr="18EA5F2B" w:rsidR="18EA5F2B">
        <w:rPr>
          <w:b w:val="0"/>
          <w:bCs w:val="0"/>
          <w:i w:val="0"/>
          <w:iCs w:val="0"/>
          <w:noProof w:val="0"/>
          <w:sz w:val="24"/>
          <w:szCs w:val="24"/>
          <w:u w:val="none"/>
          <w:lang w:val="en-US"/>
        </w:rPr>
        <w:t xml:space="preserve">Ingold, </w:t>
      </w:r>
      <w:r w:rsidRPr="18EA5F2B" w:rsidR="18EA5F2B">
        <w:rPr>
          <w:b w:val="0"/>
          <w:bCs w:val="0"/>
          <w:i w:val="1"/>
          <w:iCs w:val="1"/>
          <w:noProof w:val="0"/>
          <w:sz w:val="24"/>
          <w:szCs w:val="24"/>
          <w:u w:val="none"/>
          <w:lang w:val="en-US"/>
        </w:rPr>
        <w:t xml:space="preserve">Being Alive: Essays on Movement, Knowledge and Description. </w:t>
      </w:r>
      <w:r w:rsidRPr="18EA5F2B" w:rsidR="18EA5F2B">
        <w:rPr>
          <w:b w:val="0"/>
          <w:bCs w:val="0"/>
          <w:i w:val="0"/>
          <w:iCs w:val="0"/>
          <w:noProof w:val="0"/>
          <w:sz w:val="24"/>
          <w:szCs w:val="24"/>
          <w:u w:val="none"/>
          <w:lang w:val="en-US"/>
        </w:rPr>
        <w:t>2011.</w:t>
      </w:r>
      <w:r w:rsidRPr="18EA5F2B" w:rsidR="18EA5F2B">
        <w:rPr>
          <w:b w:val="0"/>
          <w:bCs w:val="0"/>
          <w:i w:val="1"/>
          <w:iCs w:val="1"/>
          <w:noProof w:val="0"/>
          <w:sz w:val="24"/>
          <w:szCs w:val="24"/>
          <w:u w:val="none"/>
          <w:lang w:val="en-US"/>
        </w:rPr>
        <w:t xml:space="preserve"> </w:t>
      </w:r>
      <w:r w:rsidRPr="18EA5F2B" w:rsidR="18EA5F2B">
        <w:rPr>
          <w:b w:val="0"/>
          <w:bCs w:val="0"/>
          <w:i w:val="0"/>
          <w:iCs w:val="0"/>
          <w:noProof w:val="0"/>
          <w:sz w:val="24"/>
          <w:szCs w:val="24"/>
          <w:u w:val="none"/>
          <w:lang w:val="en-US"/>
        </w:rPr>
        <w:t xml:space="preserve">London and New York: Routledge. </w:t>
      </w:r>
    </w:p>
    <w:p w:rsidR="18EA5F2B" w:rsidP="18EA5F2B" w:rsidRDefault="18EA5F2B" w14:paraId="053E6032" w14:textId="0A1A3FC7">
      <w:pPr>
        <w:pStyle w:val="Normal"/>
        <w:jc w:val="left"/>
        <w:rPr>
          <w:b w:val="0"/>
          <w:bCs w:val="0"/>
          <w:i w:val="0"/>
          <w:iCs w:val="0"/>
          <w:noProof w:val="0"/>
          <w:sz w:val="24"/>
          <w:szCs w:val="24"/>
          <w:u w:val="none"/>
          <w:lang w:val="en-US"/>
        </w:rPr>
      </w:pPr>
      <w:r w:rsidRPr="18EA5F2B" w:rsidR="18EA5F2B">
        <w:rPr>
          <w:b w:val="0"/>
          <w:bCs w:val="0"/>
          <w:i w:val="0"/>
          <w:iCs w:val="0"/>
          <w:noProof w:val="0"/>
          <w:sz w:val="24"/>
          <w:szCs w:val="24"/>
          <w:u w:val="none"/>
          <w:lang w:val="en-US"/>
        </w:rPr>
        <w:t xml:space="preserve">Benzel, </w:t>
      </w:r>
      <w:r w:rsidRPr="18EA5F2B" w:rsidR="18EA5F2B">
        <w:rPr>
          <w:b w:val="0"/>
          <w:bCs w:val="0"/>
          <w:i w:val="1"/>
          <w:iCs w:val="1"/>
          <w:noProof w:val="0"/>
          <w:sz w:val="24"/>
          <w:szCs w:val="24"/>
          <w:u w:val="none"/>
          <w:lang w:val="en-US"/>
        </w:rPr>
        <w:t>Pu-</w:t>
      </w:r>
      <w:proofErr w:type="spellStart"/>
      <w:r w:rsidRPr="18EA5F2B" w:rsidR="18EA5F2B">
        <w:rPr>
          <w:b w:val="0"/>
          <w:bCs w:val="0"/>
          <w:i w:val="1"/>
          <w:iCs w:val="1"/>
          <w:noProof w:val="0"/>
          <w:sz w:val="24"/>
          <w:szCs w:val="24"/>
          <w:u w:val="none"/>
          <w:lang w:val="en-US"/>
        </w:rPr>
        <w:t>abi's</w:t>
      </w:r>
      <w:proofErr w:type="spellEnd"/>
      <w:r w:rsidRPr="18EA5F2B" w:rsidR="18EA5F2B">
        <w:rPr>
          <w:b w:val="0"/>
          <w:bCs w:val="0"/>
          <w:i w:val="1"/>
          <w:iCs w:val="1"/>
          <w:noProof w:val="0"/>
          <w:sz w:val="24"/>
          <w:szCs w:val="24"/>
          <w:u w:val="none"/>
          <w:lang w:val="en-US"/>
        </w:rPr>
        <w:t xml:space="preserve"> Adornment for the Afterlife: Materials and Technologies of Jewelry at Ur in Mesopotamia</w:t>
      </w:r>
      <w:r w:rsidRPr="18EA5F2B" w:rsidR="18EA5F2B">
        <w:rPr>
          <w:b w:val="0"/>
          <w:bCs w:val="0"/>
          <w:i w:val="0"/>
          <w:iCs w:val="0"/>
          <w:noProof w:val="0"/>
          <w:sz w:val="24"/>
          <w:szCs w:val="24"/>
          <w:u w:val="none"/>
          <w:lang w:val="en-US"/>
        </w:rPr>
        <w:t xml:space="preserve">, 2013, Columbia University. </w:t>
      </w:r>
    </w:p>
    <w:p w:rsidR="18EA5F2B" w:rsidP="18EA5F2B" w:rsidRDefault="18EA5F2B" w14:paraId="3383F11C" w14:textId="3F798978">
      <w:pPr>
        <w:pStyle w:val="Normal"/>
        <w:jc w:val="left"/>
        <w:rPr>
          <w:b w:val="0"/>
          <w:bCs w:val="0"/>
          <w:i w:val="0"/>
          <w:iCs w:val="0"/>
          <w:noProof w:val="0"/>
          <w:sz w:val="24"/>
          <w:szCs w:val="24"/>
          <w:u w:val="none"/>
          <w:lang w:val="en-US"/>
        </w:rPr>
      </w:pPr>
      <w:r w:rsidRPr="18EA5F2B" w:rsidR="18EA5F2B">
        <w:rPr>
          <w:b w:val="0"/>
          <w:bCs w:val="0"/>
          <w:i w:val="0"/>
          <w:iCs w:val="0"/>
          <w:noProof w:val="0"/>
          <w:sz w:val="24"/>
          <w:szCs w:val="24"/>
          <w:u w:val="none"/>
          <w:lang w:val="en-US"/>
        </w:rPr>
        <w:t xml:space="preserve">Winter, 2007a, </w:t>
      </w:r>
      <w:r w:rsidRPr="18EA5F2B" w:rsidR="18EA5F2B">
        <w:rPr>
          <w:b w:val="0"/>
          <w:bCs w:val="0"/>
          <w:i w:val="1"/>
          <w:iCs w:val="1"/>
          <w:noProof w:val="0"/>
          <w:sz w:val="24"/>
          <w:szCs w:val="24"/>
          <w:u w:val="none"/>
          <w:lang w:val="en-US"/>
        </w:rPr>
        <w:t xml:space="preserve">Agency Marked, Agency Ascribed: The Affective Object in Ancient Mesopotamia, </w:t>
      </w:r>
      <w:r w:rsidRPr="18EA5F2B" w:rsidR="18EA5F2B">
        <w:rPr>
          <w:b w:val="0"/>
          <w:bCs w:val="0"/>
          <w:i w:val="0"/>
          <w:iCs w:val="0"/>
          <w:noProof w:val="0"/>
          <w:sz w:val="24"/>
          <w:szCs w:val="24"/>
          <w:u w:val="none"/>
          <w:lang w:val="en-US"/>
        </w:rPr>
        <w:t xml:space="preserve">in </w:t>
      </w:r>
      <w:r w:rsidRPr="18EA5F2B" w:rsidR="18EA5F2B">
        <w:rPr>
          <w:b w:val="0"/>
          <w:bCs w:val="0"/>
          <w:i w:val="1"/>
          <w:iCs w:val="1"/>
          <w:noProof w:val="0"/>
          <w:sz w:val="24"/>
          <w:szCs w:val="24"/>
          <w:u w:val="none"/>
          <w:lang w:val="en-US"/>
        </w:rPr>
        <w:t xml:space="preserve">Art’s Agency and Art History, </w:t>
      </w:r>
      <w:r w:rsidRPr="18EA5F2B" w:rsidR="18EA5F2B">
        <w:rPr>
          <w:b w:val="0"/>
          <w:bCs w:val="0"/>
          <w:i w:val="0"/>
          <w:iCs w:val="0"/>
          <w:noProof w:val="0"/>
          <w:sz w:val="24"/>
          <w:szCs w:val="24"/>
          <w:u w:val="none"/>
          <w:lang w:val="en-US"/>
        </w:rPr>
        <w:t xml:space="preserve">edited by Robin Osborne and Jeremy Tanner, pg. 42-69, Malden, Mass., Oxford, and Victoria: Blackwell Publishing. </w:t>
      </w:r>
    </w:p>
    <w:p w:rsidR="18EA5F2B" w:rsidP="18EA5F2B" w:rsidRDefault="18EA5F2B" w14:paraId="164587B3" w14:textId="3E58C89A">
      <w:pPr>
        <w:pStyle w:val="Normal"/>
        <w:jc w:val="left"/>
        <w:rPr>
          <w:b w:val="0"/>
          <w:bCs w:val="0"/>
          <w:i w:val="0"/>
          <w:iCs w:val="0"/>
          <w:noProof w:val="0"/>
          <w:sz w:val="24"/>
          <w:szCs w:val="24"/>
          <w:u w:val="none"/>
          <w:lang w:val="en-US"/>
        </w:rPr>
      </w:pPr>
      <w:r w:rsidRPr="18EA5F2B" w:rsidR="18EA5F2B">
        <w:rPr>
          <w:b w:val="0"/>
          <w:bCs w:val="0"/>
          <w:i w:val="0"/>
          <w:iCs w:val="0"/>
          <w:noProof w:val="0"/>
          <w:sz w:val="24"/>
          <w:szCs w:val="24"/>
          <w:u w:val="none"/>
          <w:lang w:val="en-US"/>
        </w:rPr>
        <w:t xml:space="preserve">Thomason, </w:t>
      </w:r>
      <w:r w:rsidRPr="18EA5F2B" w:rsidR="18EA5F2B">
        <w:rPr>
          <w:b w:val="0"/>
          <w:bCs w:val="0"/>
          <w:i w:val="1"/>
          <w:iCs w:val="1"/>
          <w:noProof w:val="0"/>
          <w:sz w:val="24"/>
          <w:szCs w:val="24"/>
          <w:u w:val="none"/>
          <w:lang w:val="en-US"/>
        </w:rPr>
        <w:t xml:space="preserve">Luxury and Legitimation: Royal Collecting in Ancient Mesopotamia, </w:t>
      </w:r>
      <w:r w:rsidRPr="18EA5F2B" w:rsidR="18EA5F2B">
        <w:rPr>
          <w:b w:val="0"/>
          <w:bCs w:val="0"/>
          <w:i w:val="0"/>
          <w:iCs w:val="0"/>
          <w:noProof w:val="0"/>
          <w:sz w:val="24"/>
          <w:szCs w:val="24"/>
          <w:u w:val="none"/>
          <w:lang w:val="en-US"/>
        </w:rPr>
        <w:t xml:space="preserve">2005. London and New York: Routledge. </w:t>
      </w:r>
    </w:p>
    <w:p w:rsidR="18EA5F2B" w:rsidP="18EA5F2B" w:rsidRDefault="18EA5F2B" w14:paraId="65B5BF4D" w14:textId="20A506A0">
      <w:pPr>
        <w:pStyle w:val="Normal"/>
        <w:jc w:val="left"/>
        <w:rPr>
          <w:b w:val="0"/>
          <w:bCs w:val="0"/>
          <w:i w:val="1"/>
          <w:iCs w:val="1"/>
          <w:noProof w:val="0"/>
          <w:sz w:val="24"/>
          <w:szCs w:val="24"/>
          <w:u w:val="none"/>
          <w:lang w:val="en-US"/>
        </w:rPr>
      </w:pPr>
      <w:r w:rsidRPr="18EA5F2B" w:rsidR="18EA5F2B">
        <w:rPr>
          <w:b w:val="0"/>
          <w:bCs w:val="0"/>
          <w:i w:val="0"/>
          <w:iCs w:val="0"/>
          <w:noProof w:val="0"/>
          <w:sz w:val="24"/>
          <w:szCs w:val="24"/>
          <w:u w:val="none"/>
          <w:lang w:val="en-US"/>
        </w:rPr>
        <w:t xml:space="preserve">Black, Jeremy, Cunningham, Robson, </w:t>
      </w:r>
      <w:proofErr w:type="spellStart"/>
      <w:r w:rsidRPr="18EA5F2B" w:rsidR="18EA5F2B">
        <w:rPr>
          <w:b w:val="0"/>
          <w:bCs w:val="0"/>
          <w:i w:val="0"/>
          <w:iCs w:val="0"/>
          <w:noProof w:val="0"/>
          <w:sz w:val="24"/>
          <w:szCs w:val="24"/>
          <w:u w:val="none"/>
          <w:lang w:val="en-US"/>
        </w:rPr>
        <w:t>Zolyomi</w:t>
      </w:r>
      <w:proofErr w:type="spellEnd"/>
      <w:r w:rsidRPr="18EA5F2B" w:rsidR="18EA5F2B">
        <w:rPr>
          <w:b w:val="0"/>
          <w:bCs w:val="0"/>
          <w:i w:val="0"/>
          <w:iCs w:val="0"/>
          <w:noProof w:val="0"/>
          <w:sz w:val="24"/>
          <w:szCs w:val="24"/>
          <w:u w:val="none"/>
          <w:lang w:val="en-US"/>
        </w:rPr>
        <w:t xml:space="preserve">, trans, </w:t>
      </w:r>
      <w:r w:rsidRPr="18EA5F2B" w:rsidR="18EA5F2B">
        <w:rPr>
          <w:b w:val="0"/>
          <w:bCs w:val="0"/>
          <w:i w:val="1"/>
          <w:iCs w:val="1"/>
          <w:noProof w:val="0"/>
          <w:sz w:val="24"/>
          <w:szCs w:val="24"/>
          <w:u w:val="none"/>
          <w:lang w:val="en-US"/>
        </w:rPr>
        <w:t xml:space="preserve">The Literature of Ancient Sumer. </w:t>
      </w:r>
      <w:r w:rsidRPr="18EA5F2B" w:rsidR="18EA5F2B">
        <w:rPr>
          <w:b w:val="0"/>
          <w:bCs w:val="0"/>
          <w:i w:val="0"/>
          <w:iCs w:val="0"/>
          <w:noProof w:val="0"/>
          <w:sz w:val="24"/>
          <w:szCs w:val="24"/>
          <w:u w:val="none"/>
          <w:lang w:val="en-US"/>
        </w:rPr>
        <w:t>2004.</w:t>
      </w:r>
      <w:r w:rsidRPr="18EA5F2B" w:rsidR="18EA5F2B">
        <w:rPr>
          <w:b w:val="0"/>
          <w:bCs w:val="0"/>
          <w:i w:val="1"/>
          <w:iCs w:val="1"/>
          <w:noProof w:val="0"/>
          <w:sz w:val="24"/>
          <w:szCs w:val="24"/>
          <w:u w:val="none"/>
          <w:lang w:val="en-US"/>
        </w:rPr>
        <w:t xml:space="preserve"> </w:t>
      </w:r>
      <w:r w:rsidRPr="18EA5F2B" w:rsidR="18EA5F2B">
        <w:rPr>
          <w:b w:val="0"/>
          <w:bCs w:val="0"/>
          <w:i w:val="0"/>
          <w:iCs w:val="0"/>
          <w:noProof w:val="0"/>
          <w:sz w:val="24"/>
          <w:szCs w:val="24"/>
          <w:u w:val="none"/>
          <w:lang w:val="en-US"/>
        </w:rPr>
        <w:t xml:space="preserve">Oxford: Oxford University Press. </w:t>
      </w:r>
    </w:p>
    <w:p w:rsidR="18EA5F2B" w:rsidP="18EA5F2B" w:rsidRDefault="18EA5F2B" w14:paraId="188BD8EC" w14:textId="7205A298">
      <w:pPr>
        <w:pStyle w:val="Normal"/>
        <w:jc w:val="left"/>
        <w:rPr>
          <w:b w:val="0"/>
          <w:bCs w:val="0"/>
          <w:i w:val="0"/>
          <w:iCs w:val="0"/>
          <w:noProof w:val="0"/>
          <w:sz w:val="24"/>
          <w:szCs w:val="24"/>
          <w:u w:val="none"/>
          <w:lang w:val="en-US"/>
        </w:rPr>
      </w:pPr>
      <w:r w:rsidRPr="18EA5F2B" w:rsidR="18EA5F2B">
        <w:rPr>
          <w:b w:val="0"/>
          <w:bCs w:val="0"/>
          <w:i w:val="0"/>
          <w:iCs w:val="0"/>
          <w:noProof w:val="0"/>
          <w:sz w:val="24"/>
          <w:szCs w:val="24"/>
          <w:u w:val="none"/>
          <w:lang w:val="en-US"/>
        </w:rPr>
        <w:t xml:space="preserve">George, Andrew, </w:t>
      </w:r>
      <w:r w:rsidRPr="18EA5F2B" w:rsidR="18EA5F2B">
        <w:rPr>
          <w:b w:val="0"/>
          <w:bCs w:val="0"/>
          <w:i w:val="1"/>
          <w:iCs w:val="1"/>
          <w:noProof w:val="0"/>
          <w:sz w:val="24"/>
          <w:szCs w:val="24"/>
          <w:u w:val="none"/>
          <w:lang w:val="en-US"/>
        </w:rPr>
        <w:t xml:space="preserve">The Babylonian Gilgamesh Epic: Introduction, Critical Edition and Cuneiform Texts. </w:t>
      </w:r>
      <w:r w:rsidRPr="18EA5F2B" w:rsidR="18EA5F2B">
        <w:rPr>
          <w:b w:val="0"/>
          <w:bCs w:val="0"/>
          <w:i w:val="0"/>
          <w:iCs w:val="0"/>
          <w:noProof w:val="0"/>
          <w:sz w:val="24"/>
          <w:szCs w:val="24"/>
          <w:u w:val="none"/>
          <w:lang w:val="en-US"/>
        </w:rPr>
        <w:t>2003,</w:t>
      </w:r>
      <w:r w:rsidRPr="18EA5F2B" w:rsidR="18EA5F2B">
        <w:rPr>
          <w:b w:val="0"/>
          <w:bCs w:val="0"/>
          <w:i w:val="1"/>
          <w:iCs w:val="1"/>
          <w:noProof w:val="0"/>
          <w:sz w:val="24"/>
          <w:szCs w:val="24"/>
          <w:u w:val="none"/>
          <w:lang w:val="en-US"/>
        </w:rPr>
        <w:t xml:space="preserve"> </w:t>
      </w:r>
      <w:r w:rsidRPr="18EA5F2B" w:rsidR="18EA5F2B">
        <w:rPr>
          <w:b w:val="0"/>
          <w:bCs w:val="0"/>
          <w:i w:val="0"/>
          <w:iCs w:val="0"/>
          <w:noProof w:val="0"/>
          <w:sz w:val="24"/>
          <w:szCs w:val="24"/>
          <w:u w:val="none"/>
          <w:lang w:val="en-US"/>
        </w:rPr>
        <w:t xml:space="preserve">2 vols. Oxford: Oxford University Press. </w:t>
      </w:r>
    </w:p>
    <w:p w:rsidR="18EA5F2B" w:rsidP="18EA5F2B" w:rsidRDefault="18EA5F2B" w14:paraId="38C36FC0" w14:textId="78C12641">
      <w:pPr>
        <w:pStyle w:val="Normal"/>
        <w:jc w:val="left"/>
        <w:rPr>
          <w:b w:val="0"/>
          <w:bCs w:val="0"/>
          <w:i w:val="0"/>
          <w:iCs w:val="0"/>
          <w:noProof w:val="0"/>
          <w:sz w:val="24"/>
          <w:szCs w:val="24"/>
          <w:u w:val="none"/>
          <w:lang w:val="en-US"/>
        </w:rPr>
      </w:pPr>
      <w:r w:rsidRPr="18EA5F2B" w:rsidR="18EA5F2B">
        <w:rPr>
          <w:b w:val="0"/>
          <w:bCs w:val="0"/>
          <w:i w:val="0"/>
          <w:iCs w:val="0"/>
          <w:noProof w:val="0"/>
          <w:sz w:val="24"/>
          <w:szCs w:val="24"/>
          <w:u w:val="none"/>
          <w:lang w:val="en-US"/>
        </w:rPr>
        <w:t xml:space="preserve">Bahrani, </w:t>
      </w:r>
      <w:r w:rsidRPr="18EA5F2B" w:rsidR="18EA5F2B">
        <w:rPr>
          <w:b w:val="0"/>
          <w:bCs w:val="0"/>
          <w:i w:val="1"/>
          <w:iCs w:val="1"/>
          <w:noProof w:val="0"/>
          <w:sz w:val="24"/>
          <w:szCs w:val="24"/>
          <w:u w:val="none"/>
          <w:lang w:val="en-US"/>
        </w:rPr>
        <w:t xml:space="preserve">Performativity and the Image: Narrative, Representation and the </w:t>
      </w:r>
      <w:proofErr w:type="spellStart"/>
      <w:r w:rsidRPr="18EA5F2B" w:rsidR="18EA5F2B">
        <w:rPr>
          <w:b w:val="0"/>
          <w:bCs w:val="0"/>
          <w:i w:val="1"/>
          <w:iCs w:val="1"/>
          <w:noProof w:val="0"/>
          <w:sz w:val="24"/>
          <w:szCs w:val="24"/>
          <w:u w:val="none"/>
          <w:lang w:val="en-US"/>
        </w:rPr>
        <w:t>Uruk</w:t>
      </w:r>
      <w:proofErr w:type="spellEnd"/>
      <w:r w:rsidRPr="18EA5F2B" w:rsidR="18EA5F2B">
        <w:rPr>
          <w:b w:val="0"/>
          <w:bCs w:val="0"/>
          <w:i w:val="1"/>
          <w:iCs w:val="1"/>
          <w:noProof w:val="0"/>
          <w:sz w:val="24"/>
          <w:szCs w:val="24"/>
          <w:u w:val="none"/>
          <w:lang w:val="en-US"/>
        </w:rPr>
        <w:t xml:space="preserve"> Vase, </w:t>
      </w:r>
      <w:r w:rsidRPr="18EA5F2B" w:rsidR="18EA5F2B">
        <w:rPr>
          <w:b w:val="0"/>
          <w:bCs w:val="0"/>
          <w:i w:val="0"/>
          <w:iCs w:val="0"/>
          <w:noProof w:val="0"/>
          <w:sz w:val="24"/>
          <w:szCs w:val="24"/>
          <w:u w:val="none"/>
          <w:lang w:val="en-US"/>
        </w:rPr>
        <w:t xml:space="preserve">in </w:t>
      </w:r>
      <w:r w:rsidRPr="18EA5F2B" w:rsidR="18EA5F2B">
        <w:rPr>
          <w:b w:val="0"/>
          <w:bCs w:val="0"/>
          <w:i w:val="1"/>
          <w:iCs w:val="1"/>
          <w:noProof w:val="0"/>
          <w:sz w:val="24"/>
          <w:szCs w:val="24"/>
          <w:u w:val="none"/>
          <w:lang w:val="en-US"/>
        </w:rPr>
        <w:t xml:space="preserve">Leaving No Stones Unturned: Essays on the Ancient Near East and Egypt in </w:t>
      </w:r>
      <w:proofErr w:type="spellStart"/>
      <w:r w:rsidRPr="18EA5F2B" w:rsidR="18EA5F2B">
        <w:rPr>
          <w:b w:val="0"/>
          <w:bCs w:val="0"/>
          <w:i w:val="1"/>
          <w:iCs w:val="1"/>
          <w:noProof w:val="0"/>
          <w:sz w:val="24"/>
          <w:szCs w:val="24"/>
          <w:u w:val="none"/>
          <w:lang w:val="en-US"/>
        </w:rPr>
        <w:t>honour</w:t>
      </w:r>
      <w:proofErr w:type="spellEnd"/>
      <w:r w:rsidRPr="18EA5F2B" w:rsidR="18EA5F2B">
        <w:rPr>
          <w:b w:val="0"/>
          <w:bCs w:val="0"/>
          <w:i w:val="1"/>
          <w:iCs w:val="1"/>
          <w:noProof w:val="0"/>
          <w:sz w:val="24"/>
          <w:szCs w:val="24"/>
          <w:u w:val="none"/>
          <w:lang w:val="en-US"/>
        </w:rPr>
        <w:t xml:space="preserve"> of Donald P. Hansen, edited by Erica </w:t>
      </w:r>
      <w:proofErr w:type="spellStart"/>
      <w:r w:rsidRPr="18EA5F2B" w:rsidR="18EA5F2B">
        <w:rPr>
          <w:b w:val="0"/>
          <w:bCs w:val="0"/>
          <w:i w:val="1"/>
          <w:iCs w:val="1"/>
          <w:noProof w:val="0"/>
          <w:sz w:val="24"/>
          <w:szCs w:val="24"/>
          <w:u w:val="none"/>
          <w:lang w:val="en-US"/>
        </w:rPr>
        <w:t>Eherenberg</w:t>
      </w:r>
      <w:proofErr w:type="spellEnd"/>
      <w:r w:rsidRPr="18EA5F2B" w:rsidR="18EA5F2B">
        <w:rPr>
          <w:b w:val="0"/>
          <w:bCs w:val="0"/>
          <w:i w:val="1"/>
          <w:iCs w:val="1"/>
          <w:noProof w:val="0"/>
          <w:sz w:val="24"/>
          <w:szCs w:val="24"/>
          <w:u w:val="none"/>
          <w:lang w:val="en-US"/>
        </w:rPr>
        <w:t xml:space="preserve">, </w:t>
      </w:r>
      <w:proofErr w:type="spellStart"/>
      <w:r w:rsidRPr="18EA5F2B" w:rsidR="18EA5F2B">
        <w:rPr>
          <w:b w:val="0"/>
          <w:bCs w:val="0"/>
          <w:i w:val="0"/>
          <w:iCs w:val="0"/>
          <w:noProof w:val="0"/>
          <w:sz w:val="24"/>
          <w:szCs w:val="24"/>
          <w:u w:val="none"/>
          <w:lang w:val="en-US"/>
        </w:rPr>
        <w:t>pg</w:t>
      </w:r>
      <w:proofErr w:type="spellEnd"/>
      <w:r w:rsidRPr="18EA5F2B" w:rsidR="18EA5F2B">
        <w:rPr>
          <w:b w:val="0"/>
          <w:bCs w:val="0"/>
          <w:i w:val="0"/>
          <w:iCs w:val="0"/>
          <w:noProof w:val="0"/>
          <w:sz w:val="24"/>
          <w:szCs w:val="24"/>
          <w:u w:val="none"/>
          <w:lang w:val="en-US"/>
        </w:rPr>
        <w:t xml:space="preserve"> 15-22, Winona Lake, Ind.: Eisenbrauns. </w:t>
      </w:r>
    </w:p>
    <w:p w:rsidR="18EA5F2B" w:rsidP="18EA5F2B" w:rsidRDefault="18EA5F2B" w14:paraId="4A54A0E6" w14:textId="0672C76F">
      <w:pPr>
        <w:pStyle w:val="Normal"/>
        <w:jc w:val="left"/>
        <w:rPr>
          <w:b w:val="0"/>
          <w:bCs w:val="0"/>
          <w:i w:val="1"/>
          <w:iCs w:val="1"/>
          <w:noProof w:val="0"/>
          <w:sz w:val="24"/>
          <w:szCs w:val="24"/>
          <w:u w:val="none"/>
          <w:lang w:val="en-US"/>
        </w:rPr>
      </w:pPr>
      <w:r w:rsidRPr="18EA5F2B" w:rsidR="18EA5F2B">
        <w:rPr>
          <w:b w:val="0"/>
          <w:bCs w:val="0"/>
          <w:i w:val="0"/>
          <w:iCs w:val="0"/>
          <w:noProof w:val="0"/>
          <w:sz w:val="24"/>
          <w:szCs w:val="24"/>
          <w:u w:val="none"/>
          <w:lang w:val="en-US"/>
        </w:rPr>
        <w:t xml:space="preserve">Helms, </w:t>
      </w:r>
      <w:r w:rsidRPr="18EA5F2B" w:rsidR="18EA5F2B">
        <w:rPr>
          <w:b w:val="0"/>
          <w:bCs w:val="0"/>
          <w:i w:val="1"/>
          <w:iCs w:val="1"/>
          <w:noProof w:val="0"/>
          <w:sz w:val="24"/>
          <w:szCs w:val="24"/>
          <w:u w:val="none"/>
          <w:lang w:val="en-US"/>
        </w:rPr>
        <w:t xml:space="preserve">Craft and the Kingly Ideal: Art, Trade, and Power. </w:t>
      </w:r>
      <w:r w:rsidRPr="18EA5F2B" w:rsidR="18EA5F2B">
        <w:rPr>
          <w:b w:val="0"/>
          <w:bCs w:val="0"/>
          <w:i w:val="0"/>
          <w:iCs w:val="0"/>
          <w:noProof w:val="0"/>
          <w:sz w:val="24"/>
          <w:szCs w:val="24"/>
          <w:u w:val="none"/>
          <w:lang w:val="en-US"/>
        </w:rPr>
        <w:t>1993.</w:t>
      </w:r>
      <w:r w:rsidRPr="18EA5F2B" w:rsidR="18EA5F2B">
        <w:rPr>
          <w:b w:val="0"/>
          <w:bCs w:val="0"/>
          <w:i w:val="1"/>
          <w:iCs w:val="1"/>
          <w:noProof w:val="0"/>
          <w:sz w:val="24"/>
          <w:szCs w:val="24"/>
          <w:u w:val="none"/>
          <w:lang w:val="en-US"/>
        </w:rPr>
        <w:t xml:space="preserve"> </w:t>
      </w:r>
      <w:r w:rsidRPr="18EA5F2B" w:rsidR="18EA5F2B">
        <w:rPr>
          <w:b w:val="0"/>
          <w:bCs w:val="0"/>
          <w:i w:val="0"/>
          <w:iCs w:val="0"/>
          <w:noProof w:val="0"/>
          <w:sz w:val="24"/>
          <w:szCs w:val="24"/>
          <w:u w:val="none"/>
          <w:lang w:val="en-US"/>
        </w:rPr>
        <w:t>Austin: University of Texas Press.</w:t>
      </w:r>
    </w:p>
    <w:p w:rsidR="18EA5F2B" w:rsidP="18EA5F2B" w:rsidRDefault="18EA5F2B" w14:paraId="56448278" w14:textId="58173354">
      <w:pPr>
        <w:pStyle w:val="Normal"/>
        <w:jc w:val="left"/>
        <w:rPr>
          <w:b w:val="0"/>
          <w:bCs w:val="0"/>
          <w:i w:val="0"/>
          <w:iCs w:val="0"/>
          <w:noProof w:val="0"/>
          <w:sz w:val="24"/>
          <w:szCs w:val="24"/>
          <w:u w:val="none"/>
          <w:lang w:val="en-US"/>
        </w:rPr>
      </w:pPr>
      <w:r w:rsidRPr="18EA5F2B" w:rsidR="18EA5F2B">
        <w:rPr>
          <w:b w:val="0"/>
          <w:bCs w:val="0"/>
          <w:i w:val="0"/>
          <w:iCs w:val="0"/>
          <w:noProof w:val="0"/>
          <w:sz w:val="24"/>
          <w:szCs w:val="24"/>
          <w:u w:val="none"/>
          <w:lang w:val="en-US"/>
        </w:rPr>
        <w:t xml:space="preserve">Gell, </w:t>
      </w:r>
      <w:r w:rsidRPr="18EA5F2B" w:rsidR="18EA5F2B">
        <w:rPr>
          <w:b w:val="0"/>
          <w:bCs w:val="0"/>
          <w:i w:val="1"/>
          <w:iCs w:val="1"/>
          <w:noProof w:val="0"/>
          <w:sz w:val="24"/>
          <w:szCs w:val="24"/>
          <w:u w:val="none"/>
          <w:lang w:val="en-US"/>
        </w:rPr>
        <w:t xml:space="preserve">The Technology of Enchantment and the Enchantment of Technology, </w:t>
      </w:r>
      <w:r w:rsidRPr="18EA5F2B" w:rsidR="18EA5F2B">
        <w:rPr>
          <w:b w:val="0"/>
          <w:bCs w:val="0"/>
          <w:i w:val="0"/>
          <w:iCs w:val="0"/>
          <w:noProof w:val="0"/>
          <w:sz w:val="24"/>
          <w:szCs w:val="24"/>
          <w:u w:val="none"/>
          <w:lang w:val="en-US"/>
        </w:rPr>
        <w:t>1992, Coote and Shelton Edition, Anthropology, Art and Aesthetics, Oxford and New York, Clarendon Press.</w:t>
      </w:r>
    </w:p>
    <w:p w:rsidR="18EA5F2B" w:rsidP="18EA5F2B" w:rsidRDefault="18EA5F2B" w14:paraId="7215357E" w14:textId="69B90CCF">
      <w:pPr>
        <w:pStyle w:val="Normal"/>
        <w:jc w:val="left"/>
        <w:rPr>
          <w:b w:val="0"/>
          <w:bCs w:val="0"/>
          <w:noProof w:val="0"/>
          <w:sz w:val="24"/>
          <w:szCs w:val="24"/>
          <w:u w:val="none"/>
          <w:lang w:val="en-US"/>
        </w:rPr>
      </w:pPr>
      <w:r w:rsidRPr="18EA5F2B" w:rsidR="18EA5F2B">
        <w:rPr>
          <w:b w:val="0"/>
          <w:bCs w:val="0"/>
          <w:noProof w:val="0"/>
          <w:sz w:val="24"/>
          <w:szCs w:val="24"/>
          <w:u w:val="none"/>
          <w:lang w:val="en-US"/>
        </w:rPr>
        <w:t xml:space="preserve">Freedberg, </w:t>
      </w:r>
      <w:r w:rsidRPr="18EA5F2B" w:rsidR="18EA5F2B">
        <w:rPr>
          <w:b w:val="0"/>
          <w:bCs w:val="0"/>
          <w:i w:val="1"/>
          <w:iCs w:val="1"/>
          <w:noProof w:val="0"/>
          <w:sz w:val="24"/>
          <w:szCs w:val="24"/>
          <w:u w:val="none"/>
          <w:lang w:val="en-US"/>
        </w:rPr>
        <w:t xml:space="preserve">The Power of Images: Studies in the History and Theory of Response, </w:t>
      </w:r>
      <w:r w:rsidRPr="18EA5F2B" w:rsidR="18EA5F2B">
        <w:rPr>
          <w:b w:val="0"/>
          <w:bCs w:val="0"/>
          <w:i w:val="0"/>
          <w:iCs w:val="0"/>
          <w:noProof w:val="0"/>
          <w:sz w:val="24"/>
          <w:szCs w:val="24"/>
          <w:u w:val="none"/>
          <w:lang w:val="en-US"/>
        </w:rPr>
        <w:t>1989,</w:t>
      </w:r>
      <w:r w:rsidRPr="18EA5F2B" w:rsidR="18EA5F2B">
        <w:rPr>
          <w:b w:val="0"/>
          <w:bCs w:val="0"/>
          <w:i w:val="1"/>
          <w:iCs w:val="1"/>
          <w:noProof w:val="0"/>
          <w:sz w:val="24"/>
          <w:szCs w:val="24"/>
          <w:u w:val="none"/>
          <w:lang w:val="en-US"/>
        </w:rPr>
        <w:t xml:space="preserve"> </w:t>
      </w:r>
      <w:r w:rsidRPr="18EA5F2B" w:rsidR="18EA5F2B">
        <w:rPr>
          <w:b w:val="0"/>
          <w:bCs w:val="0"/>
          <w:i w:val="0"/>
          <w:iCs w:val="0"/>
          <w:noProof w:val="0"/>
          <w:sz w:val="24"/>
          <w:szCs w:val="24"/>
          <w:u w:val="none"/>
          <w:lang w:val="en-US"/>
        </w:rPr>
        <w:t>Chicago and London: University of Chicago Press.</w:t>
      </w:r>
      <w:r w:rsidRPr="18EA5F2B" w:rsidR="18EA5F2B">
        <w:rPr>
          <w:b w:val="0"/>
          <w:bCs w:val="0"/>
          <w:i w:val="0"/>
          <w:iCs w:val="0"/>
          <w:noProof w:val="0"/>
          <w:sz w:val="24"/>
          <w:szCs w:val="24"/>
          <w:u w:val="none"/>
          <w:lang w:val="en-US"/>
        </w:rPr>
        <w:t xml:space="preserve"> </w:t>
      </w:r>
    </w:p>
    <w:p w:rsidR="18EA5F2B" w:rsidP="18EA5F2B" w:rsidRDefault="18EA5F2B" w14:paraId="3C1BB80A" w14:textId="69FBB100">
      <w:pPr>
        <w:pStyle w:val="Normal"/>
        <w:jc w:val="left"/>
        <w:rPr>
          <w:b w:val="0"/>
          <w:bCs w:val="0"/>
          <w:i w:val="1"/>
          <w:iCs w:val="1"/>
          <w:noProof w:val="0"/>
          <w:sz w:val="24"/>
          <w:szCs w:val="24"/>
          <w:u w:val="none"/>
          <w:lang w:val="en-US"/>
        </w:rPr>
      </w:pPr>
      <w:r w:rsidRPr="18EA5F2B" w:rsidR="18EA5F2B">
        <w:rPr>
          <w:b w:val="0"/>
          <w:bCs w:val="0"/>
          <w:noProof w:val="0"/>
          <w:sz w:val="24"/>
          <w:szCs w:val="24"/>
          <w:u w:val="none"/>
          <w:lang w:val="en-US"/>
        </w:rPr>
        <w:t xml:space="preserve">Winter, </w:t>
      </w:r>
      <w:r w:rsidRPr="18EA5F2B" w:rsidR="18EA5F2B">
        <w:rPr>
          <w:b w:val="0"/>
          <w:bCs w:val="0"/>
          <w:i w:val="1"/>
          <w:iCs w:val="1"/>
          <w:noProof w:val="0"/>
          <w:sz w:val="24"/>
          <w:szCs w:val="24"/>
          <w:u w:val="none"/>
          <w:lang w:val="en-US"/>
        </w:rPr>
        <w:t>The Aesthetic Value of Lapis Lazuli in Mesopotamia</w:t>
      </w:r>
      <w:r w:rsidRPr="18EA5F2B" w:rsidR="18EA5F2B">
        <w:rPr>
          <w:b w:val="0"/>
          <w:bCs w:val="0"/>
          <w:i w:val="0"/>
          <w:iCs w:val="0"/>
          <w:noProof w:val="0"/>
          <w:sz w:val="24"/>
          <w:szCs w:val="24"/>
          <w:u w:val="none"/>
          <w:lang w:val="en-US"/>
        </w:rPr>
        <w:t xml:space="preserve">, In </w:t>
      </w:r>
      <w:proofErr w:type="spellStart"/>
      <w:r w:rsidRPr="18EA5F2B" w:rsidR="18EA5F2B">
        <w:rPr>
          <w:b w:val="0"/>
          <w:bCs w:val="0"/>
          <w:i w:val="1"/>
          <w:iCs w:val="1"/>
          <w:noProof w:val="0"/>
          <w:sz w:val="24"/>
          <w:szCs w:val="24"/>
          <w:u w:val="none"/>
          <w:lang w:val="en-US"/>
        </w:rPr>
        <w:t>Cornaline</w:t>
      </w:r>
      <w:proofErr w:type="spellEnd"/>
      <w:r w:rsidRPr="18EA5F2B" w:rsidR="18EA5F2B">
        <w:rPr>
          <w:b w:val="0"/>
          <w:bCs w:val="0"/>
          <w:i w:val="1"/>
          <w:iCs w:val="1"/>
          <w:noProof w:val="0"/>
          <w:sz w:val="24"/>
          <w:szCs w:val="24"/>
          <w:u w:val="none"/>
          <w:lang w:val="en-US"/>
        </w:rPr>
        <w:t xml:space="preserve"> et </w:t>
      </w:r>
      <w:proofErr w:type="spellStart"/>
      <w:r w:rsidRPr="18EA5F2B" w:rsidR="18EA5F2B">
        <w:rPr>
          <w:b w:val="0"/>
          <w:bCs w:val="0"/>
          <w:i w:val="1"/>
          <w:iCs w:val="1"/>
          <w:noProof w:val="0"/>
          <w:sz w:val="24"/>
          <w:szCs w:val="24"/>
          <w:u w:val="none"/>
          <w:lang w:val="en-US"/>
        </w:rPr>
        <w:t>pierres</w:t>
      </w:r>
      <w:proofErr w:type="spellEnd"/>
      <w:r w:rsidRPr="18EA5F2B" w:rsidR="18EA5F2B">
        <w:rPr>
          <w:b w:val="0"/>
          <w:bCs w:val="0"/>
          <w:i w:val="1"/>
          <w:iCs w:val="1"/>
          <w:noProof w:val="0"/>
          <w:sz w:val="24"/>
          <w:szCs w:val="24"/>
          <w:u w:val="none"/>
          <w:lang w:val="en-US"/>
        </w:rPr>
        <w:t xml:space="preserve"> </w:t>
      </w:r>
      <w:proofErr w:type="spellStart"/>
      <w:r w:rsidRPr="18EA5F2B" w:rsidR="18EA5F2B">
        <w:rPr>
          <w:b w:val="0"/>
          <w:bCs w:val="0"/>
          <w:i w:val="1"/>
          <w:iCs w:val="1"/>
          <w:noProof w:val="0"/>
          <w:sz w:val="24"/>
          <w:szCs w:val="24"/>
          <w:u w:val="none"/>
          <w:lang w:val="en-US"/>
        </w:rPr>
        <w:t>precieuses</w:t>
      </w:r>
      <w:proofErr w:type="spellEnd"/>
      <w:r w:rsidRPr="18EA5F2B" w:rsidR="18EA5F2B">
        <w:rPr>
          <w:b w:val="0"/>
          <w:bCs w:val="0"/>
          <w:i w:val="1"/>
          <w:iCs w:val="1"/>
          <w:noProof w:val="0"/>
          <w:sz w:val="24"/>
          <w:szCs w:val="24"/>
          <w:u w:val="none"/>
          <w:lang w:val="en-US"/>
        </w:rPr>
        <w:t xml:space="preserve">: La Mediterranee de I’ </w:t>
      </w:r>
      <w:proofErr w:type="spellStart"/>
      <w:r w:rsidRPr="18EA5F2B" w:rsidR="18EA5F2B">
        <w:rPr>
          <w:b w:val="0"/>
          <w:bCs w:val="0"/>
          <w:i w:val="1"/>
          <w:iCs w:val="1"/>
          <w:noProof w:val="0"/>
          <w:sz w:val="24"/>
          <w:szCs w:val="24"/>
          <w:u w:val="none"/>
          <w:lang w:val="en-US"/>
        </w:rPr>
        <w:t>antiquite</w:t>
      </w:r>
      <w:proofErr w:type="spellEnd"/>
      <w:r w:rsidRPr="18EA5F2B" w:rsidR="18EA5F2B">
        <w:rPr>
          <w:b w:val="0"/>
          <w:bCs w:val="0"/>
          <w:i w:val="1"/>
          <w:iCs w:val="1"/>
          <w:noProof w:val="0"/>
          <w:sz w:val="24"/>
          <w:szCs w:val="24"/>
          <w:u w:val="none"/>
          <w:lang w:val="en-US"/>
        </w:rPr>
        <w:t xml:space="preserve"> a I’ Islam; </w:t>
      </w:r>
      <w:proofErr w:type="spellStart"/>
      <w:r w:rsidRPr="18EA5F2B" w:rsidR="18EA5F2B">
        <w:rPr>
          <w:b w:val="0"/>
          <w:bCs w:val="0"/>
          <w:i w:val="1"/>
          <w:iCs w:val="1"/>
          <w:noProof w:val="0"/>
          <w:sz w:val="24"/>
          <w:szCs w:val="24"/>
          <w:u w:val="none"/>
          <w:lang w:val="en-US"/>
        </w:rPr>
        <w:t>Actes</w:t>
      </w:r>
      <w:proofErr w:type="spellEnd"/>
      <w:r w:rsidRPr="18EA5F2B" w:rsidR="18EA5F2B">
        <w:rPr>
          <w:b w:val="0"/>
          <w:bCs w:val="0"/>
          <w:i w:val="1"/>
          <w:iCs w:val="1"/>
          <w:noProof w:val="0"/>
          <w:sz w:val="24"/>
          <w:szCs w:val="24"/>
          <w:u w:val="none"/>
          <w:lang w:val="en-US"/>
        </w:rPr>
        <w:t xml:space="preserve"> du colloque </w:t>
      </w:r>
      <w:proofErr w:type="spellStart"/>
      <w:r w:rsidRPr="18EA5F2B" w:rsidR="18EA5F2B">
        <w:rPr>
          <w:b w:val="0"/>
          <w:bCs w:val="0"/>
          <w:i w:val="1"/>
          <w:iCs w:val="1"/>
          <w:noProof w:val="0"/>
          <w:sz w:val="24"/>
          <w:szCs w:val="24"/>
          <w:u w:val="none"/>
          <w:lang w:val="en-US"/>
        </w:rPr>
        <w:t>organise</w:t>
      </w:r>
      <w:proofErr w:type="spellEnd"/>
      <w:r w:rsidRPr="18EA5F2B" w:rsidR="18EA5F2B">
        <w:rPr>
          <w:b w:val="0"/>
          <w:bCs w:val="0"/>
          <w:i w:val="1"/>
          <w:iCs w:val="1"/>
          <w:noProof w:val="0"/>
          <w:sz w:val="24"/>
          <w:szCs w:val="24"/>
          <w:u w:val="none"/>
          <w:lang w:val="en-US"/>
        </w:rPr>
        <w:t xml:space="preserve"> au Musee du Louvre par le Service </w:t>
      </w:r>
      <w:proofErr w:type="spellStart"/>
      <w:r w:rsidRPr="18EA5F2B" w:rsidR="18EA5F2B">
        <w:rPr>
          <w:b w:val="0"/>
          <w:bCs w:val="0"/>
          <w:i w:val="1"/>
          <w:iCs w:val="1"/>
          <w:noProof w:val="0"/>
          <w:sz w:val="24"/>
          <w:szCs w:val="24"/>
          <w:u w:val="none"/>
          <w:lang w:val="en-US"/>
        </w:rPr>
        <w:t>Culturel</w:t>
      </w:r>
      <w:proofErr w:type="spellEnd"/>
      <w:r w:rsidRPr="18EA5F2B" w:rsidR="18EA5F2B">
        <w:rPr>
          <w:b w:val="0"/>
          <w:bCs w:val="0"/>
          <w:i w:val="1"/>
          <w:iCs w:val="1"/>
          <w:noProof w:val="0"/>
          <w:sz w:val="24"/>
          <w:szCs w:val="24"/>
          <w:u w:val="none"/>
          <w:lang w:val="en-US"/>
        </w:rPr>
        <w:t xml:space="preserve"> les 24 et 25 </w:t>
      </w:r>
      <w:proofErr w:type="spellStart"/>
      <w:r w:rsidRPr="18EA5F2B" w:rsidR="18EA5F2B">
        <w:rPr>
          <w:b w:val="0"/>
          <w:bCs w:val="0"/>
          <w:i w:val="1"/>
          <w:iCs w:val="1"/>
          <w:noProof w:val="0"/>
          <w:sz w:val="24"/>
          <w:szCs w:val="24"/>
          <w:u w:val="none"/>
          <w:lang w:val="en-US"/>
        </w:rPr>
        <w:t>novembre</w:t>
      </w:r>
      <w:proofErr w:type="spellEnd"/>
      <w:r w:rsidRPr="18EA5F2B" w:rsidR="18EA5F2B">
        <w:rPr>
          <w:b w:val="0"/>
          <w:bCs w:val="0"/>
          <w:i w:val="1"/>
          <w:iCs w:val="1"/>
          <w:noProof w:val="0"/>
          <w:sz w:val="24"/>
          <w:szCs w:val="24"/>
          <w:u w:val="none"/>
          <w:lang w:val="en-US"/>
        </w:rPr>
        <w:t xml:space="preserve"> 1995, </w:t>
      </w:r>
      <w:r w:rsidRPr="18EA5F2B" w:rsidR="18EA5F2B">
        <w:rPr>
          <w:b w:val="0"/>
          <w:bCs w:val="0"/>
          <w:i w:val="0"/>
          <w:iCs w:val="0"/>
          <w:noProof w:val="0"/>
          <w:sz w:val="24"/>
          <w:szCs w:val="24"/>
          <w:u w:val="none"/>
          <w:lang w:val="en-US"/>
        </w:rPr>
        <w:t xml:space="preserve">edited by Annie Caubet, pg. 43-58: Paris: Documentation </w:t>
      </w:r>
      <w:proofErr w:type="spellStart"/>
      <w:r w:rsidRPr="18EA5F2B" w:rsidR="18EA5F2B">
        <w:rPr>
          <w:b w:val="0"/>
          <w:bCs w:val="0"/>
          <w:i w:val="0"/>
          <w:iCs w:val="0"/>
          <w:noProof w:val="0"/>
          <w:sz w:val="24"/>
          <w:szCs w:val="24"/>
          <w:u w:val="none"/>
          <w:lang w:val="en-US"/>
        </w:rPr>
        <w:t>francaise</w:t>
      </w:r>
      <w:proofErr w:type="spellEnd"/>
      <w:r w:rsidRPr="18EA5F2B" w:rsidR="18EA5F2B">
        <w:rPr>
          <w:b w:val="0"/>
          <w:bCs w:val="0"/>
          <w:i w:val="0"/>
          <w:iCs w:val="0"/>
          <w:noProof w:val="0"/>
          <w:sz w:val="24"/>
          <w:szCs w:val="24"/>
          <w:u w:val="none"/>
          <w:lang w:val="en-US"/>
        </w:rPr>
        <w:t xml:space="preserve">. </w:t>
      </w:r>
    </w:p>
    <w:p w:rsidR="18EA5F2B" w:rsidP="18EA5F2B" w:rsidRDefault="18EA5F2B" w14:paraId="61DB5E82" w14:textId="2DA6C2AC">
      <w:pPr>
        <w:pStyle w:val="Normal"/>
        <w:jc w:val="left"/>
        <w:rPr>
          <w:b w:val="0"/>
          <w:bCs w:val="0"/>
          <w:i w:val="1"/>
          <w:iCs w:val="1"/>
          <w:noProof w:val="0"/>
          <w:sz w:val="24"/>
          <w:szCs w:val="24"/>
          <w:u w:val="none"/>
          <w:lang w:val="en-US"/>
        </w:rPr>
      </w:pPr>
      <w:r w:rsidRPr="18EA5F2B" w:rsidR="18EA5F2B">
        <w:rPr>
          <w:b w:val="0"/>
          <w:bCs w:val="0"/>
          <w:i w:val="0"/>
          <w:iCs w:val="0"/>
          <w:noProof w:val="0"/>
          <w:sz w:val="24"/>
          <w:szCs w:val="24"/>
          <w:u w:val="none"/>
          <w:lang w:val="en-US"/>
        </w:rPr>
        <w:t xml:space="preserve"> </w:t>
      </w:r>
    </w:p>
    <w:p w:rsidR="18EA5F2B" w:rsidP="18EA5F2B" w:rsidRDefault="18EA5F2B" w14:paraId="5C244A88" w14:textId="3088A8A4">
      <w:pPr>
        <w:pStyle w:val="Normal"/>
        <w:jc w:val="left"/>
        <w:rPr>
          <w:b w:val="0"/>
          <w:bCs w:val="0"/>
          <w:noProof w:val="0"/>
          <w:sz w:val="24"/>
          <w:szCs w:val="24"/>
          <w:u w:val="none"/>
          <w:lang w:val="en-US"/>
        </w:rPr>
      </w:pPr>
    </w:p>
    <w:p w:rsidR="18EA5F2B" w:rsidP="18EA5F2B" w:rsidRDefault="18EA5F2B" w14:paraId="1D01E80D" w14:textId="7595B740">
      <w:pPr>
        <w:pStyle w:val="Normal"/>
        <w:jc w:val="left"/>
        <w:rPr>
          <w:b w:val="0"/>
          <w:bCs w:val="0"/>
          <w:noProof w:val="0"/>
          <w:sz w:val="24"/>
          <w:szCs w:val="24"/>
          <w:u w:val="none"/>
          <w:lang w:val="en-US"/>
        </w:rPr>
      </w:pPr>
    </w:p>
    <w:p w:rsidR="18EA5F2B" w:rsidP="18EA5F2B" w:rsidRDefault="18EA5F2B" w14:paraId="62AB8100" w14:textId="368D1BA0">
      <w:pPr>
        <w:pStyle w:val="Normal"/>
        <w:jc w:val="left"/>
        <w:rPr>
          <w:b w:val="0"/>
          <w:bCs w:val="0"/>
          <w:noProof w:val="0"/>
          <w:sz w:val="24"/>
          <w:szCs w:val="24"/>
          <w:u w:val="none"/>
          <w:lang w:val="en-US"/>
        </w:rPr>
      </w:pPr>
      <w:r w:rsidRPr="18EA5F2B" w:rsidR="18EA5F2B">
        <w:rPr>
          <w:b w:val="1"/>
          <w:bCs w:val="1"/>
          <w:noProof w:val="0"/>
          <w:sz w:val="24"/>
          <w:szCs w:val="24"/>
          <w:u w:val="single"/>
          <w:lang w:val="en-US"/>
        </w:rPr>
        <w:t>Table of Journal Articles</w:t>
      </w:r>
    </w:p>
    <w:p w:rsidR="18EA5F2B" w:rsidP="18EA5F2B" w:rsidRDefault="18EA5F2B" w14:paraId="1BC08ECF" w14:textId="60A90C37">
      <w:pPr>
        <w:pStyle w:val="Normal"/>
        <w:jc w:val="left"/>
        <w:rPr>
          <w:b w:val="1"/>
          <w:bCs w:val="1"/>
          <w:noProof w:val="0"/>
          <w:sz w:val="24"/>
          <w:szCs w:val="24"/>
          <w:u w:val="single"/>
          <w:lang w:val="en-US"/>
        </w:rPr>
      </w:pPr>
    </w:p>
    <w:p w:rsidR="18EA5F2B" w:rsidP="18EA5F2B" w:rsidRDefault="18EA5F2B" w14:paraId="60BA86B3" w14:textId="1BCD3383">
      <w:pPr>
        <w:pStyle w:val="Normal"/>
        <w:jc w:val="left"/>
        <w:rPr>
          <w:b w:val="1"/>
          <w:bCs w:val="1"/>
          <w:noProof w:val="0"/>
          <w:sz w:val="24"/>
          <w:szCs w:val="24"/>
          <w:u w:val="single"/>
          <w:lang w:val="en-US"/>
        </w:rPr>
      </w:pPr>
      <w:r w:rsidRPr="18EA5F2B" w:rsidR="18EA5F2B">
        <w:rPr>
          <w:b w:val="0"/>
          <w:bCs w:val="0"/>
          <w:noProof w:val="0"/>
          <w:sz w:val="24"/>
          <w:szCs w:val="24"/>
          <w:u w:val="none"/>
          <w:lang w:val="en-US"/>
        </w:rPr>
        <w:t xml:space="preserve">Clark, Shang, </w:t>
      </w:r>
      <w:r w:rsidRPr="18EA5F2B" w:rsidR="18EA5F2B">
        <w:rPr>
          <w:b w:val="0"/>
          <w:bCs w:val="0"/>
          <w:i w:val="1"/>
          <w:iCs w:val="1"/>
          <w:noProof w:val="0"/>
          <w:sz w:val="24"/>
          <w:szCs w:val="24"/>
          <w:u w:val="none"/>
          <w:lang w:val="en-US"/>
        </w:rPr>
        <w:t>A Guide to Gem Cutting Styles: An Introduction to Gemology</w:t>
      </w:r>
      <w:r w:rsidRPr="18EA5F2B" w:rsidR="18EA5F2B">
        <w:rPr>
          <w:b w:val="0"/>
          <w:bCs w:val="0"/>
          <w:i w:val="0"/>
          <w:iCs w:val="0"/>
          <w:noProof w:val="0"/>
          <w:sz w:val="24"/>
          <w:szCs w:val="24"/>
          <w:u w:val="none"/>
          <w:lang w:val="en-US"/>
        </w:rPr>
        <w:t xml:space="preserve">, 2022, International Gem Society. </w:t>
      </w:r>
    </w:p>
    <w:p w:rsidR="18EA5F2B" w:rsidP="18EA5F2B" w:rsidRDefault="18EA5F2B" w14:paraId="3A4F3471" w14:textId="108B7105">
      <w:pPr>
        <w:pStyle w:val="Normal"/>
        <w:jc w:val="left"/>
        <w:rPr>
          <w:b w:val="0"/>
          <w:bCs w:val="0"/>
          <w:i w:val="0"/>
          <w:iCs w:val="0"/>
          <w:noProof w:val="0"/>
          <w:sz w:val="24"/>
          <w:szCs w:val="24"/>
          <w:u w:val="none"/>
          <w:lang w:val="en-US"/>
        </w:rPr>
      </w:pPr>
      <w:r w:rsidRPr="18EA5F2B" w:rsidR="18EA5F2B">
        <w:rPr>
          <w:b w:val="0"/>
          <w:bCs w:val="0"/>
          <w:i w:val="0"/>
          <w:iCs w:val="0"/>
          <w:noProof w:val="0"/>
          <w:sz w:val="24"/>
          <w:szCs w:val="24"/>
          <w:u w:val="none"/>
          <w:lang w:val="en-US"/>
        </w:rPr>
        <w:t xml:space="preserve">Hanna, edited </w:t>
      </w:r>
      <w:r w:rsidRPr="18EA5F2B" w:rsidR="18EA5F2B">
        <w:rPr>
          <w:b w:val="0"/>
          <w:bCs w:val="0"/>
          <w:i w:val="1"/>
          <w:iCs w:val="1"/>
          <w:noProof w:val="0"/>
          <w:sz w:val="24"/>
          <w:szCs w:val="24"/>
          <w:u w:val="none"/>
          <w:lang w:val="en-US"/>
        </w:rPr>
        <w:t>Kant’s Theory of Judgment</w:t>
      </w:r>
      <w:r w:rsidRPr="18EA5F2B" w:rsidR="18EA5F2B">
        <w:rPr>
          <w:b w:val="0"/>
          <w:bCs w:val="0"/>
          <w:i w:val="0"/>
          <w:iCs w:val="0"/>
          <w:noProof w:val="0"/>
          <w:sz w:val="24"/>
          <w:szCs w:val="24"/>
          <w:u w:val="none"/>
          <w:lang w:val="en-US"/>
        </w:rPr>
        <w:t xml:space="preserve">, Stanford Encyclopedia of Philosophy, 2009, Stanford University Press. </w:t>
      </w:r>
    </w:p>
    <w:p w:rsidR="18EA5F2B" w:rsidP="18EA5F2B" w:rsidRDefault="18EA5F2B" w14:paraId="51C5AE4F" w14:textId="49AD879C">
      <w:pPr>
        <w:pStyle w:val="Normal"/>
        <w:jc w:val="left"/>
        <w:rPr>
          <w:b w:val="0"/>
          <w:bCs w:val="0"/>
          <w:i w:val="1"/>
          <w:iCs w:val="1"/>
          <w:noProof w:val="0"/>
          <w:sz w:val="24"/>
          <w:szCs w:val="24"/>
          <w:u w:val="none"/>
          <w:lang w:val="en-US"/>
        </w:rPr>
      </w:pPr>
      <w:proofErr w:type="spellStart"/>
      <w:r w:rsidRPr="18EA5F2B" w:rsidR="18EA5F2B">
        <w:rPr>
          <w:b w:val="0"/>
          <w:bCs w:val="0"/>
          <w:i w:val="0"/>
          <w:iCs w:val="0"/>
          <w:noProof w:val="0"/>
          <w:sz w:val="24"/>
          <w:szCs w:val="24"/>
          <w:u w:val="none"/>
          <w:lang w:val="en-US"/>
        </w:rPr>
        <w:t>Heinich</w:t>
      </w:r>
      <w:proofErr w:type="spellEnd"/>
      <w:r w:rsidRPr="18EA5F2B" w:rsidR="18EA5F2B">
        <w:rPr>
          <w:b w:val="0"/>
          <w:bCs w:val="0"/>
          <w:i w:val="0"/>
          <w:iCs w:val="0"/>
          <w:noProof w:val="0"/>
          <w:sz w:val="24"/>
          <w:szCs w:val="24"/>
          <w:u w:val="none"/>
          <w:lang w:val="en-US"/>
        </w:rPr>
        <w:t xml:space="preserve">, </w:t>
      </w:r>
      <w:proofErr w:type="spellStart"/>
      <w:r w:rsidRPr="18EA5F2B" w:rsidR="18EA5F2B">
        <w:rPr>
          <w:b w:val="0"/>
          <w:bCs w:val="0"/>
          <w:i w:val="0"/>
          <w:iCs w:val="0"/>
          <w:noProof w:val="0"/>
          <w:sz w:val="24"/>
          <w:szCs w:val="24"/>
          <w:u w:val="none"/>
          <w:lang w:val="en-US"/>
        </w:rPr>
        <w:t>Derlon</w:t>
      </w:r>
      <w:proofErr w:type="spellEnd"/>
      <w:r w:rsidRPr="18EA5F2B" w:rsidR="18EA5F2B">
        <w:rPr>
          <w:b w:val="0"/>
          <w:bCs w:val="0"/>
          <w:i w:val="0"/>
          <w:iCs w:val="0"/>
          <w:noProof w:val="0"/>
          <w:sz w:val="24"/>
          <w:szCs w:val="24"/>
          <w:u w:val="none"/>
          <w:lang w:val="en-US"/>
        </w:rPr>
        <w:t>, Jeudy-</w:t>
      </w:r>
      <w:proofErr w:type="spellStart"/>
      <w:r w:rsidRPr="18EA5F2B" w:rsidR="18EA5F2B">
        <w:rPr>
          <w:b w:val="0"/>
          <w:bCs w:val="0"/>
          <w:i w:val="0"/>
          <w:iCs w:val="0"/>
          <w:noProof w:val="0"/>
          <w:sz w:val="24"/>
          <w:szCs w:val="24"/>
          <w:u w:val="none"/>
          <w:lang w:val="en-US"/>
        </w:rPr>
        <w:t>Baillini</w:t>
      </w:r>
      <w:proofErr w:type="spellEnd"/>
      <w:r w:rsidRPr="18EA5F2B" w:rsidR="18EA5F2B">
        <w:rPr>
          <w:b w:val="0"/>
          <w:bCs w:val="0"/>
          <w:i w:val="0"/>
          <w:iCs w:val="0"/>
          <w:noProof w:val="0"/>
          <w:sz w:val="24"/>
          <w:szCs w:val="24"/>
          <w:u w:val="none"/>
          <w:lang w:val="en-US"/>
        </w:rPr>
        <w:t xml:space="preserve">, </w:t>
      </w:r>
      <w:r w:rsidRPr="18EA5F2B" w:rsidR="18EA5F2B">
        <w:rPr>
          <w:b w:val="0"/>
          <w:bCs w:val="0"/>
          <w:i w:val="1"/>
          <w:iCs w:val="1"/>
          <w:noProof w:val="0"/>
          <w:sz w:val="24"/>
          <w:szCs w:val="24"/>
          <w:u w:val="none"/>
          <w:lang w:val="en-US"/>
        </w:rPr>
        <w:t xml:space="preserve">La Passion de </w:t>
      </w:r>
      <w:proofErr w:type="spellStart"/>
      <w:r w:rsidRPr="18EA5F2B" w:rsidR="18EA5F2B">
        <w:rPr>
          <w:b w:val="0"/>
          <w:bCs w:val="0"/>
          <w:i w:val="1"/>
          <w:iCs w:val="1"/>
          <w:noProof w:val="0"/>
          <w:sz w:val="24"/>
          <w:szCs w:val="24"/>
          <w:u w:val="none"/>
          <w:lang w:val="en-US"/>
        </w:rPr>
        <w:t>l’art</w:t>
      </w:r>
      <w:proofErr w:type="spellEnd"/>
      <w:r w:rsidRPr="18EA5F2B" w:rsidR="18EA5F2B">
        <w:rPr>
          <w:b w:val="0"/>
          <w:bCs w:val="0"/>
          <w:i w:val="1"/>
          <w:iCs w:val="1"/>
          <w:noProof w:val="0"/>
          <w:sz w:val="24"/>
          <w:szCs w:val="24"/>
          <w:u w:val="none"/>
          <w:lang w:val="en-US"/>
        </w:rPr>
        <w:t xml:space="preserve"> </w:t>
      </w:r>
      <w:proofErr w:type="spellStart"/>
      <w:r w:rsidRPr="18EA5F2B" w:rsidR="18EA5F2B">
        <w:rPr>
          <w:b w:val="0"/>
          <w:bCs w:val="0"/>
          <w:i w:val="1"/>
          <w:iCs w:val="1"/>
          <w:noProof w:val="0"/>
          <w:sz w:val="24"/>
          <w:szCs w:val="24"/>
          <w:u w:val="none"/>
          <w:lang w:val="en-US"/>
        </w:rPr>
        <w:t>primitif</w:t>
      </w:r>
      <w:proofErr w:type="spellEnd"/>
      <w:r w:rsidRPr="18EA5F2B" w:rsidR="18EA5F2B">
        <w:rPr>
          <w:b w:val="0"/>
          <w:bCs w:val="0"/>
          <w:i w:val="1"/>
          <w:iCs w:val="1"/>
          <w:noProof w:val="0"/>
          <w:sz w:val="24"/>
          <w:szCs w:val="24"/>
          <w:u w:val="none"/>
          <w:lang w:val="en-US"/>
        </w:rPr>
        <w:t xml:space="preserve">. </w:t>
      </w:r>
      <w:proofErr w:type="spellStart"/>
      <w:r w:rsidRPr="18EA5F2B" w:rsidR="18EA5F2B">
        <w:rPr>
          <w:b w:val="0"/>
          <w:bCs w:val="0"/>
          <w:i w:val="1"/>
          <w:iCs w:val="1"/>
          <w:noProof w:val="0"/>
          <w:sz w:val="24"/>
          <w:szCs w:val="24"/>
          <w:u w:val="none"/>
          <w:lang w:val="en-US"/>
        </w:rPr>
        <w:t>Enquete</w:t>
      </w:r>
      <w:proofErr w:type="spellEnd"/>
      <w:r w:rsidRPr="18EA5F2B" w:rsidR="18EA5F2B">
        <w:rPr>
          <w:b w:val="0"/>
          <w:bCs w:val="0"/>
          <w:i w:val="1"/>
          <w:iCs w:val="1"/>
          <w:noProof w:val="0"/>
          <w:sz w:val="24"/>
          <w:szCs w:val="24"/>
          <w:u w:val="none"/>
          <w:lang w:val="en-US"/>
        </w:rPr>
        <w:t xml:space="preserve"> sur les </w:t>
      </w:r>
      <w:proofErr w:type="spellStart"/>
      <w:r w:rsidRPr="18EA5F2B" w:rsidR="18EA5F2B">
        <w:rPr>
          <w:b w:val="0"/>
          <w:bCs w:val="0"/>
          <w:i w:val="1"/>
          <w:iCs w:val="1"/>
          <w:noProof w:val="0"/>
          <w:sz w:val="24"/>
          <w:szCs w:val="24"/>
          <w:u w:val="none"/>
          <w:lang w:val="en-US"/>
        </w:rPr>
        <w:t>collectionneurs</w:t>
      </w:r>
      <w:proofErr w:type="spellEnd"/>
      <w:r w:rsidRPr="18EA5F2B" w:rsidR="18EA5F2B">
        <w:rPr>
          <w:b w:val="0"/>
          <w:bCs w:val="0"/>
          <w:i w:val="1"/>
          <w:iCs w:val="1"/>
          <w:noProof w:val="0"/>
          <w:sz w:val="24"/>
          <w:szCs w:val="24"/>
          <w:u w:val="none"/>
          <w:lang w:val="en-US"/>
        </w:rPr>
        <w:t xml:space="preserve">, </w:t>
      </w:r>
      <w:r w:rsidRPr="18EA5F2B" w:rsidR="18EA5F2B">
        <w:rPr>
          <w:b w:val="0"/>
          <w:bCs w:val="0"/>
          <w:i w:val="0"/>
          <w:iCs w:val="0"/>
          <w:noProof w:val="0"/>
          <w:sz w:val="24"/>
          <w:szCs w:val="24"/>
          <w:u w:val="none"/>
          <w:lang w:val="en-US"/>
        </w:rPr>
        <w:t xml:space="preserve">Paris, Gillimard, coll. 2008. Bibliotheque des sciences humaines, pg. 322.  </w:t>
      </w:r>
    </w:p>
    <w:p w:rsidR="18EA5F2B" w:rsidP="18EA5F2B" w:rsidRDefault="18EA5F2B" w14:paraId="77C32465" w14:textId="68A6BD68">
      <w:pPr>
        <w:pStyle w:val="Normal"/>
        <w:jc w:val="left"/>
        <w:rPr>
          <w:b w:val="0"/>
          <w:bCs w:val="0"/>
          <w:i w:val="0"/>
          <w:iCs w:val="0"/>
          <w:noProof w:val="0"/>
          <w:sz w:val="24"/>
          <w:szCs w:val="24"/>
          <w:u w:val="none"/>
          <w:lang w:val="en-US"/>
        </w:rPr>
      </w:pPr>
      <w:r w:rsidRPr="18EA5F2B" w:rsidR="18EA5F2B">
        <w:rPr>
          <w:b w:val="0"/>
          <w:bCs w:val="0"/>
          <w:noProof w:val="0"/>
          <w:sz w:val="24"/>
          <w:szCs w:val="24"/>
          <w:u w:val="none"/>
          <w:lang w:val="en-US"/>
        </w:rPr>
        <w:t xml:space="preserve">Winter, </w:t>
      </w:r>
      <w:r w:rsidRPr="18EA5F2B" w:rsidR="18EA5F2B">
        <w:rPr>
          <w:b w:val="0"/>
          <w:bCs w:val="0"/>
          <w:i w:val="1"/>
          <w:iCs w:val="1"/>
          <w:noProof w:val="0"/>
          <w:sz w:val="24"/>
          <w:szCs w:val="24"/>
          <w:u w:val="none"/>
          <w:lang w:val="en-US"/>
        </w:rPr>
        <w:t xml:space="preserve">Touches by the Gods: Visual Evidence for the Divine Status of Rulers in the Ancient Near East, Religion and Power: Divine Kingship in the Ancient World and Beyond, </w:t>
      </w:r>
      <w:r w:rsidRPr="18EA5F2B" w:rsidR="18EA5F2B">
        <w:rPr>
          <w:b w:val="0"/>
          <w:bCs w:val="0"/>
          <w:i w:val="0"/>
          <w:iCs w:val="0"/>
          <w:noProof w:val="0"/>
          <w:sz w:val="24"/>
          <w:szCs w:val="24"/>
          <w:u w:val="none"/>
          <w:lang w:val="en-US"/>
        </w:rPr>
        <w:t>2008b,</w:t>
      </w:r>
      <w:r w:rsidRPr="18EA5F2B" w:rsidR="18EA5F2B">
        <w:rPr>
          <w:b w:val="0"/>
          <w:bCs w:val="0"/>
          <w:i w:val="1"/>
          <w:iCs w:val="1"/>
          <w:noProof w:val="0"/>
          <w:sz w:val="24"/>
          <w:szCs w:val="24"/>
          <w:u w:val="none"/>
          <w:lang w:val="en-US"/>
        </w:rPr>
        <w:t xml:space="preserve"> </w:t>
      </w:r>
      <w:r w:rsidRPr="18EA5F2B" w:rsidR="18EA5F2B">
        <w:rPr>
          <w:b w:val="0"/>
          <w:bCs w:val="0"/>
          <w:i w:val="0"/>
          <w:iCs w:val="0"/>
          <w:noProof w:val="0"/>
          <w:sz w:val="24"/>
          <w:szCs w:val="24"/>
          <w:u w:val="none"/>
          <w:lang w:val="en-US"/>
        </w:rPr>
        <w:t>edited by Nichole Brisch, pg. 73-98, Oriental Institute Seminars 4, Chicago: Oriental Institute of the University of Chicago.</w:t>
      </w:r>
    </w:p>
    <w:p w:rsidR="18EA5F2B" w:rsidP="18EA5F2B" w:rsidRDefault="18EA5F2B" w14:paraId="2F47CC54" w14:textId="22BBE25D">
      <w:pPr>
        <w:pStyle w:val="Normal"/>
        <w:jc w:val="left"/>
        <w:rPr>
          <w:b w:val="0"/>
          <w:bCs w:val="0"/>
          <w:i w:val="0"/>
          <w:iCs w:val="0"/>
          <w:noProof w:val="0"/>
          <w:sz w:val="24"/>
          <w:szCs w:val="24"/>
          <w:u w:val="none"/>
          <w:lang w:val="en-US"/>
        </w:rPr>
      </w:pPr>
      <w:r w:rsidRPr="18EA5F2B" w:rsidR="18EA5F2B">
        <w:rPr>
          <w:b w:val="0"/>
          <w:bCs w:val="0"/>
          <w:i w:val="0"/>
          <w:iCs w:val="0"/>
          <w:noProof w:val="0"/>
          <w:sz w:val="24"/>
          <w:szCs w:val="24"/>
          <w:u w:val="none"/>
          <w:lang w:val="en-US"/>
        </w:rPr>
        <w:t xml:space="preserve">Cooper, </w:t>
      </w:r>
      <w:proofErr w:type="spellStart"/>
      <w:r w:rsidRPr="18EA5F2B" w:rsidR="18EA5F2B">
        <w:rPr>
          <w:b w:val="0"/>
          <w:bCs w:val="0"/>
          <w:i w:val="1"/>
          <w:iCs w:val="1"/>
          <w:noProof w:val="0"/>
          <w:sz w:val="24"/>
          <w:szCs w:val="24"/>
          <w:u w:val="none"/>
          <w:lang w:val="en-US"/>
        </w:rPr>
        <w:t>Presargonic</w:t>
      </w:r>
      <w:proofErr w:type="spellEnd"/>
      <w:r w:rsidRPr="18EA5F2B" w:rsidR="18EA5F2B">
        <w:rPr>
          <w:b w:val="0"/>
          <w:bCs w:val="0"/>
          <w:i w:val="1"/>
          <w:iCs w:val="1"/>
          <w:noProof w:val="0"/>
          <w:sz w:val="24"/>
          <w:szCs w:val="24"/>
          <w:u w:val="none"/>
          <w:lang w:val="en-US"/>
        </w:rPr>
        <w:t xml:space="preserve"> Inscriptions: </w:t>
      </w:r>
      <w:r w:rsidRPr="18EA5F2B" w:rsidR="18EA5F2B">
        <w:rPr>
          <w:b w:val="0"/>
          <w:bCs w:val="0"/>
          <w:i w:val="0"/>
          <w:iCs w:val="0"/>
          <w:noProof w:val="0"/>
          <w:sz w:val="24"/>
          <w:szCs w:val="24"/>
          <w:u w:val="none"/>
          <w:lang w:val="en-US"/>
        </w:rPr>
        <w:t>Sumerian and Akkadian Royal Inscriptions, 2005. Vol. I. New Haven: The American Oriental Society.</w:t>
      </w:r>
    </w:p>
    <w:p w:rsidR="18EA5F2B" w:rsidP="18EA5F2B" w:rsidRDefault="18EA5F2B" w14:paraId="4BF88AB3" w14:textId="332D8886">
      <w:pPr>
        <w:pStyle w:val="Normal"/>
        <w:jc w:val="left"/>
        <w:rPr>
          <w:b w:val="0"/>
          <w:bCs w:val="0"/>
          <w:i w:val="0"/>
          <w:iCs w:val="0"/>
          <w:noProof w:val="0"/>
          <w:sz w:val="24"/>
          <w:szCs w:val="24"/>
          <w:u w:val="none"/>
          <w:lang w:val="en-US"/>
        </w:rPr>
      </w:pPr>
      <w:proofErr w:type="spellStart"/>
      <w:r w:rsidRPr="18EA5F2B" w:rsidR="18EA5F2B">
        <w:rPr>
          <w:b w:val="0"/>
          <w:bCs w:val="0"/>
          <w:i w:val="0"/>
          <w:iCs w:val="0"/>
          <w:noProof w:val="0"/>
          <w:sz w:val="24"/>
          <w:szCs w:val="24"/>
          <w:u w:val="none"/>
          <w:lang w:val="en-US"/>
        </w:rPr>
        <w:t>Sallaberger</w:t>
      </w:r>
      <w:proofErr w:type="spellEnd"/>
      <w:r w:rsidRPr="18EA5F2B" w:rsidR="18EA5F2B">
        <w:rPr>
          <w:b w:val="0"/>
          <w:bCs w:val="0"/>
          <w:i w:val="0"/>
          <w:iCs w:val="0"/>
          <w:noProof w:val="0"/>
          <w:sz w:val="24"/>
          <w:szCs w:val="24"/>
          <w:u w:val="none"/>
          <w:lang w:val="en-US"/>
        </w:rPr>
        <w:t xml:space="preserve">, </w:t>
      </w:r>
      <w:r w:rsidRPr="18EA5F2B" w:rsidR="18EA5F2B">
        <w:rPr>
          <w:b w:val="0"/>
          <w:bCs w:val="0"/>
          <w:i w:val="1"/>
          <w:iCs w:val="1"/>
          <w:noProof w:val="0"/>
          <w:sz w:val="24"/>
          <w:szCs w:val="24"/>
          <w:u w:val="none"/>
          <w:lang w:val="en-US"/>
        </w:rPr>
        <w:t xml:space="preserve">Ritual A. </w:t>
      </w:r>
      <w:r w:rsidRPr="18EA5F2B" w:rsidR="18EA5F2B">
        <w:rPr>
          <w:b w:val="0"/>
          <w:bCs w:val="0"/>
          <w:i w:val="0"/>
          <w:iCs w:val="0"/>
          <w:noProof w:val="0"/>
          <w:sz w:val="24"/>
          <w:szCs w:val="24"/>
          <w:u w:val="none"/>
          <w:lang w:val="en-US"/>
        </w:rPr>
        <w:t>2004.</w:t>
      </w:r>
      <w:r w:rsidRPr="18EA5F2B" w:rsidR="18EA5F2B">
        <w:rPr>
          <w:b w:val="0"/>
          <w:bCs w:val="0"/>
          <w:i w:val="1"/>
          <w:iCs w:val="1"/>
          <w:noProof w:val="0"/>
          <w:sz w:val="24"/>
          <w:szCs w:val="24"/>
          <w:u w:val="none"/>
          <w:lang w:val="en-US"/>
        </w:rPr>
        <w:t xml:space="preserve"> </w:t>
      </w:r>
      <w:r w:rsidRPr="18EA5F2B" w:rsidR="18EA5F2B">
        <w:rPr>
          <w:b w:val="0"/>
          <w:bCs w:val="0"/>
          <w:i w:val="0"/>
          <w:iCs w:val="0"/>
          <w:noProof w:val="0"/>
          <w:sz w:val="24"/>
          <w:szCs w:val="24"/>
          <w:u w:val="none"/>
          <w:lang w:val="en-US"/>
        </w:rPr>
        <w:t xml:space="preserve">In </w:t>
      </w:r>
      <w:r w:rsidRPr="18EA5F2B" w:rsidR="18EA5F2B">
        <w:rPr>
          <w:b w:val="0"/>
          <w:bCs w:val="0"/>
          <w:i w:val="1"/>
          <w:iCs w:val="1"/>
          <w:noProof w:val="0"/>
          <w:sz w:val="24"/>
          <w:szCs w:val="24"/>
          <w:u w:val="none"/>
          <w:lang w:val="en-US"/>
        </w:rPr>
        <w:t xml:space="preserve">RLA, </w:t>
      </w:r>
      <w:r w:rsidRPr="18EA5F2B" w:rsidR="18EA5F2B">
        <w:rPr>
          <w:b w:val="0"/>
          <w:bCs w:val="0"/>
          <w:i w:val="0"/>
          <w:iCs w:val="0"/>
          <w:noProof w:val="0"/>
          <w:sz w:val="24"/>
          <w:szCs w:val="24"/>
          <w:u w:val="none"/>
          <w:lang w:val="en-US"/>
        </w:rPr>
        <w:t xml:space="preserve">vol. II (5/6), pg. 421-430. </w:t>
      </w:r>
    </w:p>
    <w:p w:rsidR="18EA5F2B" w:rsidP="18EA5F2B" w:rsidRDefault="18EA5F2B" w14:paraId="06169015" w14:textId="7E5F77B8">
      <w:pPr>
        <w:pStyle w:val="Normal"/>
        <w:jc w:val="left"/>
        <w:rPr>
          <w:b w:val="0"/>
          <w:bCs w:val="0"/>
          <w:i w:val="0"/>
          <w:iCs w:val="0"/>
          <w:noProof w:val="0"/>
          <w:sz w:val="24"/>
          <w:szCs w:val="24"/>
          <w:u w:val="none"/>
          <w:lang w:val="en-US"/>
        </w:rPr>
      </w:pPr>
      <w:r w:rsidRPr="18EA5F2B" w:rsidR="18EA5F2B">
        <w:rPr>
          <w:b w:val="0"/>
          <w:bCs w:val="0"/>
          <w:i w:val="0"/>
          <w:iCs w:val="0"/>
          <w:noProof w:val="0"/>
          <w:sz w:val="24"/>
          <w:szCs w:val="24"/>
          <w:u w:val="none"/>
          <w:lang w:val="en-US"/>
        </w:rPr>
        <w:t xml:space="preserve">Geller, </w:t>
      </w:r>
      <w:r w:rsidRPr="18EA5F2B" w:rsidR="18EA5F2B">
        <w:rPr>
          <w:b w:val="0"/>
          <w:bCs w:val="0"/>
          <w:i w:val="1"/>
          <w:iCs w:val="1"/>
          <w:noProof w:val="0"/>
          <w:sz w:val="24"/>
          <w:szCs w:val="24"/>
          <w:u w:val="none"/>
          <w:lang w:val="en-US"/>
        </w:rPr>
        <w:t xml:space="preserve">The Free Library Inanna Prism Reconsidered, </w:t>
      </w:r>
      <w:r w:rsidRPr="18EA5F2B" w:rsidR="18EA5F2B">
        <w:rPr>
          <w:b w:val="0"/>
          <w:bCs w:val="0"/>
          <w:i w:val="0"/>
          <w:iCs w:val="0"/>
          <w:noProof w:val="0"/>
          <w:sz w:val="24"/>
          <w:szCs w:val="24"/>
          <w:u w:val="none"/>
          <w:lang w:val="en-US"/>
        </w:rPr>
        <w:t xml:space="preserve">in </w:t>
      </w:r>
      <w:r w:rsidRPr="18EA5F2B" w:rsidR="18EA5F2B">
        <w:rPr>
          <w:b w:val="0"/>
          <w:bCs w:val="0"/>
          <w:i w:val="1"/>
          <w:iCs w:val="1"/>
          <w:noProof w:val="0"/>
          <w:sz w:val="24"/>
          <w:szCs w:val="24"/>
          <w:u w:val="none"/>
          <w:lang w:val="en-US"/>
        </w:rPr>
        <w:t>Riches Hidden in Secret Places: Ancient Near Eastern Studies in Memory of Thorkild Jacobsen,</w:t>
      </w:r>
      <w:r w:rsidRPr="18EA5F2B" w:rsidR="18EA5F2B">
        <w:rPr>
          <w:b w:val="0"/>
          <w:bCs w:val="0"/>
          <w:i w:val="0"/>
          <w:iCs w:val="0"/>
          <w:noProof w:val="0"/>
          <w:sz w:val="24"/>
          <w:szCs w:val="24"/>
          <w:u w:val="none"/>
          <w:lang w:val="en-US"/>
        </w:rPr>
        <w:t xml:space="preserve"> edited by I. Tzvi Abusch, pg. 87-100, Winona Lake, Ind.: Eisenbrauns. </w:t>
      </w:r>
    </w:p>
    <w:p w:rsidR="18EA5F2B" w:rsidP="18EA5F2B" w:rsidRDefault="18EA5F2B" w14:paraId="7BD91BAA" w14:textId="766E401B">
      <w:pPr>
        <w:pStyle w:val="Normal"/>
        <w:jc w:val="left"/>
        <w:rPr>
          <w:b w:val="0"/>
          <w:bCs w:val="0"/>
          <w:i w:val="1"/>
          <w:iCs w:val="1"/>
          <w:noProof w:val="0"/>
          <w:sz w:val="24"/>
          <w:szCs w:val="24"/>
          <w:u w:val="none"/>
          <w:lang w:val="en-US"/>
        </w:rPr>
      </w:pPr>
      <w:r w:rsidRPr="18EA5F2B" w:rsidR="18EA5F2B">
        <w:rPr>
          <w:b w:val="0"/>
          <w:bCs w:val="0"/>
          <w:i w:val="0"/>
          <w:iCs w:val="0"/>
          <w:noProof w:val="0"/>
          <w:sz w:val="24"/>
          <w:szCs w:val="24"/>
          <w:u w:val="none"/>
          <w:lang w:val="en-US"/>
        </w:rPr>
        <w:t xml:space="preserve">Reiner, </w:t>
      </w:r>
      <w:r w:rsidRPr="18EA5F2B" w:rsidR="18EA5F2B">
        <w:rPr>
          <w:b w:val="0"/>
          <w:bCs w:val="0"/>
          <w:i w:val="1"/>
          <w:iCs w:val="1"/>
          <w:noProof w:val="0"/>
          <w:sz w:val="24"/>
          <w:szCs w:val="24"/>
          <w:u w:val="none"/>
          <w:lang w:val="en-US"/>
        </w:rPr>
        <w:t xml:space="preserve">Letters from Early Mesopotamia, </w:t>
      </w:r>
      <w:r w:rsidRPr="18EA5F2B" w:rsidR="18EA5F2B">
        <w:rPr>
          <w:b w:val="0"/>
          <w:bCs w:val="0"/>
          <w:i w:val="0"/>
          <w:iCs w:val="0"/>
          <w:noProof w:val="0"/>
          <w:sz w:val="24"/>
          <w:szCs w:val="24"/>
          <w:u w:val="none"/>
          <w:lang w:val="en-US"/>
        </w:rPr>
        <w:t>edited by Erica Reiner, Atlanta, Scholars Press, 1995.</w:t>
      </w:r>
    </w:p>
    <w:p w:rsidR="18EA5F2B" w:rsidP="18EA5F2B" w:rsidRDefault="18EA5F2B" w14:paraId="571ECE7F" w14:textId="13CB0D27">
      <w:pPr>
        <w:pStyle w:val="Normal"/>
        <w:jc w:val="left"/>
        <w:rPr>
          <w:b w:val="0"/>
          <w:bCs w:val="0"/>
          <w:i w:val="0"/>
          <w:iCs w:val="0"/>
          <w:noProof w:val="0"/>
          <w:sz w:val="24"/>
          <w:szCs w:val="24"/>
          <w:u w:val="none"/>
          <w:lang w:val="en-US"/>
        </w:rPr>
      </w:pPr>
      <w:proofErr w:type="spellStart"/>
      <w:r w:rsidRPr="18EA5F2B" w:rsidR="18EA5F2B">
        <w:rPr>
          <w:b w:val="0"/>
          <w:bCs w:val="0"/>
          <w:i w:val="0"/>
          <w:iCs w:val="0"/>
          <w:noProof w:val="0"/>
          <w:sz w:val="24"/>
          <w:szCs w:val="24"/>
          <w:u w:val="none"/>
          <w:lang w:val="en-US"/>
        </w:rPr>
        <w:t>Wiggermann</w:t>
      </w:r>
      <w:proofErr w:type="spellEnd"/>
      <w:r w:rsidRPr="18EA5F2B" w:rsidR="18EA5F2B">
        <w:rPr>
          <w:b w:val="0"/>
          <w:bCs w:val="0"/>
          <w:i w:val="0"/>
          <w:iCs w:val="0"/>
          <w:noProof w:val="0"/>
          <w:sz w:val="24"/>
          <w:szCs w:val="24"/>
          <w:u w:val="none"/>
          <w:lang w:val="en-US"/>
        </w:rPr>
        <w:t xml:space="preserve">, full transcription and translation of the Atiku rituals, 1992, pg. 1-32.  </w:t>
      </w:r>
    </w:p>
    <w:p w:rsidR="18EA5F2B" w:rsidP="18EA5F2B" w:rsidRDefault="18EA5F2B" w14:paraId="60A7ABD5" w14:textId="5E7F04F2">
      <w:pPr>
        <w:pStyle w:val="Normal"/>
        <w:jc w:val="left"/>
        <w:rPr>
          <w:b w:val="0"/>
          <w:bCs w:val="0"/>
          <w:i w:val="0"/>
          <w:iCs w:val="0"/>
          <w:noProof w:val="0"/>
          <w:sz w:val="24"/>
          <w:szCs w:val="24"/>
          <w:u w:val="none"/>
          <w:lang w:val="en-US"/>
        </w:rPr>
      </w:pPr>
      <w:r w:rsidRPr="18EA5F2B" w:rsidR="18EA5F2B">
        <w:rPr>
          <w:b w:val="0"/>
          <w:bCs w:val="0"/>
          <w:i w:val="0"/>
          <w:iCs w:val="0"/>
          <w:noProof w:val="0"/>
          <w:sz w:val="24"/>
          <w:szCs w:val="24"/>
          <w:u w:val="none"/>
          <w:lang w:val="en-US"/>
        </w:rPr>
        <w:t xml:space="preserve">Maxwell-Hyslop, </w:t>
      </w:r>
      <w:r w:rsidRPr="18EA5F2B" w:rsidR="18EA5F2B">
        <w:rPr>
          <w:b w:val="0"/>
          <w:bCs w:val="0"/>
          <w:i w:val="1"/>
          <w:iCs w:val="1"/>
          <w:noProof w:val="0"/>
          <w:sz w:val="24"/>
          <w:szCs w:val="24"/>
          <w:u w:val="none"/>
          <w:lang w:val="en-US"/>
        </w:rPr>
        <w:t xml:space="preserve">The Ur </w:t>
      </w:r>
      <w:proofErr w:type="spellStart"/>
      <w:r w:rsidRPr="18EA5F2B" w:rsidR="18EA5F2B">
        <w:rPr>
          <w:b w:val="0"/>
          <w:bCs w:val="0"/>
          <w:i w:val="1"/>
          <w:iCs w:val="1"/>
          <w:noProof w:val="0"/>
          <w:sz w:val="24"/>
          <w:szCs w:val="24"/>
          <w:u w:val="none"/>
          <w:lang w:val="en-US"/>
        </w:rPr>
        <w:t>Jewellery</w:t>
      </w:r>
      <w:proofErr w:type="spellEnd"/>
      <w:r w:rsidRPr="18EA5F2B" w:rsidR="18EA5F2B">
        <w:rPr>
          <w:b w:val="0"/>
          <w:bCs w:val="0"/>
          <w:i w:val="1"/>
          <w:iCs w:val="1"/>
          <w:noProof w:val="0"/>
          <w:sz w:val="24"/>
          <w:szCs w:val="24"/>
          <w:u w:val="none"/>
          <w:lang w:val="en-US"/>
        </w:rPr>
        <w:t xml:space="preserve">: A Re-assessment in the Light of Some Recent Discoveries, 1960, </w:t>
      </w:r>
      <w:r w:rsidRPr="18EA5F2B" w:rsidR="18EA5F2B">
        <w:rPr>
          <w:b w:val="0"/>
          <w:bCs w:val="0"/>
          <w:i w:val="0"/>
          <w:iCs w:val="0"/>
          <w:noProof w:val="0"/>
          <w:sz w:val="24"/>
          <w:szCs w:val="24"/>
          <w:u w:val="none"/>
          <w:lang w:val="en-US"/>
        </w:rPr>
        <w:t xml:space="preserve">Iraq 22, pg. 105-115. </w:t>
      </w:r>
    </w:p>
    <w:p w:rsidR="18EA5F2B" w:rsidP="18EA5F2B" w:rsidRDefault="18EA5F2B" w14:paraId="5A288DAD" w14:textId="1DD093D4">
      <w:pPr>
        <w:pStyle w:val="Normal"/>
        <w:jc w:val="left"/>
        <w:rPr>
          <w:b w:val="0"/>
          <w:bCs w:val="0"/>
          <w:i w:val="0"/>
          <w:iCs w:val="0"/>
          <w:noProof w:val="0"/>
          <w:sz w:val="24"/>
          <w:szCs w:val="24"/>
          <w:u w:val="none"/>
          <w:lang w:val="en-US"/>
        </w:rPr>
      </w:pPr>
    </w:p>
    <w:p w:rsidR="18EA5F2B" w:rsidP="18EA5F2B" w:rsidRDefault="18EA5F2B" w14:paraId="7298E050" w14:textId="635FB536">
      <w:pPr>
        <w:pStyle w:val="Normal"/>
        <w:jc w:val="left"/>
        <w:rPr>
          <w:b w:val="1"/>
          <w:bCs w:val="1"/>
          <w:i w:val="0"/>
          <w:iCs w:val="0"/>
          <w:noProof w:val="0"/>
          <w:sz w:val="24"/>
          <w:szCs w:val="24"/>
          <w:u w:val="single"/>
          <w:lang w:val="en-US"/>
        </w:rPr>
      </w:pPr>
    </w:p>
    <w:p w:rsidR="18EA5F2B" w:rsidP="18EA5F2B" w:rsidRDefault="18EA5F2B" w14:paraId="28A6E7E4" w14:textId="5353D8F1">
      <w:pPr>
        <w:pStyle w:val="Normal"/>
        <w:jc w:val="left"/>
        <w:rPr>
          <w:b w:val="1"/>
          <w:bCs w:val="1"/>
          <w:i w:val="0"/>
          <w:iCs w:val="0"/>
          <w:noProof w:val="0"/>
          <w:sz w:val="24"/>
          <w:szCs w:val="24"/>
          <w:u w:val="single"/>
          <w:lang w:val="en-US"/>
        </w:rPr>
      </w:pPr>
      <w:r w:rsidRPr="18EA5F2B" w:rsidR="18EA5F2B">
        <w:rPr>
          <w:b w:val="1"/>
          <w:bCs w:val="1"/>
          <w:i w:val="0"/>
          <w:iCs w:val="0"/>
          <w:noProof w:val="0"/>
          <w:sz w:val="24"/>
          <w:szCs w:val="24"/>
          <w:u w:val="single"/>
          <w:lang w:val="en-US"/>
        </w:rPr>
        <w:t xml:space="preserve">Table of Sources/Figures </w:t>
      </w:r>
    </w:p>
    <w:p w:rsidR="18EA5F2B" w:rsidP="18EA5F2B" w:rsidRDefault="18EA5F2B" w14:paraId="3A2E7B72" w14:textId="1301E999">
      <w:pPr>
        <w:pStyle w:val="Normal"/>
        <w:jc w:val="left"/>
        <w:rPr>
          <w:b w:val="1"/>
          <w:bCs w:val="1"/>
          <w:i w:val="0"/>
          <w:iCs w:val="0"/>
          <w:noProof w:val="0"/>
          <w:sz w:val="24"/>
          <w:szCs w:val="24"/>
          <w:u w:val="single"/>
          <w:lang w:val="en-US"/>
        </w:rPr>
      </w:pPr>
    </w:p>
    <w:p w:rsidR="18EA5F2B" w:rsidP="18EA5F2B" w:rsidRDefault="18EA5F2B" w14:paraId="23DBD620" w14:textId="4E034E77">
      <w:pPr>
        <w:pStyle w:val="Normal"/>
        <w:jc w:val="left"/>
      </w:pPr>
      <w:r w:rsidR="18EA5F2B">
        <w:drawing>
          <wp:inline wp14:editId="587AA427" wp14:anchorId="4E987DEE">
            <wp:extent cx="1345406" cy="2226880"/>
            <wp:effectExtent l="0" t="0" r="0" b="0"/>
            <wp:docPr id="2455719" name="" title=""/>
            <wp:cNvGraphicFramePr>
              <a:graphicFrameLocks noChangeAspect="1"/>
            </wp:cNvGraphicFramePr>
            <a:graphic>
              <a:graphicData uri="http://schemas.openxmlformats.org/drawingml/2006/picture">
                <pic:pic>
                  <pic:nvPicPr>
                    <pic:cNvPr id="0" name=""/>
                    <pic:cNvPicPr/>
                  </pic:nvPicPr>
                  <pic:blipFill>
                    <a:blip r:embed="R26f1b9d11baf4b1f">
                      <a:extLst>
                        <a:ext xmlns:a="http://schemas.openxmlformats.org/drawingml/2006/main" uri="{28A0092B-C50C-407E-A947-70E740481C1C}">
                          <a14:useLocalDpi val="0"/>
                        </a:ext>
                      </a:extLst>
                    </a:blip>
                    <a:stretch>
                      <a:fillRect/>
                    </a:stretch>
                  </pic:blipFill>
                  <pic:spPr>
                    <a:xfrm>
                      <a:off x="0" y="0"/>
                      <a:ext cx="1345406" cy="2226880"/>
                    </a:xfrm>
                    <a:prstGeom prst="rect">
                      <a:avLst/>
                    </a:prstGeom>
                  </pic:spPr>
                </pic:pic>
              </a:graphicData>
            </a:graphic>
          </wp:inline>
        </w:drawing>
      </w:r>
    </w:p>
    <w:p w:rsidR="18EA5F2B" w:rsidP="18EA5F2B" w:rsidRDefault="18EA5F2B" w14:paraId="4F8E4BCC" w14:textId="7D4EAA98">
      <w:pPr>
        <w:pStyle w:val="Normal"/>
        <w:jc w:val="left"/>
      </w:pPr>
      <w:r w:rsidR="18EA5F2B">
        <w:rPr/>
        <w:t>Figure 1 and 2: Pu-</w:t>
      </w:r>
      <w:proofErr w:type="spellStart"/>
      <w:r w:rsidR="18EA5F2B">
        <w:rPr/>
        <w:t>abi's</w:t>
      </w:r>
      <w:proofErr w:type="spellEnd"/>
      <w:r w:rsidR="18EA5F2B">
        <w:rPr/>
        <w:t xml:space="preserve"> head ornaments and precious stone beads skirt and cape, photo courtesy of Richard L. Zettler, Associate Curator-in-Charge, Near East Section, University of Pennsylvania Museum of Archaeology and Anthropology. </w:t>
      </w:r>
    </w:p>
    <w:p w:rsidR="18EA5F2B" w:rsidP="18EA5F2B" w:rsidRDefault="18EA5F2B" w14:paraId="484B53EB" w14:textId="77BEC263">
      <w:pPr>
        <w:pStyle w:val="Normal"/>
        <w:jc w:val="left"/>
      </w:pPr>
    </w:p>
    <w:p w:rsidR="18EA5F2B" w:rsidP="18EA5F2B" w:rsidRDefault="18EA5F2B" w14:paraId="3AE40073" w14:textId="3B31C7BA">
      <w:pPr>
        <w:pStyle w:val="Normal"/>
        <w:jc w:val="left"/>
      </w:pPr>
      <w:r w:rsidR="18EA5F2B">
        <w:drawing>
          <wp:inline wp14:editId="57C57D96" wp14:anchorId="2A042A5D">
            <wp:extent cx="2762250" cy="2169517"/>
            <wp:effectExtent l="0" t="0" r="0" b="0"/>
            <wp:docPr id="950603495" name="" title=""/>
            <wp:cNvGraphicFramePr>
              <a:graphicFrameLocks noChangeAspect="1"/>
            </wp:cNvGraphicFramePr>
            <a:graphic>
              <a:graphicData uri="http://schemas.openxmlformats.org/drawingml/2006/picture">
                <pic:pic>
                  <pic:nvPicPr>
                    <pic:cNvPr id="0" name=""/>
                    <pic:cNvPicPr/>
                  </pic:nvPicPr>
                  <pic:blipFill>
                    <a:blip r:embed="R34fe2e4394964f4e">
                      <a:extLst>
                        <a:ext xmlns:a="http://schemas.openxmlformats.org/drawingml/2006/main" uri="{28A0092B-C50C-407E-A947-70E740481C1C}">
                          <a14:useLocalDpi val="0"/>
                        </a:ext>
                      </a:extLst>
                    </a:blip>
                    <a:stretch>
                      <a:fillRect/>
                    </a:stretch>
                  </pic:blipFill>
                  <pic:spPr>
                    <a:xfrm>
                      <a:off x="0" y="0"/>
                      <a:ext cx="2762250" cy="2169517"/>
                    </a:xfrm>
                    <a:prstGeom prst="rect">
                      <a:avLst/>
                    </a:prstGeom>
                  </pic:spPr>
                </pic:pic>
              </a:graphicData>
            </a:graphic>
          </wp:inline>
        </w:drawing>
      </w:r>
    </w:p>
    <w:p w:rsidR="18EA5F2B" w:rsidP="18EA5F2B" w:rsidRDefault="18EA5F2B" w14:paraId="685E769E" w14:textId="786B7C1A">
      <w:pPr>
        <w:pStyle w:val="Normal"/>
        <w:jc w:val="left"/>
      </w:pPr>
      <w:r w:rsidR="18EA5F2B">
        <w:rPr/>
        <w:t>Figure 3: Pu-</w:t>
      </w:r>
      <w:proofErr w:type="spellStart"/>
      <w:r w:rsidR="18EA5F2B">
        <w:rPr/>
        <w:t>abi's</w:t>
      </w:r>
      <w:proofErr w:type="spellEnd"/>
      <w:r w:rsidR="18EA5F2B">
        <w:rPr/>
        <w:t xml:space="preserve"> body ornaments (</w:t>
      </w:r>
      <w:proofErr w:type="spellStart"/>
      <w:r w:rsidR="18EA5F2B">
        <w:rPr/>
        <w:t>Aruz</w:t>
      </w:r>
      <w:proofErr w:type="spellEnd"/>
      <w:r w:rsidR="18EA5F2B">
        <w:rPr/>
        <w:t xml:space="preserve"> and </w:t>
      </w:r>
      <w:proofErr w:type="spellStart"/>
      <w:r w:rsidR="18EA5F2B">
        <w:rPr/>
        <w:t>Wallenfels</w:t>
      </w:r>
      <w:proofErr w:type="spellEnd"/>
      <w:r w:rsidR="18EA5F2B">
        <w:rPr/>
        <w:t xml:space="preserve"> 2003: Cat, no. 62a-h; photo courtesy of Richard L. Zettler, Associate Curator-in-Charge, Near East Section, University of Pennsylvania Museum of Archaeology and Anthropology). </w:t>
      </w:r>
    </w:p>
    <w:p w:rsidR="18EA5F2B" w:rsidP="18EA5F2B" w:rsidRDefault="18EA5F2B" w14:paraId="3858F467" w14:textId="7495EFE1">
      <w:pPr>
        <w:pStyle w:val="Normal"/>
        <w:jc w:val="left"/>
      </w:pPr>
    </w:p>
    <w:p w:rsidR="18EA5F2B" w:rsidP="18EA5F2B" w:rsidRDefault="18EA5F2B" w14:paraId="793FA455" w14:textId="4C602746">
      <w:pPr>
        <w:pStyle w:val="Normal"/>
        <w:jc w:val="left"/>
      </w:pPr>
    </w:p>
    <w:p w:rsidR="18EA5F2B" w:rsidP="18EA5F2B" w:rsidRDefault="18EA5F2B" w14:paraId="1B6DCF48" w14:textId="3132B608">
      <w:pPr>
        <w:pStyle w:val="Normal"/>
        <w:jc w:val="left"/>
      </w:pPr>
    </w:p>
    <w:p w:rsidR="18EA5F2B" w:rsidP="18EA5F2B" w:rsidRDefault="18EA5F2B" w14:paraId="5042BB8A" w14:textId="707D5DC6">
      <w:pPr>
        <w:pStyle w:val="Normal"/>
        <w:jc w:val="left"/>
      </w:pPr>
    </w:p>
    <w:p w:rsidR="18EA5F2B" w:rsidP="18EA5F2B" w:rsidRDefault="18EA5F2B" w14:paraId="7E273279" w14:textId="76123060">
      <w:pPr>
        <w:pStyle w:val="Normal"/>
        <w:jc w:val="left"/>
      </w:pPr>
      <w:r w:rsidR="18EA5F2B">
        <w:drawing>
          <wp:inline wp14:editId="385D0D97" wp14:anchorId="06E3B109">
            <wp:extent cx="3381375" cy="2691011"/>
            <wp:effectExtent l="0" t="0" r="0" b="0"/>
            <wp:docPr id="1161228985" name="" title=""/>
            <wp:cNvGraphicFramePr>
              <a:graphicFrameLocks noChangeAspect="1"/>
            </wp:cNvGraphicFramePr>
            <a:graphic>
              <a:graphicData uri="http://schemas.openxmlformats.org/drawingml/2006/picture">
                <pic:pic>
                  <pic:nvPicPr>
                    <pic:cNvPr id="0" name=""/>
                    <pic:cNvPicPr/>
                  </pic:nvPicPr>
                  <pic:blipFill>
                    <a:blip r:embed="Rba8fdb88bc334f2f">
                      <a:extLst>
                        <a:ext xmlns:a="http://schemas.openxmlformats.org/drawingml/2006/main" uri="{28A0092B-C50C-407E-A947-70E740481C1C}">
                          <a14:useLocalDpi val="0"/>
                        </a:ext>
                      </a:extLst>
                    </a:blip>
                    <a:stretch>
                      <a:fillRect/>
                    </a:stretch>
                  </pic:blipFill>
                  <pic:spPr>
                    <a:xfrm>
                      <a:off x="0" y="0"/>
                      <a:ext cx="3381375" cy="2691011"/>
                    </a:xfrm>
                    <a:prstGeom prst="rect">
                      <a:avLst/>
                    </a:prstGeom>
                  </pic:spPr>
                </pic:pic>
              </a:graphicData>
            </a:graphic>
          </wp:inline>
        </w:drawing>
      </w:r>
    </w:p>
    <w:p w:rsidR="18EA5F2B" w:rsidP="18EA5F2B" w:rsidRDefault="18EA5F2B" w14:paraId="30C02098" w14:textId="2F05BADC">
      <w:pPr>
        <w:pStyle w:val="Normal"/>
        <w:jc w:val="left"/>
      </w:pPr>
      <w:r w:rsidR="18EA5F2B">
        <w:rPr/>
        <w:t>Figure 4: Pu-</w:t>
      </w:r>
      <w:proofErr w:type="spellStart"/>
      <w:r w:rsidR="18EA5F2B">
        <w:rPr/>
        <w:t>abi's</w:t>
      </w:r>
      <w:proofErr w:type="spellEnd"/>
      <w:r w:rsidR="18EA5F2B">
        <w:rPr/>
        <w:t xml:space="preserve"> precious stone beads, (highlighting the carnelian in her skirt/cape, photo courtesy of Richard L. Zettler, Associate Curator-in-Charge, Near East Section, University of Pennsylvania Museum of Archaeology and Anthropology). </w:t>
      </w:r>
    </w:p>
    <w:p w:rsidR="18EA5F2B" w:rsidP="18EA5F2B" w:rsidRDefault="18EA5F2B" w14:paraId="61295430" w14:textId="70D16577">
      <w:pPr>
        <w:pStyle w:val="Normal"/>
        <w:jc w:val="left"/>
      </w:pPr>
    </w:p>
    <w:p w:rsidR="18EA5F2B" w:rsidP="18EA5F2B" w:rsidRDefault="18EA5F2B" w14:paraId="275167CC" w14:textId="5CA98C01">
      <w:pPr>
        <w:pStyle w:val="Normal"/>
        <w:jc w:val="left"/>
      </w:pPr>
      <w:r w:rsidR="18EA5F2B">
        <w:drawing>
          <wp:inline wp14:editId="32E2D425" wp14:anchorId="68DAA344">
            <wp:extent cx="3488531" cy="2064048"/>
            <wp:effectExtent l="0" t="0" r="0" b="0"/>
            <wp:docPr id="1619312758" name="" title=""/>
            <wp:cNvGraphicFramePr>
              <a:graphicFrameLocks noChangeAspect="1"/>
            </wp:cNvGraphicFramePr>
            <a:graphic>
              <a:graphicData uri="http://schemas.openxmlformats.org/drawingml/2006/picture">
                <pic:pic>
                  <pic:nvPicPr>
                    <pic:cNvPr id="0" name=""/>
                    <pic:cNvPicPr/>
                  </pic:nvPicPr>
                  <pic:blipFill>
                    <a:blip r:embed="R29211d5b32df48be">
                      <a:extLst>
                        <a:ext xmlns:a="http://schemas.openxmlformats.org/drawingml/2006/main" uri="{28A0092B-C50C-407E-A947-70E740481C1C}">
                          <a14:useLocalDpi val="0"/>
                        </a:ext>
                      </a:extLst>
                    </a:blip>
                    <a:stretch>
                      <a:fillRect/>
                    </a:stretch>
                  </pic:blipFill>
                  <pic:spPr>
                    <a:xfrm>
                      <a:off x="0" y="0"/>
                      <a:ext cx="3488531" cy="2064048"/>
                    </a:xfrm>
                    <a:prstGeom prst="rect">
                      <a:avLst/>
                    </a:prstGeom>
                  </pic:spPr>
                </pic:pic>
              </a:graphicData>
            </a:graphic>
          </wp:inline>
        </w:drawing>
      </w:r>
    </w:p>
    <w:p w:rsidR="18EA5F2B" w:rsidP="18EA5F2B" w:rsidRDefault="18EA5F2B" w14:paraId="27D13377" w14:textId="69FE66A4">
      <w:pPr>
        <w:pStyle w:val="Normal"/>
        <w:jc w:val="left"/>
      </w:pPr>
      <w:r w:rsidR="18EA5F2B">
        <w:rPr/>
        <w:t>Figure 5: Pu-</w:t>
      </w:r>
      <w:proofErr w:type="spellStart"/>
      <w:r w:rsidR="18EA5F2B">
        <w:rPr/>
        <w:t>abi</w:t>
      </w:r>
      <w:proofErr w:type="spellEnd"/>
      <w:r w:rsidR="18EA5F2B">
        <w:rPr/>
        <w:t xml:space="preserve"> Gold, string/rope, ornaments associated with Body 55, PG1237 in room PG800, Ur, Mesopotamia, ca. 2500 BCE, The British Museum, ME122388-122392 (</w:t>
      </w:r>
      <w:proofErr w:type="spellStart"/>
      <w:r w:rsidR="18EA5F2B">
        <w:rPr/>
        <w:t>Aruz</w:t>
      </w:r>
      <w:proofErr w:type="spellEnd"/>
      <w:r w:rsidR="18EA5F2B">
        <w:rPr/>
        <w:t xml:space="preserve"> and </w:t>
      </w:r>
      <w:proofErr w:type="spellStart"/>
      <w:r w:rsidR="18EA5F2B">
        <w:rPr/>
        <w:t>Wallenfels</w:t>
      </w:r>
      <w:proofErr w:type="spellEnd"/>
      <w:r w:rsidR="18EA5F2B">
        <w:rPr/>
        <w:t xml:space="preserve"> 2003: Cat, no. 74</w:t>
      </w:r>
      <w:proofErr w:type="gramStart"/>
      <w:r w:rsidR="18EA5F2B">
        <w:rPr/>
        <w:t>a,b</w:t>
      </w:r>
      <w:proofErr w:type="gramEnd"/>
      <w:r w:rsidR="18EA5F2B">
        <w:rPr/>
        <w:t>,</w:t>
      </w:r>
      <w:proofErr w:type="gramStart"/>
      <w:r w:rsidR="18EA5F2B">
        <w:rPr/>
        <w:t>c,d</w:t>
      </w:r>
      <w:proofErr w:type="gramEnd"/>
      <w:r w:rsidR="18EA5F2B">
        <w:rPr/>
        <w:t xml:space="preserve">; The Trustees of the British Museum). </w:t>
      </w:r>
    </w:p>
    <w:p w:rsidR="18EA5F2B" w:rsidP="18EA5F2B" w:rsidRDefault="18EA5F2B" w14:paraId="47C70724" w14:textId="2D76CDC9">
      <w:pPr>
        <w:pStyle w:val="Normal"/>
        <w:jc w:val="left"/>
      </w:pPr>
    </w:p>
    <w:p w:rsidR="18EA5F2B" w:rsidP="18EA5F2B" w:rsidRDefault="18EA5F2B" w14:paraId="0C7856A1" w14:textId="28EB8C9F">
      <w:pPr>
        <w:pStyle w:val="Normal"/>
        <w:jc w:val="left"/>
      </w:pPr>
    </w:p>
    <w:p w:rsidR="18EA5F2B" w:rsidP="18EA5F2B" w:rsidRDefault="18EA5F2B" w14:paraId="02718748" w14:textId="56D82BFB">
      <w:pPr>
        <w:pStyle w:val="Normal"/>
        <w:jc w:val="left"/>
      </w:pPr>
    </w:p>
    <w:p w:rsidR="18EA5F2B" w:rsidP="18EA5F2B" w:rsidRDefault="18EA5F2B" w14:paraId="56E00329" w14:textId="3377D885">
      <w:pPr>
        <w:pStyle w:val="Normal"/>
        <w:jc w:val="left"/>
      </w:pPr>
    </w:p>
    <w:p w:rsidR="18EA5F2B" w:rsidP="18EA5F2B" w:rsidRDefault="18EA5F2B" w14:paraId="2AFD576A" w14:textId="20685CD2">
      <w:pPr>
        <w:pStyle w:val="Normal"/>
        <w:jc w:val="left"/>
      </w:pPr>
    </w:p>
    <w:p w:rsidR="18EA5F2B" w:rsidP="18EA5F2B" w:rsidRDefault="18EA5F2B" w14:paraId="7BCA76C0" w14:textId="7A7B8DFC">
      <w:pPr>
        <w:pStyle w:val="Normal"/>
        <w:jc w:val="left"/>
      </w:pPr>
      <w:r w:rsidR="18EA5F2B">
        <w:drawing>
          <wp:inline wp14:editId="2CFA6786" wp14:anchorId="527598FA">
            <wp:extent cx="3762375" cy="2800350"/>
            <wp:effectExtent l="0" t="0" r="0" b="0"/>
            <wp:docPr id="1372983884" name="" title=""/>
            <wp:cNvGraphicFramePr>
              <a:graphicFrameLocks noChangeAspect="1"/>
            </wp:cNvGraphicFramePr>
            <a:graphic>
              <a:graphicData uri="http://schemas.openxmlformats.org/drawingml/2006/picture">
                <pic:pic>
                  <pic:nvPicPr>
                    <pic:cNvPr id="0" name=""/>
                    <pic:cNvPicPr/>
                  </pic:nvPicPr>
                  <pic:blipFill>
                    <a:blip r:embed="Rd52d113e3d0d4dd5">
                      <a:extLst>
                        <a:ext xmlns:a="http://schemas.openxmlformats.org/drawingml/2006/main" uri="{28A0092B-C50C-407E-A947-70E740481C1C}">
                          <a14:useLocalDpi val="0"/>
                        </a:ext>
                      </a:extLst>
                    </a:blip>
                    <a:stretch>
                      <a:fillRect/>
                    </a:stretch>
                  </pic:blipFill>
                  <pic:spPr>
                    <a:xfrm>
                      <a:off x="0" y="0"/>
                      <a:ext cx="3762375" cy="2800350"/>
                    </a:xfrm>
                    <a:prstGeom prst="rect">
                      <a:avLst/>
                    </a:prstGeom>
                  </pic:spPr>
                </pic:pic>
              </a:graphicData>
            </a:graphic>
          </wp:inline>
        </w:drawing>
      </w:r>
    </w:p>
    <w:p w:rsidR="18EA5F2B" w:rsidP="18EA5F2B" w:rsidRDefault="18EA5F2B" w14:paraId="63BDDE85" w14:textId="6BA40A84">
      <w:pPr>
        <w:pStyle w:val="Normal"/>
        <w:jc w:val="left"/>
      </w:pPr>
      <w:r w:rsidR="18EA5F2B">
        <w:rPr/>
        <w:t>Figure 6: Pu-</w:t>
      </w:r>
      <w:proofErr w:type="spellStart"/>
      <w:r w:rsidR="18EA5F2B">
        <w:rPr/>
        <w:t>abi's</w:t>
      </w:r>
      <w:proofErr w:type="spellEnd"/>
      <w:r w:rsidR="18EA5F2B">
        <w:rPr/>
        <w:t xml:space="preserve"> head ornaments (</w:t>
      </w:r>
      <w:proofErr w:type="spellStart"/>
      <w:r w:rsidR="18EA5F2B">
        <w:rPr/>
        <w:t>Aruz</w:t>
      </w:r>
      <w:proofErr w:type="spellEnd"/>
      <w:r w:rsidR="18EA5F2B">
        <w:rPr/>
        <w:t xml:space="preserve"> and </w:t>
      </w:r>
      <w:proofErr w:type="spellStart"/>
      <w:r w:rsidR="18EA5F2B">
        <w:rPr/>
        <w:t>Wallenfels</w:t>
      </w:r>
      <w:proofErr w:type="spellEnd"/>
      <w:r w:rsidR="18EA5F2B">
        <w:rPr/>
        <w:t xml:space="preserve"> 2003: Cat, no. 61a-e, front; photo courtesy of Richard L. Zettler, Associate Curator-in-Charge, Near East Section, University of Pennsylvania Museum of Archaeology and Anthropology). </w:t>
      </w:r>
    </w:p>
    <w:p w:rsidR="18EA5F2B" w:rsidP="18EA5F2B" w:rsidRDefault="18EA5F2B" w14:paraId="17E1E0F4" w14:textId="34EC7C38">
      <w:pPr>
        <w:pStyle w:val="Normal"/>
        <w:jc w:val="left"/>
      </w:pPr>
    </w:p>
    <w:p w:rsidR="18EA5F2B" w:rsidP="18EA5F2B" w:rsidRDefault="18EA5F2B" w14:paraId="6E88111B" w14:textId="5A0CB3F7">
      <w:pPr>
        <w:pStyle w:val="Normal"/>
        <w:jc w:val="left"/>
      </w:pPr>
      <w:r w:rsidR="18EA5F2B">
        <w:drawing>
          <wp:inline wp14:editId="3EBE3EBD" wp14:anchorId="2BD1B8CE">
            <wp:extent cx="3405188" cy="2397820"/>
            <wp:effectExtent l="0" t="0" r="0" b="0"/>
            <wp:docPr id="64311375" name="" title=""/>
            <wp:cNvGraphicFramePr>
              <a:graphicFrameLocks noChangeAspect="1"/>
            </wp:cNvGraphicFramePr>
            <a:graphic>
              <a:graphicData uri="http://schemas.openxmlformats.org/drawingml/2006/picture">
                <pic:pic>
                  <pic:nvPicPr>
                    <pic:cNvPr id="0" name=""/>
                    <pic:cNvPicPr/>
                  </pic:nvPicPr>
                  <pic:blipFill>
                    <a:blip r:embed="Rf838f5fca27a428b">
                      <a:extLst>
                        <a:ext xmlns:a="http://schemas.openxmlformats.org/drawingml/2006/main" uri="{28A0092B-C50C-407E-A947-70E740481C1C}">
                          <a14:useLocalDpi val="0"/>
                        </a:ext>
                      </a:extLst>
                    </a:blip>
                    <a:stretch>
                      <a:fillRect/>
                    </a:stretch>
                  </pic:blipFill>
                  <pic:spPr>
                    <a:xfrm>
                      <a:off x="0" y="0"/>
                      <a:ext cx="3405188" cy="2397820"/>
                    </a:xfrm>
                    <a:prstGeom prst="rect">
                      <a:avLst/>
                    </a:prstGeom>
                  </pic:spPr>
                </pic:pic>
              </a:graphicData>
            </a:graphic>
          </wp:inline>
        </w:drawing>
      </w:r>
    </w:p>
    <w:p w:rsidR="18EA5F2B" w:rsidP="18EA5F2B" w:rsidRDefault="18EA5F2B" w14:paraId="1D974C30" w14:textId="05B240F6">
      <w:pPr>
        <w:pStyle w:val="Normal"/>
        <w:jc w:val="left"/>
      </w:pPr>
      <w:r w:rsidR="18EA5F2B">
        <w:rPr/>
        <w:t>Figure 7: Pu-</w:t>
      </w:r>
      <w:proofErr w:type="spellStart"/>
      <w:r w:rsidR="18EA5F2B">
        <w:rPr/>
        <w:t>abi's</w:t>
      </w:r>
      <w:proofErr w:type="spellEnd"/>
      <w:r w:rsidR="18EA5F2B">
        <w:rPr/>
        <w:t xml:space="preserve"> ring, Cat, no. 18, microphotography (author photo, courtesy of Richard L. Zettler, Associate Curator-in-Charge, Near East Section, University of Pennsylvania Museum of Archaeology and Anthropology). </w:t>
      </w:r>
    </w:p>
    <w:p w:rsidR="18EA5F2B" w:rsidP="18EA5F2B" w:rsidRDefault="18EA5F2B" w14:paraId="64FAEE42" w14:textId="395F5396">
      <w:pPr>
        <w:pStyle w:val="Normal"/>
        <w:jc w:val="left"/>
      </w:pPr>
    </w:p>
    <w:p w:rsidR="18EA5F2B" w:rsidP="18EA5F2B" w:rsidRDefault="18EA5F2B" w14:paraId="489E36C1" w14:textId="4BFD36DC">
      <w:pPr>
        <w:pStyle w:val="Normal"/>
        <w:jc w:val="left"/>
      </w:pPr>
    </w:p>
    <w:p w:rsidR="18EA5F2B" w:rsidP="18EA5F2B" w:rsidRDefault="18EA5F2B" w14:paraId="595FEC75" w14:textId="253C86E6">
      <w:pPr>
        <w:pStyle w:val="Normal"/>
        <w:jc w:val="left"/>
      </w:pPr>
    </w:p>
    <w:p w:rsidR="18EA5F2B" w:rsidP="18EA5F2B" w:rsidRDefault="18EA5F2B" w14:paraId="5EAA38FB" w14:textId="6C78AB55">
      <w:pPr>
        <w:pStyle w:val="Normal"/>
        <w:jc w:val="left"/>
      </w:pPr>
      <w:r>
        <w:br/>
      </w:r>
      <w:r w:rsidR="18EA5F2B">
        <w:drawing>
          <wp:inline wp14:editId="7B16D1C2" wp14:anchorId="70B2F2B9">
            <wp:extent cx="5943600" cy="2552700"/>
            <wp:effectExtent l="0" t="0" r="0" b="0"/>
            <wp:docPr id="1881954482" name="" title=""/>
            <wp:cNvGraphicFramePr>
              <a:graphicFrameLocks noChangeAspect="1"/>
            </wp:cNvGraphicFramePr>
            <a:graphic>
              <a:graphicData uri="http://schemas.openxmlformats.org/drawingml/2006/picture">
                <pic:pic>
                  <pic:nvPicPr>
                    <pic:cNvPr id="0" name=""/>
                    <pic:cNvPicPr/>
                  </pic:nvPicPr>
                  <pic:blipFill>
                    <a:blip r:embed="R92b1d9442b5047d5">
                      <a:extLst>
                        <a:ext xmlns:a="http://schemas.openxmlformats.org/drawingml/2006/main" uri="{28A0092B-C50C-407E-A947-70E740481C1C}">
                          <a14:useLocalDpi val="0"/>
                        </a:ext>
                      </a:extLst>
                    </a:blip>
                    <a:stretch>
                      <a:fillRect/>
                    </a:stretch>
                  </pic:blipFill>
                  <pic:spPr>
                    <a:xfrm>
                      <a:off x="0" y="0"/>
                      <a:ext cx="5943600" cy="2552700"/>
                    </a:xfrm>
                    <a:prstGeom prst="rect">
                      <a:avLst/>
                    </a:prstGeom>
                  </pic:spPr>
                </pic:pic>
              </a:graphicData>
            </a:graphic>
          </wp:inline>
        </w:drawing>
      </w:r>
      <w:r>
        <w:br/>
      </w:r>
      <w:r w:rsidR="18EA5F2B">
        <w:rPr/>
        <w:t xml:space="preserve">Figure 8: Priest King Feeding His Flock, Sumerian, </w:t>
      </w:r>
      <w:proofErr w:type="spellStart"/>
      <w:r w:rsidR="18EA5F2B">
        <w:rPr/>
        <w:t>Uruk</w:t>
      </w:r>
      <w:proofErr w:type="spellEnd"/>
      <w:r w:rsidR="18EA5F2B">
        <w:rPr/>
        <w:t xml:space="preserve">, IV period, ca. 3300-3100 BCE, Modern impression of a marble cylinder seal. Yale Babylonian Collection; NBC 2579. </w:t>
      </w:r>
    </w:p>
    <w:p w:rsidR="18EA5F2B" w:rsidP="18EA5F2B" w:rsidRDefault="18EA5F2B" w14:paraId="1867A2FA" w14:textId="0778E715">
      <w:pPr>
        <w:pStyle w:val="Normal"/>
        <w:jc w:val="left"/>
      </w:pPr>
    </w:p>
    <w:p w:rsidR="18EA5F2B" w:rsidP="18EA5F2B" w:rsidRDefault="18EA5F2B" w14:paraId="4D7E2155" w14:textId="7B78FCDA">
      <w:pPr>
        <w:pStyle w:val="Normal"/>
        <w:jc w:val="left"/>
      </w:pPr>
    </w:p>
    <w:p w:rsidR="18EA5F2B" w:rsidP="18EA5F2B" w:rsidRDefault="18EA5F2B" w14:paraId="7EF6BF47" w14:textId="0F1D4462">
      <w:pPr>
        <w:pStyle w:val="Normal"/>
        <w:jc w:val="left"/>
      </w:pPr>
    </w:p>
    <w:p w:rsidR="18EA5F2B" w:rsidP="18EA5F2B" w:rsidRDefault="18EA5F2B" w14:paraId="0507E2D9" w14:textId="135E19B2">
      <w:pPr>
        <w:pStyle w:val="Normal"/>
        <w:jc w:val="left"/>
      </w:pPr>
    </w:p>
    <w:p w:rsidR="18EA5F2B" w:rsidP="18EA5F2B" w:rsidRDefault="18EA5F2B" w14:paraId="5C99DF32" w14:textId="02035D62">
      <w:pPr>
        <w:pStyle w:val="Normal"/>
        <w:jc w:val="left"/>
      </w:pPr>
    </w:p>
    <w:p w:rsidR="18EA5F2B" w:rsidP="18EA5F2B" w:rsidRDefault="18EA5F2B" w14:paraId="3B6869A4" w14:textId="2FD64C0A">
      <w:pPr>
        <w:pStyle w:val="Normal"/>
        <w:jc w:val="left"/>
      </w:pPr>
      <w:r w:rsidR="18EA5F2B">
        <w:drawing>
          <wp:inline wp14:editId="278CD8EB" wp14:anchorId="31E9B14B">
            <wp:extent cx="4572000" cy="2133600"/>
            <wp:effectExtent l="0" t="0" r="0" b="0"/>
            <wp:docPr id="350392783" name="" title=""/>
            <wp:cNvGraphicFramePr>
              <a:graphicFrameLocks noChangeAspect="1"/>
            </wp:cNvGraphicFramePr>
            <a:graphic>
              <a:graphicData uri="http://schemas.openxmlformats.org/drawingml/2006/picture">
                <pic:pic>
                  <pic:nvPicPr>
                    <pic:cNvPr id="0" name=""/>
                    <pic:cNvPicPr/>
                  </pic:nvPicPr>
                  <pic:blipFill>
                    <a:blip r:embed="R0ae53d732c54446d">
                      <a:extLst>
                        <a:ext xmlns:a="http://schemas.openxmlformats.org/drawingml/2006/main" uri="{28A0092B-C50C-407E-A947-70E740481C1C}">
                          <a14:useLocalDpi val="0"/>
                        </a:ext>
                      </a:extLst>
                    </a:blip>
                    <a:stretch>
                      <a:fillRect/>
                    </a:stretch>
                  </pic:blipFill>
                  <pic:spPr>
                    <a:xfrm>
                      <a:off x="0" y="0"/>
                      <a:ext cx="4572000" cy="2133600"/>
                    </a:xfrm>
                    <a:prstGeom prst="rect">
                      <a:avLst/>
                    </a:prstGeom>
                  </pic:spPr>
                </pic:pic>
              </a:graphicData>
            </a:graphic>
          </wp:inline>
        </w:drawing>
      </w:r>
    </w:p>
    <w:p w:rsidR="18EA5F2B" w:rsidP="18EA5F2B" w:rsidRDefault="18EA5F2B" w14:paraId="6612923E" w14:textId="3554E61C">
      <w:pPr>
        <w:pStyle w:val="Normal"/>
        <w:jc w:val="left"/>
      </w:pPr>
      <w:r w:rsidR="18EA5F2B">
        <w:rPr/>
        <w:t>Figure 9: Pu-</w:t>
      </w:r>
      <w:proofErr w:type="spellStart"/>
      <w:r w:rsidR="18EA5F2B">
        <w:rPr/>
        <w:t>abi's</w:t>
      </w:r>
      <w:proofErr w:type="spellEnd"/>
      <w:r w:rsidR="18EA5F2B">
        <w:rPr/>
        <w:t xml:space="preserve"> “cloak/dress” beads, Cat, no. 11 (author photo, courtesy of Richard L. Zettler, Associate Curator-in-Charge, Near East Section, University of Pennsylvania Museum of Archaeology and Anthropology). </w:t>
      </w:r>
    </w:p>
    <w:p w:rsidR="18EA5F2B" w:rsidP="18EA5F2B" w:rsidRDefault="18EA5F2B" w14:paraId="54820A05" w14:textId="3D2B8236">
      <w:pPr>
        <w:pStyle w:val="Normal"/>
        <w:jc w:val="left"/>
      </w:pPr>
    </w:p>
    <w:p w:rsidR="18EA5F2B" w:rsidP="18EA5F2B" w:rsidRDefault="18EA5F2B" w14:paraId="5F9C4F4F" w14:textId="5EA576A4">
      <w:pPr>
        <w:pStyle w:val="Normal"/>
        <w:jc w:val="left"/>
      </w:pPr>
      <w:r w:rsidR="18EA5F2B">
        <w:drawing>
          <wp:inline wp14:editId="3F978C6C" wp14:anchorId="5E0B6DD6">
            <wp:extent cx="3512344" cy="2707432"/>
            <wp:effectExtent l="0" t="0" r="0" b="0"/>
            <wp:docPr id="94559285" name="" title=""/>
            <wp:cNvGraphicFramePr>
              <a:graphicFrameLocks noChangeAspect="1"/>
            </wp:cNvGraphicFramePr>
            <a:graphic>
              <a:graphicData uri="http://schemas.openxmlformats.org/drawingml/2006/picture">
                <pic:pic>
                  <pic:nvPicPr>
                    <pic:cNvPr id="0" name=""/>
                    <pic:cNvPicPr/>
                  </pic:nvPicPr>
                  <pic:blipFill>
                    <a:blip r:embed="R98e6bca02f9545ae">
                      <a:extLst>
                        <a:ext xmlns:a="http://schemas.openxmlformats.org/drawingml/2006/main" uri="{28A0092B-C50C-407E-A947-70E740481C1C}">
                          <a14:useLocalDpi val="0"/>
                        </a:ext>
                      </a:extLst>
                    </a:blip>
                    <a:stretch>
                      <a:fillRect/>
                    </a:stretch>
                  </pic:blipFill>
                  <pic:spPr>
                    <a:xfrm>
                      <a:off x="0" y="0"/>
                      <a:ext cx="3512344" cy="2707432"/>
                    </a:xfrm>
                    <a:prstGeom prst="rect">
                      <a:avLst/>
                    </a:prstGeom>
                  </pic:spPr>
                </pic:pic>
              </a:graphicData>
            </a:graphic>
          </wp:inline>
        </w:drawing>
      </w:r>
    </w:p>
    <w:p w:rsidR="18EA5F2B" w:rsidP="18EA5F2B" w:rsidRDefault="18EA5F2B" w14:paraId="7499BAC1" w14:textId="3D297A65">
      <w:pPr>
        <w:pStyle w:val="Normal"/>
        <w:jc w:val="left"/>
      </w:pPr>
      <w:r w:rsidR="18EA5F2B">
        <w:rPr/>
        <w:t xml:space="preserve">Figure 10: Hogarth’s 1753 “hedonistic aesthetics”, The Analysis of Beauty, Plate 1, British, London, 1697-1764, London, The Met Museum. </w:t>
      </w:r>
    </w:p>
    <w:p w:rsidR="18EA5F2B" w:rsidP="18EA5F2B" w:rsidRDefault="18EA5F2B" w14:paraId="09DB8815" w14:textId="3B68A137">
      <w:pPr>
        <w:pStyle w:val="Normal"/>
        <w:jc w:val="left"/>
      </w:pPr>
    </w:p>
    <w:p w:rsidR="18EA5F2B" w:rsidP="18EA5F2B" w:rsidRDefault="18EA5F2B" w14:paraId="1CF49FED" w14:textId="0DA54B97">
      <w:pPr>
        <w:pStyle w:val="Normal"/>
        <w:jc w:val="left"/>
      </w:pPr>
    </w:p>
    <w:p w:rsidR="18EA5F2B" w:rsidP="18EA5F2B" w:rsidRDefault="18EA5F2B" w14:paraId="427CFDA9" w14:textId="1FD83871">
      <w:pPr>
        <w:pStyle w:val="Normal"/>
        <w:jc w:val="left"/>
      </w:pPr>
    </w:p>
    <w:p w:rsidR="18EA5F2B" w:rsidP="18EA5F2B" w:rsidRDefault="18EA5F2B" w14:paraId="5590E2E3" w14:textId="77D0EDA6">
      <w:pPr>
        <w:pStyle w:val="Normal"/>
        <w:jc w:val="left"/>
      </w:pPr>
    </w:p>
    <w:sectPr>
      <w:pgSz w:w="12240" w:h="15840" w:orient="portrait"/>
      <w:pgMar w:top="1440" w:right="1440" w:bottom="1440" w:left="1440" w:header="720" w:footer="720" w:gutter="0"/>
      <w:cols w:space="720"/>
      <w:docGrid w:linePitch="360"/>
      <w:headerReference w:type="default" r:id="R3931ff8070e24c99"/>
      <w:footerReference w:type="default" r:id="R0445beee2fa5466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05EF3F6" w:rsidTr="005EF3F6" w14:paraId="7ADD360F">
      <w:tc>
        <w:tcPr>
          <w:tcW w:w="3120" w:type="dxa"/>
          <w:tcMar/>
        </w:tcPr>
        <w:p w:rsidR="005EF3F6" w:rsidP="005EF3F6" w:rsidRDefault="005EF3F6" w14:paraId="0881F2C5" w14:textId="71BC7107">
          <w:pPr>
            <w:pStyle w:val="Header"/>
            <w:bidi w:val="0"/>
            <w:ind w:left="-115"/>
            <w:jc w:val="left"/>
          </w:pPr>
        </w:p>
      </w:tc>
      <w:tc>
        <w:tcPr>
          <w:tcW w:w="3120" w:type="dxa"/>
          <w:tcMar/>
        </w:tcPr>
        <w:p w:rsidR="005EF3F6" w:rsidP="005EF3F6" w:rsidRDefault="005EF3F6" w14:paraId="1382641D" w14:textId="1496C684">
          <w:pPr>
            <w:pStyle w:val="Header"/>
            <w:bidi w:val="0"/>
            <w:jc w:val="center"/>
          </w:pPr>
          <w:r>
            <w:fldChar w:fldCharType="begin"/>
          </w:r>
          <w:r>
            <w:instrText xml:space="preserve">PAGE</w:instrText>
          </w:r>
          <w:r>
            <w:fldChar w:fldCharType="separate"/>
          </w:r>
          <w:r>
            <w:fldChar w:fldCharType="end"/>
          </w:r>
        </w:p>
      </w:tc>
      <w:tc>
        <w:tcPr>
          <w:tcW w:w="3120" w:type="dxa"/>
          <w:tcMar/>
        </w:tcPr>
        <w:p w:rsidR="005EF3F6" w:rsidP="005EF3F6" w:rsidRDefault="005EF3F6" w14:paraId="3069145D" w14:textId="3EA0BA1F">
          <w:pPr>
            <w:pStyle w:val="Header"/>
            <w:bidi w:val="0"/>
            <w:ind w:right="-115"/>
            <w:jc w:val="right"/>
          </w:pPr>
        </w:p>
      </w:tc>
    </w:tr>
  </w:tbl>
  <w:p w:rsidR="005EF3F6" w:rsidP="005EF3F6" w:rsidRDefault="005EF3F6" w14:paraId="72296B86" w14:textId="110C75D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9495" w:type="dxa"/>
      <w:tblLayout w:type="fixed"/>
      <w:tblLook w:val="06A0" w:firstRow="1" w:lastRow="0" w:firstColumn="1" w:lastColumn="0" w:noHBand="1" w:noVBand="1"/>
    </w:tblPr>
    <w:tblGrid>
      <w:gridCol w:w="3120"/>
      <w:gridCol w:w="3120"/>
      <w:gridCol w:w="3255"/>
    </w:tblGrid>
    <w:tr w:rsidR="005EF3F6" w:rsidTr="7E8DF885" w14:paraId="7800760B">
      <w:tc>
        <w:tcPr>
          <w:tcW w:w="3120" w:type="dxa"/>
          <w:tcMar/>
        </w:tcPr>
        <w:p w:rsidR="005EF3F6" w:rsidP="005EF3F6" w:rsidRDefault="005EF3F6" w14:paraId="2A1D81D8" w14:textId="6B22FB7E">
          <w:pPr>
            <w:pStyle w:val="Header"/>
            <w:bidi w:val="0"/>
            <w:ind w:left="-115"/>
            <w:jc w:val="left"/>
          </w:pPr>
          <w:r w:rsidR="005EF3F6">
            <w:rPr/>
            <w:t>Candidate no. 1601773</w:t>
          </w:r>
        </w:p>
      </w:tc>
      <w:tc>
        <w:tcPr>
          <w:tcW w:w="3120" w:type="dxa"/>
          <w:tcMar/>
        </w:tcPr>
        <w:p w:rsidR="005EF3F6" w:rsidP="005EF3F6" w:rsidRDefault="005EF3F6" w14:paraId="522F131D" w14:textId="39FF9EBB">
          <w:pPr>
            <w:pStyle w:val="Header"/>
            <w:bidi w:val="0"/>
            <w:jc w:val="center"/>
          </w:pPr>
          <w:r w:rsidR="005EF3F6">
            <w:rPr/>
            <w:t>MA Ancient History – Art &amp; Representation in the Near East/ Agean – Assignment 2</w:t>
          </w:r>
        </w:p>
      </w:tc>
      <w:tc>
        <w:tcPr>
          <w:tcW w:w="3255" w:type="dxa"/>
          <w:tcMar/>
        </w:tcPr>
        <w:p w:rsidR="005EF3F6" w:rsidP="7E8DF885" w:rsidRDefault="005EF3F6" w14:paraId="25139968" w14:textId="183D7085">
          <w:pPr>
            <w:pStyle w:val="Header"/>
            <w:bidi w:val="0"/>
            <w:spacing w:before="0" w:beforeAutospacing="off" w:after="0" w:afterAutospacing="off" w:line="240" w:lineRule="auto"/>
            <w:ind w:left="0" w:right="-115"/>
            <w:jc w:val="right"/>
          </w:pPr>
          <w:r w:rsidR="7E8DF885">
            <w:rPr/>
            <w:t>Word count: 3.819</w:t>
          </w:r>
        </w:p>
      </w:tc>
    </w:tr>
  </w:tbl>
  <w:p w:rsidR="005EF3F6" w:rsidP="005EF3F6" w:rsidRDefault="005EF3F6" w14:paraId="4C70701C" w14:textId="6D7F725F">
    <w:pPr>
      <w:pStyle w:val="Header"/>
      <w:bidi w:val="0"/>
    </w:pPr>
  </w:p>
</w:hdr>
</file>

<file path=word/intelligence.xml><?xml version="1.0" encoding="utf-8"?>
<int:Intelligence xmlns:int="http://schemas.microsoft.com/office/intelligence/2019/intelligence">
  <int:IntelligenceSettings/>
  <int:Manifest>
    <int:WordHash hashCode="09VREIeKPU9tkd" id="S4ajMqH0"/>
  </int:Manifest>
  <int:Observations>
    <int:Content id="S4ajMqH0">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CF0EF7"/>
    <w:rsid w:val="00094EF7"/>
    <w:rsid w:val="0045CB99"/>
    <w:rsid w:val="0045CB99"/>
    <w:rsid w:val="0047CF6A"/>
    <w:rsid w:val="0057076B"/>
    <w:rsid w:val="005A6BE9"/>
    <w:rsid w:val="005EF3F6"/>
    <w:rsid w:val="012C07C3"/>
    <w:rsid w:val="013D3C1F"/>
    <w:rsid w:val="013D3C1F"/>
    <w:rsid w:val="01525CDA"/>
    <w:rsid w:val="0175A3A6"/>
    <w:rsid w:val="0182ACE5"/>
    <w:rsid w:val="01C22206"/>
    <w:rsid w:val="01CB371F"/>
    <w:rsid w:val="01DC4342"/>
    <w:rsid w:val="01E39FCB"/>
    <w:rsid w:val="01E46A14"/>
    <w:rsid w:val="01E46A14"/>
    <w:rsid w:val="0231847C"/>
    <w:rsid w:val="0276504E"/>
    <w:rsid w:val="02B317DA"/>
    <w:rsid w:val="02B899A8"/>
    <w:rsid w:val="02C6D0CE"/>
    <w:rsid w:val="02F59443"/>
    <w:rsid w:val="0342FD40"/>
    <w:rsid w:val="0348779D"/>
    <w:rsid w:val="03523D11"/>
    <w:rsid w:val="03793A40"/>
    <w:rsid w:val="03793A40"/>
    <w:rsid w:val="037DAEDC"/>
    <w:rsid w:val="038EA82D"/>
    <w:rsid w:val="038EA82D"/>
    <w:rsid w:val="03B26D8E"/>
    <w:rsid w:val="03D664C5"/>
    <w:rsid w:val="03E67F7F"/>
    <w:rsid w:val="03F7CA1D"/>
    <w:rsid w:val="03FFE979"/>
    <w:rsid w:val="0401AFE1"/>
    <w:rsid w:val="0417EC85"/>
    <w:rsid w:val="042FB321"/>
    <w:rsid w:val="0442079F"/>
    <w:rsid w:val="044BA89D"/>
    <w:rsid w:val="044BA89D"/>
    <w:rsid w:val="0458A9FC"/>
    <w:rsid w:val="0460480B"/>
    <w:rsid w:val="0481FACD"/>
    <w:rsid w:val="04B66B03"/>
    <w:rsid w:val="04B66B03"/>
    <w:rsid w:val="04C7E779"/>
    <w:rsid w:val="04D94558"/>
    <w:rsid w:val="055AABF3"/>
    <w:rsid w:val="059BB9DA"/>
    <w:rsid w:val="05CB8382"/>
    <w:rsid w:val="0622301A"/>
    <w:rsid w:val="0622301A"/>
    <w:rsid w:val="063F246D"/>
    <w:rsid w:val="067A9E02"/>
    <w:rsid w:val="06A0A7DD"/>
    <w:rsid w:val="06AD2174"/>
    <w:rsid w:val="07556114"/>
    <w:rsid w:val="077E0F92"/>
    <w:rsid w:val="077FCE84"/>
    <w:rsid w:val="07A5D020"/>
    <w:rsid w:val="07BE007B"/>
    <w:rsid w:val="0848F1D5"/>
    <w:rsid w:val="086C0494"/>
    <w:rsid w:val="086C0494"/>
    <w:rsid w:val="08795729"/>
    <w:rsid w:val="08795729"/>
    <w:rsid w:val="0885DEB1"/>
    <w:rsid w:val="08A0C600"/>
    <w:rsid w:val="08A7CC57"/>
    <w:rsid w:val="08A7CC57"/>
    <w:rsid w:val="08BDE53B"/>
    <w:rsid w:val="08D96660"/>
    <w:rsid w:val="08D96660"/>
    <w:rsid w:val="08E2FA68"/>
    <w:rsid w:val="08E2FA68"/>
    <w:rsid w:val="091578C2"/>
    <w:rsid w:val="0931F941"/>
    <w:rsid w:val="094DEEBD"/>
    <w:rsid w:val="094DEEBD"/>
    <w:rsid w:val="0959D0DC"/>
    <w:rsid w:val="096E44EF"/>
    <w:rsid w:val="0986C3C6"/>
    <w:rsid w:val="09CE3178"/>
    <w:rsid w:val="0A07D4F5"/>
    <w:rsid w:val="0A1412FB"/>
    <w:rsid w:val="0A18114F"/>
    <w:rsid w:val="0A18114F"/>
    <w:rsid w:val="0A1FDE12"/>
    <w:rsid w:val="0A22AB31"/>
    <w:rsid w:val="0A463587"/>
    <w:rsid w:val="0A463587"/>
    <w:rsid w:val="0A8FBF02"/>
    <w:rsid w:val="0A8FBF02"/>
    <w:rsid w:val="0A9EF4A5"/>
    <w:rsid w:val="0AEA1510"/>
    <w:rsid w:val="0B392F13"/>
    <w:rsid w:val="0BA116F5"/>
    <w:rsid w:val="0BC87686"/>
    <w:rsid w:val="0C6C6722"/>
    <w:rsid w:val="0C97C258"/>
    <w:rsid w:val="0CEE0E66"/>
    <w:rsid w:val="0CEE0E66"/>
    <w:rsid w:val="0D2C3C27"/>
    <w:rsid w:val="0D65BDD8"/>
    <w:rsid w:val="0D65BDD8"/>
    <w:rsid w:val="0D761B94"/>
    <w:rsid w:val="0D99AF06"/>
    <w:rsid w:val="0DA38D6D"/>
    <w:rsid w:val="0DF0080A"/>
    <w:rsid w:val="0E083783"/>
    <w:rsid w:val="0E083783"/>
    <w:rsid w:val="0E105BF7"/>
    <w:rsid w:val="0E5A9156"/>
    <w:rsid w:val="0E5A9156"/>
    <w:rsid w:val="0ED15AD4"/>
    <w:rsid w:val="0F43401B"/>
    <w:rsid w:val="0F446288"/>
    <w:rsid w:val="0F5DB6AA"/>
    <w:rsid w:val="0FF7E495"/>
    <w:rsid w:val="103A3D83"/>
    <w:rsid w:val="10590680"/>
    <w:rsid w:val="1063DCE9"/>
    <w:rsid w:val="11171005"/>
    <w:rsid w:val="11171005"/>
    <w:rsid w:val="11B222A8"/>
    <w:rsid w:val="11FFAD4A"/>
    <w:rsid w:val="120E4134"/>
    <w:rsid w:val="1241DBAA"/>
    <w:rsid w:val="127F8A63"/>
    <w:rsid w:val="12D52874"/>
    <w:rsid w:val="12E1110E"/>
    <w:rsid w:val="12F1E37B"/>
    <w:rsid w:val="1326F984"/>
    <w:rsid w:val="1340ADAD"/>
    <w:rsid w:val="13495D24"/>
    <w:rsid w:val="13AA1195"/>
    <w:rsid w:val="13C71A67"/>
    <w:rsid w:val="13C7D405"/>
    <w:rsid w:val="13F813F8"/>
    <w:rsid w:val="142EA391"/>
    <w:rsid w:val="147B1CFB"/>
    <w:rsid w:val="14F9204B"/>
    <w:rsid w:val="1506A80F"/>
    <w:rsid w:val="153CC0F3"/>
    <w:rsid w:val="154CFFAB"/>
    <w:rsid w:val="156F4E1B"/>
    <w:rsid w:val="15B9AC90"/>
    <w:rsid w:val="15BF3F76"/>
    <w:rsid w:val="15EA7015"/>
    <w:rsid w:val="161DFFD7"/>
    <w:rsid w:val="161DFFD7"/>
    <w:rsid w:val="16522337"/>
    <w:rsid w:val="165ADA0B"/>
    <w:rsid w:val="16784E6F"/>
    <w:rsid w:val="1683744F"/>
    <w:rsid w:val="16AB070B"/>
    <w:rsid w:val="175B0FD7"/>
    <w:rsid w:val="175B0FD7"/>
    <w:rsid w:val="17AEE7DA"/>
    <w:rsid w:val="17C1E4A0"/>
    <w:rsid w:val="17EB90D2"/>
    <w:rsid w:val="18756967"/>
    <w:rsid w:val="187F99FD"/>
    <w:rsid w:val="18B5A793"/>
    <w:rsid w:val="18E1896C"/>
    <w:rsid w:val="18EA5F2B"/>
    <w:rsid w:val="192221EA"/>
    <w:rsid w:val="1951DB91"/>
    <w:rsid w:val="1951DB91"/>
    <w:rsid w:val="195B081F"/>
    <w:rsid w:val="1975EB51"/>
    <w:rsid w:val="19909D31"/>
    <w:rsid w:val="19909D31"/>
    <w:rsid w:val="199A5A1F"/>
    <w:rsid w:val="199AC977"/>
    <w:rsid w:val="1A0F806F"/>
    <w:rsid w:val="1A409825"/>
    <w:rsid w:val="1A409825"/>
    <w:rsid w:val="1A7312A2"/>
    <w:rsid w:val="1A83E8D2"/>
    <w:rsid w:val="1AB3CCD9"/>
    <w:rsid w:val="1B362A80"/>
    <w:rsid w:val="1B9DEAB1"/>
    <w:rsid w:val="1BAB50D0"/>
    <w:rsid w:val="1BACF054"/>
    <w:rsid w:val="1BD2E5EA"/>
    <w:rsid w:val="1BF1B3FF"/>
    <w:rsid w:val="1C0CA5FF"/>
    <w:rsid w:val="1C1FB933"/>
    <w:rsid w:val="1C1FB933"/>
    <w:rsid w:val="1C2ABAF7"/>
    <w:rsid w:val="1C59C2AC"/>
    <w:rsid w:val="1C7F0BE3"/>
    <w:rsid w:val="1C9C9E55"/>
    <w:rsid w:val="1CC7C45C"/>
    <w:rsid w:val="1CD1FAE1"/>
    <w:rsid w:val="1D39BB12"/>
    <w:rsid w:val="1D48C0B5"/>
    <w:rsid w:val="1D530B20"/>
    <w:rsid w:val="1D5D267D"/>
    <w:rsid w:val="1D5D267D"/>
    <w:rsid w:val="1D8918B6"/>
    <w:rsid w:val="1D96D31F"/>
    <w:rsid w:val="1DC68B58"/>
    <w:rsid w:val="1DC68B58"/>
    <w:rsid w:val="1DCCE0B5"/>
    <w:rsid w:val="1DD9F7B9"/>
    <w:rsid w:val="1E13F51E"/>
    <w:rsid w:val="1E1710D2"/>
    <w:rsid w:val="1E2648D3"/>
    <w:rsid w:val="1ED58B73"/>
    <w:rsid w:val="1ED58B73"/>
    <w:rsid w:val="1ED9A845"/>
    <w:rsid w:val="1EDCD88F"/>
    <w:rsid w:val="1F24E917"/>
    <w:rsid w:val="1F277847"/>
    <w:rsid w:val="1F3412A1"/>
    <w:rsid w:val="1F48FD50"/>
    <w:rsid w:val="1F48FD50"/>
    <w:rsid w:val="1F7FD2BE"/>
    <w:rsid w:val="1FA049B3"/>
    <w:rsid w:val="1FC21934"/>
    <w:rsid w:val="1FE29E74"/>
    <w:rsid w:val="1FE5DE95"/>
    <w:rsid w:val="1FE5DE95"/>
    <w:rsid w:val="1FE6DAB4"/>
    <w:rsid w:val="1FF4E002"/>
    <w:rsid w:val="205B7F9E"/>
    <w:rsid w:val="205B7F9E"/>
    <w:rsid w:val="2069EC1D"/>
    <w:rsid w:val="20E4CDB1"/>
    <w:rsid w:val="20F89F58"/>
    <w:rsid w:val="2124DB40"/>
    <w:rsid w:val="2124DB40"/>
    <w:rsid w:val="213C1A14"/>
    <w:rsid w:val="2144E9B4"/>
    <w:rsid w:val="21836DE8"/>
    <w:rsid w:val="21836DE8"/>
    <w:rsid w:val="2184890B"/>
    <w:rsid w:val="218E42FF"/>
    <w:rsid w:val="21BDBF24"/>
    <w:rsid w:val="21E0394B"/>
    <w:rsid w:val="21E0394B"/>
    <w:rsid w:val="2218BA3A"/>
    <w:rsid w:val="2220F6C2"/>
    <w:rsid w:val="22267C43"/>
    <w:rsid w:val="2230F82A"/>
    <w:rsid w:val="229728E1"/>
    <w:rsid w:val="22E4B5C8"/>
    <w:rsid w:val="231251B0"/>
    <w:rsid w:val="231A3F36"/>
    <w:rsid w:val="239D5784"/>
    <w:rsid w:val="23B48A9B"/>
    <w:rsid w:val="2417B7E4"/>
    <w:rsid w:val="241EA932"/>
    <w:rsid w:val="24445721"/>
    <w:rsid w:val="24629CA5"/>
    <w:rsid w:val="246736A7"/>
    <w:rsid w:val="24A56468"/>
    <w:rsid w:val="24BC2AAF"/>
    <w:rsid w:val="24BC2AAF"/>
    <w:rsid w:val="24D78926"/>
    <w:rsid w:val="24FF055D"/>
    <w:rsid w:val="25033ED5"/>
    <w:rsid w:val="25033ED5"/>
    <w:rsid w:val="2517DA0D"/>
    <w:rsid w:val="2526965A"/>
    <w:rsid w:val="2526965A"/>
    <w:rsid w:val="254F1005"/>
    <w:rsid w:val="25505AFC"/>
    <w:rsid w:val="25705BDB"/>
    <w:rsid w:val="25705BDB"/>
    <w:rsid w:val="25BA7993"/>
    <w:rsid w:val="25E664CB"/>
    <w:rsid w:val="25F19960"/>
    <w:rsid w:val="25FE6D06"/>
    <w:rsid w:val="2625721E"/>
    <w:rsid w:val="264CCAB1"/>
    <w:rsid w:val="26561C38"/>
    <w:rsid w:val="26735987"/>
    <w:rsid w:val="26883926"/>
    <w:rsid w:val="26883926"/>
    <w:rsid w:val="26A33FFF"/>
    <w:rsid w:val="26CEC217"/>
    <w:rsid w:val="26D17FB8"/>
    <w:rsid w:val="26D17FB8"/>
    <w:rsid w:val="26DB2E75"/>
    <w:rsid w:val="26EAE066"/>
    <w:rsid w:val="277CD358"/>
    <w:rsid w:val="27857D36"/>
    <w:rsid w:val="27857D36"/>
    <w:rsid w:val="2785AF0C"/>
    <w:rsid w:val="278C620F"/>
    <w:rsid w:val="278C620F"/>
    <w:rsid w:val="278D69C1"/>
    <w:rsid w:val="279C2651"/>
    <w:rsid w:val="27A462D9"/>
    <w:rsid w:val="27A59504"/>
    <w:rsid w:val="27CF7D4D"/>
    <w:rsid w:val="27CF7D4D"/>
    <w:rsid w:val="285D3B83"/>
    <w:rsid w:val="2885F211"/>
    <w:rsid w:val="28901BA0"/>
    <w:rsid w:val="28D200AA"/>
    <w:rsid w:val="290F5EA2"/>
    <w:rsid w:val="298D1F07"/>
    <w:rsid w:val="29AEAE81"/>
    <w:rsid w:val="29D6AFF8"/>
    <w:rsid w:val="2A43CCFE"/>
    <w:rsid w:val="2A9EBD3C"/>
    <w:rsid w:val="2AA0AD91"/>
    <w:rsid w:val="2AF74B74"/>
    <w:rsid w:val="2AF74B74"/>
    <w:rsid w:val="2B0499EC"/>
    <w:rsid w:val="2B0D97DF"/>
    <w:rsid w:val="2B2DA24D"/>
    <w:rsid w:val="2B5EAB32"/>
    <w:rsid w:val="2B728059"/>
    <w:rsid w:val="2B728059"/>
    <w:rsid w:val="2B77E48B"/>
    <w:rsid w:val="2B77E48B"/>
    <w:rsid w:val="2B9B97F7"/>
    <w:rsid w:val="2BCEEE6D"/>
    <w:rsid w:val="2BD6BB30"/>
    <w:rsid w:val="2C40113D"/>
    <w:rsid w:val="2C40113D"/>
    <w:rsid w:val="2C46FF64"/>
    <w:rsid w:val="2C6DAE8A"/>
    <w:rsid w:val="2C77D3FC"/>
    <w:rsid w:val="2C77D3FC"/>
    <w:rsid w:val="2CA7F91F"/>
    <w:rsid w:val="2D176E93"/>
    <w:rsid w:val="2D176E93"/>
    <w:rsid w:val="2D28A2D6"/>
    <w:rsid w:val="2D28A2D6"/>
    <w:rsid w:val="2D596334"/>
    <w:rsid w:val="2D6CC91A"/>
    <w:rsid w:val="2D6CC91A"/>
    <w:rsid w:val="2D7B36D2"/>
    <w:rsid w:val="2D820B7A"/>
    <w:rsid w:val="2D8CC79B"/>
    <w:rsid w:val="2D8CC79B"/>
    <w:rsid w:val="2DA571CD"/>
    <w:rsid w:val="2DA7290B"/>
    <w:rsid w:val="2DB9E382"/>
    <w:rsid w:val="2E097EEB"/>
    <w:rsid w:val="2E097EEB"/>
    <w:rsid w:val="2E964BF4"/>
    <w:rsid w:val="2EAF0056"/>
    <w:rsid w:val="2ED76363"/>
    <w:rsid w:val="2F1C9AF6"/>
    <w:rsid w:val="2F661C37"/>
    <w:rsid w:val="2FDF7230"/>
    <w:rsid w:val="30374225"/>
    <w:rsid w:val="30374225"/>
    <w:rsid w:val="303F575C"/>
    <w:rsid w:val="30651F20"/>
    <w:rsid w:val="30BAC41F"/>
    <w:rsid w:val="3111B2F8"/>
    <w:rsid w:val="3142A2C6"/>
    <w:rsid w:val="3145E0D4"/>
    <w:rsid w:val="316ABF13"/>
    <w:rsid w:val="3173DB70"/>
    <w:rsid w:val="31CDECB6"/>
    <w:rsid w:val="31D69664"/>
    <w:rsid w:val="31D7DE77"/>
    <w:rsid w:val="3215614F"/>
    <w:rsid w:val="32403A3D"/>
    <w:rsid w:val="326038BE"/>
    <w:rsid w:val="3267D052"/>
    <w:rsid w:val="3290A6C4"/>
    <w:rsid w:val="32A3099D"/>
    <w:rsid w:val="32C1EFF6"/>
    <w:rsid w:val="32C1EFF6"/>
    <w:rsid w:val="32C27F5B"/>
    <w:rsid w:val="331F96F5"/>
    <w:rsid w:val="334D4839"/>
    <w:rsid w:val="3374E8E6"/>
    <w:rsid w:val="33F9B6B9"/>
    <w:rsid w:val="3403A0B3"/>
    <w:rsid w:val="3425B1A1"/>
    <w:rsid w:val="34626871"/>
    <w:rsid w:val="346935D5"/>
    <w:rsid w:val="34B8F781"/>
    <w:rsid w:val="35184C92"/>
    <w:rsid w:val="35692110"/>
    <w:rsid w:val="358B4C5F"/>
    <w:rsid w:val="35A0E8FE"/>
    <w:rsid w:val="35B083B2"/>
    <w:rsid w:val="35B083B2"/>
    <w:rsid w:val="35FE38D2"/>
    <w:rsid w:val="35FE38D2"/>
    <w:rsid w:val="36272FAD"/>
    <w:rsid w:val="363643AB"/>
    <w:rsid w:val="363643AB"/>
    <w:rsid w:val="368D8E1D"/>
    <w:rsid w:val="36BD6F02"/>
    <w:rsid w:val="37D117ED"/>
    <w:rsid w:val="3809861B"/>
    <w:rsid w:val="38470854"/>
    <w:rsid w:val="38A3030C"/>
    <w:rsid w:val="38D95972"/>
    <w:rsid w:val="39138A42"/>
    <w:rsid w:val="39206373"/>
    <w:rsid w:val="3940392F"/>
    <w:rsid w:val="399C3E7F"/>
    <w:rsid w:val="39B93EE8"/>
    <w:rsid w:val="39C2B554"/>
    <w:rsid w:val="39C79DEB"/>
    <w:rsid w:val="39F728C5"/>
    <w:rsid w:val="3A476625"/>
    <w:rsid w:val="3A4FACD8"/>
    <w:rsid w:val="3A7529D3"/>
    <w:rsid w:val="3A7529D3"/>
    <w:rsid w:val="3A9EF4C6"/>
    <w:rsid w:val="3AA205B0"/>
    <w:rsid w:val="3B133F88"/>
    <w:rsid w:val="3B133F88"/>
    <w:rsid w:val="3B380EE0"/>
    <w:rsid w:val="3B7EA916"/>
    <w:rsid w:val="3D0D7300"/>
    <w:rsid w:val="3D22D21F"/>
    <w:rsid w:val="3D2D9D7B"/>
    <w:rsid w:val="3D3B7EC8"/>
    <w:rsid w:val="3D688149"/>
    <w:rsid w:val="3D76742F"/>
    <w:rsid w:val="3D76742F"/>
    <w:rsid w:val="3DA0DA9E"/>
    <w:rsid w:val="3DD0074C"/>
    <w:rsid w:val="3DD70DA3"/>
    <w:rsid w:val="3DF65FA3"/>
    <w:rsid w:val="3E046250"/>
    <w:rsid w:val="3E282E15"/>
    <w:rsid w:val="3E6349F1"/>
    <w:rsid w:val="3EA5C31F"/>
    <w:rsid w:val="3F0451AA"/>
    <w:rsid w:val="3F12F56E"/>
    <w:rsid w:val="3F3487E0"/>
    <w:rsid w:val="3F72DE04"/>
    <w:rsid w:val="3FA62D62"/>
    <w:rsid w:val="3FB4E996"/>
    <w:rsid w:val="3FBE3700"/>
    <w:rsid w:val="3FE22999"/>
    <w:rsid w:val="40250011"/>
    <w:rsid w:val="40960DAC"/>
    <w:rsid w:val="40960DAC"/>
    <w:rsid w:val="40A0220B"/>
    <w:rsid w:val="40D05841"/>
    <w:rsid w:val="40E9A524"/>
    <w:rsid w:val="40E9A524"/>
    <w:rsid w:val="41419C57"/>
    <w:rsid w:val="414AA2A2"/>
    <w:rsid w:val="414AA2A2"/>
    <w:rsid w:val="414D60F3"/>
    <w:rsid w:val="4169205E"/>
    <w:rsid w:val="41A929B7"/>
    <w:rsid w:val="41C0D072"/>
    <w:rsid w:val="41E70F77"/>
    <w:rsid w:val="42744BC1"/>
    <w:rsid w:val="427A25C6"/>
    <w:rsid w:val="42C9D0C6"/>
    <w:rsid w:val="42C9D0C6"/>
    <w:rsid w:val="42DF72CE"/>
    <w:rsid w:val="42EF25A1"/>
    <w:rsid w:val="42EF25A1"/>
    <w:rsid w:val="431E516D"/>
    <w:rsid w:val="434B85DD"/>
    <w:rsid w:val="43CBD6B3"/>
    <w:rsid w:val="44793D19"/>
    <w:rsid w:val="449B92E6"/>
    <w:rsid w:val="44A0C120"/>
    <w:rsid w:val="44E7563E"/>
    <w:rsid w:val="44F87134"/>
    <w:rsid w:val="4515971C"/>
    <w:rsid w:val="451D3585"/>
    <w:rsid w:val="45227C5B"/>
    <w:rsid w:val="45CE9502"/>
    <w:rsid w:val="45F36F0B"/>
    <w:rsid w:val="45F36F0B"/>
    <w:rsid w:val="46B905E6"/>
    <w:rsid w:val="46DEA00A"/>
    <w:rsid w:val="46DEA00A"/>
    <w:rsid w:val="47083F70"/>
    <w:rsid w:val="4742F351"/>
    <w:rsid w:val="476A6563"/>
    <w:rsid w:val="479AC5E7"/>
    <w:rsid w:val="481EF700"/>
    <w:rsid w:val="4842E6DF"/>
    <w:rsid w:val="48433656"/>
    <w:rsid w:val="48433656"/>
    <w:rsid w:val="48861F79"/>
    <w:rsid w:val="48B54D8C"/>
    <w:rsid w:val="48F7755A"/>
    <w:rsid w:val="490B4C70"/>
    <w:rsid w:val="494D3C15"/>
    <w:rsid w:val="497D05BD"/>
    <w:rsid w:val="497D05BD"/>
    <w:rsid w:val="49BAC761"/>
    <w:rsid w:val="49E3402F"/>
    <w:rsid w:val="49F0A6A8"/>
    <w:rsid w:val="49FA9704"/>
    <w:rsid w:val="4A689329"/>
    <w:rsid w:val="4A689329"/>
    <w:rsid w:val="4AAC54AD"/>
    <w:rsid w:val="4B137FAB"/>
    <w:rsid w:val="4B51A803"/>
    <w:rsid w:val="4C025FB9"/>
    <w:rsid w:val="4C08DA52"/>
    <w:rsid w:val="4C130AE8"/>
    <w:rsid w:val="4C466259"/>
    <w:rsid w:val="4CC474FD"/>
    <w:rsid w:val="4CDC2E39"/>
    <w:rsid w:val="4CDD256C"/>
    <w:rsid w:val="4CF7D964"/>
    <w:rsid w:val="4CF7D964"/>
    <w:rsid w:val="4D470F01"/>
    <w:rsid w:val="4D59909C"/>
    <w:rsid w:val="4D91D329"/>
    <w:rsid w:val="4D9E301A"/>
    <w:rsid w:val="4D9E301A"/>
    <w:rsid w:val="4DD683D6"/>
    <w:rsid w:val="4DEC874A"/>
    <w:rsid w:val="4DF7B7C2"/>
    <w:rsid w:val="4E0A076B"/>
    <w:rsid w:val="4E0F417B"/>
    <w:rsid w:val="4E77FE9A"/>
    <w:rsid w:val="4EB16AA3"/>
    <w:rsid w:val="4F2A4E8A"/>
    <w:rsid w:val="4F2A4E8A"/>
    <w:rsid w:val="4F3A007B"/>
    <w:rsid w:val="4F7412BF"/>
    <w:rsid w:val="5041AEBE"/>
    <w:rsid w:val="504C1D2C"/>
    <w:rsid w:val="504C1D2C"/>
    <w:rsid w:val="50656551"/>
    <w:rsid w:val="5090F111"/>
    <w:rsid w:val="5095D978"/>
    <w:rsid w:val="50ADFE59"/>
    <w:rsid w:val="50DCFFAC"/>
    <w:rsid w:val="50E25C68"/>
    <w:rsid w:val="51370641"/>
    <w:rsid w:val="51695C64"/>
    <w:rsid w:val="51A0925C"/>
    <w:rsid w:val="51A18A45"/>
    <w:rsid w:val="51F57211"/>
    <w:rsid w:val="52238422"/>
    <w:rsid w:val="52798EC3"/>
    <w:rsid w:val="527E2CC9"/>
    <w:rsid w:val="52A7009C"/>
    <w:rsid w:val="52B733C1"/>
    <w:rsid w:val="52B733C1"/>
    <w:rsid w:val="52B8C9B6"/>
    <w:rsid w:val="52C18C04"/>
    <w:rsid w:val="5323020F"/>
    <w:rsid w:val="5326B522"/>
    <w:rsid w:val="532CB0CC"/>
    <w:rsid w:val="539788EE"/>
    <w:rsid w:val="53BF5483"/>
    <w:rsid w:val="53CE55AF"/>
    <w:rsid w:val="544DE714"/>
    <w:rsid w:val="545D5A20"/>
    <w:rsid w:val="545D5C65"/>
    <w:rsid w:val="545D5C65"/>
    <w:rsid w:val="54C28583"/>
    <w:rsid w:val="54CE3C47"/>
    <w:rsid w:val="54FEDBC9"/>
    <w:rsid w:val="54FEDBC9"/>
    <w:rsid w:val="55042557"/>
    <w:rsid w:val="552D47E9"/>
    <w:rsid w:val="555F0EFE"/>
    <w:rsid w:val="55B12F85"/>
    <w:rsid w:val="55B12F85"/>
    <w:rsid w:val="55FB0EF2"/>
    <w:rsid w:val="55FB0EF2"/>
    <w:rsid w:val="5600008C"/>
    <w:rsid w:val="5600008C"/>
    <w:rsid w:val="56115C3F"/>
    <w:rsid w:val="5612DC8F"/>
    <w:rsid w:val="56954F55"/>
    <w:rsid w:val="56990D00"/>
    <w:rsid w:val="56A284E8"/>
    <w:rsid w:val="56DF7E20"/>
    <w:rsid w:val="57A647C5"/>
    <w:rsid w:val="57C1E8B4"/>
    <w:rsid w:val="57D68C3F"/>
    <w:rsid w:val="57F67332"/>
    <w:rsid w:val="580AF1DD"/>
    <w:rsid w:val="580BB4B0"/>
    <w:rsid w:val="582E63AA"/>
    <w:rsid w:val="5831720F"/>
    <w:rsid w:val="58367C8B"/>
    <w:rsid w:val="587CD7F3"/>
    <w:rsid w:val="58A93DFD"/>
    <w:rsid w:val="58AD60D7"/>
    <w:rsid w:val="58BE5DE9"/>
    <w:rsid w:val="58C9BE35"/>
    <w:rsid w:val="59164220"/>
    <w:rsid w:val="59822EFD"/>
    <w:rsid w:val="59AA9614"/>
    <w:rsid w:val="59AA9614"/>
    <w:rsid w:val="59AAE58B"/>
    <w:rsid w:val="59CF0EF7"/>
    <w:rsid w:val="59D24CEC"/>
    <w:rsid w:val="59F6F424"/>
    <w:rsid w:val="59F7D5FB"/>
    <w:rsid w:val="5A06CA72"/>
    <w:rsid w:val="5A3F72B2"/>
    <w:rsid w:val="5A450E5E"/>
    <w:rsid w:val="5A5A2E4A"/>
    <w:rsid w:val="5A5C971E"/>
    <w:rsid w:val="5A78EAC6"/>
    <w:rsid w:val="5ADE419D"/>
    <w:rsid w:val="5B15D18B"/>
    <w:rsid w:val="5B15D18B"/>
    <w:rsid w:val="5B2C8D3A"/>
    <w:rsid w:val="5B2C8D3A"/>
    <w:rsid w:val="5B37C2B1"/>
    <w:rsid w:val="5B432F86"/>
    <w:rsid w:val="5C37366E"/>
    <w:rsid w:val="5C7C92FF"/>
    <w:rsid w:val="5C7EB01D"/>
    <w:rsid w:val="5CC3F66A"/>
    <w:rsid w:val="5CC97EB3"/>
    <w:rsid w:val="5CDEFFE7"/>
    <w:rsid w:val="5CF5EC33"/>
    <w:rsid w:val="5CFC6C65"/>
    <w:rsid w:val="5D1CC297"/>
    <w:rsid w:val="5D735904"/>
    <w:rsid w:val="5DA9C595"/>
    <w:rsid w:val="5DC102AA"/>
    <w:rsid w:val="5DC102AA"/>
    <w:rsid w:val="5DD439DC"/>
    <w:rsid w:val="5E356B0D"/>
    <w:rsid w:val="5E3F445C"/>
    <w:rsid w:val="5E3F445C"/>
    <w:rsid w:val="5EA02A4C"/>
    <w:rsid w:val="5EA2F335"/>
    <w:rsid w:val="5EAE6ABE"/>
    <w:rsid w:val="5EDDEFCD"/>
    <w:rsid w:val="5EEB1070"/>
    <w:rsid w:val="5F13724D"/>
    <w:rsid w:val="5F2F08E2"/>
    <w:rsid w:val="5F60CF74"/>
    <w:rsid w:val="5FA1CE17"/>
    <w:rsid w:val="5FB1B2C0"/>
    <w:rsid w:val="5FB3F658"/>
    <w:rsid w:val="5FEB4249"/>
    <w:rsid w:val="5FFFFE5D"/>
    <w:rsid w:val="60346319"/>
    <w:rsid w:val="60346319"/>
    <w:rsid w:val="6037DDDB"/>
    <w:rsid w:val="603BC028"/>
    <w:rsid w:val="60418E70"/>
    <w:rsid w:val="604679D2"/>
    <w:rsid w:val="6049672E"/>
    <w:rsid w:val="6049672E"/>
    <w:rsid w:val="606B4C54"/>
    <w:rsid w:val="6093E72F"/>
    <w:rsid w:val="60B97311"/>
    <w:rsid w:val="60BE6709"/>
    <w:rsid w:val="612F4D4D"/>
    <w:rsid w:val="616E61FD"/>
    <w:rsid w:val="619FE016"/>
    <w:rsid w:val="61AC9AC9"/>
    <w:rsid w:val="61E4A52F"/>
    <w:rsid w:val="620C5491"/>
    <w:rsid w:val="620C5491"/>
    <w:rsid w:val="6226E012"/>
    <w:rsid w:val="622FB790"/>
    <w:rsid w:val="622FB790"/>
    <w:rsid w:val="6232668D"/>
    <w:rsid w:val="62385C6F"/>
    <w:rsid w:val="62427141"/>
    <w:rsid w:val="6266A9A4"/>
    <w:rsid w:val="626AD44E"/>
    <w:rsid w:val="62851E1A"/>
    <w:rsid w:val="6287355F"/>
    <w:rsid w:val="6296AA56"/>
    <w:rsid w:val="62A05DBC"/>
    <w:rsid w:val="62B1A7E7"/>
    <w:rsid w:val="62CF4871"/>
    <w:rsid w:val="62F2E030"/>
    <w:rsid w:val="630FE8E6"/>
    <w:rsid w:val="634E416B"/>
    <w:rsid w:val="6353EF1D"/>
    <w:rsid w:val="636F4BCC"/>
    <w:rsid w:val="636F4BCC"/>
    <w:rsid w:val="6382D9D2"/>
    <w:rsid w:val="63A4D8CB"/>
    <w:rsid w:val="63AED4BA"/>
    <w:rsid w:val="63B160F0"/>
    <w:rsid w:val="63D42CD0"/>
    <w:rsid w:val="6406A4AF"/>
    <w:rsid w:val="64615BE4"/>
    <w:rsid w:val="648CB853"/>
    <w:rsid w:val="64EA11CC"/>
    <w:rsid w:val="6507D43C"/>
    <w:rsid w:val="654A85FE"/>
    <w:rsid w:val="654C872E"/>
    <w:rsid w:val="655AC64B"/>
    <w:rsid w:val="656A074F"/>
    <w:rsid w:val="65CDB413"/>
    <w:rsid w:val="675A7ED1"/>
    <w:rsid w:val="67C45915"/>
    <w:rsid w:val="682538F4"/>
    <w:rsid w:val="683F74FE"/>
    <w:rsid w:val="690B7F9D"/>
    <w:rsid w:val="6946EF0D"/>
    <w:rsid w:val="6946EF0D"/>
    <w:rsid w:val="69602976"/>
    <w:rsid w:val="69790BFB"/>
    <w:rsid w:val="69C8A764"/>
    <w:rsid w:val="69F836FA"/>
    <w:rsid w:val="6A086146"/>
    <w:rsid w:val="6A1E163E"/>
    <w:rsid w:val="6A865D55"/>
    <w:rsid w:val="6A86B506"/>
    <w:rsid w:val="6AC08F8D"/>
    <w:rsid w:val="6ACCC084"/>
    <w:rsid w:val="6B14C1FB"/>
    <w:rsid w:val="6B3EEBFC"/>
    <w:rsid w:val="6B7666A1"/>
    <w:rsid w:val="6BA0E17C"/>
    <w:rsid w:val="6BA431A7"/>
    <w:rsid w:val="6C3724D5"/>
    <w:rsid w:val="6C3724D5"/>
    <w:rsid w:val="6C5D025A"/>
    <w:rsid w:val="6C613475"/>
    <w:rsid w:val="6C8D5360"/>
    <w:rsid w:val="6CA7FC64"/>
    <w:rsid w:val="6CC0E0DD"/>
    <w:rsid w:val="6D015558"/>
    <w:rsid w:val="6D1BF59F"/>
    <w:rsid w:val="6D83C1B4"/>
    <w:rsid w:val="6D83C1B4"/>
    <w:rsid w:val="6D916A54"/>
    <w:rsid w:val="6DE31063"/>
    <w:rsid w:val="6DFCAAC7"/>
    <w:rsid w:val="6E062133"/>
    <w:rsid w:val="6E1A723C"/>
    <w:rsid w:val="6E5CB13E"/>
    <w:rsid w:val="6E5CB13E"/>
    <w:rsid w:val="6E6B839D"/>
    <w:rsid w:val="6ECBA81D"/>
    <w:rsid w:val="6ECBA81D"/>
    <w:rsid w:val="6EDBD269"/>
    <w:rsid w:val="6EDBD269"/>
    <w:rsid w:val="6EEC3ABD"/>
    <w:rsid w:val="6EEF231F"/>
    <w:rsid w:val="6F53B575"/>
    <w:rsid w:val="6FCE36DB"/>
    <w:rsid w:val="70172699"/>
    <w:rsid w:val="7045D03B"/>
    <w:rsid w:val="7045D03B"/>
    <w:rsid w:val="7051EC88"/>
    <w:rsid w:val="7077A2CA"/>
    <w:rsid w:val="707AF4E9"/>
    <w:rsid w:val="70CABF70"/>
    <w:rsid w:val="70CABF70"/>
    <w:rsid w:val="71195744"/>
    <w:rsid w:val="716EB7DC"/>
    <w:rsid w:val="71723566"/>
    <w:rsid w:val="71723566"/>
    <w:rsid w:val="7182FA83"/>
    <w:rsid w:val="71FD6EDA"/>
    <w:rsid w:val="72028A29"/>
    <w:rsid w:val="72028A29"/>
    <w:rsid w:val="7208EE97"/>
    <w:rsid w:val="7223DB7F"/>
    <w:rsid w:val="722A65E1"/>
    <w:rsid w:val="7275F572"/>
    <w:rsid w:val="728B5637"/>
    <w:rsid w:val="72B68186"/>
    <w:rsid w:val="72B97570"/>
    <w:rsid w:val="72F9B5B7"/>
    <w:rsid w:val="730C02F1"/>
    <w:rsid w:val="730C02F1"/>
    <w:rsid w:val="7395585C"/>
    <w:rsid w:val="7395585C"/>
    <w:rsid w:val="739F1940"/>
    <w:rsid w:val="73C2EA1B"/>
    <w:rsid w:val="73C2EA1B"/>
    <w:rsid w:val="73E39E90"/>
    <w:rsid w:val="73E99941"/>
    <w:rsid w:val="74026032"/>
    <w:rsid w:val="748FD086"/>
    <w:rsid w:val="74EA97BC"/>
    <w:rsid w:val="74EA97BC"/>
    <w:rsid w:val="74F28125"/>
    <w:rsid w:val="75495759"/>
    <w:rsid w:val="754B13ED"/>
    <w:rsid w:val="754B13ED"/>
    <w:rsid w:val="755EBA7C"/>
    <w:rsid w:val="7575E243"/>
    <w:rsid w:val="7589ADCB"/>
    <w:rsid w:val="75BC5BB6"/>
    <w:rsid w:val="75BC5BB6"/>
    <w:rsid w:val="75DE5692"/>
    <w:rsid w:val="764E9AC6"/>
    <w:rsid w:val="76ADA006"/>
    <w:rsid w:val="76C12E0C"/>
    <w:rsid w:val="76CCF91E"/>
    <w:rsid w:val="76D6BA02"/>
    <w:rsid w:val="77071302"/>
    <w:rsid w:val="7770CA4C"/>
    <w:rsid w:val="77A18E54"/>
    <w:rsid w:val="781E66ED"/>
    <w:rsid w:val="78270835"/>
    <w:rsid w:val="784BF585"/>
    <w:rsid w:val="78682B8C"/>
    <w:rsid w:val="78682B8C"/>
    <w:rsid w:val="787DB59C"/>
    <w:rsid w:val="7882E1CE"/>
    <w:rsid w:val="78B22124"/>
    <w:rsid w:val="78F3FC78"/>
    <w:rsid w:val="793F5D6E"/>
    <w:rsid w:val="79664047"/>
    <w:rsid w:val="796C5475"/>
    <w:rsid w:val="797D474B"/>
    <w:rsid w:val="79E7C5E6"/>
    <w:rsid w:val="7A1EB22F"/>
    <w:rsid w:val="7A3577C6"/>
    <w:rsid w:val="7A5ED9AA"/>
    <w:rsid w:val="7A60AEE0"/>
    <w:rsid w:val="7A60AEE0"/>
    <w:rsid w:val="7AA5204C"/>
    <w:rsid w:val="7AE47CFD"/>
    <w:rsid w:val="7B1917AC"/>
    <w:rsid w:val="7B9D9D22"/>
    <w:rsid w:val="7BBA8290"/>
    <w:rsid w:val="7BF6DE48"/>
    <w:rsid w:val="7C0DFFF0"/>
    <w:rsid w:val="7C67D420"/>
    <w:rsid w:val="7CCEA3AC"/>
    <w:rsid w:val="7CCEA3AC"/>
    <w:rsid w:val="7CD1AE34"/>
    <w:rsid w:val="7CEEB0E2"/>
    <w:rsid w:val="7CF20F17"/>
    <w:rsid w:val="7D35A00F"/>
    <w:rsid w:val="7D922031"/>
    <w:rsid w:val="7DCCB9B4"/>
    <w:rsid w:val="7E227296"/>
    <w:rsid w:val="7E467560"/>
    <w:rsid w:val="7E6A740D"/>
    <w:rsid w:val="7E6B11A4"/>
    <w:rsid w:val="7E7BFD60"/>
    <w:rsid w:val="7E7BFD60"/>
    <w:rsid w:val="7E8DF885"/>
    <w:rsid w:val="7EACC951"/>
    <w:rsid w:val="7EB39F75"/>
    <w:rsid w:val="7EC36778"/>
    <w:rsid w:val="7EC36778"/>
    <w:rsid w:val="7EDD2B6A"/>
    <w:rsid w:val="7F293A03"/>
    <w:rsid w:val="7F96251A"/>
    <w:rsid w:val="7FBDF380"/>
    <w:rsid w:val="7FBDF380"/>
    <w:rsid w:val="7FDB71FB"/>
    <w:rsid w:val="7FE245C1"/>
    <w:rsid w:val="7FF354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C61B0"/>
  <w15:chartTrackingRefBased/>
  <w15:docId w15:val="{EB508B94-63F1-4E93-B444-FDBEBE59F9B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2de431cd47ab4f57" /><Relationship Type="http://schemas.openxmlformats.org/officeDocument/2006/relationships/header" Target="header.xml" Id="R3931ff8070e24c99" /><Relationship Type="http://schemas.openxmlformats.org/officeDocument/2006/relationships/footer" Target="footer.xml" Id="R0445beee2fa5466a" /><Relationship Type="http://schemas.openxmlformats.org/officeDocument/2006/relationships/image" Target="/media/image.jpg" Id="R26f1b9d11baf4b1f" /><Relationship Type="http://schemas.openxmlformats.org/officeDocument/2006/relationships/image" Target="/media/image.png" Id="R34fe2e4394964f4e" /><Relationship Type="http://schemas.openxmlformats.org/officeDocument/2006/relationships/image" Target="/media/image2.jpg" Id="Rba8fdb88bc334f2f" /><Relationship Type="http://schemas.openxmlformats.org/officeDocument/2006/relationships/image" Target="/media/image2.png" Id="R29211d5b32df48be" /><Relationship Type="http://schemas.openxmlformats.org/officeDocument/2006/relationships/image" Target="/media/image3.png" Id="Rd52d113e3d0d4dd5" /><Relationship Type="http://schemas.openxmlformats.org/officeDocument/2006/relationships/image" Target="/media/image4.png" Id="Rf838f5fca27a428b" /><Relationship Type="http://schemas.openxmlformats.org/officeDocument/2006/relationships/image" Target="/media/image3.jpg" Id="R92b1d9442b5047d5" /><Relationship Type="http://schemas.openxmlformats.org/officeDocument/2006/relationships/image" Target="/media/image5.png" Id="R0ae53d732c54446d" /><Relationship Type="http://schemas.openxmlformats.org/officeDocument/2006/relationships/image" Target="/media/image6.png" Id="R98e6bca02f9545a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2022-03-30T03:42:27.3870394Z</dcterms:created>
  <dcterms:modified xsi:type="dcterms:W3CDTF">2022-04-04T20:03:25.9401003Z</dcterms:modified>
  <dc:creator>Benjamin Stockton-Finch (1601773)</dc:creator>
  <lastModifiedBy>Benjamin Stockton-Finch (1601773)</lastModifiedBy>
</coreProperties>
</file>