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4B885" w14:textId="2499914B" w:rsidR="00DE791E" w:rsidRDefault="00A14074">
      <w:pPr>
        <w:spacing w:after="157" w:line="259" w:lineRule="auto"/>
        <w:ind w:right="2971"/>
        <w:jc w:val="right"/>
      </w:pPr>
      <w:r>
        <w:rPr>
          <w:b/>
        </w:rPr>
        <w:t>Programmed</w:t>
      </w:r>
      <w:r>
        <w:rPr>
          <w:b/>
        </w:rPr>
        <w:t xml:space="preserve">: Employability Skills </w:t>
      </w:r>
    </w:p>
    <w:p w14:paraId="7B47B728" w14:textId="77777777" w:rsidR="00DE791E" w:rsidRDefault="00A14074">
      <w:pPr>
        <w:spacing w:after="157" w:line="259" w:lineRule="auto"/>
        <w:ind w:right="2426"/>
        <w:jc w:val="right"/>
      </w:pPr>
      <w:r>
        <w:rPr>
          <w:b/>
        </w:rPr>
        <w:t xml:space="preserve">Module: Academic Skills for the Digital Era </w:t>
      </w:r>
    </w:p>
    <w:p w14:paraId="094A6881" w14:textId="77777777" w:rsidR="00DE791E" w:rsidRDefault="00A14074">
      <w:pPr>
        <w:spacing w:line="259" w:lineRule="auto"/>
        <w:ind w:left="3342"/>
        <w:jc w:val="left"/>
        <w:rPr>
          <w:b/>
        </w:rPr>
      </w:pPr>
      <w:r>
        <w:rPr>
          <w:b/>
        </w:rPr>
        <w:t xml:space="preserve">Module code: BMSW4013 </w:t>
      </w:r>
    </w:p>
    <w:p w14:paraId="4DD53FF6" w14:textId="4B1A78B9" w:rsidR="00A14074" w:rsidRDefault="00A14074">
      <w:pPr>
        <w:spacing w:line="259" w:lineRule="auto"/>
        <w:ind w:left="3342"/>
        <w:jc w:val="left"/>
        <w:rPr>
          <w:b/>
        </w:rPr>
      </w:pPr>
      <w:r>
        <w:rPr>
          <w:b/>
        </w:rPr>
        <w:t>Student name: Ramona Elena Miron</w:t>
      </w:r>
    </w:p>
    <w:p w14:paraId="093D7A31" w14:textId="0CADAD8C" w:rsidR="00A14074" w:rsidRDefault="00A14074">
      <w:pPr>
        <w:spacing w:line="259" w:lineRule="auto"/>
        <w:ind w:left="3342"/>
        <w:jc w:val="left"/>
      </w:pPr>
      <w:r>
        <w:rPr>
          <w:b/>
        </w:rPr>
        <w:t>Student number:2421212</w:t>
      </w:r>
    </w:p>
    <w:p w14:paraId="0697D0CB" w14:textId="77777777" w:rsidR="00DE791E" w:rsidRDefault="00A14074">
      <w:pPr>
        <w:spacing w:after="0" w:line="259" w:lineRule="auto"/>
        <w:ind w:left="0" w:firstLine="0"/>
        <w:jc w:val="left"/>
      </w:pPr>
      <w:r>
        <w:t xml:space="preserve"> </w:t>
      </w:r>
      <w:r>
        <w:tab/>
        <w:t xml:space="preserve"> </w:t>
      </w:r>
      <w:r>
        <w:br w:type="page"/>
      </w:r>
    </w:p>
    <w:sdt>
      <w:sdtPr>
        <w:id w:val="-790052518"/>
        <w:docPartObj>
          <w:docPartGallery w:val="Table of Contents"/>
        </w:docPartObj>
      </w:sdtPr>
      <w:sdtEndPr/>
      <w:sdtContent>
        <w:p w14:paraId="0931AA81" w14:textId="77777777" w:rsidR="00DE791E" w:rsidRDefault="00A14074">
          <w:pPr>
            <w:spacing w:after="275" w:line="259" w:lineRule="auto"/>
            <w:ind w:left="0" w:right="4" w:firstLine="0"/>
            <w:jc w:val="center"/>
          </w:pPr>
          <w:r>
            <w:rPr>
              <w:b/>
            </w:rPr>
            <w:t xml:space="preserve">Table of Contents </w:t>
          </w:r>
        </w:p>
        <w:p w14:paraId="5166D787" w14:textId="77777777" w:rsidR="00DE791E" w:rsidRDefault="00A14074">
          <w:pPr>
            <w:pStyle w:val="TOC1"/>
            <w:tabs>
              <w:tab w:val="right" w:leader="dot" w:pos="9365"/>
            </w:tabs>
          </w:pPr>
          <w:r>
            <w:fldChar w:fldCharType="begin"/>
          </w:r>
          <w:r>
            <w:instrText xml:space="preserve"> TOC \o "1-2" \h \z \u </w:instrText>
          </w:r>
          <w:r>
            <w:fldChar w:fldCharType="separate"/>
          </w:r>
          <w:hyperlink w:anchor="_Toc7731">
            <w:r>
              <w:t>1</w:t>
            </w:r>
            <w:r>
              <w:rPr>
                <w:rFonts w:ascii="Calibri" w:eastAsia="Calibri" w:hAnsi="Calibri" w:cs="Calibri"/>
                <w:sz w:val="22"/>
              </w:rPr>
              <w:t xml:space="preserve">  </w:t>
            </w:r>
            <w:r>
              <w:t>Introduction</w:t>
            </w:r>
            <w:r>
              <w:tab/>
            </w:r>
            <w:r>
              <w:fldChar w:fldCharType="begin"/>
            </w:r>
            <w:r>
              <w:instrText>PAGEREF _Toc7731 \h</w:instrText>
            </w:r>
            <w:r>
              <w:fldChar w:fldCharType="separate"/>
            </w:r>
            <w:r>
              <w:t xml:space="preserve">3 </w:t>
            </w:r>
            <w:r>
              <w:fldChar w:fldCharType="end"/>
            </w:r>
          </w:hyperlink>
        </w:p>
        <w:p w14:paraId="71672683" w14:textId="77777777" w:rsidR="00DE791E" w:rsidRDefault="00A14074">
          <w:pPr>
            <w:pStyle w:val="TOC1"/>
            <w:tabs>
              <w:tab w:val="right" w:leader="dot" w:pos="9365"/>
            </w:tabs>
          </w:pPr>
          <w:hyperlink w:anchor="_Toc7732">
            <w:r>
              <w:t>2</w:t>
            </w:r>
            <w:r>
              <w:rPr>
                <w:rFonts w:ascii="Calibri" w:eastAsia="Calibri" w:hAnsi="Calibri" w:cs="Calibri"/>
                <w:sz w:val="22"/>
              </w:rPr>
              <w:t xml:space="preserve">  </w:t>
            </w:r>
            <w:r>
              <w:t>Gibbs’ Reflective Cycle</w:t>
            </w:r>
            <w:r>
              <w:tab/>
            </w:r>
            <w:r>
              <w:fldChar w:fldCharType="begin"/>
            </w:r>
            <w:r>
              <w:instrText>PAGEREF _Toc7732 \h</w:instrText>
            </w:r>
            <w:r>
              <w:fldChar w:fldCharType="separate"/>
            </w:r>
            <w:r>
              <w:t xml:space="preserve">3 </w:t>
            </w:r>
            <w:r>
              <w:fldChar w:fldCharType="end"/>
            </w:r>
          </w:hyperlink>
        </w:p>
        <w:p w14:paraId="1D3D72F1" w14:textId="77777777" w:rsidR="00DE791E" w:rsidRDefault="00A14074">
          <w:pPr>
            <w:pStyle w:val="TOC2"/>
            <w:tabs>
              <w:tab w:val="right" w:leader="dot" w:pos="9365"/>
            </w:tabs>
          </w:pPr>
          <w:hyperlink w:anchor="_Toc7733">
            <w:r>
              <w:t>2.1</w:t>
            </w:r>
            <w:r>
              <w:rPr>
                <w:rFonts w:ascii="Calibri" w:eastAsia="Calibri" w:hAnsi="Calibri" w:cs="Calibri"/>
                <w:sz w:val="22"/>
              </w:rPr>
              <w:t xml:space="preserve">  </w:t>
            </w:r>
            <w:r>
              <w:t>Description</w:t>
            </w:r>
            <w:r>
              <w:tab/>
            </w:r>
            <w:r>
              <w:fldChar w:fldCharType="begin"/>
            </w:r>
            <w:r>
              <w:instrText>PAGEREF _Toc7733 \h</w:instrText>
            </w:r>
            <w:r>
              <w:fldChar w:fldCharType="separate"/>
            </w:r>
            <w:r>
              <w:t xml:space="preserve">3 </w:t>
            </w:r>
            <w:r>
              <w:fldChar w:fldCharType="end"/>
            </w:r>
          </w:hyperlink>
        </w:p>
        <w:p w14:paraId="596F4B0F" w14:textId="77777777" w:rsidR="00DE791E" w:rsidRDefault="00A14074">
          <w:pPr>
            <w:pStyle w:val="TOC2"/>
            <w:tabs>
              <w:tab w:val="right" w:leader="dot" w:pos="9365"/>
            </w:tabs>
          </w:pPr>
          <w:hyperlink w:anchor="_Toc7734">
            <w:r>
              <w:t>2.2</w:t>
            </w:r>
            <w:r>
              <w:rPr>
                <w:rFonts w:ascii="Calibri" w:eastAsia="Calibri" w:hAnsi="Calibri" w:cs="Calibri"/>
                <w:sz w:val="22"/>
              </w:rPr>
              <w:t xml:space="preserve">  </w:t>
            </w:r>
            <w:r>
              <w:t>Feelings</w:t>
            </w:r>
            <w:r>
              <w:tab/>
            </w:r>
            <w:r>
              <w:fldChar w:fldCharType="begin"/>
            </w:r>
            <w:r>
              <w:instrText>PAGEREF _Toc7734 \h</w:instrText>
            </w:r>
            <w:r>
              <w:fldChar w:fldCharType="separate"/>
            </w:r>
            <w:r>
              <w:t xml:space="preserve">4 </w:t>
            </w:r>
            <w:r>
              <w:fldChar w:fldCharType="end"/>
            </w:r>
          </w:hyperlink>
        </w:p>
        <w:p w14:paraId="1D9F718B" w14:textId="77777777" w:rsidR="00DE791E" w:rsidRDefault="00A14074">
          <w:pPr>
            <w:pStyle w:val="TOC2"/>
            <w:tabs>
              <w:tab w:val="right" w:leader="dot" w:pos="9365"/>
            </w:tabs>
          </w:pPr>
          <w:hyperlink w:anchor="_Toc7735">
            <w:r>
              <w:t>2.3</w:t>
            </w:r>
            <w:r>
              <w:rPr>
                <w:rFonts w:ascii="Calibri" w:eastAsia="Calibri" w:hAnsi="Calibri" w:cs="Calibri"/>
                <w:sz w:val="22"/>
              </w:rPr>
              <w:t xml:space="preserve">  </w:t>
            </w:r>
            <w:r>
              <w:t>Evaluation</w:t>
            </w:r>
            <w:r>
              <w:tab/>
            </w:r>
            <w:r>
              <w:fldChar w:fldCharType="begin"/>
            </w:r>
            <w:r>
              <w:instrText>PAGEREF _Toc7735 \h</w:instrText>
            </w:r>
            <w:r>
              <w:fldChar w:fldCharType="separate"/>
            </w:r>
            <w:r>
              <w:t xml:space="preserve">4 </w:t>
            </w:r>
            <w:r>
              <w:fldChar w:fldCharType="end"/>
            </w:r>
          </w:hyperlink>
        </w:p>
        <w:p w14:paraId="08D394FA" w14:textId="77777777" w:rsidR="00DE791E" w:rsidRDefault="00A14074">
          <w:pPr>
            <w:pStyle w:val="TOC2"/>
            <w:tabs>
              <w:tab w:val="right" w:leader="dot" w:pos="9365"/>
            </w:tabs>
          </w:pPr>
          <w:hyperlink w:anchor="_Toc7736">
            <w:r>
              <w:t>2.4</w:t>
            </w:r>
            <w:r>
              <w:rPr>
                <w:rFonts w:ascii="Calibri" w:eastAsia="Calibri" w:hAnsi="Calibri" w:cs="Calibri"/>
                <w:sz w:val="22"/>
              </w:rPr>
              <w:t xml:space="preserve">  </w:t>
            </w:r>
            <w:r>
              <w:t>Analysis</w:t>
            </w:r>
            <w:r>
              <w:tab/>
            </w:r>
            <w:r>
              <w:fldChar w:fldCharType="begin"/>
            </w:r>
            <w:r>
              <w:instrText>PAGEREF _Toc7736 \h</w:instrText>
            </w:r>
            <w:r>
              <w:fldChar w:fldCharType="separate"/>
            </w:r>
            <w:r>
              <w:t xml:space="preserve">5 </w:t>
            </w:r>
            <w:r>
              <w:fldChar w:fldCharType="end"/>
            </w:r>
          </w:hyperlink>
        </w:p>
        <w:p w14:paraId="3806E621" w14:textId="77777777" w:rsidR="00DE791E" w:rsidRDefault="00A14074">
          <w:pPr>
            <w:pStyle w:val="TOC2"/>
            <w:tabs>
              <w:tab w:val="right" w:leader="dot" w:pos="9365"/>
            </w:tabs>
          </w:pPr>
          <w:hyperlink w:anchor="_Toc7737">
            <w:r>
              <w:t>2.5</w:t>
            </w:r>
            <w:r>
              <w:rPr>
                <w:rFonts w:ascii="Calibri" w:eastAsia="Calibri" w:hAnsi="Calibri" w:cs="Calibri"/>
                <w:sz w:val="22"/>
              </w:rPr>
              <w:t xml:space="preserve">  </w:t>
            </w:r>
            <w:r>
              <w:t>Conclusion</w:t>
            </w:r>
            <w:r>
              <w:tab/>
            </w:r>
            <w:r>
              <w:fldChar w:fldCharType="begin"/>
            </w:r>
            <w:r>
              <w:instrText>PAGEREF _Toc7737 \h</w:instrText>
            </w:r>
            <w:r>
              <w:fldChar w:fldCharType="separate"/>
            </w:r>
            <w:r>
              <w:t xml:space="preserve">6 </w:t>
            </w:r>
            <w:r>
              <w:fldChar w:fldCharType="end"/>
            </w:r>
          </w:hyperlink>
        </w:p>
        <w:p w14:paraId="7BB75960" w14:textId="77777777" w:rsidR="00DE791E" w:rsidRDefault="00A14074">
          <w:pPr>
            <w:pStyle w:val="TOC2"/>
            <w:tabs>
              <w:tab w:val="right" w:leader="dot" w:pos="9365"/>
            </w:tabs>
          </w:pPr>
          <w:hyperlink w:anchor="_Toc7738">
            <w:r>
              <w:t>2.6</w:t>
            </w:r>
            <w:r>
              <w:rPr>
                <w:rFonts w:ascii="Calibri" w:eastAsia="Calibri" w:hAnsi="Calibri" w:cs="Calibri"/>
                <w:sz w:val="22"/>
              </w:rPr>
              <w:t xml:space="preserve">  </w:t>
            </w:r>
            <w:r>
              <w:t>SMART Action Plan</w:t>
            </w:r>
            <w:r>
              <w:tab/>
            </w:r>
            <w:r>
              <w:fldChar w:fldCharType="begin"/>
            </w:r>
            <w:r>
              <w:instrText>PAGEREF _Toc7738 \h</w:instrText>
            </w:r>
            <w:r>
              <w:fldChar w:fldCharType="separate"/>
            </w:r>
            <w:r>
              <w:t xml:space="preserve">6 </w:t>
            </w:r>
            <w:r>
              <w:fldChar w:fldCharType="end"/>
            </w:r>
          </w:hyperlink>
        </w:p>
        <w:p w14:paraId="43ECAC77" w14:textId="77777777" w:rsidR="00DE791E" w:rsidRDefault="00A14074">
          <w:pPr>
            <w:pStyle w:val="TOC1"/>
            <w:tabs>
              <w:tab w:val="right" w:leader="dot" w:pos="9365"/>
            </w:tabs>
          </w:pPr>
          <w:hyperlink w:anchor="_Toc7739">
            <w:r>
              <w:t>3</w:t>
            </w:r>
            <w:r>
              <w:rPr>
                <w:rFonts w:ascii="Calibri" w:eastAsia="Calibri" w:hAnsi="Calibri" w:cs="Calibri"/>
                <w:sz w:val="22"/>
              </w:rPr>
              <w:t xml:space="preserve"> </w:t>
            </w:r>
            <w:r>
              <w:t>References</w:t>
            </w:r>
            <w:r>
              <w:tab/>
            </w:r>
            <w:r>
              <w:fldChar w:fldCharType="begin"/>
            </w:r>
            <w:r>
              <w:instrText>PAGEREF _Toc7739 \h</w:instrText>
            </w:r>
            <w:r>
              <w:fldChar w:fldCharType="separate"/>
            </w:r>
            <w:r>
              <w:t xml:space="preserve">8 </w:t>
            </w:r>
            <w:r>
              <w:fldChar w:fldCharType="end"/>
            </w:r>
          </w:hyperlink>
        </w:p>
        <w:p w14:paraId="69A11CFB" w14:textId="77777777" w:rsidR="00DE791E" w:rsidRDefault="00A14074">
          <w:r>
            <w:fldChar w:fldCharType="end"/>
          </w:r>
        </w:p>
      </w:sdtContent>
    </w:sdt>
    <w:p w14:paraId="64E1BB86" w14:textId="77777777" w:rsidR="00DE791E" w:rsidRDefault="00A14074">
      <w:pPr>
        <w:spacing w:after="58" w:line="451" w:lineRule="auto"/>
        <w:ind w:left="-5"/>
      </w:pPr>
      <w:r>
        <w:t xml:space="preserve"> </w:t>
      </w:r>
    </w:p>
    <w:p w14:paraId="42E3E490" w14:textId="77777777" w:rsidR="00DE791E" w:rsidRDefault="00A14074">
      <w:pPr>
        <w:spacing w:after="0" w:line="259" w:lineRule="auto"/>
        <w:ind w:left="0" w:firstLine="0"/>
        <w:jc w:val="left"/>
      </w:pPr>
      <w:r>
        <w:t xml:space="preserve"> </w:t>
      </w:r>
      <w:r>
        <w:tab/>
      </w:r>
      <w:r>
        <w:rPr>
          <w:b/>
        </w:rPr>
        <w:t xml:space="preserve"> </w:t>
      </w:r>
      <w:r>
        <w:br w:type="page"/>
      </w:r>
    </w:p>
    <w:p w14:paraId="3BC43CD5" w14:textId="77777777" w:rsidR="00DE791E" w:rsidRDefault="00A14074">
      <w:pPr>
        <w:pStyle w:val="Heading1"/>
        <w:ind w:left="416" w:right="0" w:hanging="431"/>
      </w:pPr>
      <w:bookmarkStart w:id="0" w:name="_Toc7731"/>
      <w:r>
        <w:lastRenderedPageBreak/>
        <w:t xml:space="preserve">Introduction  </w:t>
      </w:r>
      <w:bookmarkEnd w:id="0"/>
    </w:p>
    <w:p w14:paraId="725E8D05" w14:textId="69E1824B" w:rsidR="00DE791E" w:rsidRDefault="00A14074">
      <w:pPr>
        <w:spacing w:after="291"/>
        <w:ind w:left="-5"/>
      </w:pPr>
      <w:r>
        <w:t>This essay will reflect my academic and skills development. Hence, these are essential for personal growth and success in university time (Saranya et al., 2022). Therefore, this essay will use Gibbs' Reflective Cycle to explore my learning experiences in my first term. It will use and reflect on some skills that are considered strengths and weaknesses. By analyzing</w:t>
      </w:r>
      <w:r>
        <w:t xml:space="preserve"> specific experiences, emotions, and challenges, I would like to experience my strengths and weaknesses. Through self-reflection</w:t>
      </w:r>
      <w:r>
        <w:t>, I can analyze</w:t>
      </w:r>
      <w:r>
        <w:t xml:space="preserve"> my strengths and weaknesses, which influence my future learning. I will provide a SMART action plan for ongoing improvement in capabilities, with the assurance of future development in learning. However, this essay will talk about</w:t>
      </w:r>
      <w:r>
        <w:t xml:space="preserve"> the academic and digital skills I began to develop over my first term at university. </w:t>
      </w:r>
    </w:p>
    <w:p w14:paraId="3054EA42" w14:textId="77777777" w:rsidR="00DE791E" w:rsidRDefault="00A14074">
      <w:pPr>
        <w:pStyle w:val="Heading1"/>
        <w:ind w:left="416" w:right="0" w:hanging="431"/>
      </w:pPr>
      <w:bookmarkStart w:id="1" w:name="_Toc7732"/>
      <w:r>
        <w:t xml:space="preserve">Gibbs’ Reflective Cycle  </w:t>
      </w:r>
      <w:bookmarkEnd w:id="1"/>
    </w:p>
    <w:p w14:paraId="44ABC01E" w14:textId="275818EA" w:rsidR="00DE791E" w:rsidRDefault="00A14074">
      <w:pPr>
        <w:ind w:left="-5"/>
      </w:pPr>
      <w:r>
        <w:t>Gibbs Reflective Cycle is a systematic six-step model developed by Graham Gibbs to help students learn from the experience and develop the student's power to reflect on description, feelings, evaluation, analysis, conclusion, and action plan (University of Edinburgh, 2025). It is a systematic model developed to aid an individual in the step-by-step reflective analysis of events. This reflection model can be used in the form of debriefing organized</w:t>
      </w:r>
      <w:r>
        <w:t xml:space="preserve"> as a structurally organized</w:t>
      </w:r>
      <w:r>
        <w:t xml:space="preserve"> instrument of guided reflection. This can be used for ongoing and constant refinement of a replicated experience but can also be applied for studying an isolated experience (Kolb, 2014). </w:t>
      </w:r>
    </w:p>
    <w:p w14:paraId="0BF60615" w14:textId="77777777" w:rsidR="00DE791E" w:rsidRDefault="00A14074">
      <w:pPr>
        <w:pStyle w:val="Heading2"/>
        <w:ind w:left="561" w:right="0" w:hanging="576"/>
      </w:pPr>
      <w:bookmarkStart w:id="2" w:name="_Toc7733"/>
      <w:r>
        <w:t xml:space="preserve">Description </w:t>
      </w:r>
      <w:bookmarkEnd w:id="2"/>
    </w:p>
    <w:p w14:paraId="78541C88" w14:textId="77777777" w:rsidR="00DE791E" w:rsidRDefault="00A14074">
      <w:pPr>
        <w:ind w:left="-5"/>
      </w:pPr>
      <w:r>
        <w:t xml:space="preserve">During my first term at university, I did not have experience in digital skills. Therefore, I encountered several experiences that helped me develop academic and digital skills. Hence, starting, I learned how to use Google Scholar and learned more about research journals with the university's digital literacy. Research skills are an ideal resource for first-time research in the social sciences (Baxter et al., 2010).  </w:t>
      </w:r>
    </w:p>
    <w:p w14:paraId="4DD7837E" w14:textId="7649C51F" w:rsidR="00DE791E" w:rsidRDefault="00A14074">
      <w:pPr>
        <w:ind w:left="-5"/>
      </w:pPr>
      <w:r>
        <w:t>Another significant experience was learning one of my modules in group work. I was working on a hot industry topic of collaboration, study, and utilizing</w:t>
      </w:r>
      <w:r>
        <w:t xml:space="preserve"> digital aids. Therefore, I learned communication skills digitally, as Microsoft was being utilized</w:t>
      </w:r>
      <w:r>
        <w:t xml:space="preserve">. I also had to give several written pieces of work to complete, in which I was examined on learning academic writing and my time management. But sometimes, I procrastinate on my assignments, which compels me to do my assignments within a timeframe. To enhance my writing skills, I experimented with new computer </w:t>
      </w:r>
      <w:r>
        <w:lastRenderedPageBreak/>
        <w:t xml:space="preserve">software, including Grammarly and Turnitin. Grammarly assisted me in identifying grammatical errors, while Turnitin assisted me in ensuring originality and enhancing my paraphrasing. </w:t>
      </w:r>
    </w:p>
    <w:p w14:paraId="5FDC5CCD" w14:textId="77777777" w:rsidR="00DE791E" w:rsidRDefault="00A14074">
      <w:pPr>
        <w:pStyle w:val="Heading2"/>
        <w:ind w:left="561" w:right="0" w:hanging="576"/>
      </w:pPr>
      <w:bookmarkStart w:id="3" w:name="_Toc7734"/>
      <w:r>
        <w:t xml:space="preserve">Feelings  </w:t>
      </w:r>
      <w:bookmarkEnd w:id="3"/>
    </w:p>
    <w:p w14:paraId="23E1111F" w14:textId="7DD12985" w:rsidR="00DE791E" w:rsidRDefault="00A14074">
      <w:pPr>
        <w:ind w:left="-5"/>
      </w:pPr>
      <w:r>
        <w:t>I had mixed emotions while gaining my academic and internet skills. I was sometimes satisfied, particularly when I found new instruments that facilitated learning. For instance, gaining the skills of using internet databases was one of those things which satisfied me because I could identify great resources to use in my work. When I began my first research task, I was surprised by the vast amount of information. It was hard for me to select resources that could be trusted, and this led me to question whethe</w:t>
      </w:r>
      <w:r>
        <w:t>r I could do the work effectively. The more I practiced</w:t>
      </w:r>
      <w:r>
        <w:t xml:space="preserve"> and applied the rules</w:t>
      </w:r>
      <w:r>
        <w:t xml:space="preserve"> of referencing, the more confident I became regarding</w:t>
      </w:r>
      <w:r>
        <w:t xml:space="preserve"> my weaknesses. I was also satisfied because being able to complete assignments on time and receiving positive remarks from lecturers made me proud of myself. Hence, I was overwhelmed with all the new work as I took</w:t>
      </w:r>
      <w:r>
        <w:t xml:space="preserve"> time to settle in a new</w:t>
      </w:r>
      <w:r>
        <w:t xml:space="preserve"> environment and culture. However, with time passing, I was confident in myself and the work I was doing. There was</w:t>
      </w:r>
      <w:r>
        <w:t xml:space="preserve"> feedback in my assignments and from peers, which helped me push forward to learning</w:t>
      </w:r>
      <w:r>
        <w:t xml:space="preserve"> and experiencing</w:t>
      </w:r>
      <w:r>
        <w:t xml:space="preserve"> more.  </w:t>
      </w:r>
    </w:p>
    <w:p w14:paraId="0C5A9447" w14:textId="77777777" w:rsidR="00DE791E" w:rsidRDefault="00A14074">
      <w:pPr>
        <w:pStyle w:val="Heading2"/>
        <w:ind w:left="561" w:right="0" w:hanging="576"/>
      </w:pPr>
      <w:bookmarkStart w:id="4" w:name="_Toc7735"/>
      <w:r>
        <w:t xml:space="preserve">Evaluation </w:t>
      </w:r>
      <w:bookmarkEnd w:id="4"/>
    </w:p>
    <w:p w14:paraId="09F71C3F" w14:textId="77777777" w:rsidR="00DE791E" w:rsidRDefault="00A14074">
      <w:pPr>
        <w:ind w:left="-5"/>
      </w:pPr>
      <w:r>
        <w:t xml:space="preserve">In the first semester, I learned and developed a lot in various fields, such as research, writing, presentation, communication, and teamwork. However, I also found communication through the online platform challenging, as well as time management, referencing, citations, and procrastination.  </w:t>
      </w:r>
    </w:p>
    <w:p w14:paraId="6803560E" w14:textId="5C51B3CB" w:rsidR="00DE791E" w:rsidRDefault="00A14074">
      <w:pPr>
        <w:ind w:left="-5"/>
      </w:pPr>
      <w:r>
        <w:t>Research was one of my areas of strength. At first, I was having difficulty finding quality scholarly articles, but after becoming comfortable with sources such as Google Scholar and school library databases, I felt comfortable finding good sources. Cottrell (2019) writes that practical research skills are paramount to academic success because they allow students to critically analyze</w:t>
      </w:r>
      <w:r>
        <w:t xml:space="preserve"> and construct well-supported arguments. This research</w:t>
      </w:r>
      <w:r>
        <w:t xml:space="preserve"> enabled me to compose more structured and evidence-supported essays, significantly improving my work (Correnti et al., 2024). </w:t>
      </w:r>
    </w:p>
    <w:p w14:paraId="630947A0" w14:textId="77777777" w:rsidR="00DE791E" w:rsidRDefault="00A14074">
      <w:pPr>
        <w:ind w:left="-5"/>
      </w:pPr>
      <w:r>
        <w:t>I also improved my writing ability since I became accustomed to academic vocabulary and structure. Grammarly and Turnitin are considered some tools to learn digital skills in accordance with the writing skills as well (</w:t>
      </w:r>
      <w:proofErr w:type="spellStart"/>
      <w:r>
        <w:t>Apriani</w:t>
      </w:r>
      <w:proofErr w:type="spellEnd"/>
      <w:r>
        <w:t xml:space="preserve"> et al., 2021). I employed tools such as Grammarly to avoid grammatical mistakes and Turnitin to ensure that my work contained subconscious plagiarism. </w:t>
      </w:r>
    </w:p>
    <w:p w14:paraId="760DBE95" w14:textId="4EE231CC" w:rsidR="00DE791E" w:rsidRDefault="00A14074">
      <w:pPr>
        <w:ind w:left="-5"/>
      </w:pPr>
      <w:r>
        <w:lastRenderedPageBreak/>
        <w:t>Despite this, I continued to have issues with citation and referencing, especially Harvard style. I made numerous mistakes initially, which supports Neville's (2016) assertion that proper citation is a skill that needs practice and time to develop. To correct this, I began utilizing</w:t>
      </w:r>
      <w:r>
        <w:t xml:space="preserve"> computer programs such as CiteThisForMe, but I discovered that I still had to verify references to ensure they were accurate (Pears and Shields, 2022) manually. </w:t>
      </w:r>
    </w:p>
    <w:p w14:paraId="085544D5" w14:textId="713103D4" w:rsidR="00DE791E" w:rsidRDefault="00A14074">
      <w:pPr>
        <w:ind w:left="-5"/>
      </w:pPr>
      <w:r>
        <w:t>Time management was also an area where I struggled. I always underbid the time it would take to research and write, so I would need to do frantic, last-minute rushes. To</w:t>
      </w:r>
      <w:r>
        <w:t xml:space="preserve"> correct this, I started using a digital planner to monitor deadlines and reminders. It helped me be more organized</w:t>
      </w:r>
      <w:r>
        <w:t xml:space="preserve">, but I still procrastinate occasionally, particularly on more significant or daunting projects. Hence, time management is also crucial regarding university time (Zeng et al. 2021).  </w:t>
      </w:r>
    </w:p>
    <w:p w14:paraId="4A3E45AB" w14:textId="40B9446A" w:rsidR="00DE791E" w:rsidRDefault="00A14074">
      <w:pPr>
        <w:ind w:left="-5"/>
      </w:pPr>
      <w:r>
        <w:t>I realized</w:t>
      </w:r>
      <w:r>
        <w:t xml:space="preserve"> that I had to enhance my online communication. Although I was a good communicator through words, I would fail to effectively communicate my thoughts through emails and chats. With time, I learned how to compose formal and brief emails and utilize</w:t>
      </w:r>
      <w:r>
        <w:t xml:space="preserve"> collaboration tools such as Microsoft Teams more effectively. Through this, I effectively communicated with colleagues and teachers online. </w:t>
      </w:r>
    </w:p>
    <w:p w14:paraId="520383FE" w14:textId="77777777" w:rsidR="00DE791E" w:rsidRDefault="00A14074">
      <w:pPr>
        <w:pStyle w:val="Heading2"/>
        <w:ind w:left="561" w:right="0" w:hanging="576"/>
      </w:pPr>
      <w:bookmarkStart w:id="5" w:name="_Toc7736"/>
      <w:r>
        <w:t xml:space="preserve">Analysis  </w:t>
      </w:r>
      <w:bookmarkEnd w:id="5"/>
    </w:p>
    <w:p w14:paraId="6BEB7D10" w14:textId="4C2EB7A2" w:rsidR="00DE791E" w:rsidRDefault="00A14074">
      <w:pPr>
        <w:ind w:left="-5"/>
      </w:pPr>
      <w:r>
        <w:t>Regarding</w:t>
      </w:r>
      <w:r>
        <w:t xml:space="preserve"> analysis, I have gained valuable insights into myself as a learner and how these skills align with my academic and career goals. One of the most potent things I realized</w:t>
      </w:r>
      <w:r>
        <w:t xml:space="preserve"> was that I have an affinity for environments where I can thoroughly submerge myself in information, such as research. I like the process of reading scholarly literature and integrating ideas to construct solid arguments. This is like</w:t>
      </w:r>
      <w:r>
        <w:t xml:space="preserve"> Kolb's Experiential Learning Theory, in which much stress is placed on the significance of reflective observation and abstract conceptualization</w:t>
      </w:r>
      <w:r>
        <w:t xml:space="preserve"> in learning (Kolb, 2013). My skill in being able to critically evaluate information and translate it to what I do has been a fundamental strength, and I would argue that this is a very significant skill that pertains to school success and even professional success later</w:t>
      </w:r>
      <w:r>
        <w:t>, specifically in the parts that are problem solving</w:t>
      </w:r>
      <w:r>
        <w:t xml:space="preserve"> and evidence-based decision-making. I likewise discovered, though, that I have deficits when it comes to self-regulation, especially time management and procrastination. Regarding</w:t>
      </w:r>
      <w:r>
        <w:t xml:space="preserve"> Zimmerman's Self-Regulated Learning Theory,</w:t>
      </w:r>
      <w:r>
        <w:t xml:space="preserve"> planning, self-monitoring, and self-reflection</w:t>
      </w:r>
      <w:r>
        <w:t xml:space="preserve"> are important (Panadero and Alonso-Tapia, 2014). Though I improved utilizing</w:t>
      </w:r>
      <w:r>
        <w:t xml:space="preserve"> resources such as digital planners, I understood that I must develop more robust strategies to be able to manage time well, especially </w:t>
      </w:r>
      <w:r>
        <w:lastRenderedPageBreak/>
        <w:t>when there are long or complex tasks. This is an important skill for professional and academic life, where project management and timely delivery are the main drivers of success (Cottrell, 2023). Flexibility, particularly in communication on the internet, was another learning. At first, I found it challenging to communicate effectively through emails and web forums. However</w:t>
      </w:r>
      <w:r>
        <w:t>, as I gained more experience, I honed it by practicing</w:t>
      </w:r>
      <w:r>
        <w:t xml:space="preserve"> and utilizing</w:t>
      </w:r>
      <w:r>
        <w:t xml:space="preserve"> collaboration tools like Microsoft Teams. This aligns with the digital literacy policy, which is becoming more critical in the current educational and work environments.  </w:t>
      </w:r>
    </w:p>
    <w:p w14:paraId="4429CE31" w14:textId="77777777" w:rsidR="00DE791E" w:rsidRDefault="00A14074">
      <w:pPr>
        <w:pStyle w:val="Heading2"/>
        <w:ind w:left="561" w:right="0" w:hanging="576"/>
      </w:pPr>
      <w:bookmarkStart w:id="6" w:name="_Toc7737"/>
      <w:r>
        <w:t xml:space="preserve">Conclusion  </w:t>
      </w:r>
      <w:bookmarkEnd w:id="6"/>
    </w:p>
    <w:p w14:paraId="12D7FF8D" w14:textId="77777777" w:rsidR="00DE791E" w:rsidRDefault="00A14074">
      <w:pPr>
        <w:spacing w:after="1"/>
        <w:ind w:left="-5"/>
      </w:pPr>
      <w:r>
        <w:t>Reflecting on my first term, I gained key insights into my strengths and areas for growth. I developed strong research skills, learning to use tools like Google Scholar and library databases, which improved my ability to create evidence-based work. My writing improved with tools like Grammarly and Turnitin, though referencing remained challenging. Time management and digital communication were weaknesses, but using planners and Microsoft Teams helped me progress. These experiences taught me the importance o</w:t>
      </w:r>
      <w:r>
        <w:t xml:space="preserve">f adaptability and self-regulation, aligning with theories like Kolb's Experiential Learning and Zimmerman's Self-Regulated Learning. </w:t>
      </w:r>
    </w:p>
    <w:p w14:paraId="03737E39" w14:textId="77777777" w:rsidR="00DE791E" w:rsidRDefault="00A14074">
      <w:pPr>
        <w:spacing w:after="278" w:line="259" w:lineRule="auto"/>
        <w:ind w:left="-5"/>
      </w:pPr>
      <w:proofErr w:type="spellStart"/>
      <w:r>
        <w:t>Recognising</w:t>
      </w:r>
      <w:proofErr w:type="spellEnd"/>
      <w:r>
        <w:t xml:space="preserve"> these skills is crucial for academic success and future career readiness. </w:t>
      </w:r>
    </w:p>
    <w:p w14:paraId="00BDF474" w14:textId="77777777" w:rsidR="00DE791E" w:rsidRDefault="00A14074">
      <w:pPr>
        <w:pStyle w:val="Heading2"/>
        <w:spacing w:after="0"/>
        <w:ind w:left="561" w:right="0" w:hanging="576"/>
      </w:pPr>
      <w:bookmarkStart w:id="7" w:name="_Toc7738"/>
      <w:r>
        <w:t xml:space="preserve">SMART Action Plan   </w:t>
      </w:r>
      <w:bookmarkEnd w:id="7"/>
    </w:p>
    <w:tbl>
      <w:tblPr>
        <w:tblStyle w:val="TableGrid"/>
        <w:tblW w:w="9354" w:type="dxa"/>
        <w:tblInd w:w="5" w:type="dxa"/>
        <w:tblCellMar>
          <w:top w:w="16" w:type="dxa"/>
          <w:left w:w="0" w:type="dxa"/>
          <w:bottom w:w="0" w:type="dxa"/>
          <w:right w:w="47" w:type="dxa"/>
        </w:tblCellMar>
        <w:tblLook w:val="04A0" w:firstRow="1" w:lastRow="0" w:firstColumn="1" w:lastColumn="0" w:noHBand="0" w:noVBand="1"/>
      </w:tblPr>
      <w:tblGrid>
        <w:gridCol w:w="1966"/>
        <w:gridCol w:w="910"/>
        <w:gridCol w:w="683"/>
        <w:gridCol w:w="673"/>
        <w:gridCol w:w="2846"/>
        <w:gridCol w:w="2276"/>
      </w:tblGrid>
      <w:tr w:rsidR="00DE791E" w14:paraId="1A9E8473" w14:textId="77777777">
        <w:trPr>
          <w:trHeight w:val="425"/>
        </w:trPr>
        <w:tc>
          <w:tcPr>
            <w:tcW w:w="1966" w:type="dxa"/>
            <w:tcBorders>
              <w:top w:val="single" w:sz="4" w:space="0" w:color="000000"/>
              <w:left w:val="single" w:sz="4" w:space="0" w:color="000000"/>
              <w:bottom w:val="single" w:sz="4" w:space="0" w:color="000000"/>
              <w:right w:val="single" w:sz="4" w:space="0" w:color="000000"/>
            </w:tcBorders>
          </w:tcPr>
          <w:p w14:paraId="1257ABE8" w14:textId="77777777" w:rsidR="00DE791E" w:rsidRDefault="00A14074">
            <w:pPr>
              <w:spacing w:after="0" w:line="259" w:lineRule="auto"/>
              <w:ind w:left="0" w:right="57" w:firstLine="0"/>
              <w:jc w:val="center"/>
            </w:pPr>
            <w:r>
              <w:rPr>
                <w:b/>
              </w:rPr>
              <w:t xml:space="preserve">Skill </w:t>
            </w:r>
          </w:p>
        </w:tc>
        <w:tc>
          <w:tcPr>
            <w:tcW w:w="2266" w:type="dxa"/>
            <w:gridSpan w:val="3"/>
            <w:tcBorders>
              <w:top w:val="single" w:sz="4" w:space="0" w:color="000000"/>
              <w:left w:val="single" w:sz="4" w:space="0" w:color="000000"/>
              <w:bottom w:val="single" w:sz="4" w:space="0" w:color="000000"/>
              <w:right w:val="single" w:sz="4" w:space="0" w:color="000000"/>
            </w:tcBorders>
          </w:tcPr>
          <w:p w14:paraId="486AABBD" w14:textId="77777777" w:rsidR="00DE791E" w:rsidRDefault="00A14074">
            <w:pPr>
              <w:spacing w:after="0" w:line="259" w:lineRule="auto"/>
              <w:ind w:left="0" w:right="73" w:firstLine="0"/>
              <w:jc w:val="center"/>
            </w:pPr>
            <w:r>
              <w:rPr>
                <w:b/>
              </w:rPr>
              <w:t xml:space="preserve">Objective </w:t>
            </w:r>
          </w:p>
        </w:tc>
        <w:tc>
          <w:tcPr>
            <w:tcW w:w="2846" w:type="dxa"/>
            <w:tcBorders>
              <w:top w:val="single" w:sz="4" w:space="0" w:color="000000"/>
              <w:left w:val="single" w:sz="4" w:space="0" w:color="000000"/>
              <w:bottom w:val="single" w:sz="4" w:space="0" w:color="000000"/>
              <w:right w:val="single" w:sz="4" w:space="0" w:color="000000"/>
            </w:tcBorders>
          </w:tcPr>
          <w:p w14:paraId="3F4B4970" w14:textId="77777777" w:rsidR="00DE791E" w:rsidRDefault="00A14074">
            <w:pPr>
              <w:spacing w:after="0" w:line="259" w:lineRule="auto"/>
              <w:ind w:left="0" w:right="55" w:firstLine="0"/>
              <w:jc w:val="center"/>
            </w:pPr>
            <w:r>
              <w:rPr>
                <w:b/>
              </w:rPr>
              <w:t xml:space="preserve">Steps </w:t>
            </w:r>
          </w:p>
        </w:tc>
        <w:tc>
          <w:tcPr>
            <w:tcW w:w="2276" w:type="dxa"/>
            <w:tcBorders>
              <w:top w:val="single" w:sz="4" w:space="0" w:color="000000"/>
              <w:left w:val="single" w:sz="4" w:space="0" w:color="000000"/>
              <w:bottom w:val="single" w:sz="4" w:space="0" w:color="000000"/>
              <w:right w:val="single" w:sz="4" w:space="0" w:color="000000"/>
            </w:tcBorders>
          </w:tcPr>
          <w:p w14:paraId="464D32B1" w14:textId="77777777" w:rsidR="00DE791E" w:rsidRDefault="00A14074">
            <w:pPr>
              <w:spacing w:after="0" w:line="259" w:lineRule="auto"/>
              <w:ind w:left="0" w:right="62" w:firstLine="0"/>
              <w:jc w:val="center"/>
            </w:pPr>
            <w:r>
              <w:rPr>
                <w:b/>
              </w:rPr>
              <w:t xml:space="preserve">Time </w:t>
            </w:r>
          </w:p>
        </w:tc>
      </w:tr>
      <w:tr w:rsidR="00DE791E" w14:paraId="0016BA07" w14:textId="77777777">
        <w:trPr>
          <w:trHeight w:val="2080"/>
        </w:trPr>
        <w:tc>
          <w:tcPr>
            <w:tcW w:w="1966" w:type="dxa"/>
            <w:tcBorders>
              <w:top w:val="single" w:sz="4" w:space="0" w:color="000000"/>
              <w:left w:val="single" w:sz="4" w:space="0" w:color="000000"/>
              <w:bottom w:val="single" w:sz="4" w:space="0" w:color="000000"/>
              <w:right w:val="single" w:sz="4" w:space="0" w:color="000000"/>
            </w:tcBorders>
          </w:tcPr>
          <w:p w14:paraId="4E4BE294" w14:textId="77777777" w:rsidR="00DE791E" w:rsidRDefault="00A14074">
            <w:pPr>
              <w:spacing w:after="115" w:line="259" w:lineRule="auto"/>
              <w:ind w:left="5" w:firstLine="0"/>
              <w:jc w:val="left"/>
            </w:pPr>
            <w:r>
              <w:rPr>
                <w:b/>
              </w:rPr>
              <w:t xml:space="preserve">Time </w:t>
            </w:r>
          </w:p>
          <w:p w14:paraId="50402773" w14:textId="77777777" w:rsidR="00DE791E" w:rsidRDefault="00A14074">
            <w:pPr>
              <w:spacing w:after="0" w:line="259" w:lineRule="auto"/>
              <w:ind w:left="5" w:firstLine="0"/>
              <w:jc w:val="left"/>
            </w:pPr>
            <w:r>
              <w:rPr>
                <w:b/>
              </w:rPr>
              <w:t>Management</w:t>
            </w:r>
            <w:r>
              <w:t xml:space="preserve"> </w:t>
            </w:r>
          </w:p>
        </w:tc>
        <w:tc>
          <w:tcPr>
            <w:tcW w:w="2266" w:type="dxa"/>
            <w:gridSpan w:val="3"/>
            <w:tcBorders>
              <w:top w:val="single" w:sz="4" w:space="0" w:color="000000"/>
              <w:left w:val="single" w:sz="4" w:space="0" w:color="000000"/>
              <w:bottom w:val="single" w:sz="4" w:space="0" w:color="000000"/>
              <w:right w:val="single" w:sz="4" w:space="0" w:color="000000"/>
            </w:tcBorders>
          </w:tcPr>
          <w:p w14:paraId="48363EE5" w14:textId="14A905D9" w:rsidR="00DE791E" w:rsidRDefault="00A14074">
            <w:pPr>
              <w:spacing w:after="0" w:line="259" w:lineRule="auto"/>
              <w:ind w:left="0" w:right="65" w:firstLine="0"/>
            </w:pPr>
            <w:r>
              <w:t>Firstly, I will improve task organization</w:t>
            </w:r>
            <w:r>
              <w:t xml:space="preserve"> and reduce procrastination </w:t>
            </w:r>
          </w:p>
        </w:tc>
        <w:tc>
          <w:tcPr>
            <w:tcW w:w="2846" w:type="dxa"/>
            <w:tcBorders>
              <w:top w:val="single" w:sz="4" w:space="0" w:color="000000"/>
              <w:left w:val="single" w:sz="4" w:space="0" w:color="000000"/>
              <w:bottom w:val="single" w:sz="4" w:space="0" w:color="000000"/>
              <w:right w:val="single" w:sz="4" w:space="0" w:color="000000"/>
            </w:tcBorders>
          </w:tcPr>
          <w:p w14:paraId="6417A20B" w14:textId="77777777" w:rsidR="00DE791E" w:rsidRDefault="00A14074">
            <w:pPr>
              <w:spacing w:after="0" w:line="259" w:lineRule="auto"/>
              <w:ind w:left="5" w:right="65" w:firstLine="0"/>
            </w:pPr>
            <w:r>
              <w:t xml:space="preserve">Hence, I will use a digital planner to set deadlines and break tasks into smaller steps. </w:t>
            </w:r>
          </w:p>
        </w:tc>
        <w:tc>
          <w:tcPr>
            <w:tcW w:w="2276" w:type="dxa"/>
            <w:tcBorders>
              <w:top w:val="single" w:sz="4" w:space="0" w:color="000000"/>
              <w:left w:val="single" w:sz="4" w:space="0" w:color="000000"/>
              <w:bottom w:val="single" w:sz="4" w:space="0" w:color="000000"/>
              <w:right w:val="single" w:sz="4" w:space="0" w:color="000000"/>
            </w:tcBorders>
          </w:tcPr>
          <w:p w14:paraId="79B06B71" w14:textId="77777777" w:rsidR="00DE791E" w:rsidRDefault="00A14074">
            <w:pPr>
              <w:spacing w:after="0" w:line="259" w:lineRule="auto"/>
              <w:ind w:left="5" w:firstLine="0"/>
              <w:jc w:val="left"/>
            </w:pPr>
            <w:r>
              <w:t xml:space="preserve">5 months  </w:t>
            </w:r>
          </w:p>
        </w:tc>
      </w:tr>
      <w:tr w:rsidR="00DE791E" w14:paraId="1AFDF6C9" w14:textId="77777777">
        <w:trPr>
          <w:trHeight w:val="2081"/>
        </w:trPr>
        <w:tc>
          <w:tcPr>
            <w:tcW w:w="1966" w:type="dxa"/>
            <w:tcBorders>
              <w:top w:val="single" w:sz="4" w:space="0" w:color="000000"/>
              <w:left w:val="single" w:sz="4" w:space="0" w:color="000000"/>
              <w:bottom w:val="single" w:sz="4" w:space="0" w:color="000000"/>
              <w:right w:val="single" w:sz="4" w:space="0" w:color="000000"/>
            </w:tcBorders>
          </w:tcPr>
          <w:p w14:paraId="02EB4848" w14:textId="54740135" w:rsidR="00DE791E" w:rsidRDefault="00A14074">
            <w:pPr>
              <w:tabs>
                <w:tab w:val="right" w:pos="1920"/>
              </w:tabs>
              <w:spacing w:after="122" w:line="259" w:lineRule="auto"/>
              <w:ind w:left="0" w:firstLine="0"/>
              <w:jc w:val="left"/>
            </w:pPr>
            <w:r>
              <w:rPr>
                <w:b/>
              </w:rPr>
              <w:t>Referencing &amp;</w:t>
            </w:r>
            <w:r>
              <w:rPr>
                <w:b/>
              </w:rPr>
              <w:t xml:space="preserve"> </w:t>
            </w:r>
          </w:p>
          <w:p w14:paraId="1740AC4E" w14:textId="77777777" w:rsidR="00DE791E" w:rsidRDefault="00A14074">
            <w:pPr>
              <w:spacing w:after="0" w:line="259" w:lineRule="auto"/>
              <w:ind w:left="5" w:firstLine="0"/>
              <w:jc w:val="left"/>
            </w:pPr>
            <w:r>
              <w:rPr>
                <w:b/>
              </w:rPr>
              <w:t>Citation</w:t>
            </w:r>
            <w:r>
              <w:t xml:space="preserve"> </w:t>
            </w:r>
          </w:p>
        </w:tc>
        <w:tc>
          <w:tcPr>
            <w:tcW w:w="2266" w:type="dxa"/>
            <w:gridSpan w:val="3"/>
            <w:tcBorders>
              <w:top w:val="single" w:sz="4" w:space="0" w:color="000000"/>
              <w:left w:val="single" w:sz="4" w:space="0" w:color="000000"/>
              <w:bottom w:val="single" w:sz="4" w:space="0" w:color="000000"/>
              <w:right w:val="single" w:sz="4" w:space="0" w:color="000000"/>
            </w:tcBorders>
          </w:tcPr>
          <w:p w14:paraId="271EEBAC" w14:textId="77777777" w:rsidR="00DE791E" w:rsidRDefault="00A14074">
            <w:pPr>
              <w:spacing w:after="0" w:line="259" w:lineRule="auto"/>
              <w:ind w:left="0" w:right="67" w:firstLine="0"/>
            </w:pPr>
            <w:r>
              <w:t xml:space="preserve">I will enhance accuracy in citations and avoid errors </w:t>
            </w:r>
          </w:p>
        </w:tc>
        <w:tc>
          <w:tcPr>
            <w:tcW w:w="2846" w:type="dxa"/>
            <w:tcBorders>
              <w:top w:val="single" w:sz="4" w:space="0" w:color="000000"/>
              <w:left w:val="single" w:sz="4" w:space="0" w:color="000000"/>
              <w:bottom w:val="single" w:sz="4" w:space="0" w:color="000000"/>
              <w:right w:val="single" w:sz="4" w:space="0" w:color="000000"/>
            </w:tcBorders>
          </w:tcPr>
          <w:p w14:paraId="6843E3C4" w14:textId="77777777" w:rsidR="00DE791E" w:rsidRDefault="00A14074">
            <w:pPr>
              <w:spacing w:after="0" w:line="259" w:lineRule="auto"/>
              <w:ind w:left="5" w:right="66" w:firstLine="0"/>
            </w:pPr>
            <w:r>
              <w:t xml:space="preserve">I will practice weekly using online citation tools and cross-check with university guidelines. </w:t>
            </w:r>
          </w:p>
        </w:tc>
        <w:tc>
          <w:tcPr>
            <w:tcW w:w="2276" w:type="dxa"/>
            <w:tcBorders>
              <w:top w:val="single" w:sz="4" w:space="0" w:color="000000"/>
              <w:left w:val="single" w:sz="4" w:space="0" w:color="000000"/>
              <w:bottom w:val="single" w:sz="4" w:space="0" w:color="000000"/>
              <w:right w:val="single" w:sz="4" w:space="0" w:color="000000"/>
            </w:tcBorders>
          </w:tcPr>
          <w:p w14:paraId="0F85CC5E" w14:textId="078448F4" w:rsidR="00DE791E" w:rsidRDefault="00A14074">
            <w:pPr>
              <w:spacing w:after="0" w:line="259" w:lineRule="auto"/>
              <w:ind w:left="5" w:firstLine="0"/>
              <w:jc w:val="left"/>
            </w:pPr>
            <w:r>
              <w:t xml:space="preserve">This </w:t>
            </w:r>
            <w:r>
              <w:tab/>
              <w:t xml:space="preserve">will </w:t>
            </w:r>
            <w:r>
              <w:tab/>
              <w:t xml:space="preserve">review progress after each assignment </w:t>
            </w:r>
            <w:r>
              <w:tab/>
              <w:t>and improve by the end of the term</w:t>
            </w:r>
            <w:r>
              <w:t xml:space="preserve">. </w:t>
            </w:r>
          </w:p>
        </w:tc>
      </w:tr>
      <w:tr w:rsidR="00DE791E" w14:paraId="7FA612EB" w14:textId="77777777">
        <w:trPr>
          <w:trHeight w:val="840"/>
        </w:trPr>
        <w:tc>
          <w:tcPr>
            <w:tcW w:w="1966" w:type="dxa"/>
            <w:tcBorders>
              <w:top w:val="single" w:sz="4" w:space="0" w:color="000000"/>
              <w:left w:val="single" w:sz="4" w:space="0" w:color="000000"/>
              <w:bottom w:val="single" w:sz="4" w:space="0" w:color="000000"/>
              <w:right w:val="single" w:sz="4" w:space="0" w:color="000000"/>
            </w:tcBorders>
          </w:tcPr>
          <w:p w14:paraId="1BF13F2F" w14:textId="77777777" w:rsidR="00DE791E" w:rsidRDefault="00A14074">
            <w:pPr>
              <w:spacing w:after="115" w:line="259" w:lineRule="auto"/>
              <w:ind w:left="5" w:firstLine="0"/>
              <w:jc w:val="left"/>
            </w:pPr>
            <w:r>
              <w:rPr>
                <w:b/>
              </w:rPr>
              <w:t xml:space="preserve">Digital </w:t>
            </w:r>
          </w:p>
          <w:p w14:paraId="1111B077" w14:textId="77777777" w:rsidR="00DE791E" w:rsidRDefault="00A14074">
            <w:pPr>
              <w:spacing w:after="0" w:line="259" w:lineRule="auto"/>
              <w:ind w:left="5" w:firstLine="0"/>
              <w:jc w:val="left"/>
            </w:pPr>
            <w:r>
              <w:rPr>
                <w:b/>
              </w:rPr>
              <w:t>Communication</w:t>
            </w:r>
            <w:r>
              <w:t xml:space="preserve"> </w:t>
            </w:r>
          </w:p>
        </w:tc>
        <w:tc>
          <w:tcPr>
            <w:tcW w:w="2266" w:type="dxa"/>
            <w:gridSpan w:val="3"/>
            <w:tcBorders>
              <w:top w:val="single" w:sz="4" w:space="0" w:color="000000"/>
              <w:left w:val="single" w:sz="4" w:space="0" w:color="000000"/>
              <w:bottom w:val="single" w:sz="4" w:space="0" w:color="000000"/>
              <w:right w:val="single" w:sz="4" w:space="0" w:color="000000"/>
            </w:tcBorders>
          </w:tcPr>
          <w:p w14:paraId="6EAB7628" w14:textId="77777777" w:rsidR="00DE791E" w:rsidRDefault="00A14074">
            <w:pPr>
              <w:spacing w:after="0" w:line="259" w:lineRule="auto"/>
              <w:ind w:left="0" w:firstLine="0"/>
            </w:pPr>
            <w:r>
              <w:t xml:space="preserve">Also, communicate more clearly in </w:t>
            </w:r>
          </w:p>
        </w:tc>
        <w:tc>
          <w:tcPr>
            <w:tcW w:w="2846" w:type="dxa"/>
            <w:tcBorders>
              <w:top w:val="single" w:sz="4" w:space="0" w:color="000000"/>
              <w:left w:val="single" w:sz="4" w:space="0" w:color="000000"/>
              <w:bottom w:val="single" w:sz="4" w:space="0" w:color="000000"/>
              <w:right w:val="single" w:sz="4" w:space="0" w:color="000000"/>
            </w:tcBorders>
          </w:tcPr>
          <w:p w14:paraId="42E0CDD3" w14:textId="77777777" w:rsidR="00DE791E" w:rsidRDefault="00A14074">
            <w:pPr>
              <w:spacing w:after="0" w:line="259" w:lineRule="auto"/>
              <w:ind w:left="5" w:firstLine="0"/>
            </w:pPr>
            <w:r>
              <w:t xml:space="preserve">Hence, I will follow a professional email </w:t>
            </w:r>
          </w:p>
        </w:tc>
        <w:tc>
          <w:tcPr>
            <w:tcW w:w="2276" w:type="dxa"/>
            <w:tcBorders>
              <w:top w:val="single" w:sz="4" w:space="0" w:color="000000"/>
              <w:left w:val="single" w:sz="4" w:space="0" w:color="000000"/>
              <w:bottom w:val="single" w:sz="4" w:space="0" w:color="000000"/>
              <w:right w:val="single" w:sz="4" w:space="0" w:color="000000"/>
            </w:tcBorders>
          </w:tcPr>
          <w:p w14:paraId="4544E3B4" w14:textId="77777777" w:rsidR="00DE791E" w:rsidRDefault="00A14074">
            <w:pPr>
              <w:tabs>
                <w:tab w:val="center" w:pos="885"/>
                <w:tab w:val="right" w:pos="2229"/>
              </w:tabs>
              <w:spacing w:after="121" w:line="259" w:lineRule="auto"/>
              <w:ind w:left="0" w:firstLine="0"/>
              <w:jc w:val="left"/>
            </w:pPr>
            <w:r>
              <w:t xml:space="preserve">I </w:t>
            </w:r>
            <w:r>
              <w:tab/>
              <w:t xml:space="preserve">will </w:t>
            </w:r>
            <w:r>
              <w:tab/>
              <w:t xml:space="preserve">assess </w:t>
            </w:r>
          </w:p>
          <w:p w14:paraId="7EE0583D" w14:textId="77777777" w:rsidR="00DE791E" w:rsidRDefault="00A14074">
            <w:pPr>
              <w:spacing w:after="0" w:line="259" w:lineRule="auto"/>
              <w:ind w:left="5" w:firstLine="0"/>
              <w:jc w:val="left"/>
            </w:pPr>
            <w:r>
              <w:t xml:space="preserve">improvement </w:t>
            </w:r>
          </w:p>
        </w:tc>
      </w:tr>
      <w:tr w:rsidR="00DE791E" w14:paraId="7A951AC8" w14:textId="77777777">
        <w:trPr>
          <w:trHeight w:val="1665"/>
        </w:trPr>
        <w:tc>
          <w:tcPr>
            <w:tcW w:w="1966" w:type="dxa"/>
            <w:tcBorders>
              <w:top w:val="single" w:sz="4" w:space="0" w:color="000000"/>
              <w:left w:val="single" w:sz="4" w:space="0" w:color="000000"/>
              <w:bottom w:val="single" w:sz="4" w:space="0" w:color="000000"/>
              <w:right w:val="single" w:sz="4" w:space="0" w:color="000000"/>
            </w:tcBorders>
          </w:tcPr>
          <w:p w14:paraId="2130BDD4" w14:textId="77777777" w:rsidR="00DE791E" w:rsidRDefault="00DE791E">
            <w:pPr>
              <w:spacing w:line="259" w:lineRule="auto"/>
              <w:ind w:left="0" w:firstLine="0"/>
              <w:jc w:val="left"/>
            </w:pPr>
          </w:p>
        </w:tc>
        <w:tc>
          <w:tcPr>
            <w:tcW w:w="910" w:type="dxa"/>
            <w:tcBorders>
              <w:top w:val="single" w:sz="4" w:space="0" w:color="000000"/>
              <w:left w:val="single" w:sz="4" w:space="0" w:color="000000"/>
              <w:bottom w:val="single" w:sz="4" w:space="0" w:color="000000"/>
              <w:right w:val="nil"/>
            </w:tcBorders>
          </w:tcPr>
          <w:p w14:paraId="65EF3C9D" w14:textId="77777777" w:rsidR="00DE791E" w:rsidRDefault="00A14074">
            <w:pPr>
              <w:spacing w:after="0" w:line="259" w:lineRule="auto"/>
              <w:ind w:left="105" w:firstLine="0"/>
              <w:jc w:val="left"/>
            </w:pPr>
            <w:r>
              <w:t xml:space="preserve">emails work </w:t>
            </w:r>
          </w:p>
        </w:tc>
        <w:tc>
          <w:tcPr>
            <w:tcW w:w="683" w:type="dxa"/>
            <w:tcBorders>
              <w:top w:val="single" w:sz="4" w:space="0" w:color="000000"/>
              <w:left w:val="nil"/>
              <w:bottom w:val="single" w:sz="4" w:space="0" w:color="000000"/>
              <w:right w:val="nil"/>
            </w:tcBorders>
          </w:tcPr>
          <w:p w14:paraId="25F541A2" w14:textId="77777777" w:rsidR="00DE791E" w:rsidRDefault="00A14074">
            <w:pPr>
              <w:spacing w:after="0" w:line="259" w:lineRule="auto"/>
              <w:ind w:left="79" w:firstLine="0"/>
              <w:jc w:val="left"/>
            </w:pPr>
            <w:r>
              <w:t xml:space="preserve">and </w:t>
            </w:r>
          </w:p>
        </w:tc>
        <w:tc>
          <w:tcPr>
            <w:tcW w:w="672" w:type="dxa"/>
            <w:tcBorders>
              <w:top w:val="single" w:sz="4" w:space="0" w:color="000000"/>
              <w:left w:val="nil"/>
              <w:bottom w:val="single" w:sz="4" w:space="0" w:color="000000"/>
              <w:right w:val="single" w:sz="4" w:space="0" w:color="000000"/>
            </w:tcBorders>
          </w:tcPr>
          <w:p w14:paraId="4CE39B39" w14:textId="77777777" w:rsidR="00DE791E" w:rsidRDefault="00A14074">
            <w:pPr>
              <w:spacing w:after="0" w:line="259" w:lineRule="auto"/>
              <w:ind w:left="0" w:firstLine="0"/>
            </w:pPr>
            <w:r>
              <w:t xml:space="preserve">group </w:t>
            </w:r>
          </w:p>
        </w:tc>
        <w:tc>
          <w:tcPr>
            <w:tcW w:w="2846" w:type="dxa"/>
            <w:tcBorders>
              <w:top w:val="single" w:sz="4" w:space="0" w:color="000000"/>
              <w:left w:val="single" w:sz="4" w:space="0" w:color="000000"/>
              <w:bottom w:val="single" w:sz="4" w:space="0" w:color="000000"/>
              <w:right w:val="single" w:sz="4" w:space="0" w:color="000000"/>
            </w:tcBorders>
          </w:tcPr>
          <w:p w14:paraId="52C6BC76" w14:textId="77777777" w:rsidR="00DE791E" w:rsidRDefault="00A14074">
            <w:pPr>
              <w:spacing w:after="0" w:line="259" w:lineRule="auto"/>
              <w:ind w:left="110" w:right="66" w:firstLine="0"/>
            </w:pPr>
            <w:r>
              <w:t xml:space="preserve">structure, engage actively in online discussions, and use collaboration tools effectively. </w:t>
            </w:r>
          </w:p>
        </w:tc>
        <w:tc>
          <w:tcPr>
            <w:tcW w:w="2276" w:type="dxa"/>
            <w:tcBorders>
              <w:top w:val="single" w:sz="4" w:space="0" w:color="000000"/>
              <w:left w:val="single" w:sz="4" w:space="0" w:color="000000"/>
              <w:bottom w:val="single" w:sz="4" w:space="0" w:color="000000"/>
              <w:right w:val="single" w:sz="4" w:space="0" w:color="000000"/>
            </w:tcBorders>
          </w:tcPr>
          <w:p w14:paraId="2D38E425" w14:textId="77777777" w:rsidR="00DE791E" w:rsidRDefault="00A14074">
            <w:pPr>
              <w:spacing w:after="0" w:line="259" w:lineRule="auto"/>
              <w:ind w:left="110" w:right="63" w:firstLine="0"/>
            </w:pPr>
            <w:r>
              <w:t xml:space="preserve">monthly and refine my skills by the term's end. </w:t>
            </w:r>
          </w:p>
        </w:tc>
      </w:tr>
    </w:tbl>
    <w:p w14:paraId="45316577" w14:textId="77777777" w:rsidR="00DE791E" w:rsidRDefault="00A14074">
      <w:pPr>
        <w:spacing w:after="280" w:line="259" w:lineRule="auto"/>
        <w:ind w:left="0" w:firstLine="0"/>
        <w:jc w:val="left"/>
      </w:pPr>
      <w:r>
        <w:t xml:space="preserve"> </w:t>
      </w:r>
    </w:p>
    <w:p w14:paraId="130E54FC" w14:textId="77777777" w:rsidR="00DE791E" w:rsidRDefault="00A14074">
      <w:pPr>
        <w:spacing w:after="0" w:line="259" w:lineRule="auto"/>
        <w:ind w:left="0" w:firstLine="0"/>
      </w:pPr>
      <w:r>
        <w:t xml:space="preserve"> </w:t>
      </w:r>
      <w:r>
        <w:tab/>
      </w:r>
      <w:r>
        <w:rPr>
          <w:b/>
        </w:rPr>
        <w:t xml:space="preserve"> </w:t>
      </w:r>
      <w:r>
        <w:br w:type="page"/>
      </w:r>
    </w:p>
    <w:p w14:paraId="27DEF75A" w14:textId="77777777" w:rsidR="00DE791E" w:rsidRDefault="00A14074">
      <w:pPr>
        <w:pStyle w:val="Heading1"/>
        <w:ind w:left="416" w:right="0" w:hanging="431"/>
      </w:pPr>
      <w:bookmarkStart w:id="8" w:name="_Toc7739"/>
      <w:r>
        <w:lastRenderedPageBreak/>
        <w:t xml:space="preserve">References  </w:t>
      </w:r>
      <w:bookmarkEnd w:id="8"/>
    </w:p>
    <w:p w14:paraId="2FC40D31" w14:textId="6F91D278" w:rsidR="00DE791E" w:rsidRDefault="00A14074">
      <w:pPr>
        <w:ind w:left="706" w:hanging="721"/>
      </w:pPr>
      <w:proofErr w:type="spellStart"/>
      <w:r>
        <w:t>Apriani</w:t>
      </w:r>
      <w:proofErr w:type="spellEnd"/>
      <w:r>
        <w:t xml:space="preserve">, E., </w:t>
      </w:r>
      <w:proofErr w:type="spellStart"/>
      <w:r>
        <w:t>Gusmuliana</w:t>
      </w:r>
      <w:proofErr w:type="spellEnd"/>
      <w:r>
        <w:t xml:space="preserve">, P. and Cahyani, Y.D., 2025. </w:t>
      </w:r>
      <w:r>
        <w:rPr>
          <w:i/>
        </w:rPr>
        <w:t xml:space="preserve">An Analysis </w:t>
      </w:r>
      <w:proofErr w:type="spellStart"/>
      <w:r>
        <w:rPr>
          <w:i/>
        </w:rPr>
        <w:t>Efl</w:t>
      </w:r>
      <w:proofErr w:type="spellEnd"/>
      <w:r>
        <w:rPr>
          <w:i/>
        </w:rPr>
        <w:t xml:space="preserve"> Students’ Linguistic Problems Using Grammarly as</w:t>
      </w:r>
      <w:r>
        <w:rPr>
          <w:i/>
        </w:rPr>
        <w:t xml:space="preserve"> Automated Writing Evaluation Feedback</w:t>
      </w:r>
      <w:r>
        <w:t xml:space="preserve"> (Doctoral dissertation, INSTITUT AGAMA ISLAM NEGERI CURUP). </w:t>
      </w:r>
    </w:p>
    <w:p w14:paraId="0F3ACDF2" w14:textId="77777777" w:rsidR="00DE791E" w:rsidRDefault="00A14074">
      <w:pPr>
        <w:spacing w:after="275" w:line="259" w:lineRule="auto"/>
        <w:ind w:left="-5"/>
      </w:pPr>
      <w:proofErr w:type="spellStart"/>
      <w:r>
        <w:t>Blaxter</w:t>
      </w:r>
      <w:proofErr w:type="spellEnd"/>
      <w:r>
        <w:t xml:space="preserve">, L., Hughes, C. and Tight, M., (2010). </w:t>
      </w:r>
      <w:r>
        <w:rPr>
          <w:i/>
        </w:rPr>
        <w:t>How to research</w:t>
      </w:r>
      <w:r>
        <w:t xml:space="preserve">. McGraw-Hill Education (UK). </w:t>
      </w:r>
    </w:p>
    <w:p w14:paraId="5DFB78C8" w14:textId="77777777" w:rsidR="00DE791E" w:rsidRDefault="00A14074">
      <w:pPr>
        <w:spacing w:after="1"/>
        <w:ind w:left="706" w:hanging="721"/>
      </w:pPr>
      <w:r>
        <w:t xml:space="preserve">Correnti, R., Wang, E.L., Matsumura, L.C., Litman, D., Liu, Z. and Li, T., (2024). Supporting Students' Text-Based Evidence Use via Formative Automated Writing and Revision Assessment. In </w:t>
      </w:r>
      <w:r>
        <w:rPr>
          <w:i/>
        </w:rPr>
        <w:t>The Routledge international handbook of automated essay evaluation</w:t>
      </w:r>
      <w:r>
        <w:t xml:space="preserve"> (pp. </w:t>
      </w:r>
    </w:p>
    <w:p w14:paraId="13556F85" w14:textId="77777777" w:rsidR="00DE791E" w:rsidRDefault="00A14074">
      <w:pPr>
        <w:spacing w:after="275" w:line="259" w:lineRule="auto"/>
        <w:ind w:left="731"/>
      </w:pPr>
      <w:r>
        <w:t xml:space="preserve">221-243). Routledge. </w:t>
      </w:r>
    </w:p>
    <w:p w14:paraId="4FA3F325" w14:textId="77777777" w:rsidR="00DE791E" w:rsidRDefault="00A14074">
      <w:pPr>
        <w:ind w:left="706" w:hanging="721"/>
      </w:pPr>
      <w:r>
        <w:t xml:space="preserve">Cottrell, S. (2023). Critical thinking skills: Effective analysis, argument and reflection. Bloomsbury Publishing. </w:t>
      </w:r>
    </w:p>
    <w:p w14:paraId="5FB3A443" w14:textId="77777777" w:rsidR="00DE791E" w:rsidRDefault="00A14074">
      <w:pPr>
        <w:ind w:left="706" w:hanging="721"/>
      </w:pPr>
      <w:r>
        <w:t xml:space="preserve">Kolb, D. A. (2013). The process of experiential learning. In </w:t>
      </w:r>
      <w:r>
        <w:rPr>
          <w:i/>
        </w:rPr>
        <w:t>Culture and processes of adult learning</w:t>
      </w:r>
      <w:r>
        <w:t xml:space="preserve"> (pp. 138-156). Routledge. </w:t>
      </w:r>
    </w:p>
    <w:p w14:paraId="09B185AB" w14:textId="7C2B4C64" w:rsidR="00DE791E" w:rsidRDefault="00A14074">
      <w:pPr>
        <w:spacing w:after="178" w:line="358" w:lineRule="auto"/>
        <w:ind w:left="716" w:right="-9" w:hanging="731"/>
        <w:jc w:val="left"/>
      </w:pPr>
      <w:r>
        <w:t xml:space="preserve">Kolb, D.A., (2014). </w:t>
      </w:r>
      <w:r>
        <w:rPr>
          <w:i/>
        </w:rPr>
        <w:t>Experience</w:t>
      </w:r>
      <w:r>
        <w:rPr>
          <w:i/>
        </w:rPr>
        <w:t xml:space="preserve">: Experience as the source of learning and development. </w:t>
      </w:r>
      <w:r>
        <w:t xml:space="preserve">FT press. </w:t>
      </w:r>
    </w:p>
    <w:p w14:paraId="7A61B71A" w14:textId="77777777" w:rsidR="00DE791E" w:rsidRDefault="00A14074">
      <w:pPr>
        <w:ind w:left="706" w:hanging="721"/>
      </w:pPr>
      <w:r>
        <w:t xml:space="preserve">Panadero, E. and Alonso-Tapia, J., 2014. How do students self-regulate? Review of Zimmerman’s cyclical model of self-regulated learning. </w:t>
      </w:r>
      <w:proofErr w:type="spellStart"/>
      <w:r>
        <w:rPr>
          <w:i/>
        </w:rPr>
        <w:t>Anales</w:t>
      </w:r>
      <w:proofErr w:type="spellEnd"/>
      <w:r>
        <w:rPr>
          <w:i/>
        </w:rPr>
        <w:t xml:space="preserve"> de </w:t>
      </w:r>
      <w:proofErr w:type="spellStart"/>
      <w:r>
        <w:rPr>
          <w:i/>
        </w:rPr>
        <w:t>psicologia</w:t>
      </w:r>
      <w:proofErr w:type="spellEnd"/>
      <w:r>
        <w:t xml:space="preserve">, </w:t>
      </w:r>
      <w:r>
        <w:rPr>
          <w:i/>
        </w:rPr>
        <w:t>30</w:t>
      </w:r>
      <w:r>
        <w:t xml:space="preserve">(2), pp.450-462. </w:t>
      </w:r>
    </w:p>
    <w:p w14:paraId="11BA5350" w14:textId="77777777" w:rsidR="00DE791E" w:rsidRDefault="00A14074">
      <w:pPr>
        <w:spacing w:after="115" w:line="259" w:lineRule="auto"/>
        <w:ind w:left="-15" w:right="-9" w:firstLine="0"/>
        <w:jc w:val="left"/>
      </w:pPr>
      <w:r>
        <w:t xml:space="preserve">Pears, R. and Shields, G. (2022). </w:t>
      </w:r>
      <w:r>
        <w:rPr>
          <w:i/>
        </w:rPr>
        <w:t>Cite Them Right: The Essential Referencing Guide.</w:t>
      </w:r>
      <w:r>
        <w:t xml:space="preserve"> 12th </w:t>
      </w:r>
      <w:proofErr w:type="spellStart"/>
      <w:r>
        <w:t>edn</w:t>
      </w:r>
      <w:proofErr w:type="spellEnd"/>
      <w:r>
        <w:t xml:space="preserve">. </w:t>
      </w:r>
    </w:p>
    <w:p w14:paraId="341AE913" w14:textId="77777777" w:rsidR="00DE791E" w:rsidRDefault="00A14074">
      <w:pPr>
        <w:spacing w:after="275" w:line="259" w:lineRule="auto"/>
        <w:ind w:left="731"/>
      </w:pPr>
      <w:r>
        <w:t xml:space="preserve">London: Bloomsbury Academic. </w:t>
      </w:r>
    </w:p>
    <w:p w14:paraId="076C3C8C" w14:textId="77777777" w:rsidR="00DE791E" w:rsidRDefault="00A14074">
      <w:pPr>
        <w:ind w:left="706" w:hanging="721"/>
      </w:pPr>
      <w:r>
        <w:t xml:space="preserve">Saranya, C., </w:t>
      </w:r>
      <w:proofErr w:type="spellStart"/>
      <w:r>
        <w:t>Dhuli</w:t>
      </w:r>
      <w:proofErr w:type="spellEnd"/>
      <w:r>
        <w:t xml:space="preserve">, R. and Guduru, R., (2022). The role of a mentor in students’ personal growth, academic success, and professional development. </w:t>
      </w:r>
      <w:r>
        <w:rPr>
          <w:i/>
        </w:rPr>
        <w:t>London Journal of Research in Humanities and Social Sciences</w:t>
      </w:r>
      <w:r>
        <w:t xml:space="preserve">, </w:t>
      </w:r>
      <w:r>
        <w:rPr>
          <w:i/>
        </w:rPr>
        <w:t>22</w:t>
      </w:r>
      <w:r>
        <w:t xml:space="preserve">(17), pp.35-46. </w:t>
      </w:r>
    </w:p>
    <w:p w14:paraId="5E5B74A4" w14:textId="77777777" w:rsidR="00DE791E" w:rsidRDefault="00A14074">
      <w:pPr>
        <w:tabs>
          <w:tab w:val="center" w:pos="1434"/>
          <w:tab w:val="center" w:pos="2399"/>
          <w:tab w:val="center" w:pos="3609"/>
          <w:tab w:val="center" w:pos="4794"/>
          <w:tab w:val="center" w:pos="6004"/>
          <w:tab w:val="center" w:pos="7122"/>
          <w:tab w:val="center" w:pos="8325"/>
          <w:tab w:val="right" w:pos="9365"/>
        </w:tabs>
        <w:spacing w:after="121" w:line="259" w:lineRule="auto"/>
        <w:ind w:left="-15" w:firstLine="0"/>
        <w:jc w:val="left"/>
      </w:pPr>
      <w:r>
        <w:t xml:space="preserve">University </w:t>
      </w:r>
      <w:r>
        <w:tab/>
        <w:t xml:space="preserve">of </w:t>
      </w:r>
      <w:r>
        <w:tab/>
        <w:t xml:space="preserve">Edinburgh. </w:t>
      </w:r>
      <w:r>
        <w:tab/>
        <w:t xml:space="preserve">(2025). </w:t>
      </w:r>
      <w:r>
        <w:tab/>
        <w:t xml:space="preserve">Reflection </w:t>
      </w:r>
      <w:r>
        <w:tab/>
        <w:t xml:space="preserve">Toolkit. </w:t>
      </w:r>
      <w:r>
        <w:tab/>
        <w:t xml:space="preserve">[online]. </w:t>
      </w:r>
      <w:r>
        <w:tab/>
        <w:t xml:space="preserve">Available </w:t>
      </w:r>
      <w:r>
        <w:tab/>
        <w:t xml:space="preserve">at: </w:t>
      </w:r>
    </w:p>
    <w:p w14:paraId="759690BD" w14:textId="77777777" w:rsidR="00DE791E" w:rsidRDefault="00A14074">
      <w:pPr>
        <w:spacing w:after="0" w:line="358" w:lineRule="auto"/>
        <w:ind w:left="721" w:firstLine="0"/>
        <w:jc w:val="left"/>
      </w:pPr>
      <w:hyperlink r:id="rId5">
        <w:r>
          <w:rPr>
            <w:color w:val="0563C1"/>
            <w:u w:val="single" w:color="0563C1"/>
          </w:rPr>
          <w:t>https://reflection.ed.ac.uk/reflectors</w:t>
        </w:r>
      </w:hyperlink>
      <w:hyperlink r:id="rId6">
        <w:r>
          <w:rPr>
            <w:color w:val="0563C1"/>
            <w:u w:val="single" w:color="0563C1"/>
          </w:rPr>
          <w:t>-</w:t>
        </w:r>
      </w:hyperlink>
      <w:hyperlink r:id="rId7">
        <w:r>
          <w:rPr>
            <w:color w:val="0563C1"/>
            <w:u w:val="single" w:color="0563C1"/>
          </w:rPr>
          <w:t>toolkit/reflecting</w:t>
        </w:r>
      </w:hyperlink>
      <w:hyperlink r:id="rId8">
        <w:r>
          <w:rPr>
            <w:color w:val="0563C1"/>
            <w:u w:val="single" w:color="0563C1"/>
          </w:rPr>
          <w:t>-</w:t>
        </w:r>
      </w:hyperlink>
      <w:hyperlink r:id="rId9">
        <w:r>
          <w:rPr>
            <w:color w:val="0563C1"/>
            <w:u w:val="single" w:color="0563C1"/>
          </w:rPr>
          <w:t>on</w:t>
        </w:r>
      </w:hyperlink>
      <w:hyperlink r:id="rId10">
        <w:r>
          <w:rPr>
            <w:color w:val="0563C1"/>
            <w:u w:val="single" w:color="0563C1"/>
          </w:rPr>
          <w:t>-</w:t>
        </w:r>
      </w:hyperlink>
      <w:hyperlink r:id="rId11">
        <w:r>
          <w:rPr>
            <w:color w:val="0563C1"/>
            <w:u w:val="single" w:color="0563C1"/>
          </w:rPr>
          <w:t>experience/gibbs</w:t>
        </w:r>
      </w:hyperlink>
      <w:hyperlink r:id="rId12">
        <w:r>
          <w:rPr>
            <w:color w:val="0563C1"/>
            <w:u w:val="single" w:color="0563C1"/>
          </w:rPr>
          <w:t>-</w:t>
        </w:r>
      </w:hyperlink>
      <w:hyperlink r:id="rId13">
        <w:r>
          <w:rPr>
            <w:color w:val="0563C1"/>
            <w:u w:val="single" w:color="0563C1"/>
          </w:rPr>
          <w:t>reflective</w:t>
        </w:r>
      </w:hyperlink>
      <w:hyperlink r:id="rId14"/>
      <w:hyperlink r:id="rId15">
        <w:r>
          <w:rPr>
            <w:color w:val="0563C1"/>
            <w:u w:val="single" w:color="0563C1"/>
          </w:rPr>
          <w:t>cycle</w:t>
        </w:r>
      </w:hyperlink>
      <w:hyperlink r:id="rId16">
        <w:r>
          <w:t xml:space="preserve"> </w:t>
        </w:r>
      </w:hyperlink>
      <w:r>
        <w:t xml:space="preserve">[Accessed on March 19, 2025].  </w:t>
      </w:r>
    </w:p>
    <w:p w14:paraId="2C3BA8B5" w14:textId="77777777" w:rsidR="00DE791E" w:rsidRDefault="00A14074">
      <w:pPr>
        <w:spacing w:after="1"/>
        <w:ind w:left="706" w:hanging="721"/>
      </w:pPr>
      <w:r>
        <w:t xml:space="preserve">Zeng, J., Zhang, B. and Sreenath, K., (2021), May. Safety-critical model predictive control with discrete-time control barrier function. In </w:t>
      </w:r>
      <w:r>
        <w:rPr>
          <w:i/>
        </w:rPr>
        <w:t>2021 American Control Conference (ACC)</w:t>
      </w:r>
      <w:r>
        <w:t xml:space="preserve"> (pp. </w:t>
      </w:r>
    </w:p>
    <w:p w14:paraId="07C3FFF3" w14:textId="77777777" w:rsidR="00DE791E" w:rsidRDefault="00A14074">
      <w:pPr>
        <w:spacing w:after="275" w:line="259" w:lineRule="auto"/>
        <w:ind w:left="731"/>
      </w:pPr>
      <w:r>
        <w:t xml:space="preserve">3882-3889). IEEE. </w:t>
      </w:r>
    </w:p>
    <w:p w14:paraId="053EB8BD" w14:textId="77777777" w:rsidR="00DE791E" w:rsidRDefault="00A14074">
      <w:pPr>
        <w:spacing w:after="0" w:line="259" w:lineRule="auto"/>
        <w:ind w:left="0" w:firstLine="0"/>
        <w:jc w:val="left"/>
      </w:pPr>
      <w:r>
        <w:lastRenderedPageBreak/>
        <w:t xml:space="preserve"> </w:t>
      </w:r>
      <w:r>
        <w:tab/>
        <w:t xml:space="preserve"> </w:t>
      </w:r>
      <w:r>
        <w:br w:type="page"/>
      </w:r>
    </w:p>
    <w:p w14:paraId="5241EB9F" w14:textId="77777777" w:rsidR="00DE791E" w:rsidRDefault="00A14074">
      <w:pPr>
        <w:spacing w:after="0" w:line="259" w:lineRule="auto"/>
        <w:ind w:left="0" w:firstLine="0"/>
      </w:pPr>
      <w:r>
        <w:lastRenderedPageBreak/>
        <w:t xml:space="preserve"> </w:t>
      </w:r>
    </w:p>
    <w:sectPr w:rsidR="00DE791E">
      <w:pgSz w:w="12240" w:h="15840"/>
      <w:pgMar w:top="1446" w:right="1435" w:bottom="147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941260"/>
    <w:multiLevelType w:val="multilevel"/>
    <w:tmpl w:val="1BC49E94"/>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num w:numId="1" w16cid:durableId="988486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91E"/>
    <w:rsid w:val="00A14074"/>
    <w:rsid w:val="00DE791E"/>
    <w:rsid w:val="00FE04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22CB2"/>
  <w15:docId w15:val="{8B854E61-1994-4918-AB85-4F69E7E5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57" w:lineRule="auto"/>
      <w:ind w:left="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1"/>
      </w:numPr>
      <w:spacing w:after="119" w:line="259" w:lineRule="auto"/>
      <w:ind w:left="10" w:right="2971" w:hanging="10"/>
      <w:outlineLvl w:val="0"/>
    </w:pPr>
    <w:rPr>
      <w:rFonts w:ascii="Times New Roman" w:eastAsia="Times New Roman" w:hAnsi="Times New Roman" w:cs="Times New Roman"/>
      <w:b/>
      <w:color w:val="000000"/>
    </w:rPr>
  </w:style>
  <w:style w:type="paragraph" w:styleId="Heading2">
    <w:name w:val="heading 2"/>
    <w:next w:val="Normal"/>
    <w:link w:val="Heading2Char"/>
    <w:uiPriority w:val="9"/>
    <w:unhideWhenUsed/>
    <w:qFormat/>
    <w:pPr>
      <w:keepNext/>
      <w:keepLines/>
      <w:numPr>
        <w:ilvl w:val="1"/>
        <w:numId w:val="1"/>
      </w:numPr>
      <w:spacing w:after="119" w:line="259" w:lineRule="auto"/>
      <w:ind w:left="10" w:right="2971"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217" w:line="259" w:lineRule="auto"/>
      <w:ind w:left="25" w:right="23" w:hanging="10"/>
      <w:jc w:val="both"/>
    </w:pPr>
    <w:rPr>
      <w:rFonts w:ascii="Times New Roman" w:eastAsia="Times New Roman" w:hAnsi="Times New Roman" w:cs="Times New Roman"/>
      <w:color w:val="000000"/>
    </w:rPr>
  </w:style>
  <w:style w:type="paragraph" w:styleId="TOC2">
    <w:name w:val="toc 2"/>
    <w:hidden/>
    <w:pPr>
      <w:spacing w:after="222" w:line="259" w:lineRule="auto"/>
      <w:ind w:left="265" w:right="23" w:hanging="10"/>
      <w:jc w:val="both"/>
    </w:pPr>
    <w:rPr>
      <w:rFonts w:ascii="Times New Roman" w:eastAsia="Times New Roman" w:hAnsi="Times New Roman" w:cs="Times New Roman"/>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reflection.ed.ac.uk/reflectors-toolkit/reflecting-on-experience/gibbs-reflective-cycle" TargetMode="External"/><Relationship Id="rId13" Type="http://schemas.openxmlformats.org/officeDocument/2006/relationships/hyperlink" Target="https://reflection.ed.ac.uk/reflectors-toolkit/reflecting-on-experience/gibbs-reflective-cycl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flection.ed.ac.uk/reflectors-toolkit/reflecting-on-experience/gibbs-reflective-cycle" TargetMode="External"/><Relationship Id="rId12" Type="http://schemas.openxmlformats.org/officeDocument/2006/relationships/hyperlink" Target="https://reflection.ed.ac.uk/reflectors-toolkit/reflecting-on-experience/gibbs-reflective-cyc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flection.ed.ac.uk/reflectors-toolkit/reflecting-on-experience/gibbs-reflective-cycle" TargetMode="External"/><Relationship Id="rId1" Type="http://schemas.openxmlformats.org/officeDocument/2006/relationships/numbering" Target="numbering.xml"/><Relationship Id="rId6" Type="http://schemas.openxmlformats.org/officeDocument/2006/relationships/hyperlink" Target="https://reflection.ed.ac.uk/reflectors-toolkit/reflecting-on-experience/gibbs-reflective-cycle" TargetMode="External"/><Relationship Id="rId11" Type="http://schemas.openxmlformats.org/officeDocument/2006/relationships/hyperlink" Target="https://reflection.ed.ac.uk/reflectors-toolkit/reflecting-on-experience/gibbs-reflective-cycle" TargetMode="External"/><Relationship Id="rId5" Type="http://schemas.openxmlformats.org/officeDocument/2006/relationships/hyperlink" Target="https://reflection.ed.ac.uk/reflectors-toolkit/reflecting-on-experience/gibbs-reflective-cycle" TargetMode="External"/><Relationship Id="rId15" Type="http://schemas.openxmlformats.org/officeDocument/2006/relationships/hyperlink" Target="https://reflection.ed.ac.uk/reflectors-toolkit/reflecting-on-experience/gibbs-reflective-cycle" TargetMode="External"/><Relationship Id="rId10" Type="http://schemas.openxmlformats.org/officeDocument/2006/relationships/hyperlink" Target="https://reflection.ed.ac.uk/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reflection.ed.ac.uk/reflectors-toolkit/reflecting-on-experience/gibbs-reflective-cycle" TargetMode="External"/><Relationship Id="rId14"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2104</Words>
  <Characters>11994</Characters>
  <Application>Microsoft Office Word</Application>
  <DocSecurity>0</DocSecurity>
  <Lines>99</Lines>
  <Paragraphs>28</Paragraphs>
  <ScaleCrop>false</ScaleCrop>
  <Company/>
  <LinksUpToDate>false</LinksUpToDate>
  <CharactersWithSpaces>14070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cp:lastModifiedBy>RAMONA ELENA MIRON</cp:lastModifiedBy>
  <cp:revision>2</cp:revision>
  <dcterms:created xsi:type="dcterms:W3CDTF">2025-03-20T18:39:00Z</dcterms:created>
  <dcterms:modified xsi:type="dcterms:W3CDTF">2025-03-20T18:39:00Z</dcterms:modified>
</cp:coreProperties>
</file>