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16A89" w14:textId="15B89396" w:rsidR="00602A44" w:rsidRPr="00E64EF2" w:rsidRDefault="00602A44">
      <w:pPr>
        <w:rPr>
          <w:rFonts w:ascii="Arial" w:hAnsi="Arial" w:cs="Arial"/>
          <w:sz w:val="22"/>
          <w:szCs w:val="22"/>
        </w:rPr>
      </w:pPr>
      <w:r w:rsidRPr="00E64EF2">
        <w:rPr>
          <w:rFonts w:ascii="Arial" w:hAnsi="Arial" w:cs="Arial"/>
          <w:sz w:val="22"/>
          <w:szCs w:val="22"/>
        </w:rPr>
        <w:t xml:space="preserve">Student Name: </w:t>
      </w:r>
      <w:r w:rsidR="00B36D3B" w:rsidRPr="00E64EF2">
        <w:rPr>
          <w:rFonts w:ascii="Arial" w:hAnsi="Arial" w:cs="Arial"/>
          <w:sz w:val="22"/>
          <w:szCs w:val="22"/>
        </w:rPr>
        <w:tab/>
      </w:r>
      <w:r w:rsidR="00B36D3B" w:rsidRPr="00E64EF2">
        <w:rPr>
          <w:rFonts w:ascii="Arial" w:hAnsi="Arial" w:cs="Arial"/>
          <w:sz w:val="22"/>
          <w:szCs w:val="22"/>
        </w:rPr>
        <w:tab/>
        <w:t>Nina Clarke</w:t>
      </w:r>
    </w:p>
    <w:p w14:paraId="6BBB6D43" w14:textId="43D3B3BB" w:rsidR="00602A44" w:rsidRPr="00E64EF2" w:rsidRDefault="00602A44">
      <w:pPr>
        <w:rPr>
          <w:rFonts w:ascii="Arial" w:hAnsi="Arial" w:cs="Arial"/>
          <w:sz w:val="22"/>
          <w:szCs w:val="22"/>
        </w:rPr>
      </w:pPr>
      <w:r w:rsidRPr="00E64EF2">
        <w:rPr>
          <w:rFonts w:ascii="Arial" w:hAnsi="Arial" w:cs="Arial"/>
          <w:sz w:val="22"/>
          <w:szCs w:val="22"/>
        </w:rPr>
        <w:t>Student ID Number:</w:t>
      </w:r>
      <w:r w:rsidR="00B36D3B" w:rsidRPr="00E64EF2">
        <w:rPr>
          <w:rFonts w:ascii="Arial" w:hAnsi="Arial" w:cs="Arial"/>
          <w:sz w:val="22"/>
          <w:szCs w:val="22"/>
        </w:rPr>
        <w:tab/>
      </w:r>
      <w:r w:rsidR="00B36D3B" w:rsidRPr="00E64EF2">
        <w:rPr>
          <w:rFonts w:ascii="Arial" w:hAnsi="Arial" w:cs="Arial"/>
          <w:sz w:val="22"/>
          <w:szCs w:val="22"/>
        </w:rPr>
        <w:tab/>
        <w:t>24228</w:t>
      </w:r>
      <w:r w:rsidR="00A477C4" w:rsidRPr="00E64EF2">
        <w:rPr>
          <w:rFonts w:ascii="Arial" w:hAnsi="Arial" w:cs="Arial"/>
          <w:sz w:val="22"/>
          <w:szCs w:val="22"/>
        </w:rPr>
        <w:t>8</w:t>
      </w:r>
      <w:r w:rsidR="00D358BB" w:rsidRPr="00E64EF2">
        <w:rPr>
          <w:rFonts w:ascii="Arial" w:hAnsi="Arial" w:cs="Arial"/>
          <w:sz w:val="22"/>
          <w:szCs w:val="22"/>
        </w:rPr>
        <w:t>2</w:t>
      </w:r>
    </w:p>
    <w:p w14:paraId="23D52798" w14:textId="1509E8FD" w:rsidR="00D358BB" w:rsidRPr="00E64EF2" w:rsidRDefault="00D358BB">
      <w:pPr>
        <w:rPr>
          <w:rFonts w:ascii="Arial" w:hAnsi="Arial" w:cs="Arial"/>
          <w:sz w:val="22"/>
          <w:szCs w:val="22"/>
        </w:rPr>
      </w:pPr>
      <w:r w:rsidRPr="00E64EF2">
        <w:rPr>
          <w:rFonts w:ascii="Arial" w:hAnsi="Arial" w:cs="Arial"/>
          <w:sz w:val="22"/>
          <w:szCs w:val="22"/>
        </w:rPr>
        <w:t>Lecture Name:</w:t>
      </w:r>
      <w:r w:rsidRPr="00E64EF2">
        <w:rPr>
          <w:rFonts w:ascii="Arial" w:hAnsi="Arial" w:cs="Arial"/>
          <w:sz w:val="22"/>
          <w:szCs w:val="22"/>
        </w:rPr>
        <w:tab/>
      </w:r>
      <w:r w:rsidRPr="00E64EF2">
        <w:rPr>
          <w:rFonts w:ascii="Arial" w:hAnsi="Arial" w:cs="Arial"/>
          <w:sz w:val="22"/>
          <w:szCs w:val="22"/>
        </w:rPr>
        <w:tab/>
        <w:t>A</w:t>
      </w:r>
      <w:r w:rsidR="00F41A79" w:rsidRPr="00E64EF2">
        <w:rPr>
          <w:rFonts w:ascii="Arial" w:hAnsi="Arial" w:cs="Arial"/>
          <w:sz w:val="22"/>
          <w:szCs w:val="22"/>
        </w:rPr>
        <w:t>yazullah Safi</w:t>
      </w:r>
    </w:p>
    <w:p w14:paraId="563DFDA2" w14:textId="5646F919" w:rsidR="00602A44" w:rsidRPr="00E64EF2" w:rsidRDefault="00602A44" w:rsidP="00B36D3B">
      <w:pPr>
        <w:ind w:left="2880" w:hanging="2880"/>
        <w:rPr>
          <w:rFonts w:ascii="Arial" w:hAnsi="Arial" w:cs="Arial"/>
          <w:sz w:val="22"/>
          <w:szCs w:val="22"/>
        </w:rPr>
      </w:pPr>
      <w:r w:rsidRPr="00E64EF2">
        <w:rPr>
          <w:rFonts w:ascii="Arial" w:hAnsi="Arial" w:cs="Arial"/>
          <w:sz w:val="22"/>
          <w:szCs w:val="22"/>
        </w:rPr>
        <w:t>Programme:</w:t>
      </w:r>
      <w:r w:rsidR="00B36D3B" w:rsidRPr="00E64EF2">
        <w:rPr>
          <w:rFonts w:ascii="Arial" w:hAnsi="Arial" w:cs="Arial"/>
          <w:sz w:val="22"/>
          <w:szCs w:val="22"/>
        </w:rPr>
        <w:tab/>
      </w:r>
      <w:r w:rsidRPr="00E64EF2">
        <w:rPr>
          <w:rFonts w:ascii="Arial" w:hAnsi="Arial" w:cs="Arial"/>
          <w:sz w:val="22"/>
          <w:szCs w:val="22"/>
        </w:rPr>
        <w:t xml:space="preserve">Certificate of Higher Education Skills for the Workplace – Health and Social Care </w:t>
      </w:r>
    </w:p>
    <w:p w14:paraId="045C9A95" w14:textId="7F791F17" w:rsidR="00602A44" w:rsidRPr="00E64EF2" w:rsidRDefault="00602A44">
      <w:pPr>
        <w:rPr>
          <w:rFonts w:ascii="Arial" w:hAnsi="Arial" w:cs="Arial"/>
          <w:sz w:val="22"/>
          <w:szCs w:val="22"/>
        </w:rPr>
      </w:pPr>
      <w:r w:rsidRPr="00E64EF2">
        <w:rPr>
          <w:rFonts w:ascii="Arial" w:hAnsi="Arial" w:cs="Arial"/>
          <w:sz w:val="22"/>
          <w:szCs w:val="22"/>
        </w:rPr>
        <w:t>Module:</w:t>
      </w:r>
      <w:r w:rsidR="00B36D3B" w:rsidRPr="00E64EF2">
        <w:rPr>
          <w:rFonts w:ascii="Arial" w:hAnsi="Arial" w:cs="Arial"/>
          <w:sz w:val="22"/>
          <w:szCs w:val="22"/>
        </w:rPr>
        <w:tab/>
      </w:r>
      <w:r w:rsidR="00B36D3B" w:rsidRPr="00E64EF2">
        <w:rPr>
          <w:rFonts w:ascii="Arial" w:hAnsi="Arial" w:cs="Arial"/>
          <w:sz w:val="22"/>
          <w:szCs w:val="22"/>
        </w:rPr>
        <w:tab/>
      </w:r>
      <w:r w:rsidR="00B36D3B" w:rsidRPr="00E64EF2">
        <w:rPr>
          <w:rFonts w:ascii="Arial" w:hAnsi="Arial" w:cs="Arial"/>
          <w:sz w:val="22"/>
          <w:szCs w:val="22"/>
        </w:rPr>
        <w:tab/>
        <w:t>Introduction to Health and Social Care</w:t>
      </w:r>
    </w:p>
    <w:p w14:paraId="06D11CB6" w14:textId="7BCF1556" w:rsidR="00602A44" w:rsidRPr="00E64EF2" w:rsidRDefault="00602A44">
      <w:pPr>
        <w:rPr>
          <w:rFonts w:ascii="Arial" w:hAnsi="Arial" w:cs="Arial"/>
          <w:sz w:val="22"/>
          <w:szCs w:val="22"/>
        </w:rPr>
      </w:pPr>
      <w:r w:rsidRPr="00E64EF2">
        <w:rPr>
          <w:rFonts w:ascii="Arial" w:hAnsi="Arial" w:cs="Arial"/>
          <w:sz w:val="22"/>
          <w:szCs w:val="22"/>
        </w:rPr>
        <w:t>Module Code:</w:t>
      </w:r>
      <w:r w:rsidR="00B36D3B" w:rsidRPr="00E64EF2">
        <w:rPr>
          <w:rFonts w:ascii="Arial" w:hAnsi="Arial" w:cs="Arial"/>
          <w:sz w:val="22"/>
          <w:szCs w:val="22"/>
        </w:rPr>
        <w:tab/>
      </w:r>
      <w:r w:rsidR="00B36D3B" w:rsidRPr="00E64EF2">
        <w:rPr>
          <w:rFonts w:ascii="Arial" w:hAnsi="Arial" w:cs="Arial"/>
          <w:sz w:val="22"/>
          <w:szCs w:val="22"/>
        </w:rPr>
        <w:tab/>
      </w:r>
      <w:r w:rsidR="00B36D3B" w:rsidRPr="00E64EF2">
        <w:rPr>
          <w:rFonts w:ascii="Arial" w:hAnsi="Arial" w:cs="Arial"/>
          <w:sz w:val="22"/>
          <w:szCs w:val="22"/>
        </w:rPr>
        <w:tab/>
        <w:t>LCHS4003</w:t>
      </w:r>
    </w:p>
    <w:p w14:paraId="2CF05121" w14:textId="77777777" w:rsidR="00B36D3B" w:rsidRPr="00E64EF2" w:rsidRDefault="00B36D3B">
      <w:pPr>
        <w:rPr>
          <w:rFonts w:ascii="Arial" w:hAnsi="Arial" w:cs="Arial"/>
          <w:sz w:val="22"/>
          <w:szCs w:val="22"/>
        </w:rPr>
      </w:pPr>
      <w:r w:rsidRPr="00E64EF2">
        <w:rPr>
          <w:rFonts w:ascii="Arial" w:hAnsi="Arial" w:cs="Arial"/>
          <w:sz w:val="22"/>
          <w:szCs w:val="22"/>
        </w:rPr>
        <w:t>Assignment Title:</w:t>
      </w:r>
      <w:r w:rsidRPr="00E64EF2">
        <w:rPr>
          <w:rFonts w:ascii="Arial" w:hAnsi="Arial" w:cs="Arial"/>
          <w:sz w:val="22"/>
          <w:szCs w:val="22"/>
        </w:rPr>
        <w:tab/>
      </w:r>
      <w:r w:rsidRPr="00E64EF2">
        <w:rPr>
          <w:rFonts w:ascii="Arial" w:hAnsi="Arial" w:cs="Arial"/>
          <w:sz w:val="22"/>
          <w:szCs w:val="22"/>
        </w:rPr>
        <w:tab/>
        <w:t xml:space="preserve">Written Assignment – Component 2 </w:t>
      </w:r>
    </w:p>
    <w:p w14:paraId="08031867" w14:textId="77777777" w:rsidR="0031670E" w:rsidRPr="00E64EF2" w:rsidRDefault="0031670E">
      <w:pPr>
        <w:rPr>
          <w:rFonts w:ascii="Arial" w:hAnsi="Arial" w:cs="Arial"/>
          <w:sz w:val="22"/>
          <w:szCs w:val="22"/>
        </w:rPr>
      </w:pPr>
    </w:p>
    <w:p w14:paraId="1F457616" w14:textId="77777777" w:rsidR="0031670E" w:rsidRPr="00E64EF2" w:rsidRDefault="0031670E">
      <w:pPr>
        <w:rPr>
          <w:rFonts w:ascii="Arial" w:hAnsi="Arial" w:cs="Arial"/>
          <w:sz w:val="22"/>
          <w:szCs w:val="22"/>
        </w:rPr>
      </w:pPr>
    </w:p>
    <w:p w14:paraId="31DCFA55" w14:textId="77777777" w:rsidR="0031670E" w:rsidRPr="00E64EF2" w:rsidRDefault="0031670E">
      <w:pPr>
        <w:rPr>
          <w:rFonts w:ascii="Arial" w:hAnsi="Arial" w:cs="Arial"/>
          <w:sz w:val="22"/>
          <w:szCs w:val="22"/>
        </w:rPr>
      </w:pPr>
    </w:p>
    <w:p w14:paraId="0F8DFABF" w14:textId="77777777" w:rsidR="0031670E" w:rsidRPr="00E64EF2" w:rsidRDefault="0031670E">
      <w:pPr>
        <w:rPr>
          <w:rFonts w:ascii="Arial" w:hAnsi="Arial" w:cs="Arial"/>
          <w:sz w:val="22"/>
          <w:szCs w:val="22"/>
        </w:rPr>
      </w:pPr>
    </w:p>
    <w:p w14:paraId="284890E4" w14:textId="77777777" w:rsidR="0031670E" w:rsidRPr="00E64EF2" w:rsidRDefault="0031670E">
      <w:pPr>
        <w:rPr>
          <w:rFonts w:ascii="Arial" w:hAnsi="Arial" w:cs="Arial"/>
          <w:sz w:val="22"/>
          <w:szCs w:val="22"/>
        </w:rPr>
      </w:pPr>
    </w:p>
    <w:p w14:paraId="178F47A5" w14:textId="77777777" w:rsidR="0031670E" w:rsidRPr="00E64EF2" w:rsidRDefault="0031670E">
      <w:pPr>
        <w:rPr>
          <w:rFonts w:ascii="Arial" w:hAnsi="Arial" w:cs="Arial"/>
          <w:sz w:val="22"/>
          <w:szCs w:val="22"/>
        </w:rPr>
      </w:pPr>
    </w:p>
    <w:p w14:paraId="44B955F6" w14:textId="77777777" w:rsidR="0031670E" w:rsidRPr="00E64EF2" w:rsidRDefault="0031670E">
      <w:pPr>
        <w:rPr>
          <w:rFonts w:ascii="Arial" w:hAnsi="Arial" w:cs="Arial"/>
          <w:sz w:val="22"/>
          <w:szCs w:val="22"/>
        </w:rPr>
      </w:pPr>
    </w:p>
    <w:p w14:paraId="11F4B688" w14:textId="77777777" w:rsidR="0031670E" w:rsidRPr="00E64EF2" w:rsidRDefault="0031670E">
      <w:pPr>
        <w:rPr>
          <w:rFonts w:ascii="Arial" w:hAnsi="Arial" w:cs="Arial"/>
          <w:sz w:val="22"/>
          <w:szCs w:val="22"/>
        </w:rPr>
      </w:pPr>
    </w:p>
    <w:p w14:paraId="6E9A4387" w14:textId="77777777" w:rsidR="0031670E" w:rsidRPr="00E64EF2" w:rsidRDefault="0031670E">
      <w:pPr>
        <w:rPr>
          <w:rFonts w:ascii="Arial" w:hAnsi="Arial" w:cs="Arial"/>
          <w:sz w:val="22"/>
          <w:szCs w:val="22"/>
        </w:rPr>
      </w:pPr>
    </w:p>
    <w:p w14:paraId="19B76CB5" w14:textId="77777777" w:rsidR="0031670E" w:rsidRPr="00E64EF2" w:rsidRDefault="0031670E">
      <w:pPr>
        <w:rPr>
          <w:rFonts w:ascii="Arial" w:hAnsi="Arial" w:cs="Arial"/>
          <w:sz w:val="22"/>
          <w:szCs w:val="22"/>
        </w:rPr>
      </w:pPr>
    </w:p>
    <w:p w14:paraId="16480670" w14:textId="77777777" w:rsidR="0031670E" w:rsidRPr="00E64EF2" w:rsidRDefault="0031670E">
      <w:pPr>
        <w:rPr>
          <w:rFonts w:ascii="Arial" w:hAnsi="Arial" w:cs="Arial"/>
          <w:sz w:val="22"/>
          <w:szCs w:val="22"/>
        </w:rPr>
      </w:pPr>
    </w:p>
    <w:p w14:paraId="7C84A3E6" w14:textId="77777777" w:rsidR="0031670E" w:rsidRPr="00E64EF2" w:rsidRDefault="0031670E">
      <w:pPr>
        <w:rPr>
          <w:rFonts w:ascii="Arial" w:hAnsi="Arial" w:cs="Arial"/>
          <w:sz w:val="22"/>
          <w:szCs w:val="22"/>
        </w:rPr>
      </w:pPr>
    </w:p>
    <w:p w14:paraId="51E3D8F3" w14:textId="77777777" w:rsidR="0031670E" w:rsidRPr="00E64EF2" w:rsidRDefault="0031670E">
      <w:pPr>
        <w:rPr>
          <w:rFonts w:ascii="Arial" w:hAnsi="Arial" w:cs="Arial"/>
          <w:sz w:val="22"/>
          <w:szCs w:val="22"/>
        </w:rPr>
      </w:pPr>
    </w:p>
    <w:p w14:paraId="7554C91D" w14:textId="77777777" w:rsidR="0031670E" w:rsidRPr="00E64EF2" w:rsidRDefault="0031670E">
      <w:pPr>
        <w:rPr>
          <w:rFonts w:ascii="Arial" w:hAnsi="Arial" w:cs="Arial"/>
          <w:sz w:val="22"/>
          <w:szCs w:val="22"/>
        </w:rPr>
      </w:pPr>
    </w:p>
    <w:p w14:paraId="2F15F485" w14:textId="77777777" w:rsidR="0031670E" w:rsidRPr="00E64EF2" w:rsidRDefault="0031670E">
      <w:pPr>
        <w:rPr>
          <w:rFonts w:ascii="Arial" w:hAnsi="Arial" w:cs="Arial"/>
          <w:sz w:val="22"/>
          <w:szCs w:val="22"/>
        </w:rPr>
      </w:pPr>
    </w:p>
    <w:p w14:paraId="0A62CADB" w14:textId="77777777" w:rsidR="0031670E" w:rsidRPr="00E64EF2" w:rsidRDefault="0031670E">
      <w:pPr>
        <w:rPr>
          <w:rFonts w:ascii="Arial" w:hAnsi="Arial" w:cs="Arial"/>
          <w:sz w:val="22"/>
          <w:szCs w:val="22"/>
        </w:rPr>
      </w:pPr>
    </w:p>
    <w:p w14:paraId="0B9D3833" w14:textId="77777777" w:rsidR="0031670E" w:rsidRPr="00E64EF2" w:rsidRDefault="0031670E">
      <w:pPr>
        <w:rPr>
          <w:rFonts w:ascii="Arial" w:hAnsi="Arial" w:cs="Arial"/>
          <w:sz w:val="22"/>
          <w:szCs w:val="22"/>
        </w:rPr>
      </w:pPr>
    </w:p>
    <w:p w14:paraId="70E7D569" w14:textId="77777777" w:rsidR="0031670E" w:rsidRPr="00E64EF2" w:rsidRDefault="0031670E">
      <w:pPr>
        <w:rPr>
          <w:rFonts w:ascii="Arial" w:hAnsi="Arial" w:cs="Arial"/>
          <w:sz w:val="22"/>
          <w:szCs w:val="22"/>
        </w:rPr>
      </w:pPr>
    </w:p>
    <w:p w14:paraId="6EF690E4" w14:textId="77777777" w:rsidR="0031670E" w:rsidRPr="00E64EF2" w:rsidRDefault="0031670E">
      <w:pPr>
        <w:rPr>
          <w:rFonts w:ascii="Arial" w:hAnsi="Arial" w:cs="Arial"/>
          <w:sz w:val="22"/>
          <w:szCs w:val="22"/>
        </w:rPr>
      </w:pPr>
    </w:p>
    <w:p w14:paraId="1126AE5A" w14:textId="77777777" w:rsidR="0031670E" w:rsidRPr="00E64EF2" w:rsidRDefault="0031670E">
      <w:pPr>
        <w:rPr>
          <w:rFonts w:ascii="Arial" w:hAnsi="Arial" w:cs="Arial"/>
          <w:sz w:val="22"/>
          <w:szCs w:val="22"/>
        </w:rPr>
      </w:pPr>
    </w:p>
    <w:p w14:paraId="2FD608C9" w14:textId="77777777" w:rsidR="0031670E" w:rsidRPr="00E64EF2" w:rsidRDefault="0031670E">
      <w:pPr>
        <w:rPr>
          <w:rFonts w:ascii="Arial" w:hAnsi="Arial" w:cs="Arial"/>
          <w:sz w:val="22"/>
          <w:szCs w:val="22"/>
        </w:rPr>
      </w:pPr>
    </w:p>
    <w:p w14:paraId="6374A1C7" w14:textId="77777777" w:rsidR="0031670E" w:rsidRPr="00E64EF2" w:rsidRDefault="0031670E">
      <w:pPr>
        <w:rPr>
          <w:rFonts w:ascii="Arial" w:hAnsi="Arial" w:cs="Arial"/>
          <w:sz w:val="22"/>
          <w:szCs w:val="22"/>
        </w:rPr>
      </w:pPr>
    </w:p>
    <w:p w14:paraId="1FF9E9FB" w14:textId="77777777" w:rsidR="0031670E" w:rsidRPr="00E64EF2" w:rsidRDefault="0031670E">
      <w:pPr>
        <w:rPr>
          <w:rFonts w:ascii="Arial" w:hAnsi="Arial" w:cs="Arial"/>
          <w:sz w:val="22"/>
          <w:szCs w:val="22"/>
        </w:rPr>
      </w:pPr>
    </w:p>
    <w:p w14:paraId="6C21D12B" w14:textId="77777777" w:rsidR="0031670E" w:rsidRPr="00E64EF2" w:rsidRDefault="0031670E">
      <w:pPr>
        <w:rPr>
          <w:rFonts w:ascii="Arial" w:hAnsi="Arial" w:cs="Arial"/>
          <w:sz w:val="22"/>
          <w:szCs w:val="22"/>
        </w:rPr>
      </w:pPr>
    </w:p>
    <w:p w14:paraId="212A32FC" w14:textId="77777777" w:rsidR="0031670E" w:rsidRPr="00E64EF2" w:rsidRDefault="0031670E">
      <w:pPr>
        <w:rPr>
          <w:rFonts w:ascii="Arial" w:hAnsi="Arial" w:cs="Arial"/>
          <w:sz w:val="22"/>
          <w:szCs w:val="22"/>
        </w:rPr>
      </w:pPr>
    </w:p>
    <w:p w14:paraId="7BB036F9" w14:textId="77777777" w:rsidR="0031670E" w:rsidRPr="00E64EF2" w:rsidRDefault="0031670E">
      <w:pPr>
        <w:rPr>
          <w:rFonts w:ascii="Arial" w:hAnsi="Arial" w:cs="Arial"/>
          <w:sz w:val="22"/>
          <w:szCs w:val="22"/>
        </w:rPr>
      </w:pPr>
    </w:p>
    <w:p w14:paraId="74884F80" w14:textId="77777777" w:rsidR="0031670E" w:rsidRPr="00E64EF2" w:rsidRDefault="0031670E">
      <w:pPr>
        <w:rPr>
          <w:rFonts w:ascii="Arial" w:hAnsi="Arial" w:cs="Arial"/>
          <w:sz w:val="22"/>
          <w:szCs w:val="22"/>
        </w:rPr>
      </w:pPr>
    </w:p>
    <w:p w14:paraId="4C28890A" w14:textId="77777777" w:rsidR="0031670E" w:rsidRPr="00E64EF2" w:rsidRDefault="0031670E">
      <w:pPr>
        <w:rPr>
          <w:rFonts w:ascii="Arial" w:hAnsi="Arial" w:cs="Arial"/>
          <w:sz w:val="22"/>
          <w:szCs w:val="22"/>
        </w:rPr>
      </w:pPr>
    </w:p>
    <w:p w14:paraId="02B4606A" w14:textId="77777777" w:rsidR="0031670E" w:rsidRPr="00E64EF2" w:rsidRDefault="0031670E">
      <w:pPr>
        <w:rPr>
          <w:rFonts w:ascii="Arial" w:hAnsi="Arial" w:cs="Arial"/>
          <w:sz w:val="22"/>
          <w:szCs w:val="22"/>
        </w:rPr>
      </w:pPr>
    </w:p>
    <w:p w14:paraId="1D6E7382" w14:textId="77777777" w:rsidR="0031670E" w:rsidRPr="00E64EF2" w:rsidRDefault="0031670E">
      <w:pPr>
        <w:rPr>
          <w:rFonts w:ascii="Arial" w:hAnsi="Arial" w:cs="Arial"/>
          <w:sz w:val="22"/>
          <w:szCs w:val="22"/>
        </w:rPr>
      </w:pPr>
    </w:p>
    <w:p w14:paraId="32347614" w14:textId="77777777" w:rsidR="0031670E" w:rsidRPr="00E64EF2" w:rsidRDefault="0031670E">
      <w:pPr>
        <w:rPr>
          <w:rFonts w:ascii="Arial" w:hAnsi="Arial" w:cs="Arial"/>
          <w:sz w:val="22"/>
          <w:szCs w:val="22"/>
        </w:rPr>
      </w:pPr>
    </w:p>
    <w:p w14:paraId="78C4EA95" w14:textId="77777777" w:rsidR="0031670E" w:rsidRPr="00E64EF2" w:rsidRDefault="0031670E">
      <w:pPr>
        <w:rPr>
          <w:rFonts w:ascii="Arial" w:hAnsi="Arial" w:cs="Arial"/>
          <w:sz w:val="22"/>
          <w:szCs w:val="22"/>
        </w:rPr>
      </w:pPr>
    </w:p>
    <w:p w14:paraId="7EED0AD0" w14:textId="77777777" w:rsidR="0031670E" w:rsidRPr="00E64EF2" w:rsidRDefault="0031670E">
      <w:pPr>
        <w:rPr>
          <w:rFonts w:ascii="Arial" w:hAnsi="Arial" w:cs="Arial"/>
          <w:sz w:val="22"/>
          <w:szCs w:val="22"/>
        </w:rPr>
      </w:pPr>
    </w:p>
    <w:p w14:paraId="252B1FFE" w14:textId="77777777" w:rsidR="0031670E" w:rsidRPr="00E64EF2" w:rsidRDefault="0031670E">
      <w:pPr>
        <w:rPr>
          <w:rFonts w:ascii="Arial" w:hAnsi="Arial" w:cs="Arial"/>
          <w:sz w:val="22"/>
          <w:szCs w:val="22"/>
        </w:rPr>
      </w:pPr>
    </w:p>
    <w:p w14:paraId="2D58CDC2" w14:textId="77777777" w:rsidR="0031670E" w:rsidRPr="00E64EF2" w:rsidRDefault="0031670E">
      <w:pPr>
        <w:rPr>
          <w:rFonts w:ascii="Arial" w:hAnsi="Arial" w:cs="Arial"/>
          <w:sz w:val="22"/>
          <w:szCs w:val="22"/>
        </w:rPr>
      </w:pPr>
    </w:p>
    <w:p w14:paraId="4B93C976" w14:textId="77777777" w:rsidR="0031670E" w:rsidRPr="00E64EF2" w:rsidRDefault="0031670E">
      <w:pPr>
        <w:rPr>
          <w:rFonts w:ascii="Arial" w:hAnsi="Arial" w:cs="Arial"/>
          <w:sz w:val="22"/>
          <w:szCs w:val="22"/>
        </w:rPr>
      </w:pPr>
    </w:p>
    <w:p w14:paraId="648D0511" w14:textId="77777777" w:rsidR="0031670E" w:rsidRPr="00E64EF2" w:rsidRDefault="0031670E">
      <w:pPr>
        <w:rPr>
          <w:rFonts w:ascii="Arial" w:hAnsi="Arial" w:cs="Arial"/>
          <w:sz w:val="22"/>
          <w:szCs w:val="22"/>
        </w:rPr>
      </w:pPr>
    </w:p>
    <w:p w14:paraId="03DFDE5F" w14:textId="77777777" w:rsidR="0031670E" w:rsidRPr="00E64EF2" w:rsidRDefault="0031670E">
      <w:pPr>
        <w:rPr>
          <w:rFonts w:ascii="Arial" w:hAnsi="Arial" w:cs="Arial"/>
          <w:sz w:val="22"/>
          <w:szCs w:val="22"/>
        </w:rPr>
      </w:pPr>
    </w:p>
    <w:p w14:paraId="64803AD8" w14:textId="77777777" w:rsidR="0031670E" w:rsidRPr="00E64EF2" w:rsidRDefault="0031670E">
      <w:pPr>
        <w:rPr>
          <w:rFonts w:ascii="Arial" w:hAnsi="Arial" w:cs="Arial"/>
          <w:sz w:val="22"/>
          <w:szCs w:val="22"/>
        </w:rPr>
      </w:pPr>
    </w:p>
    <w:p w14:paraId="0B0D8219" w14:textId="77777777" w:rsidR="0031670E" w:rsidRPr="00E64EF2" w:rsidRDefault="0031670E">
      <w:pPr>
        <w:rPr>
          <w:rFonts w:ascii="Arial" w:hAnsi="Arial" w:cs="Arial"/>
          <w:sz w:val="22"/>
          <w:szCs w:val="22"/>
        </w:rPr>
      </w:pPr>
    </w:p>
    <w:p w14:paraId="06437420" w14:textId="77777777" w:rsidR="0031670E" w:rsidRPr="00E64EF2" w:rsidRDefault="0031670E">
      <w:pPr>
        <w:rPr>
          <w:rFonts w:ascii="Arial" w:hAnsi="Arial" w:cs="Arial"/>
          <w:sz w:val="22"/>
          <w:szCs w:val="22"/>
        </w:rPr>
      </w:pPr>
    </w:p>
    <w:p w14:paraId="4B7B7E27" w14:textId="77777777" w:rsidR="0031670E" w:rsidRPr="00E64EF2" w:rsidRDefault="0031670E">
      <w:pPr>
        <w:rPr>
          <w:rFonts w:ascii="Arial" w:hAnsi="Arial" w:cs="Arial"/>
          <w:sz w:val="22"/>
          <w:szCs w:val="22"/>
        </w:rPr>
      </w:pPr>
    </w:p>
    <w:p w14:paraId="2B05E1F7" w14:textId="77777777" w:rsidR="0031670E" w:rsidRPr="00E64EF2" w:rsidRDefault="0031670E">
      <w:pPr>
        <w:rPr>
          <w:rFonts w:ascii="Arial" w:hAnsi="Arial" w:cs="Arial"/>
          <w:sz w:val="22"/>
          <w:szCs w:val="22"/>
        </w:rPr>
      </w:pPr>
    </w:p>
    <w:p w14:paraId="60DFA3AD" w14:textId="77777777" w:rsidR="0031670E" w:rsidRPr="00E64EF2" w:rsidRDefault="0031670E">
      <w:pPr>
        <w:rPr>
          <w:rFonts w:ascii="Arial" w:hAnsi="Arial" w:cs="Arial"/>
          <w:sz w:val="22"/>
          <w:szCs w:val="22"/>
        </w:rPr>
      </w:pPr>
    </w:p>
    <w:p w14:paraId="024CD214" w14:textId="77777777" w:rsidR="0031670E" w:rsidRPr="00E64EF2" w:rsidRDefault="0031670E">
      <w:pPr>
        <w:rPr>
          <w:rFonts w:ascii="Arial" w:hAnsi="Arial" w:cs="Arial"/>
          <w:sz w:val="22"/>
          <w:szCs w:val="22"/>
        </w:rPr>
      </w:pPr>
    </w:p>
    <w:p w14:paraId="770E5D6B" w14:textId="77777777" w:rsidR="0031670E" w:rsidRPr="00E64EF2" w:rsidRDefault="0031670E">
      <w:pPr>
        <w:rPr>
          <w:rFonts w:ascii="Arial" w:hAnsi="Arial" w:cs="Arial"/>
          <w:sz w:val="22"/>
          <w:szCs w:val="22"/>
        </w:rPr>
      </w:pPr>
    </w:p>
    <w:p w14:paraId="39E1F2E7" w14:textId="67433C3C" w:rsidR="00FA4E8C" w:rsidRPr="00E64EF2" w:rsidRDefault="00FA4E8C" w:rsidP="00FA4E8C">
      <w:pPr>
        <w:rPr>
          <w:rFonts w:ascii="Arial" w:hAnsi="Arial" w:cs="Arial"/>
          <w:sz w:val="22"/>
          <w:szCs w:val="22"/>
        </w:rPr>
      </w:pPr>
    </w:p>
    <w:p w14:paraId="05F11C4D" w14:textId="77777777" w:rsidR="00E64EF2" w:rsidRPr="00E64EF2" w:rsidRDefault="00E64EF2" w:rsidP="00E64EF2">
      <w:pPr>
        <w:spacing w:after="160" w:line="259" w:lineRule="auto"/>
        <w:rPr>
          <w:rFonts w:ascii="Arial" w:eastAsiaTheme="minorHAnsi" w:hAnsi="Arial" w:cs="Arial"/>
          <w:b/>
          <w:bCs/>
          <w:sz w:val="22"/>
          <w:szCs w:val="22"/>
          <w:lang w:eastAsia="en-US"/>
        </w:rPr>
      </w:pPr>
      <w:r w:rsidRPr="00E64EF2">
        <w:rPr>
          <w:rFonts w:ascii="Arial" w:eastAsiaTheme="minorHAnsi" w:hAnsi="Arial" w:cs="Arial"/>
          <w:b/>
          <w:bCs/>
          <w:sz w:val="22"/>
          <w:szCs w:val="22"/>
          <w:lang w:eastAsia="en-US"/>
        </w:rPr>
        <w:lastRenderedPageBreak/>
        <w:t>Introduction</w:t>
      </w:r>
    </w:p>
    <w:p w14:paraId="0DD77896"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 xml:space="preserve">Mrs Mann, aged 72, was recently discharged following hip replacement surgery. She lives independently but receives twice-daily domiciliary care and weekly visits from a physiotherapist. As her first language is Urdu and her English communication is limited, her daughter primarily facilitates effective communication. </w:t>
      </w:r>
    </w:p>
    <w:p w14:paraId="1E39D854"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 xml:space="preserve">There have been concerns regarding inconsistent documentation and communication breakdowns, which have led to delays in medication adjustments and increased safety risks. This situation has prompted an internal review. </w:t>
      </w:r>
    </w:p>
    <w:p w14:paraId="2C2CCD15"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This report examines three critical areas: administrative practices, effective communication, and interprofessional collaboration. It will also address relevant legislation, including the Equality Act 2010 and the Data Protection Act 2021, alongside professional frameworks such as the HCPC Standards of Conduct, Performance, and Ethics. The aim is to analyse these challenges and propose evidence-based improvements.</w:t>
      </w:r>
    </w:p>
    <w:p w14:paraId="4DC46BCE" w14:textId="77777777" w:rsidR="00E64EF2" w:rsidRPr="00E64EF2" w:rsidRDefault="00E64EF2" w:rsidP="00E64EF2">
      <w:pPr>
        <w:spacing w:after="160" w:line="259" w:lineRule="auto"/>
        <w:rPr>
          <w:rFonts w:ascii="Arial" w:eastAsiaTheme="minorHAnsi" w:hAnsi="Arial" w:cs="Arial"/>
          <w:b/>
          <w:bCs/>
          <w:sz w:val="22"/>
          <w:szCs w:val="22"/>
          <w:lang w:eastAsia="en-US"/>
        </w:rPr>
      </w:pPr>
      <w:r w:rsidRPr="00E64EF2">
        <w:rPr>
          <w:rFonts w:ascii="Arial" w:eastAsiaTheme="minorHAnsi" w:hAnsi="Arial" w:cs="Arial"/>
          <w:b/>
          <w:bCs/>
          <w:sz w:val="22"/>
          <w:szCs w:val="22"/>
          <w:lang w:eastAsia="en-US"/>
        </w:rPr>
        <w:t>Effective Communication in the Delivery of Care</w:t>
      </w:r>
    </w:p>
    <w:p w14:paraId="03689B20"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Effective communication plays an essential role in providing safe and effective care, particularly for patients such as Mrs Mann, who may face unique linguistic challenges. In her case, the communication breakdown not only caused a significant delay in receiving necessary medical attention but also underscored the critical importance of clear and accurate information exchange in the healthcare setting. This incident serves as a stark reminder of how inadequacies in communication can compromise clinical safety and ultimately affect patient outcome</w:t>
      </w:r>
      <w:r w:rsidRPr="00E64EF2">
        <w:rPr>
          <w:rFonts w:ascii="Arial" w:eastAsiaTheme="minorHAnsi" w:hAnsi="Arial" w:cs="Arial"/>
          <w:i/>
          <w:iCs/>
          <w:sz w:val="22"/>
          <w:szCs w:val="22"/>
          <w:lang w:eastAsia="en-US"/>
        </w:rPr>
        <w:t>(Lee 2021).</w:t>
      </w:r>
    </w:p>
    <w:p w14:paraId="5F13D392"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Effective communication is crucial in facilitating a clear understanding of treatment plans for service users, guaranteeing that they remain informed participants in their own care. It empowers individuals to maintain their autonomy, allowing them the opportunity to voice any concerns or preferences they may have. This aspect is vital for ensuring a person-centred practice, which places the service user's needs and perspectives at the forefront of the care process(</w:t>
      </w:r>
      <w:r w:rsidRPr="00E64EF2">
        <w:rPr>
          <w:rFonts w:ascii="Arial" w:eastAsiaTheme="minorHAnsi" w:hAnsi="Arial" w:cs="Arial"/>
          <w:i/>
          <w:iCs/>
          <w:sz w:val="22"/>
          <w:szCs w:val="22"/>
          <w:lang w:eastAsia="en-US"/>
        </w:rPr>
        <w:t>UK Government 2010).</w:t>
      </w:r>
    </w:p>
    <w:p w14:paraId="16A863AE" w14:textId="77777777" w:rsidR="00E64EF2" w:rsidRPr="00E64EF2" w:rsidRDefault="00E64EF2" w:rsidP="00E64EF2">
      <w:pPr>
        <w:spacing w:after="160" w:line="259" w:lineRule="auto"/>
        <w:rPr>
          <w:rFonts w:ascii="Arial" w:eastAsiaTheme="minorHAnsi" w:hAnsi="Arial" w:cs="Arial"/>
          <w:i/>
          <w:iCs/>
          <w:sz w:val="22"/>
          <w:szCs w:val="22"/>
          <w:lang w:eastAsia="en-US"/>
        </w:rPr>
      </w:pPr>
      <w:r w:rsidRPr="00E64EF2">
        <w:rPr>
          <w:rFonts w:ascii="Arial" w:eastAsiaTheme="minorHAnsi" w:hAnsi="Arial" w:cs="Arial"/>
          <w:sz w:val="22"/>
          <w:szCs w:val="22"/>
          <w:lang w:eastAsia="en-US"/>
        </w:rPr>
        <w:t>When engaging with Mrs Mann, it is imperative to adopt communication approaches that are specifically tailored to her unique cultural context. This might involve understanding her cultural background, beliefs, and values, and being sensitive to any language barriers or differences in communication styles. By doing so, it creates a supportive environment that respects her individuality and fosters open dialogue, enabling her to feel comfortable and valued throughout her treatment journey. The Equality Act 2010 requires service providers to make reasonable adjustments to ensure equal access for individuals, particularly those with disabilities. This includes offering services like interpretation or providing materials in accessible formats to eliminate barriers to participation. The goal is to promote inclusivity and ensure that everyone can fully access the services they need</w:t>
      </w:r>
      <w:r w:rsidRPr="00E64EF2">
        <w:rPr>
          <w:rFonts w:ascii="Arial" w:eastAsiaTheme="minorHAnsi" w:hAnsi="Arial" w:cs="Arial"/>
          <w:i/>
          <w:iCs/>
          <w:sz w:val="22"/>
          <w:szCs w:val="22"/>
          <w:lang w:eastAsia="en-US"/>
        </w:rPr>
        <w:t>(UK Government 2010).</w:t>
      </w:r>
      <w:r w:rsidRPr="00E64EF2">
        <w:rPr>
          <w:rFonts w:ascii="Arial" w:eastAsiaTheme="minorHAnsi" w:hAnsi="Arial" w:cs="Arial"/>
          <w:sz w:val="22"/>
          <w:szCs w:val="22"/>
          <w:lang w:eastAsia="en-US"/>
        </w:rPr>
        <w:t xml:space="preserve"> This involves tackling language barriers to avoid any form of indirect discrimination</w:t>
      </w:r>
      <w:r w:rsidRPr="00E64EF2">
        <w:rPr>
          <w:rFonts w:ascii="Arial" w:eastAsiaTheme="minorHAnsi" w:hAnsi="Arial" w:cs="Arial"/>
          <w:i/>
          <w:iCs/>
          <w:sz w:val="22"/>
          <w:szCs w:val="22"/>
          <w:lang w:eastAsia="en-US"/>
        </w:rPr>
        <w:t>(UK Government 2010).</w:t>
      </w:r>
    </w:p>
    <w:p w14:paraId="5504C34E"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 xml:space="preserve">Healthcare professionals can enhance patient comprehension by employing a variety of effective strategies. Utilising visual aids—such as diagrams, charts, and illustrations—can make complex information more accessible. Additionally, adopting straightforward, everyday language helps break down intricate medical jargon into terms that are easier for patients to grasp. Incorporating teach-back methods allows professionals to confirm the patient’s understanding by encouraging them to repeat the information back in their own words. This </w:t>
      </w:r>
      <w:r w:rsidRPr="00E64EF2">
        <w:rPr>
          <w:rFonts w:ascii="Arial" w:eastAsiaTheme="minorHAnsi" w:hAnsi="Arial" w:cs="Arial"/>
          <w:sz w:val="22"/>
          <w:szCs w:val="22"/>
          <w:lang w:eastAsia="en-US"/>
        </w:rPr>
        <w:lastRenderedPageBreak/>
        <w:t xml:space="preserve">approach minimises the reliance on family members for translation and ensures that patients fully grasp their medical situations and instructions </w:t>
      </w:r>
      <w:r w:rsidRPr="00E64EF2">
        <w:rPr>
          <w:rFonts w:ascii="Arial" w:eastAsiaTheme="minorHAnsi" w:hAnsi="Arial" w:cs="Arial"/>
          <w:i/>
          <w:iCs/>
          <w:sz w:val="22"/>
          <w:szCs w:val="22"/>
          <w:lang w:eastAsia="en-US"/>
        </w:rPr>
        <w:t>(Galmarini, et al 2024).</w:t>
      </w:r>
      <w:r w:rsidRPr="00E64EF2">
        <w:rPr>
          <w:rFonts w:ascii="Arial" w:eastAsiaTheme="minorHAnsi" w:hAnsi="Arial" w:cs="Arial"/>
          <w:sz w:val="22"/>
          <w:szCs w:val="22"/>
          <w:lang w:eastAsia="en-US"/>
        </w:rPr>
        <w:t xml:space="preserve"> </w:t>
      </w:r>
    </w:p>
    <w:p w14:paraId="32C570E9"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The Calgary-Cambridge model provides a structured framework to improve these interactions. This model emphasises stages such as initiating the session, gathering information, explanation and planning(</w:t>
      </w:r>
      <w:r w:rsidRPr="00E64EF2">
        <w:rPr>
          <w:rFonts w:ascii="Arial" w:eastAsiaTheme="minorHAnsi" w:hAnsi="Arial" w:cs="Arial"/>
          <w:i/>
          <w:iCs/>
          <w:sz w:val="22"/>
          <w:szCs w:val="22"/>
          <w:lang w:eastAsia="en-US"/>
        </w:rPr>
        <w:t>Sivlerman, K. 1998).</w:t>
      </w:r>
      <w:r w:rsidRPr="00E64EF2">
        <w:rPr>
          <w:rFonts w:ascii="Arial" w:eastAsiaTheme="minorHAnsi" w:hAnsi="Arial" w:cs="Arial"/>
          <w:sz w:val="22"/>
          <w:szCs w:val="22"/>
          <w:lang w:eastAsia="en-US"/>
        </w:rPr>
        <w:t xml:space="preserve"> By applying this model to Mrs Mann, it will acknowledge her cultural background. By appropriately involving her daughter, the care team can engage an interpreter when necessary to accurately understand her specific pain levels and mobility goals. It is important to provide information in Urdu or through translated materials to ensure she understands her exercise regimen and medication. The session should conclude by summarising the next steps to ensure she feels informed and supported(</w:t>
      </w:r>
      <w:r w:rsidRPr="00E64EF2">
        <w:rPr>
          <w:rFonts w:ascii="Arial" w:eastAsiaTheme="minorHAnsi" w:hAnsi="Arial" w:cs="Arial"/>
          <w:i/>
          <w:iCs/>
          <w:sz w:val="22"/>
          <w:szCs w:val="22"/>
          <w:lang w:eastAsia="en-US"/>
        </w:rPr>
        <w:t>NHS 2018).</w:t>
      </w:r>
    </w:p>
    <w:p w14:paraId="5B8971DC" w14:textId="77777777" w:rsidR="00E64EF2" w:rsidRPr="00E64EF2" w:rsidRDefault="00E64EF2" w:rsidP="00E64EF2">
      <w:pPr>
        <w:spacing w:after="160" w:line="259" w:lineRule="auto"/>
        <w:rPr>
          <w:rFonts w:ascii="Arial" w:eastAsiaTheme="minorHAnsi" w:hAnsi="Arial" w:cs="Arial"/>
          <w:i/>
          <w:iCs/>
          <w:sz w:val="22"/>
          <w:szCs w:val="22"/>
          <w:lang w:eastAsia="en-US"/>
        </w:rPr>
      </w:pPr>
      <w:r w:rsidRPr="00E64EF2">
        <w:rPr>
          <w:rFonts w:ascii="Arial" w:eastAsiaTheme="minorHAnsi" w:hAnsi="Arial" w:cs="Arial"/>
          <w:sz w:val="22"/>
          <w:szCs w:val="22"/>
          <w:lang w:eastAsia="en-US"/>
        </w:rPr>
        <w:t>The assessable information standard mandates that health and social care organisations must provide information in formats that individuals can understand. This means ensuring that critical care and instructions are available in Urdu(</w:t>
      </w:r>
      <w:r w:rsidRPr="00E64EF2">
        <w:rPr>
          <w:rFonts w:ascii="Arial" w:eastAsiaTheme="minorHAnsi" w:hAnsi="Arial" w:cs="Arial"/>
          <w:i/>
          <w:iCs/>
          <w:sz w:val="22"/>
          <w:szCs w:val="22"/>
          <w:lang w:eastAsia="en-US"/>
        </w:rPr>
        <w:t>NHS 2018).</w:t>
      </w:r>
    </w:p>
    <w:p w14:paraId="42E1EF3F" w14:textId="77777777" w:rsidR="00E64EF2" w:rsidRPr="00E64EF2" w:rsidRDefault="00E64EF2" w:rsidP="00E64EF2">
      <w:pPr>
        <w:spacing w:after="160" w:line="259" w:lineRule="auto"/>
        <w:rPr>
          <w:rFonts w:ascii="Arial" w:eastAsiaTheme="minorHAnsi" w:hAnsi="Arial" w:cs="Arial"/>
          <w:i/>
          <w:iCs/>
          <w:sz w:val="22"/>
          <w:szCs w:val="22"/>
          <w:lang w:eastAsia="en-US"/>
        </w:rPr>
      </w:pPr>
      <w:r w:rsidRPr="00E64EF2">
        <w:rPr>
          <w:rFonts w:ascii="Arial" w:eastAsiaTheme="minorHAnsi" w:hAnsi="Arial" w:cs="Arial"/>
          <w:sz w:val="22"/>
          <w:szCs w:val="22"/>
          <w:lang w:eastAsia="en-US"/>
        </w:rPr>
        <w:t xml:space="preserve">By integrating these models and legislative requirements, the care team can move from a purely functional relationship to a more therapeutic one that respects Mrs Mann's identity and improves her recovery outcomes </w:t>
      </w:r>
      <w:r w:rsidRPr="00E64EF2">
        <w:rPr>
          <w:rFonts w:ascii="Arial" w:eastAsiaTheme="minorHAnsi" w:hAnsi="Arial" w:cs="Arial"/>
          <w:i/>
          <w:iCs/>
          <w:sz w:val="22"/>
          <w:szCs w:val="22"/>
          <w:lang w:eastAsia="en-US"/>
        </w:rPr>
        <w:t>(Sivlerman, K. 1998).</w:t>
      </w:r>
    </w:p>
    <w:p w14:paraId="70A4140F" w14:textId="77777777" w:rsidR="00E64EF2" w:rsidRPr="00E64EF2" w:rsidRDefault="00E64EF2" w:rsidP="00E64EF2">
      <w:pPr>
        <w:spacing w:after="160" w:line="259" w:lineRule="auto"/>
        <w:rPr>
          <w:rFonts w:ascii="Arial" w:eastAsiaTheme="minorHAnsi" w:hAnsi="Arial" w:cs="Arial"/>
          <w:b/>
          <w:bCs/>
          <w:sz w:val="22"/>
          <w:szCs w:val="22"/>
          <w:lang w:eastAsia="en-US"/>
        </w:rPr>
      </w:pPr>
      <w:r w:rsidRPr="00E64EF2">
        <w:rPr>
          <w:rFonts w:ascii="Arial" w:eastAsiaTheme="minorHAnsi" w:hAnsi="Arial" w:cs="Arial"/>
          <w:b/>
          <w:bCs/>
          <w:sz w:val="22"/>
          <w:szCs w:val="22"/>
          <w:lang w:eastAsia="en-US"/>
        </w:rPr>
        <w:t>Record Keeping and Administrative Skills.</w:t>
      </w:r>
    </w:p>
    <w:p w14:paraId="61A26AEC"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Administrative skills and diligent record-keeping are vital aspects of professional practice, forming the foundation of care and coordination. In Mrs Mann's case, inconsistent documentation was a key factor in her delayed medical care. Medical records are essential tools for maintaining continuity of care and protecting service users(</w:t>
      </w:r>
      <w:r w:rsidRPr="00E64EF2">
        <w:rPr>
          <w:rFonts w:ascii="Arial" w:eastAsiaTheme="minorHAnsi" w:hAnsi="Arial" w:cs="Arial"/>
          <w:i/>
          <w:iCs/>
          <w:sz w:val="22"/>
          <w:szCs w:val="22"/>
          <w:lang w:eastAsia="en-US"/>
        </w:rPr>
        <w:t>NHS England 2024).</w:t>
      </w:r>
    </w:p>
    <w:p w14:paraId="2EECDA18"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Accurate, timely, and objective professional record keeping is essential. According to HCPC standards, professionals must maintain comprehensive, clear, and accurate records for all individuals they serve. These records should be completed as soon as possible after each care event. In the case of Mrs Mann, this means that every visit by the domiciliary team and the physiotherapist must be documented immediately, noting any changes in her condition or medication needs. Failing to do so can lead to information silos, resulting in the loss of critical health data between shifts and agencies</w:t>
      </w:r>
      <w:r w:rsidRPr="00E64EF2">
        <w:rPr>
          <w:rFonts w:ascii="Arial" w:eastAsiaTheme="minorHAnsi" w:hAnsi="Arial" w:cs="Arial"/>
          <w:i/>
          <w:iCs/>
          <w:sz w:val="22"/>
          <w:szCs w:val="22"/>
          <w:lang w:eastAsia="en-US"/>
        </w:rPr>
        <w:t>(NHS England 2024).</w:t>
      </w:r>
    </w:p>
    <w:p w14:paraId="4F7795F2" w14:textId="77777777" w:rsidR="00E64EF2" w:rsidRPr="00E64EF2" w:rsidRDefault="00E64EF2" w:rsidP="00E64EF2">
      <w:pPr>
        <w:spacing w:after="160" w:line="259" w:lineRule="auto"/>
        <w:rPr>
          <w:rFonts w:ascii="Arial" w:eastAsiaTheme="minorHAnsi" w:hAnsi="Arial" w:cs="Arial"/>
          <w:i/>
          <w:iCs/>
          <w:sz w:val="22"/>
          <w:szCs w:val="22"/>
          <w:lang w:eastAsia="en-US"/>
        </w:rPr>
      </w:pPr>
      <w:r w:rsidRPr="00E64EF2">
        <w:rPr>
          <w:rFonts w:ascii="Arial" w:eastAsiaTheme="minorHAnsi" w:hAnsi="Arial" w:cs="Arial"/>
          <w:sz w:val="22"/>
          <w:szCs w:val="22"/>
          <w:lang w:eastAsia="en-US"/>
        </w:rPr>
        <w:t>This practice is governed by the Data Protection Act 2018 and the UK GDPR, emphasising the need for accurate and secure processing of personal data. For Mrs Mann, this means promptly updating her records to reflect medication changes and storing her data securely, either in encrypted digital files or locked cabinets, to prevent unauthorised access. The care agency must demonstrate accountability by managing data lawfully and transparently. According to the Care Quality Commission's standards, providers must maintain secure and accurate records. Effective administration requires care workers to treat their notes as legal documents and adhere to records management practices to ensure appropriate information sharing among the care team, thus preventing medication errors like the one experienced by Mrs Mann</w:t>
      </w:r>
      <w:r w:rsidRPr="00E64EF2">
        <w:rPr>
          <w:rFonts w:ascii="Arial" w:eastAsiaTheme="minorHAnsi" w:hAnsi="Arial" w:cs="Arial"/>
          <w:i/>
          <w:iCs/>
          <w:sz w:val="22"/>
          <w:szCs w:val="22"/>
          <w:lang w:eastAsia="en-US"/>
        </w:rPr>
        <w:t>(Care Learning 2024).</w:t>
      </w:r>
    </w:p>
    <w:p w14:paraId="39C04CD7"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b/>
          <w:bCs/>
          <w:sz w:val="22"/>
          <w:szCs w:val="22"/>
          <w:lang w:eastAsia="en-US"/>
        </w:rPr>
        <w:t xml:space="preserve">Collaborative Working </w:t>
      </w:r>
    </w:p>
    <w:p w14:paraId="2150AB79" w14:textId="77777777" w:rsidR="00E64EF2" w:rsidRPr="00E64EF2" w:rsidRDefault="00E64EF2" w:rsidP="00E64EF2">
      <w:pPr>
        <w:spacing w:after="160" w:line="259" w:lineRule="auto"/>
        <w:rPr>
          <w:rFonts w:ascii="Arial" w:eastAsiaTheme="minorHAnsi" w:hAnsi="Arial" w:cs="Arial"/>
          <w:sz w:val="22"/>
          <w:szCs w:val="22"/>
          <w:lang w:eastAsia="en-US"/>
        </w:rPr>
      </w:pPr>
      <w:r w:rsidRPr="00E64EF2">
        <w:rPr>
          <w:rFonts w:ascii="Arial" w:eastAsiaTheme="minorHAnsi" w:hAnsi="Arial" w:cs="Arial"/>
          <w:sz w:val="22"/>
          <w:szCs w:val="22"/>
          <w:lang w:eastAsia="en-US"/>
        </w:rPr>
        <w:t xml:space="preserve">Mrs Mann has a multidisciplinary team that includes domiciliary workers, a community physiotherapist, and her GP. Collaborative working is essential because her needs are holistic; her physical rehabilitation depends on both the physiotherapist's expertise and the daily assistance of the care workers. Research indicates that integrated care leads to better patient outcomes and reduces hospital readmissions. </w:t>
      </w:r>
    </w:p>
    <w:p w14:paraId="7A81BCC8" w14:textId="3348F49B" w:rsidR="00F51ADB" w:rsidRPr="00F51ADB" w:rsidRDefault="00F51ADB" w:rsidP="00F51ADB">
      <w:pPr>
        <w:widowControl w:val="0"/>
        <w:autoSpaceDE w:val="0"/>
        <w:autoSpaceDN w:val="0"/>
        <w:adjustRightInd w:val="0"/>
        <w:spacing w:after="240" w:line="360" w:lineRule="auto"/>
        <w:rPr>
          <w:rFonts w:ascii="Arial" w:hAnsi="Arial" w:cs="Arial"/>
          <w:b/>
          <w:bCs/>
          <w:sz w:val="22"/>
          <w:szCs w:val="22"/>
          <w:lang w:val="en-US"/>
        </w:rPr>
      </w:pPr>
      <w:r w:rsidRPr="00F51ADB">
        <w:rPr>
          <w:rFonts w:ascii="Arial" w:hAnsi="Arial" w:cs="Arial"/>
          <w:b/>
          <w:bCs/>
          <w:sz w:val="22"/>
          <w:szCs w:val="22"/>
          <w:lang w:val="en-US"/>
        </w:rPr>
        <w:lastRenderedPageBreak/>
        <w:t xml:space="preserve">Reference </w:t>
      </w:r>
      <w:r>
        <w:rPr>
          <w:rFonts w:ascii="Arial" w:hAnsi="Arial" w:cs="Arial"/>
          <w:b/>
          <w:bCs/>
          <w:sz w:val="22"/>
          <w:szCs w:val="22"/>
          <w:lang w:val="en-US"/>
        </w:rPr>
        <w:t>L</w:t>
      </w:r>
      <w:r w:rsidRPr="00F51ADB">
        <w:rPr>
          <w:rFonts w:ascii="Arial" w:hAnsi="Arial" w:cs="Arial"/>
          <w:b/>
          <w:bCs/>
          <w:sz w:val="22"/>
          <w:szCs w:val="22"/>
          <w:lang w:val="en-US"/>
        </w:rPr>
        <w:t>ist</w:t>
      </w:r>
    </w:p>
    <w:p w14:paraId="5E343113"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care learning (2024). </w:t>
      </w:r>
      <w:r w:rsidRPr="006E3091">
        <w:rPr>
          <w:rFonts w:ascii="Arial" w:hAnsi="Arial" w:cs="Arial"/>
          <w:i/>
          <w:iCs/>
          <w:sz w:val="22"/>
          <w:szCs w:val="22"/>
          <w:lang w:val="en-US"/>
        </w:rPr>
        <w:t>Data Protection Act 2018 In Health And Social Care - Care Learning</w:t>
      </w:r>
      <w:r w:rsidRPr="006E3091">
        <w:rPr>
          <w:rFonts w:ascii="Arial" w:hAnsi="Arial" w:cs="Arial"/>
          <w:sz w:val="22"/>
          <w:szCs w:val="22"/>
          <w:lang w:val="en-US"/>
        </w:rPr>
        <w:t xml:space="preserve">. [online] carelearning.org.uk. Available at: </w:t>
      </w:r>
      <w:hyperlink r:id="rId6" w:history="1">
        <w:r w:rsidRPr="006E3091">
          <w:rPr>
            <w:rFonts w:ascii="Arial" w:hAnsi="Arial" w:cs="Arial"/>
            <w:sz w:val="22"/>
            <w:szCs w:val="22"/>
            <w:lang w:val="en-US"/>
          </w:rPr>
          <w:t>https://carelearning.org.uk/blog/data-protection-and-gdpr/data-protection-act-2018-in-health-and-social-care/</w:t>
        </w:r>
      </w:hyperlink>
      <w:r w:rsidRPr="006E3091">
        <w:rPr>
          <w:rFonts w:ascii="Arial" w:hAnsi="Arial" w:cs="Arial"/>
          <w:sz w:val="22"/>
          <w:szCs w:val="22"/>
          <w:lang w:val="en-US"/>
        </w:rPr>
        <w:t>.</w:t>
      </w:r>
    </w:p>
    <w:p w14:paraId="134B9FD0"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Galmarini, E., Marciano, L. and Schulz, P.J. (2024). The effectiveness of visual-based interventions on health literacy in health care: A systematic review and meta-analysis. </w:t>
      </w:r>
      <w:r w:rsidRPr="006E3091">
        <w:rPr>
          <w:rFonts w:ascii="Arial" w:hAnsi="Arial" w:cs="Arial"/>
          <w:i/>
          <w:iCs/>
          <w:sz w:val="22"/>
          <w:szCs w:val="22"/>
          <w:lang w:val="en-US"/>
        </w:rPr>
        <w:t>BMC Health Services Research</w:t>
      </w:r>
      <w:r w:rsidRPr="006E3091">
        <w:rPr>
          <w:rFonts w:ascii="Arial" w:hAnsi="Arial" w:cs="Arial"/>
          <w:sz w:val="22"/>
          <w:szCs w:val="22"/>
          <w:lang w:val="en-US"/>
        </w:rPr>
        <w:t>, 24(1), pp.1–10. doi:</w:t>
      </w:r>
      <w:hyperlink r:id="rId7" w:history="1">
        <w:r w:rsidRPr="006E3091">
          <w:rPr>
            <w:rFonts w:ascii="Arial" w:hAnsi="Arial" w:cs="Arial"/>
            <w:sz w:val="22"/>
            <w:szCs w:val="22"/>
            <w:lang w:val="en-US"/>
          </w:rPr>
          <w:t>https://doi.org/10.1186/s12913-024-11138-1</w:t>
        </w:r>
      </w:hyperlink>
      <w:r w:rsidRPr="006E3091">
        <w:rPr>
          <w:rFonts w:ascii="Arial" w:hAnsi="Arial" w:cs="Arial"/>
          <w:sz w:val="22"/>
          <w:szCs w:val="22"/>
          <w:lang w:val="en-US"/>
        </w:rPr>
        <w:t>.</w:t>
      </w:r>
    </w:p>
    <w:p w14:paraId="573EB658"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GOV.UK (2013). </w:t>
      </w:r>
      <w:r w:rsidRPr="006E3091">
        <w:rPr>
          <w:rFonts w:ascii="Arial" w:hAnsi="Arial" w:cs="Arial"/>
          <w:i/>
          <w:iCs/>
          <w:sz w:val="22"/>
          <w:szCs w:val="22"/>
          <w:lang w:val="en-US"/>
        </w:rPr>
        <w:t>Equality Act 2010</w:t>
      </w:r>
      <w:r w:rsidRPr="006E3091">
        <w:rPr>
          <w:rFonts w:ascii="Arial" w:hAnsi="Arial" w:cs="Arial"/>
          <w:sz w:val="22"/>
          <w:szCs w:val="22"/>
          <w:lang w:val="en-US"/>
        </w:rPr>
        <w:t xml:space="preserve">. [online] GOV.UK. Available at: </w:t>
      </w:r>
      <w:hyperlink r:id="rId8" w:history="1">
        <w:r w:rsidRPr="006E3091">
          <w:rPr>
            <w:rFonts w:ascii="Arial" w:hAnsi="Arial" w:cs="Arial"/>
            <w:sz w:val="22"/>
            <w:szCs w:val="22"/>
            <w:lang w:val="en-US"/>
          </w:rPr>
          <w:t>https://www.gov.uk/guidance/equality-act-2010-guidance</w:t>
        </w:r>
      </w:hyperlink>
      <w:r w:rsidRPr="006E3091">
        <w:rPr>
          <w:rFonts w:ascii="Arial" w:hAnsi="Arial" w:cs="Arial"/>
          <w:sz w:val="22"/>
          <w:szCs w:val="22"/>
          <w:lang w:val="en-US"/>
        </w:rPr>
        <w:t>.</w:t>
      </w:r>
    </w:p>
    <w:p w14:paraId="1BE62843"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Guidance for providers on meeting the regulations. (2015). Available at: </w:t>
      </w:r>
      <w:hyperlink r:id="rId9" w:history="1">
        <w:r w:rsidRPr="006E3091">
          <w:rPr>
            <w:rFonts w:ascii="Arial" w:hAnsi="Arial" w:cs="Arial"/>
            <w:sz w:val="22"/>
            <w:szCs w:val="22"/>
            <w:lang w:val="en-US"/>
          </w:rPr>
          <w:t>https://ldcresources.uk/files/cqc/cqc_mar15_guidance_providers_meeting_regulations_01.pdf</w:t>
        </w:r>
      </w:hyperlink>
      <w:r w:rsidRPr="006E3091">
        <w:rPr>
          <w:rFonts w:ascii="Arial" w:hAnsi="Arial" w:cs="Arial"/>
          <w:sz w:val="22"/>
          <w:szCs w:val="22"/>
          <w:lang w:val="en-US"/>
        </w:rPr>
        <w:t xml:space="preserve"> [Accessed 30 Mar. 2026].</w:t>
      </w:r>
    </w:p>
    <w:p w14:paraId="67A34118"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Lee, E. (2021). </w:t>
      </w:r>
      <w:r w:rsidRPr="006E3091">
        <w:rPr>
          <w:rFonts w:ascii="Arial" w:hAnsi="Arial" w:cs="Arial"/>
          <w:i/>
          <w:iCs/>
          <w:sz w:val="22"/>
          <w:szCs w:val="22"/>
          <w:lang w:val="en-US"/>
        </w:rPr>
        <w:t>Effective Communication in Health and Social Care</w:t>
      </w:r>
      <w:r w:rsidRPr="006E3091">
        <w:rPr>
          <w:rFonts w:ascii="Arial" w:hAnsi="Arial" w:cs="Arial"/>
          <w:sz w:val="22"/>
          <w:szCs w:val="22"/>
          <w:lang w:val="en-US"/>
        </w:rPr>
        <w:t xml:space="preserve">. [online] CPD Online College. Available at: </w:t>
      </w:r>
      <w:hyperlink r:id="rId10" w:history="1">
        <w:r w:rsidRPr="006E3091">
          <w:rPr>
            <w:rFonts w:ascii="Arial" w:hAnsi="Arial" w:cs="Arial"/>
            <w:sz w:val="22"/>
            <w:szCs w:val="22"/>
            <w:lang w:val="en-US"/>
          </w:rPr>
          <w:t>https://cpdonline.co.uk/knowledge-base/care/effective-communication/</w:t>
        </w:r>
      </w:hyperlink>
      <w:r w:rsidRPr="006E3091">
        <w:rPr>
          <w:rFonts w:ascii="Arial" w:hAnsi="Arial" w:cs="Arial"/>
          <w:sz w:val="22"/>
          <w:szCs w:val="22"/>
          <w:lang w:val="en-US"/>
        </w:rPr>
        <w:t>.</w:t>
      </w:r>
    </w:p>
    <w:p w14:paraId="7D051CBE"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NHS (2018). </w:t>
      </w:r>
      <w:r w:rsidRPr="006E3091">
        <w:rPr>
          <w:rFonts w:ascii="Arial" w:hAnsi="Arial" w:cs="Arial"/>
          <w:i/>
          <w:iCs/>
          <w:sz w:val="22"/>
          <w:szCs w:val="22"/>
          <w:lang w:val="en-US"/>
        </w:rPr>
        <w:t>Health Information in Other Languages</w:t>
      </w:r>
      <w:r w:rsidRPr="006E3091">
        <w:rPr>
          <w:rFonts w:ascii="Arial" w:hAnsi="Arial" w:cs="Arial"/>
          <w:sz w:val="22"/>
          <w:szCs w:val="22"/>
          <w:lang w:val="en-US"/>
        </w:rPr>
        <w:t xml:space="preserve">. [online] nhs.uk. Available at: </w:t>
      </w:r>
      <w:hyperlink r:id="rId11" w:history="1">
        <w:r w:rsidRPr="006E3091">
          <w:rPr>
            <w:rFonts w:ascii="Arial" w:hAnsi="Arial" w:cs="Arial"/>
            <w:sz w:val="22"/>
            <w:szCs w:val="22"/>
            <w:lang w:val="en-US"/>
          </w:rPr>
          <w:t>https://www.nhs.uk/about-us/health-information-in-other-languages/</w:t>
        </w:r>
      </w:hyperlink>
      <w:r w:rsidRPr="006E3091">
        <w:rPr>
          <w:rFonts w:ascii="Arial" w:hAnsi="Arial" w:cs="Arial"/>
          <w:sz w:val="22"/>
          <w:szCs w:val="22"/>
          <w:lang w:val="en-US"/>
        </w:rPr>
        <w:t>.</w:t>
      </w:r>
    </w:p>
    <w:p w14:paraId="482C9BDC"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NHS England (2017). </w:t>
      </w:r>
      <w:r w:rsidRPr="006E3091">
        <w:rPr>
          <w:rFonts w:ascii="Arial" w:hAnsi="Arial" w:cs="Arial"/>
          <w:i/>
          <w:iCs/>
          <w:sz w:val="22"/>
          <w:szCs w:val="22"/>
          <w:lang w:val="en-US"/>
        </w:rPr>
        <w:t>Safer Care SBAR Situation • Background • Assessment • Recommendation Implementation and Training Guide</w:t>
      </w:r>
      <w:r w:rsidRPr="006E3091">
        <w:rPr>
          <w:rFonts w:ascii="Arial" w:hAnsi="Arial" w:cs="Arial"/>
          <w:sz w:val="22"/>
          <w:szCs w:val="22"/>
          <w:lang w:val="en-US"/>
        </w:rPr>
        <w:t xml:space="preserve">. [online] </w:t>
      </w:r>
      <w:r w:rsidRPr="006E3091">
        <w:rPr>
          <w:rFonts w:ascii="Arial" w:hAnsi="Arial" w:cs="Arial"/>
          <w:i/>
          <w:iCs/>
          <w:sz w:val="22"/>
          <w:szCs w:val="22"/>
          <w:lang w:val="en-US"/>
        </w:rPr>
        <w:t>NHS England</w:t>
      </w:r>
      <w:r w:rsidRPr="006E3091">
        <w:rPr>
          <w:rFonts w:ascii="Arial" w:hAnsi="Arial" w:cs="Arial"/>
          <w:sz w:val="22"/>
          <w:szCs w:val="22"/>
          <w:lang w:val="en-US"/>
        </w:rPr>
        <w:t xml:space="preserve">. NHS England. Available at: </w:t>
      </w:r>
      <w:hyperlink r:id="rId12" w:history="1">
        <w:r w:rsidRPr="006E3091">
          <w:rPr>
            <w:rFonts w:ascii="Arial" w:hAnsi="Arial" w:cs="Arial"/>
            <w:sz w:val="22"/>
            <w:szCs w:val="22"/>
            <w:lang w:val="en-US"/>
          </w:rPr>
          <w:t>https://www.england.nhs.uk/improvement-hub/wp-content/uploads/sites/44/2017/11/SBAR-Implementation-and-Training-Guide.pdf</w:t>
        </w:r>
      </w:hyperlink>
      <w:r w:rsidRPr="006E3091">
        <w:rPr>
          <w:rFonts w:ascii="Arial" w:hAnsi="Arial" w:cs="Arial"/>
          <w:sz w:val="22"/>
          <w:szCs w:val="22"/>
          <w:lang w:val="en-US"/>
        </w:rPr>
        <w:t>.</w:t>
      </w:r>
    </w:p>
    <w:p w14:paraId="7264240E"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NHS England (2024). </w:t>
      </w:r>
      <w:r w:rsidRPr="006E3091">
        <w:rPr>
          <w:rFonts w:ascii="Arial" w:hAnsi="Arial" w:cs="Arial"/>
          <w:i/>
          <w:iCs/>
          <w:sz w:val="22"/>
          <w:szCs w:val="22"/>
          <w:lang w:val="en-US"/>
        </w:rPr>
        <w:t>NHS England» How to make a Freedom of Information request to NHS England</w:t>
      </w:r>
      <w:r w:rsidRPr="006E3091">
        <w:rPr>
          <w:rFonts w:ascii="Arial" w:hAnsi="Arial" w:cs="Arial"/>
          <w:sz w:val="22"/>
          <w:szCs w:val="22"/>
          <w:lang w:val="en-US"/>
        </w:rPr>
        <w:t xml:space="preserve">. [online] www.england.nhs.uk. Available at: </w:t>
      </w:r>
      <w:hyperlink r:id="rId13" w:history="1">
        <w:r w:rsidRPr="006E3091">
          <w:rPr>
            <w:rFonts w:ascii="Arial" w:hAnsi="Arial" w:cs="Arial"/>
            <w:sz w:val="22"/>
            <w:szCs w:val="22"/>
            <w:lang w:val="en-US"/>
          </w:rPr>
          <w:t>https://www.england.nhs.uk/contact-us/foi/</w:t>
        </w:r>
      </w:hyperlink>
      <w:r w:rsidRPr="006E3091">
        <w:rPr>
          <w:rFonts w:ascii="Arial" w:hAnsi="Arial" w:cs="Arial"/>
          <w:sz w:val="22"/>
          <w:szCs w:val="22"/>
          <w:lang w:val="en-US"/>
        </w:rPr>
        <w:t>.</w:t>
      </w:r>
    </w:p>
    <w:p w14:paraId="06C824D3" w14:textId="77777777" w:rsidR="00F51ADB" w:rsidRPr="006E3091" w:rsidRDefault="00F51ADB" w:rsidP="00F51ADB">
      <w:pPr>
        <w:widowControl w:val="0"/>
        <w:autoSpaceDE w:val="0"/>
        <w:autoSpaceDN w:val="0"/>
        <w:adjustRightInd w:val="0"/>
        <w:spacing w:after="240" w:line="360" w:lineRule="auto"/>
        <w:rPr>
          <w:rFonts w:ascii="Arial" w:hAnsi="Arial" w:cs="Arial"/>
          <w:sz w:val="22"/>
          <w:szCs w:val="22"/>
          <w:lang w:val="en-US"/>
        </w:rPr>
      </w:pPr>
      <w:r w:rsidRPr="006E3091">
        <w:rPr>
          <w:rFonts w:ascii="Arial" w:hAnsi="Arial" w:cs="Arial"/>
          <w:sz w:val="22"/>
          <w:szCs w:val="22"/>
          <w:lang w:val="en-US"/>
        </w:rPr>
        <w:t xml:space="preserve">Silverman, K. (1998). </w:t>
      </w:r>
      <w:r w:rsidRPr="006E3091">
        <w:rPr>
          <w:rFonts w:ascii="Arial" w:hAnsi="Arial" w:cs="Arial"/>
          <w:i/>
          <w:iCs/>
          <w:sz w:val="22"/>
          <w:szCs w:val="22"/>
          <w:lang w:val="en-US"/>
        </w:rPr>
        <w:t>Calgary Cambridge Guide to the Medical Interview Initiating the session Establishing initial rapport</w:t>
      </w:r>
      <w:r w:rsidRPr="006E3091">
        <w:rPr>
          <w:rFonts w:ascii="Arial" w:hAnsi="Arial" w:cs="Arial"/>
          <w:sz w:val="22"/>
          <w:szCs w:val="22"/>
          <w:lang w:val="en-US"/>
        </w:rPr>
        <w:t xml:space="preserve">. [online] Available at: </w:t>
      </w:r>
      <w:hyperlink r:id="rId14" w:history="1">
        <w:r w:rsidRPr="006E3091">
          <w:rPr>
            <w:rFonts w:ascii="Arial" w:hAnsi="Arial" w:cs="Arial"/>
            <w:sz w:val="22"/>
            <w:szCs w:val="22"/>
            <w:lang w:val="en-US"/>
          </w:rPr>
          <w:t>https://www.collegeofosteopaths.ac.uk/bb/content/20191202140713CALGARY-CAMBRIDGE%20MODEL.pdf</w:t>
        </w:r>
      </w:hyperlink>
      <w:r w:rsidRPr="006E3091">
        <w:rPr>
          <w:rFonts w:ascii="Arial" w:hAnsi="Arial" w:cs="Arial"/>
          <w:sz w:val="22"/>
          <w:szCs w:val="22"/>
          <w:lang w:val="en-US"/>
        </w:rPr>
        <w:t>.</w:t>
      </w:r>
    </w:p>
    <w:p w14:paraId="0A646B80" w14:textId="77777777" w:rsidR="00F41A79" w:rsidRPr="00FA4E8C" w:rsidRDefault="00F41A79" w:rsidP="00FA4E8C">
      <w:pPr>
        <w:rPr>
          <w:rFonts w:ascii="Arial" w:hAnsi="Arial" w:cs="Arial"/>
          <w:sz w:val="22"/>
          <w:szCs w:val="22"/>
        </w:rPr>
      </w:pPr>
    </w:p>
    <w:p w14:paraId="51F8A707" w14:textId="77777777" w:rsidR="0031670E" w:rsidRPr="00E64EF2" w:rsidRDefault="0031670E">
      <w:pPr>
        <w:rPr>
          <w:rFonts w:ascii="Arial" w:hAnsi="Arial" w:cs="Arial"/>
          <w:sz w:val="22"/>
          <w:szCs w:val="22"/>
        </w:rPr>
      </w:pPr>
    </w:p>
    <w:p w14:paraId="28403769" w14:textId="77777777" w:rsidR="00E012CB" w:rsidRPr="00E64EF2" w:rsidRDefault="00E012CB">
      <w:pPr>
        <w:rPr>
          <w:rFonts w:ascii="Arial" w:hAnsi="Arial" w:cs="Arial"/>
          <w:sz w:val="22"/>
          <w:szCs w:val="22"/>
        </w:rPr>
      </w:pPr>
    </w:p>
    <w:p w14:paraId="3D36209B" w14:textId="533076B2" w:rsidR="00602A44" w:rsidRPr="00E64EF2" w:rsidRDefault="00B36D3B">
      <w:pPr>
        <w:rPr>
          <w:rFonts w:ascii="Arial" w:hAnsi="Arial" w:cs="Arial"/>
          <w:sz w:val="22"/>
          <w:szCs w:val="22"/>
        </w:rPr>
      </w:pPr>
      <w:r w:rsidRPr="00E64EF2">
        <w:rPr>
          <w:rFonts w:ascii="Arial" w:hAnsi="Arial" w:cs="Arial"/>
          <w:sz w:val="22"/>
          <w:szCs w:val="22"/>
        </w:rPr>
        <w:tab/>
      </w:r>
    </w:p>
    <w:sectPr w:rsidR="00602A44" w:rsidRPr="00E64E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3B9D1" w14:textId="77777777" w:rsidR="006B49F1" w:rsidRDefault="006B49F1" w:rsidP="00DB2BAE">
      <w:r>
        <w:separator/>
      </w:r>
    </w:p>
  </w:endnote>
  <w:endnote w:type="continuationSeparator" w:id="0">
    <w:p w14:paraId="364F61E0" w14:textId="77777777" w:rsidR="006B49F1" w:rsidRDefault="006B49F1" w:rsidP="00DB2B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0124042"/>
      <w:docPartObj>
        <w:docPartGallery w:val="Page Numbers (Bottom of Page)"/>
        <w:docPartUnique/>
      </w:docPartObj>
    </w:sdtPr>
    <w:sdtContent>
      <w:p w14:paraId="28C0F020" w14:textId="0C426F7B" w:rsidR="00014678" w:rsidRDefault="00014678">
        <w:pPr>
          <w:pStyle w:val="Footer"/>
          <w:jc w:val="center"/>
        </w:pPr>
        <w:r>
          <w:fldChar w:fldCharType="begin"/>
        </w:r>
        <w:r>
          <w:instrText>PAGE   \* MERGEFORMAT</w:instrText>
        </w:r>
        <w:r>
          <w:fldChar w:fldCharType="separate"/>
        </w:r>
        <w:r>
          <w:t>2</w:t>
        </w:r>
        <w:r>
          <w:fldChar w:fldCharType="end"/>
        </w:r>
      </w:p>
    </w:sdtContent>
  </w:sdt>
  <w:p w14:paraId="09066039" w14:textId="77777777" w:rsidR="00DB2BAE" w:rsidRDefault="00DB2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78BA4" w14:textId="77777777" w:rsidR="006B49F1" w:rsidRDefault="006B49F1" w:rsidP="00DB2BAE">
      <w:r>
        <w:separator/>
      </w:r>
    </w:p>
  </w:footnote>
  <w:footnote w:type="continuationSeparator" w:id="0">
    <w:p w14:paraId="34C4A727" w14:textId="77777777" w:rsidR="006B49F1" w:rsidRDefault="006B49F1" w:rsidP="00DB2BA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A44"/>
    <w:rsid w:val="00014678"/>
    <w:rsid w:val="001D783D"/>
    <w:rsid w:val="00214771"/>
    <w:rsid w:val="0031670E"/>
    <w:rsid w:val="00602A44"/>
    <w:rsid w:val="006B49F1"/>
    <w:rsid w:val="00860ACF"/>
    <w:rsid w:val="00863228"/>
    <w:rsid w:val="00966BC9"/>
    <w:rsid w:val="00A477C4"/>
    <w:rsid w:val="00B36D3B"/>
    <w:rsid w:val="00D358BB"/>
    <w:rsid w:val="00DB2BAE"/>
    <w:rsid w:val="00E012CB"/>
    <w:rsid w:val="00E64EF2"/>
    <w:rsid w:val="00F41A79"/>
    <w:rsid w:val="00F47E60"/>
    <w:rsid w:val="00F51ADB"/>
    <w:rsid w:val="00F774E2"/>
    <w:rsid w:val="00F86CA1"/>
    <w:rsid w:val="00FA4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384F7"/>
  <w15:chartTrackingRefBased/>
  <w15:docId w15:val="{8B9CA272-B68D-4A85-9CEC-E8C60D9D9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A4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02A44"/>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nhideWhenUsed/>
    <w:qFormat/>
    <w:rsid w:val="00602A44"/>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02A44"/>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02A44"/>
    <w:pPr>
      <w:keepNext/>
      <w:keepLines/>
      <w:spacing w:before="80" w:after="40" w:line="259" w:lineRule="auto"/>
      <w:outlineLvl w:val="3"/>
    </w:pPr>
    <w:rPr>
      <w:rFonts w:asciiTheme="minorHAnsi" w:eastAsiaTheme="majorEastAsia" w:hAnsiTheme="minorHAnsi"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602A44"/>
    <w:pPr>
      <w:keepNext/>
      <w:keepLines/>
      <w:spacing w:before="80" w:after="40" w:line="259" w:lineRule="auto"/>
      <w:outlineLvl w:val="4"/>
    </w:pPr>
    <w:rPr>
      <w:rFonts w:asciiTheme="minorHAnsi" w:eastAsiaTheme="majorEastAsia" w:hAnsiTheme="minorHAnsi"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602A44"/>
    <w:pPr>
      <w:keepNext/>
      <w:keepLines/>
      <w:spacing w:before="40" w:line="259" w:lineRule="auto"/>
      <w:outlineLvl w:val="5"/>
    </w:pPr>
    <w:rPr>
      <w:rFonts w:asciiTheme="minorHAnsi" w:eastAsiaTheme="majorEastAsia" w:hAnsiTheme="minorHAnsi"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602A44"/>
    <w:pPr>
      <w:keepNext/>
      <w:keepLines/>
      <w:spacing w:before="40" w:line="259" w:lineRule="auto"/>
      <w:outlineLvl w:val="6"/>
    </w:pPr>
    <w:rPr>
      <w:rFonts w:asciiTheme="minorHAnsi" w:eastAsiaTheme="majorEastAsia" w:hAnsiTheme="minorHAnsi"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602A44"/>
    <w:pPr>
      <w:keepNext/>
      <w:keepLines/>
      <w:spacing w:line="259" w:lineRule="auto"/>
      <w:outlineLvl w:val="7"/>
    </w:pPr>
    <w:rPr>
      <w:rFonts w:asciiTheme="minorHAnsi" w:eastAsiaTheme="majorEastAsia" w:hAnsiTheme="minorHAnsi"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602A44"/>
    <w:pPr>
      <w:keepNext/>
      <w:keepLines/>
      <w:spacing w:line="259" w:lineRule="auto"/>
      <w:outlineLvl w:val="8"/>
    </w:pPr>
    <w:rPr>
      <w:rFonts w:asciiTheme="minorHAnsi" w:eastAsiaTheme="majorEastAsia" w:hAnsiTheme="minorHAnsi" w:cstheme="majorBidi"/>
      <w:color w:val="272727" w:themeColor="text1" w:themeTint="D8"/>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A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2A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2A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2A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2A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2A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2A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2A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2A44"/>
    <w:rPr>
      <w:rFonts w:eastAsiaTheme="majorEastAsia" w:cstheme="majorBidi"/>
      <w:color w:val="272727" w:themeColor="text1" w:themeTint="D8"/>
    </w:rPr>
  </w:style>
  <w:style w:type="paragraph" w:styleId="Title">
    <w:name w:val="Title"/>
    <w:basedOn w:val="Normal"/>
    <w:next w:val="Normal"/>
    <w:link w:val="TitleChar"/>
    <w:uiPriority w:val="10"/>
    <w:qFormat/>
    <w:rsid w:val="00602A44"/>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02A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2A44"/>
    <w:pPr>
      <w:numPr>
        <w:ilvl w:val="1"/>
      </w:numPr>
      <w:spacing w:after="160" w:line="259" w:lineRule="auto"/>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02A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2A44"/>
    <w:pPr>
      <w:spacing w:before="160" w:after="160" w:line="259"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602A44"/>
    <w:rPr>
      <w:i/>
      <w:iCs/>
      <w:color w:val="404040" w:themeColor="text1" w:themeTint="BF"/>
    </w:rPr>
  </w:style>
  <w:style w:type="paragraph" w:styleId="ListParagraph">
    <w:name w:val="List Paragraph"/>
    <w:basedOn w:val="Normal"/>
    <w:uiPriority w:val="34"/>
    <w:qFormat/>
    <w:rsid w:val="00602A44"/>
    <w:pPr>
      <w:spacing w:after="160" w:line="259" w:lineRule="auto"/>
      <w:ind w:left="720"/>
      <w:contextualSpacing/>
    </w:pPr>
    <w:rPr>
      <w:rFonts w:asciiTheme="minorHAnsi" w:eastAsiaTheme="minorHAnsi" w:hAnsiTheme="minorHAnsi" w:cstheme="minorBidi"/>
      <w:sz w:val="22"/>
      <w:szCs w:val="22"/>
      <w:lang w:eastAsia="en-US"/>
    </w:rPr>
  </w:style>
  <w:style w:type="character" w:styleId="IntenseEmphasis">
    <w:name w:val="Intense Emphasis"/>
    <w:basedOn w:val="DefaultParagraphFont"/>
    <w:uiPriority w:val="21"/>
    <w:qFormat/>
    <w:rsid w:val="00602A44"/>
    <w:rPr>
      <w:i/>
      <w:iCs/>
      <w:color w:val="0F4761" w:themeColor="accent1" w:themeShade="BF"/>
    </w:rPr>
  </w:style>
  <w:style w:type="paragraph" w:styleId="IntenseQuote">
    <w:name w:val="Intense Quote"/>
    <w:basedOn w:val="Normal"/>
    <w:next w:val="Normal"/>
    <w:link w:val="IntenseQuoteChar"/>
    <w:uiPriority w:val="30"/>
    <w:qFormat/>
    <w:rsid w:val="00602A4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602A44"/>
    <w:rPr>
      <w:i/>
      <w:iCs/>
      <w:color w:val="0F4761" w:themeColor="accent1" w:themeShade="BF"/>
    </w:rPr>
  </w:style>
  <w:style w:type="character" w:styleId="IntenseReference">
    <w:name w:val="Intense Reference"/>
    <w:basedOn w:val="DefaultParagraphFont"/>
    <w:uiPriority w:val="32"/>
    <w:qFormat/>
    <w:rsid w:val="00602A44"/>
    <w:rPr>
      <w:b/>
      <w:bCs/>
      <w:smallCaps/>
      <w:color w:val="0F4761" w:themeColor="accent1" w:themeShade="BF"/>
      <w:spacing w:val="5"/>
    </w:rPr>
  </w:style>
  <w:style w:type="paragraph" w:styleId="Header">
    <w:name w:val="header"/>
    <w:basedOn w:val="Normal"/>
    <w:link w:val="HeaderChar"/>
    <w:uiPriority w:val="99"/>
    <w:unhideWhenUsed/>
    <w:rsid w:val="00DB2BAE"/>
    <w:pPr>
      <w:tabs>
        <w:tab w:val="center" w:pos="4513"/>
        <w:tab w:val="right" w:pos="9026"/>
      </w:tabs>
    </w:pPr>
  </w:style>
  <w:style w:type="character" w:customStyle="1" w:styleId="HeaderChar">
    <w:name w:val="Header Char"/>
    <w:basedOn w:val="DefaultParagraphFont"/>
    <w:link w:val="Header"/>
    <w:uiPriority w:val="99"/>
    <w:rsid w:val="00DB2BA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B2BAE"/>
    <w:pPr>
      <w:tabs>
        <w:tab w:val="center" w:pos="4513"/>
        <w:tab w:val="right" w:pos="9026"/>
      </w:tabs>
    </w:pPr>
  </w:style>
  <w:style w:type="character" w:customStyle="1" w:styleId="FooterChar">
    <w:name w:val="Footer Char"/>
    <w:basedOn w:val="DefaultParagraphFont"/>
    <w:link w:val="Footer"/>
    <w:uiPriority w:val="99"/>
    <w:rsid w:val="00DB2BA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13" Type="http://schemas.openxmlformats.org/officeDocument/2006/relationships/hyperlink" Target="https://www.england.nhs.uk/contact-us/foi/" TargetMode="External"/><Relationship Id="rId3" Type="http://schemas.openxmlformats.org/officeDocument/2006/relationships/webSettings" Target="webSettings.xml"/><Relationship Id="rId7" Type="http://schemas.openxmlformats.org/officeDocument/2006/relationships/hyperlink" Target="https://doi.org/10.1186/s12913-024-11138-1" TargetMode="External"/><Relationship Id="rId12" Type="http://schemas.openxmlformats.org/officeDocument/2006/relationships/hyperlink" Target="https://www.england.nhs.uk/improvement-hub/wp-content/uploads/sites/44/2017/11/SBAR-Implementation-and-Training-Guide.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arelearning.org.uk/blog/data-protection-and-gdpr/data-protection-act-2018-in-health-and-social-care/" TargetMode="External"/><Relationship Id="rId11" Type="http://schemas.openxmlformats.org/officeDocument/2006/relationships/hyperlink" Target="https://www.nhs.uk/about-us/health-information-in-other-language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cpdonline.co.uk/knowledge-base/care/effective-communication/" TargetMode="External"/><Relationship Id="rId4" Type="http://schemas.openxmlformats.org/officeDocument/2006/relationships/footnotes" Target="footnotes.xml"/><Relationship Id="rId9" Type="http://schemas.openxmlformats.org/officeDocument/2006/relationships/hyperlink" Target="https://ldcresources.uk/files/cqc/cqc_mar15_guidance_providers_meeting_regulations_01.pdf" TargetMode="External"/><Relationship Id="rId14" Type="http://schemas.openxmlformats.org/officeDocument/2006/relationships/hyperlink" Target="https://www.collegeofosteopaths.ac.uk/bb/content/20191202140713CALGARY-CAMBRIDGE%20MOD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4</Pages>
  <Words>1436</Words>
  <Characters>8918</Characters>
  <Application>Microsoft Office Word</Application>
  <DocSecurity>0</DocSecurity>
  <Lines>129</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Clarke</dc:creator>
  <cp:keywords/>
  <dc:description/>
  <cp:lastModifiedBy>Nina Clarke</cp:lastModifiedBy>
  <cp:revision>12</cp:revision>
  <dcterms:created xsi:type="dcterms:W3CDTF">2026-03-28T19:42:00Z</dcterms:created>
  <dcterms:modified xsi:type="dcterms:W3CDTF">2026-04-02T08:23:00Z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fd654b24-3e1c-4f59-9ddb-12c8e8fa334c</vt:lpwstr>
  </property>
</Properties>
</file>