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0424632"/>
        <w:docPartObj>
          <w:docPartGallery w:val="Cover Pages"/>
          <w:docPartUnique/>
        </w:docPartObj>
      </w:sdtPr>
      <w:sdtEndPr/>
      <w:sdtContent>
        <w:p w14:paraId="4CCC3A12" w14:textId="10C25094" w:rsidR="00141711" w:rsidRDefault="00141711">
          <w:r>
            <w:rPr>
              <w:noProof/>
            </w:rPr>
            <mc:AlternateContent>
              <mc:Choice Requires="wpg">
                <w:drawing>
                  <wp:anchor distT="0" distB="0" distL="114300" distR="114300" simplePos="0" relativeHeight="251662336" behindDoc="0" locked="0" layoutInCell="1" allowOverlap="1" wp14:anchorId="51DC9C5B" wp14:editId="176724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6CE9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EC58FC" wp14:editId="081EA6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B10DED" w14:textId="47454AE9" w:rsidR="00141711" w:rsidRDefault="00141711">
                                    <w:pPr>
                                      <w:pStyle w:val="NoSpacing"/>
                                      <w:jc w:val="right"/>
                                      <w:rPr>
                                        <w:color w:val="595959" w:themeColor="text1" w:themeTint="A6"/>
                                        <w:sz w:val="28"/>
                                        <w:szCs w:val="28"/>
                                      </w:rPr>
                                    </w:pPr>
                                    <w:r>
                                      <w:rPr>
                                        <w:color w:val="595959" w:themeColor="text1" w:themeTint="A6"/>
                                        <w:sz w:val="28"/>
                                        <w:szCs w:val="28"/>
                                      </w:rPr>
                                      <w:t>Lucy Roche (1902211)</w:t>
                                    </w:r>
                                  </w:p>
                                </w:sdtContent>
                              </w:sdt>
                              <w:p w14:paraId="1F700C4D" w14:textId="1D0D328E" w:rsidR="00141711" w:rsidRDefault="00B360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1711">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EC58F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B10DED" w14:textId="47454AE9" w:rsidR="00141711" w:rsidRDefault="00141711">
                              <w:pPr>
                                <w:pStyle w:val="NoSpacing"/>
                                <w:jc w:val="right"/>
                                <w:rPr>
                                  <w:color w:val="595959" w:themeColor="text1" w:themeTint="A6"/>
                                  <w:sz w:val="28"/>
                                  <w:szCs w:val="28"/>
                                </w:rPr>
                              </w:pPr>
                              <w:r>
                                <w:rPr>
                                  <w:color w:val="595959" w:themeColor="text1" w:themeTint="A6"/>
                                  <w:sz w:val="28"/>
                                  <w:szCs w:val="28"/>
                                </w:rPr>
                                <w:t>Lucy Roche (1902211)</w:t>
                              </w:r>
                            </w:p>
                          </w:sdtContent>
                        </w:sdt>
                        <w:p w14:paraId="1F700C4D" w14:textId="1D0D328E" w:rsidR="00141711" w:rsidRDefault="00B360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1711">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887570" wp14:editId="0999E7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0547B" w14:textId="080EC1A6" w:rsidR="00141711" w:rsidRPr="00141711" w:rsidRDefault="00B360F4">
                                <w:pPr>
                                  <w:jc w:val="right"/>
                                  <w:rPr>
                                    <w:b/>
                                    <w:bCs/>
                                    <w:color w:val="4472C4" w:themeColor="accent1"/>
                                    <w:sz w:val="96"/>
                                    <w:szCs w:val="96"/>
                                  </w:rPr>
                                </w:pPr>
                                <w:sdt>
                                  <w:sdtPr>
                                    <w:rPr>
                                      <w:rFonts w:ascii="Arial" w:eastAsia="Times New Roman" w:hAnsi="Arial" w:cs="Arial"/>
                                      <w:b/>
                                      <w:bCs/>
                                      <w:kern w:val="0"/>
                                      <w:sz w:val="32"/>
                                      <w:szCs w:val="3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518AD">
                                      <w:rPr>
                                        <w:rFonts w:ascii="Arial" w:eastAsia="Times New Roman" w:hAnsi="Arial" w:cs="Arial"/>
                                        <w:b/>
                                        <w:bCs/>
                                        <w:kern w:val="0"/>
                                        <w:sz w:val="32"/>
                                        <w:szCs w:val="32"/>
                                        <w:lang w:eastAsia="en-GB"/>
                                        <w14:ligatures w14:val="none"/>
                                      </w:rPr>
                                      <w:t>Vulnerable people and the Criminal Justice System</w:t>
                                    </w:r>
                                    <w:r w:rsidR="00141711" w:rsidRPr="00141711">
                                      <w:rPr>
                                        <w:rFonts w:ascii="Arial" w:eastAsia="Times New Roman" w:hAnsi="Arial" w:cs="Arial"/>
                                        <w:b/>
                                        <w:bCs/>
                                        <w:kern w:val="0"/>
                                        <w:sz w:val="32"/>
                                        <w:szCs w:val="32"/>
                                        <w:lang w:eastAsia="en-GB"/>
                                        <w14:ligatures w14:val="none"/>
                                      </w:rPr>
                                      <w:t>.</w:t>
                                    </w:r>
                                  </w:sdtContent>
                                </w:sdt>
                              </w:p>
                              <w:p w14:paraId="3595AFC0" w14:textId="3BC9B6F6" w:rsidR="00141711" w:rsidRDefault="0014171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88757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760547B" w14:textId="080EC1A6" w:rsidR="00141711" w:rsidRPr="00141711" w:rsidRDefault="00B360F4">
                          <w:pPr>
                            <w:jc w:val="right"/>
                            <w:rPr>
                              <w:b/>
                              <w:bCs/>
                              <w:color w:val="4472C4" w:themeColor="accent1"/>
                              <w:sz w:val="96"/>
                              <w:szCs w:val="96"/>
                            </w:rPr>
                          </w:pPr>
                          <w:sdt>
                            <w:sdtPr>
                              <w:rPr>
                                <w:rFonts w:ascii="Arial" w:eastAsia="Times New Roman" w:hAnsi="Arial" w:cs="Arial"/>
                                <w:b/>
                                <w:bCs/>
                                <w:kern w:val="0"/>
                                <w:sz w:val="32"/>
                                <w:szCs w:val="3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518AD">
                                <w:rPr>
                                  <w:rFonts w:ascii="Arial" w:eastAsia="Times New Roman" w:hAnsi="Arial" w:cs="Arial"/>
                                  <w:b/>
                                  <w:bCs/>
                                  <w:kern w:val="0"/>
                                  <w:sz w:val="32"/>
                                  <w:szCs w:val="32"/>
                                  <w:lang w:eastAsia="en-GB"/>
                                  <w14:ligatures w14:val="none"/>
                                </w:rPr>
                                <w:t>Vulnerable people and the Criminal Justice System</w:t>
                              </w:r>
                              <w:r w:rsidR="00141711" w:rsidRPr="00141711">
                                <w:rPr>
                                  <w:rFonts w:ascii="Arial" w:eastAsia="Times New Roman" w:hAnsi="Arial" w:cs="Arial"/>
                                  <w:b/>
                                  <w:bCs/>
                                  <w:kern w:val="0"/>
                                  <w:sz w:val="32"/>
                                  <w:szCs w:val="32"/>
                                  <w:lang w:eastAsia="en-GB"/>
                                  <w14:ligatures w14:val="none"/>
                                </w:rPr>
                                <w:t>.</w:t>
                              </w:r>
                            </w:sdtContent>
                          </w:sdt>
                        </w:p>
                        <w:p w14:paraId="3595AFC0" w14:textId="3BC9B6F6" w:rsidR="00141711" w:rsidRDefault="00141711">
                          <w:pPr>
                            <w:jc w:val="right"/>
                            <w:rPr>
                              <w:smallCaps/>
                              <w:color w:val="404040" w:themeColor="text1" w:themeTint="BF"/>
                              <w:sz w:val="36"/>
                              <w:szCs w:val="36"/>
                            </w:rPr>
                          </w:pPr>
                        </w:p>
                      </w:txbxContent>
                    </v:textbox>
                    <w10:wrap type="square" anchorx="page" anchory="page"/>
                  </v:shape>
                </w:pict>
              </mc:Fallback>
            </mc:AlternateContent>
          </w:r>
        </w:p>
        <w:p w14:paraId="2A64D1DF" w14:textId="52F9D268" w:rsidR="00141711" w:rsidRDefault="00141711">
          <w:r>
            <w:br w:type="page"/>
          </w:r>
        </w:p>
      </w:sdtContent>
    </w:sdt>
    <w:p w14:paraId="653CD62F" w14:textId="3612B708" w:rsidR="00577948" w:rsidRPr="007F1A91" w:rsidRDefault="00BF122B" w:rsidP="009B759E">
      <w:pPr>
        <w:spacing w:line="480" w:lineRule="auto"/>
        <w:rPr>
          <w:rFonts w:ascii="Arial" w:hAnsi="Arial" w:cs="Arial"/>
          <w:sz w:val="24"/>
          <w:szCs w:val="24"/>
        </w:rPr>
      </w:pPr>
      <w:proofErr w:type="gramStart"/>
      <w:r w:rsidRPr="007F1A91">
        <w:rPr>
          <w:rFonts w:ascii="Arial" w:hAnsi="Arial" w:cs="Arial"/>
          <w:sz w:val="24"/>
          <w:szCs w:val="24"/>
        </w:rPr>
        <w:lastRenderedPageBreak/>
        <w:t>Many</w:t>
      </w:r>
      <w:proofErr w:type="gramEnd"/>
      <w:r w:rsidRPr="007F1A91">
        <w:rPr>
          <w:rFonts w:ascii="Arial" w:hAnsi="Arial" w:cs="Arial"/>
          <w:sz w:val="24"/>
          <w:szCs w:val="24"/>
        </w:rPr>
        <w:t xml:space="preserve"> people have the fear of being vulnerable because of how we may have been treated in the past. Whether it was because of rejection, heartache or judgement. </w:t>
      </w:r>
      <w:r w:rsidR="000D1CD5" w:rsidRPr="007F1A91">
        <w:rPr>
          <w:rFonts w:ascii="Arial" w:hAnsi="Arial" w:cs="Arial"/>
          <w:sz w:val="24"/>
          <w:szCs w:val="24"/>
        </w:rPr>
        <w:t>It is cause of this situation that has made people more aware of themselves</w:t>
      </w:r>
      <w:r w:rsidR="00577948" w:rsidRPr="007F1A91">
        <w:rPr>
          <w:rFonts w:ascii="Arial" w:hAnsi="Arial" w:cs="Arial"/>
          <w:sz w:val="24"/>
          <w:szCs w:val="24"/>
        </w:rPr>
        <w:t xml:space="preserve"> and allows us to avoid getting into situation that may make use vulnerable. Under the Mental Health Act 1983 (Department of Health, 2015) it states that a vulnerable victims is a person who is under the age of 17 at the time of committing a criminal offence. It also states that a vulnerable victim is also someone who is suffering </w:t>
      </w:r>
      <w:r w:rsidR="00E12E7D" w:rsidRPr="007F1A91">
        <w:rPr>
          <w:rFonts w:ascii="Arial" w:hAnsi="Arial" w:cs="Arial"/>
          <w:sz w:val="24"/>
          <w:szCs w:val="24"/>
        </w:rPr>
        <w:t xml:space="preserve">a mental disorder. </w:t>
      </w:r>
      <w:r w:rsidR="00064755" w:rsidRPr="007F1A91">
        <w:rPr>
          <w:rFonts w:ascii="Arial" w:hAnsi="Arial" w:cs="Arial"/>
          <w:sz w:val="24"/>
          <w:szCs w:val="24"/>
        </w:rPr>
        <w:t xml:space="preserve">Anyone can be vulnerable whether you are a young person or elderly, homeless, or suffering from a mental disorder. This essay will evaluate the difficulties vulnerable people face within the criminal justice system, exploring the different vulnerable groups. For example, looking at people who suffer from mental disorders, the elderly and young people. </w:t>
      </w:r>
    </w:p>
    <w:p w14:paraId="7370DA5C" w14:textId="2939AE54" w:rsidR="00B3748B" w:rsidRDefault="000F37B2" w:rsidP="009B759E">
      <w:pPr>
        <w:spacing w:line="480" w:lineRule="auto"/>
        <w:rPr>
          <w:rFonts w:ascii="Arial" w:hAnsi="Arial" w:cs="Arial"/>
          <w:sz w:val="24"/>
          <w:szCs w:val="24"/>
        </w:rPr>
      </w:pPr>
      <w:r w:rsidRPr="007F1A91">
        <w:rPr>
          <w:rFonts w:ascii="Arial" w:hAnsi="Arial" w:cs="Arial"/>
          <w:sz w:val="24"/>
          <w:szCs w:val="24"/>
        </w:rPr>
        <w:t>Social inequities</w:t>
      </w:r>
      <w:r w:rsidR="00B3748B">
        <w:rPr>
          <w:rFonts w:ascii="Arial" w:hAnsi="Arial" w:cs="Arial"/>
          <w:sz w:val="24"/>
          <w:szCs w:val="24"/>
        </w:rPr>
        <w:t xml:space="preserve"> </w:t>
      </w:r>
      <w:r w:rsidRPr="007F1A91">
        <w:rPr>
          <w:rFonts w:ascii="Arial" w:hAnsi="Arial" w:cs="Arial"/>
          <w:sz w:val="24"/>
          <w:szCs w:val="24"/>
        </w:rPr>
        <w:t xml:space="preserve">and increased stress among certain residents appear to be growing concerns in </w:t>
      </w:r>
      <w:r w:rsidR="00B3748B">
        <w:rPr>
          <w:rFonts w:ascii="Arial" w:hAnsi="Arial" w:cs="Arial"/>
          <w:sz w:val="24"/>
          <w:szCs w:val="24"/>
        </w:rPr>
        <w:t>modern</w:t>
      </w:r>
      <w:r w:rsidRPr="007F1A91">
        <w:rPr>
          <w:rFonts w:ascii="Arial" w:hAnsi="Arial" w:cs="Arial"/>
          <w:sz w:val="24"/>
          <w:szCs w:val="24"/>
        </w:rPr>
        <w:t xml:space="preserve"> society and </w:t>
      </w:r>
      <w:r w:rsidR="00B3748B">
        <w:rPr>
          <w:rFonts w:ascii="Arial" w:hAnsi="Arial" w:cs="Arial"/>
          <w:sz w:val="24"/>
          <w:szCs w:val="24"/>
        </w:rPr>
        <w:t xml:space="preserve">the </w:t>
      </w:r>
      <w:r w:rsidRPr="007F1A91">
        <w:rPr>
          <w:rFonts w:ascii="Arial" w:hAnsi="Arial" w:cs="Arial"/>
          <w:sz w:val="24"/>
          <w:szCs w:val="24"/>
        </w:rPr>
        <w:t>social policy</w:t>
      </w:r>
      <w:r w:rsidR="00B3748B">
        <w:rPr>
          <w:rFonts w:ascii="Arial" w:hAnsi="Arial" w:cs="Arial"/>
          <w:sz w:val="24"/>
          <w:szCs w:val="24"/>
        </w:rPr>
        <w:t xml:space="preserve"> that have come with it</w:t>
      </w:r>
      <w:r w:rsidRPr="007F1A91">
        <w:rPr>
          <w:rFonts w:ascii="Arial" w:hAnsi="Arial" w:cs="Arial"/>
          <w:sz w:val="24"/>
          <w:szCs w:val="24"/>
        </w:rPr>
        <w:t xml:space="preserve">. The idea of vulnerability has </w:t>
      </w:r>
      <w:r w:rsidR="00B3748B">
        <w:rPr>
          <w:rFonts w:ascii="Arial" w:hAnsi="Arial" w:cs="Arial"/>
          <w:sz w:val="24"/>
          <w:szCs w:val="24"/>
        </w:rPr>
        <w:t xml:space="preserve">become a </w:t>
      </w:r>
      <w:r w:rsidR="006F4793" w:rsidRPr="007F1A91">
        <w:rPr>
          <w:rFonts w:ascii="Arial" w:hAnsi="Arial" w:cs="Arial"/>
          <w:sz w:val="24"/>
          <w:szCs w:val="24"/>
        </w:rPr>
        <w:t>significant role</w:t>
      </w:r>
      <w:r w:rsidRPr="007F1A91">
        <w:rPr>
          <w:rFonts w:ascii="Arial" w:hAnsi="Arial" w:cs="Arial"/>
          <w:sz w:val="24"/>
          <w:szCs w:val="24"/>
        </w:rPr>
        <w:t xml:space="preserve"> in academic, governmental, and daily interpretations of the human condition in this environment. Policymakers and practitioners are increasingly concerned with addressing vulnerability through a wide range of interventions. As this special issue highlights, a vulnerability 'spirit of the moment' has been identified in modern welfare and disciplinary settings (Brown, 2014, 2015), which now drives a variety of initiatives and responses to social issues both in the UK and beyond.</w:t>
      </w:r>
      <w:r w:rsidR="00B3748B">
        <w:rPr>
          <w:rFonts w:ascii="Arial" w:hAnsi="Arial" w:cs="Arial"/>
          <w:sz w:val="24"/>
          <w:szCs w:val="24"/>
        </w:rPr>
        <w:t xml:space="preserve"> In British social housing allocations the vulnerable are known as the priority because of the need that they have </w:t>
      </w:r>
      <w:r w:rsidRPr="007F1A91">
        <w:rPr>
          <w:rFonts w:ascii="Arial" w:hAnsi="Arial" w:cs="Arial"/>
          <w:sz w:val="24"/>
          <w:szCs w:val="24"/>
        </w:rPr>
        <w:t>(Carr and Hunter, 2008)</w:t>
      </w:r>
      <w:r w:rsidR="00B3748B">
        <w:rPr>
          <w:rFonts w:ascii="Arial" w:hAnsi="Arial" w:cs="Arial"/>
          <w:sz w:val="24"/>
          <w:szCs w:val="24"/>
        </w:rPr>
        <w:t>. Victims of crime are vulnerable and in the UK are required to have a special and sensitive response within the criminal justice system</w:t>
      </w:r>
      <w:r w:rsidRPr="007F1A91">
        <w:rPr>
          <w:rFonts w:ascii="Arial" w:hAnsi="Arial" w:cs="Arial"/>
          <w:sz w:val="24"/>
          <w:szCs w:val="24"/>
        </w:rPr>
        <w:t xml:space="preserve"> (Roulstone et al., 2011; Walkgate, 2011</w:t>
      </w:r>
      <w:r w:rsidR="00B3748B">
        <w:rPr>
          <w:rFonts w:ascii="Arial" w:hAnsi="Arial" w:cs="Arial"/>
          <w:sz w:val="24"/>
          <w:szCs w:val="24"/>
        </w:rPr>
        <w:t>;</w:t>
      </w:r>
      <w:r w:rsidRPr="007F1A91">
        <w:rPr>
          <w:rFonts w:ascii="Arial" w:hAnsi="Arial" w:cs="Arial"/>
          <w:sz w:val="24"/>
          <w:szCs w:val="24"/>
        </w:rPr>
        <w:t>Dunn et al., 2008; Clough, 2014</w:t>
      </w:r>
      <w:r w:rsidR="00B3748B">
        <w:rPr>
          <w:rFonts w:ascii="Arial" w:hAnsi="Arial" w:cs="Arial"/>
          <w:sz w:val="24"/>
          <w:szCs w:val="24"/>
        </w:rPr>
        <w:t>;</w:t>
      </w:r>
      <w:r w:rsidRPr="007F1A91">
        <w:rPr>
          <w:rFonts w:ascii="Arial" w:hAnsi="Arial" w:cs="Arial"/>
          <w:sz w:val="24"/>
          <w:szCs w:val="24"/>
        </w:rPr>
        <w:t>Peroni and Timmer, 2013).</w:t>
      </w:r>
      <w:r w:rsidRPr="007F1A91">
        <w:rPr>
          <w:rFonts w:ascii="Arial" w:hAnsi="Arial" w:cs="Arial"/>
          <w:sz w:val="24"/>
          <w:szCs w:val="24"/>
        </w:rPr>
        <w:t xml:space="preserve"> </w:t>
      </w:r>
      <w:r w:rsidR="00B3748B">
        <w:rPr>
          <w:rFonts w:ascii="Arial" w:hAnsi="Arial" w:cs="Arial"/>
          <w:sz w:val="24"/>
          <w:szCs w:val="24"/>
        </w:rPr>
        <w:t xml:space="preserve">It has been a </w:t>
      </w:r>
      <w:proofErr w:type="spellStart"/>
      <w:r w:rsidR="00B3748B">
        <w:rPr>
          <w:rFonts w:ascii="Arial" w:hAnsi="Arial" w:cs="Arial"/>
          <w:sz w:val="24"/>
          <w:szCs w:val="24"/>
        </w:rPr>
        <w:t>well known</w:t>
      </w:r>
      <w:proofErr w:type="spellEnd"/>
      <w:r w:rsidR="00B3748B">
        <w:rPr>
          <w:rFonts w:ascii="Arial" w:hAnsi="Arial" w:cs="Arial"/>
          <w:sz w:val="24"/>
          <w:szCs w:val="24"/>
        </w:rPr>
        <w:t xml:space="preserve"> tradition that within social policy there is the constant questions about the specific concept of government mechanisms, these range from poverty, to being excluded from society and the risk of harm </w:t>
      </w:r>
      <w:r w:rsidRPr="007F1A91">
        <w:rPr>
          <w:rFonts w:ascii="Arial" w:hAnsi="Arial" w:cs="Arial"/>
          <w:sz w:val="24"/>
          <w:szCs w:val="24"/>
        </w:rPr>
        <w:t>(Townsend, 1979; Lister, 2004) (Levitas, 1998; Young 1999</w:t>
      </w:r>
      <w:r w:rsidR="00B3748B">
        <w:rPr>
          <w:rFonts w:ascii="Arial" w:hAnsi="Arial" w:cs="Arial"/>
          <w:sz w:val="24"/>
          <w:szCs w:val="24"/>
        </w:rPr>
        <w:t>;</w:t>
      </w:r>
      <w:r w:rsidRPr="007F1A91">
        <w:rPr>
          <w:rFonts w:ascii="Arial" w:hAnsi="Arial" w:cs="Arial"/>
          <w:sz w:val="24"/>
          <w:szCs w:val="24"/>
        </w:rPr>
        <w:t>Beck, 1992; Kemshall, 2002</w:t>
      </w:r>
      <w:r w:rsidR="007C3CE4" w:rsidRPr="007F1A91">
        <w:rPr>
          <w:rFonts w:ascii="Arial" w:hAnsi="Arial" w:cs="Arial"/>
          <w:sz w:val="24"/>
          <w:szCs w:val="24"/>
        </w:rPr>
        <w:t xml:space="preserve">; </w:t>
      </w:r>
      <w:r w:rsidRPr="007F1A91">
        <w:rPr>
          <w:rFonts w:ascii="Arial" w:hAnsi="Arial" w:cs="Arial"/>
          <w:sz w:val="24"/>
          <w:szCs w:val="24"/>
        </w:rPr>
        <w:t xml:space="preserve">Ecclestone and Lewis, 2014; Wright, 2016). </w:t>
      </w:r>
    </w:p>
    <w:p w14:paraId="24E187B6" w14:textId="7D7908FF" w:rsidR="00B3748B" w:rsidRDefault="00B3748B" w:rsidP="009B759E">
      <w:pPr>
        <w:spacing w:line="480" w:lineRule="auto"/>
        <w:rPr>
          <w:rFonts w:ascii="Arial" w:hAnsi="Arial" w:cs="Arial"/>
          <w:sz w:val="24"/>
          <w:szCs w:val="24"/>
        </w:rPr>
      </w:pPr>
      <w:r>
        <w:rPr>
          <w:rFonts w:ascii="Arial" w:hAnsi="Arial" w:cs="Arial"/>
          <w:sz w:val="24"/>
          <w:szCs w:val="24"/>
        </w:rPr>
        <w:t xml:space="preserve">There have been several academic literature where the word vulnerability has been used as a starting point for the analysis of many injustices with it being the main idea of examination of a </w:t>
      </w:r>
      <w:proofErr w:type="spellStart"/>
      <w:r>
        <w:rPr>
          <w:rFonts w:ascii="Arial" w:hAnsi="Arial" w:cs="Arial"/>
          <w:sz w:val="24"/>
          <w:szCs w:val="24"/>
        </w:rPr>
        <w:t>varity</w:t>
      </w:r>
      <w:proofErr w:type="spellEnd"/>
      <w:r>
        <w:rPr>
          <w:rFonts w:ascii="Arial" w:hAnsi="Arial" w:cs="Arial"/>
          <w:sz w:val="24"/>
          <w:szCs w:val="24"/>
        </w:rPr>
        <w:t xml:space="preserve"> of concerns and interests. </w:t>
      </w:r>
    </w:p>
    <w:p w14:paraId="0660BBC2" w14:textId="6CA7D880" w:rsidR="006F4793" w:rsidRPr="007F1A91" w:rsidRDefault="000F37B2" w:rsidP="009B759E">
      <w:pPr>
        <w:spacing w:line="480" w:lineRule="auto"/>
        <w:rPr>
          <w:rFonts w:ascii="Arial" w:hAnsi="Arial" w:cs="Arial"/>
          <w:sz w:val="24"/>
          <w:szCs w:val="24"/>
        </w:rPr>
      </w:pPr>
      <w:r w:rsidRPr="007F1A91">
        <w:rPr>
          <w:rFonts w:ascii="Arial" w:hAnsi="Arial" w:cs="Arial"/>
          <w:sz w:val="24"/>
          <w:szCs w:val="24"/>
        </w:rPr>
        <w:t>Insecurity, relative economic or social inferiority, poor coping capacity, and unmet need are prominent among them. Some literature have emphasised the possibility of being vulnerable while still being able to cope or prevent damage (Daniel, 2010; Walkgate, 2011). Attention to vulnerability frequently emerges with research and concepts concerned with 'risk' (Beck, 2009), one of the most theorised words in the social sciences; nonetheless, as previously remarked (Brown, 2015), vulnerability remains firmly in the shadow of its conceptual cousin.</w:t>
      </w:r>
      <w:r w:rsidRPr="007F1A91">
        <w:rPr>
          <w:rFonts w:ascii="Arial" w:hAnsi="Arial" w:cs="Arial"/>
          <w:sz w:val="24"/>
          <w:szCs w:val="24"/>
        </w:rPr>
        <w:t xml:space="preserve"> </w:t>
      </w:r>
      <w:r w:rsidRPr="007F1A91">
        <w:rPr>
          <w:rFonts w:ascii="Arial" w:hAnsi="Arial" w:cs="Arial"/>
          <w:sz w:val="24"/>
          <w:szCs w:val="24"/>
        </w:rPr>
        <w:t xml:space="preserve">Individuals are sometimes labelled as vulnerable in regard to something specific, and other times as a standalone phrase. The way vulnerability is employed in research is influenced by the historical, political, and disciplinary context in which it is </w:t>
      </w:r>
      <w:proofErr w:type="gramStart"/>
      <w:r w:rsidRPr="007F1A91">
        <w:rPr>
          <w:rFonts w:ascii="Arial" w:hAnsi="Arial" w:cs="Arial"/>
          <w:sz w:val="24"/>
          <w:szCs w:val="24"/>
        </w:rPr>
        <w:t>utilised</w:t>
      </w:r>
      <w:proofErr w:type="gramEnd"/>
      <w:r w:rsidRPr="007F1A91">
        <w:rPr>
          <w:rFonts w:ascii="Arial" w:hAnsi="Arial" w:cs="Arial"/>
          <w:sz w:val="24"/>
          <w:szCs w:val="24"/>
        </w:rPr>
        <w:t xml:space="preserve">, and as many academics have pointed out, wider and narrower applications overlap or are used interchangeably. </w:t>
      </w:r>
      <w:r w:rsidR="009B42F1" w:rsidRPr="009B42F1">
        <w:rPr>
          <w:rFonts w:ascii="Arial" w:hAnsi="Arial" w:cs="Arial"/>
          <w:sz w:val="24"/>
          <w:szCs w:val="24"/>
        </w:rPr>
        <w:t>People and organisations are labelled as "vulnerable" in policy papers and everyday discourse in relation to a dizzying number of challenges, with various practical connotations functioning via the term's use, often implicitly (Brown et al, 2017).</w:t>
      </w:r>
      <w:r w:rsidR="00267852" w:rsidRPr="007F1A91">
        <w:rPr>
          <w:rFonts w:ascii="Arial" w:hAnsi="Arial" w:cs="Arial"/>
          <w:sz w:val="24"/>
          <w:szCs w:val="24"/>
        </w:rPr>
        <w:t xml:space="preserve">A growing body of scholarship, primarily in critical legal studies (Fineman, 2008; </w:t>
      </w:r>
      <w:proofErr w:type="spellStart"/>
      <w:r w:rsidR="00267852" w:rsidRPr="007F1A91">
        <w:rPr>
          <w:rFonts w:ascii="Arial" w:hAnsi="Arial" w:cs="Arial"/>
          <w:sz w:val="24"/>
          <w:szCs w:val="24"/>
        </w:rPr>
        <w:t>Wallbank</w:t>
      </w:r>
      <w:proofErr w:type="spellEnd"/>
      <w:r w:rsidR="00267852" w:rsidRPr="007F1A91">
        <w:rPr>
          <w:rFonts w:ascii="Arial" w:hAnsi="Arial" w:cs="Arial"/>
          <w:sz w:val="24"/>
          <w:szCs w:val="24"/>
        </w:rPr>
        <w:t xml:space="preserve"> and Herring, 2014; Mackenzie et al., 2014), aims to establish a more 'radical' perspective of vulnerability ( </w:t>
      </w:r>
      <w:proofErr w:type="spellStart"/>
      <w:r w:rsidR="00267852" w:rsidRPr="007F1A91">
        <w:rPr>
          <w:rFonts w:ascii="Arial" w:hAnsi="Arial" w:cs="Arial"/>
          <w:sz w:val="24"/>
          <w:szCs w:val="24"/>
        </w:rPr>
        <w:t>Goodin</w:t>
      </w:r>
      <w:proofErr w:type="spellEnd"/>
      <w:r w:rsidR="00267852" w:rsidRPr="007F1A91">
        <w:rPr>
          <w:rFonts w:ascii="Arial" w:hAnsi="Arial" w:cs="Arial"/>
          <w:sz w:val="24"/>
          <w:szCs w:val="24"/>
        </w:rPr>
        <w:t>, 1985). This is known as the 'vulnerability thesis' or the 'universal vulnerability' approach (Turner, 2006</w:t>
      </w:r>
      <w:r w:rsidR="00267852" w:rsidRPr="007F1A91">
        <w:rPr>
          <w:rFonts w:ascii="Arial" w:hAnsi="Arial" w:cs="Arial"/>
          <w:sz w:val="24"/>
          <w:szCs w:val="24"/>
        </w:rPr>
        <w:t xml:space="preserve">; </w:t>
      </w:r>
      <w:r w:rsidR="00267852" w:rsidRPr="007F1A91">
        <w:rPr>
          <w:rFonts w:ascii="Arial" w:hAnsi="Arial" w:cs="Arial"/>
          <w:sz w:val="24"/>
          <w:szCs w:val="24"/>
        </w:rPr>
        <w:t>Fineman, 2008, 2013).</w:t>
      </w:r>
      <w:r w:rsidR="00267852" w:rsidRPr="007F1A91">
        <w:rPr>
          <w:rFonts w:ascii="Arial" w:hAnsi="Arial" w:cs="Arial"/>
          <w:sz w:val="24"/>
          <w:szCs w:val="24"/>
        </w:rPr>
        <w:t xml:space="preserve"> </w:t>
      </w:r>
      <w:r w:rsidR="00267852" w:rsidRPr="007F1A91">
        <w:rPr>
          <w:rFonts w:ascii="Arial" w:hAnsi="Arial" w:cs="Arial"/>
          <w:sz w:val="24"/>
          <w:szCs w:val="24"/>
        </w:rPr>
        <w:t>According to the universal vulnerability approach, we are all vulnerable because of our human embodiment or 'corporality' (we all have bodies that decay and die), but the degree of our lived vulnerability varies over time and according to larger interpersonal interactions of distinguishable politically constituted subjectification and sociality (Fineman, 2008</w:t>
      </w:r>
      <w:r w:rsidR="00267852" w:rsidRPr="007F1A91">
        <w:rPr>
          <w:rFonts w:ascii="Arial" w:hAnsi="Arial" w:cs="Arial"/>
          <w:sz w:val="24"/>
          <w:szCs w:val="24"/>
        </w:rPr>
        <w:t xml:space="preserve">; </w:t>
      </w:r>
      <w:proofErr w:type="spellStart"/>
      <w:r w:rsidR="00267852" w:rsidRPr="007F1A91">
        <w:rPr>
          <w:rFonts w:ascii="Arial" w:hAnsi="Arial" w:cs="Arial"/>
          <w:sz w:val="24"/>
          <w:szCs w:val="24"/>
        </w:rPr>
        <w:t>Goodin</w:t>
      </w:r>
      <w:proofErr w:type="spellEnd"/>
      <w:r w:rsidR="00267852" w:rsidRPr="007F1A91">
        <w:rPr>
          <w:rFonts w:ascii="Arial" w:hAnsi="Arial" w:cs="Arial"/>
          <w:sz w:val="24"/>
          <w:szCs w:val="24"/>
        </w:rPr>
        <w:t>, 1985; Butler, 2004; Turner, 2006; Harrison, 2008). Scholars from a variety of disciplines have suggested that the vulnerability thesis method may be utilised to construct a citizenship model based on interdependence, empathy, and a prioritisation of ethical social duties to others (Ecclestone and Goodley, 2014).</w:t>
      </w:r>
    </w:p>
    <w:p w14:paraId="7192872D" w14:textId="243B5C83" w:rsidR="006F4793" w:rsidRPr="007F1A91" w:rsidRDefault="006F4793" w:rsidP="009B759E">
      <w:pPr>
        <w:spacing w:line="480" w:lineRule="auto"/>
        <w:rPr>
          <w:rFonts w:ascii="Arial" w:hAnsi="Arial" w:cs="Arial"/>
          <w:sz w:val="24"/>
          <w:szCs w:val="24"/>
        </w:rPr>
      </w:pPr>
      <w:r w:rsidRPr="007F1A91">
        <w:rPr>
          <w:rFonts w:ascii="Arial" w:hAnsi="Arial" w:cs="Arial"/>
          <w:sz w:val="24"/>
          <w:szCs w:val="24"/>
        </w:rPr>
        <w:t xml:space="preserve">Furthermore, better definitions of vulnerability in research appear to be necessary if policy and practise flaws and biases are to be addressed. The progressive potential and problematic elements of vulnerability have drawn researchers from diverse disciplinary traditions and empirical fields, </w:t>
      </w:r>
      <w:proofErr w:type="gramStart"/>
      <w:r w:rsidRPr="007F1A91">
        <w:rPr>
          <w:rFonts w:ascii="Arial" w:hAnsi="Arial" w:cs="Arial"/>
          <w:sz w:val="24"/>
          <w:szCs w:val="24"/>
        </w:rPr>
        <w:t>many</w:t>
      </w:r>
      <w:proofErr w:type="gramEnd"/>
      <w:r w:rsidRPr="007F1A91">
        <w:rPr>
          <w:rFonts w:ascii="Arial" w:hAnsi="Arial" w:cs="Arial"/>
          <w:sz w:val="24"/>
          <w:szCs w:val="24"/>
        </w:rPr>
        <w:t xml:space="preserve"> of whom aspire to contribute to more progressive ways of thinking about the individual-state relationship. In terms of research techniques, attentive vulnerability deployment may have the potential to aid theorising that animates features of disadvantage and inequality in modern society and the ways in which they develop and remain constant over time.</w:t>
      </w:r>
      <w:r w:rsidRPr="007F1A91">
        <w:rPr>
          <w:rFonts w:ascii="Arial" w:hAnsi="Arial" w:cs="Arial"/>
          <w:sz w:val="24"/>
          <w:szCs w:val="24"/>
        </w:rPr>
        <w:t xml:space="preserve"> </w:t>
      </w:r>
      <w:r w:rsidRPr="007F1A91">
        <w:rPr>
          <w:rFonts w:ascii="Arial" w:hAnsi="Arial" w:cs="Arial"/>
          <w:sz w:val="24"/>
          <w:szCs w:val="24"/>
        </w:rPr>
        <w:t>Vulnerability is universal and connected. Scholars would argue that they provide a means of reframing subjectivities in ways that reflect the variously experienced realities and intrinsic fragilities of existence, as well as ways that clarify the state's duty to respond properly. Such views of vulnerability, however, are uncommon, particularly at the policy level, implying that academics must play a significant role in questioning more essentialist understandings of vulnerability.</w:t>
      </w:r>
    </w:p>
    <w:p w14:paraId="0F08AE8B" w14:textId="74557610" w:rsidR="00072E11" w:rsidRPr="007F1A91" w:rsidRDefault="00853408" w:rsidP="009B759E">
      <w:pPr>
        <w:spacing w:line="480" w:lineRule="auto"/>
        <w:rPr>
          <w:rFonts w:ascii="Arial" w:hAnsi="Arial" w:cs="Arial"/>
          <w:sz w:val="24"/>
          <w:szCs w:val="24"/>
        </w:rPr>
      </w:pPr>
      <w:proofErr w:type="gramStart"/>
      <w:r w:rsidRPr="007F1A91">
        <w:rPr>
          <w:rFonts w:ascii="Arial" w:hAnsi="Arial" w:cs="Arial"/>
          <w:sz w:val="24"/>
          <w:szCs w:val="24"/>
        </w:rPr>
        <w:t>Many</w:t>
      </w:r>
      <w:proofErr w:type="gramEnd"/>
      <w:r w:rsidRPr="007F1A91">
        <w:rPr>
          <w:rFonts w:ascii="Arial" w:hAnsi="Arial" w:cs="Arial"/>
          <w:sz w:val="24"/>
          <w:szCs w:val="24"/>
        </w:rPr>
        <w:t xml:space="preserve"> people have a fear of crime, it comes with peoples life experiences according to Ferraro (1995) </w:t>
      </w:r>
      <w:r w:rsidR="00072E11" w:rsidRPr="007F1A91">
        <w:rPr>
          <w:rFonts w:ascii="Arial" w:hAnsi="Arial" w:cs="Arial"/>
          <w:sz w:val="24"/>
          <w:szCs w:val="24"/>
        </w:rPr>
        <w:t>they say that the fear of crime is the emotional reaction that is described as dread, this is because they are afraid of being a victim of a criminal act or having anxiety towards criminal in general. Young people are seen as vulnerable people this is because they rely on a guardian to look after them and to keep them safe from danger.</w:t>
      </w:r>
      <w:r w:rsidR="00B25C09" w:rsidRPr="007F1A91">
        <w:rPr>
          <w:rFonts w:ascii="Arial" w:hAnsi="Arial" w:cs="Arial"/>
          <w:sz w:val="24"/>
          <w:szCs w:val="24"/>
        </w:rPr>
        <w:t xml:space="preserve"> The care of children is a main concern in todays society as children represent the future, so a good quality of care for children that ensures they stay healthy physically and are able to have a safe environment to develop emotionally. This allows them transition in well rounded adults and become a productive member of society, there is an unspoken standard for the care of children when that standard is not met the child could he seen as been abused or neglected this leads to children being vulnerable</w:t>
      </w:r>
      <w:r w:rsidR="00072E11" w:rsidRPr="007F1A91">
        <w:rPr>
          <w:rFonts w:ascii="Arial" w:hAnsi="Arial" w:cs="Arial"/>
          <w:sz w:val="24"/>
          <w:szCs w:val="24"/>
        </w:rPr>
        <w:t xml:space="preserve"> (Videka et al, 20</w:t>
      </w:r>
      <w:r w:rsidR="00EC44CC" w:rsidRPr="007F1A91">
        <w:rPr>
          <w:rFonts w:ascii="Arial" w:hAnsi="Arial" w:cs="Arial"/>
          <w:sz w:val="24"/>
          <w:szCs w:val="24"/>
        </w:rPr>
        <w:t>14</w:t>
      </w:r>
      <w:r w:rsidR="00072E11" w:rsidRPr="007F1A91">
        <w:rPr>
          <w:rFonts w:ascii="Arial" w:hAnsi="Arial" w:cs="Arial"/>
          <w:sz w:val="24"/>
          <w:szCs w:val="24"/>
        </w:rPr>
        <w:t>).</w:t>
      </w:r>
      <w:r w:rsidR="00B25C09" w:rsidRPr="007F1A91">
        <w:rPr>
          <w:rFonts w:ascii="Arial" w:hAnsi="Arial" w:cs="Arial"/>
          <w:sz w:val="24"/>
          <w:szCs w:val="24"/>
        </w:rPr>
        <w:t xml:space="preserve"> </w:t>
      </w:r>
      <w:r w:rsidR="00B25C09" w:rsidRPr="007F1A91">
        <w:rPr>
          <w:rFonts w:ascii="Arial" w:hAnsi="Arial" w:cs="Arial"/>
          <w:sz w:val="24"/>
          <w:szCs w:val="24"/>
        </w:rPr>
        <w:t xml:space="preserve">Because of how innocent children they at risk from being let down by adults and even worse abused or mistreated. Because of these services have been introduced to help prevent that or help </w:t>
      </w:r>
      <w:r w:rsidR="006E11FB" w:rsidRPr="007F1A91">
        <w:rPr>
          <w:rFonts w:ascii="Arial" w:hAnsi="Arial" w:cs="Arial"/>
          <w:sz w:val="24"/>
          <w:szCs w:val="24"/>
        </w:rPr>
        <w:t>them. There</w:t>
      </w:r>
      <w:r w:rsidR="00B25C09" w:rsidRPr="007F1A91">
        <w:rPr>
          <w:rFonts w:ascii="Arial" w:hAnsi="Arial" w:cs="Arial"/>
          <w:sz w:val="24"/>
          <w:szCs w:val="24"/>
        </w:rPr>
        <w:t xml:space="preserve"> are </w:t>
      </w:r>
      <w:proofErr w:type="gramStart"/>
      <w:r w:rsidR="00B25C09" w:rsidRPr="007F1A91">
        <w:rPr>
          <w:rFonts w:ascii="Arial" w:hAnsi="Arial" w:cs="Arial"/>
          <w:sz w:val="24"/>
          <w:szCs w:val="24"/>
        </w:rPr>
        <w:t>many</w:t>
      </w:r>
      <w:proofErr w:type="gramEnd"/>
      <w:r w:rsidR="00B25C09" w:rsidRPr="007F1A91">
        <w:rPr>
          <w:rFonts w:ascii="Arial" w:hAnsi="Arial" w:cs="Arial"/>
          <w:sz w:val="24"/>
          <w:szCs w:val="24"/>
        </w:rPr>
        <w:t xml:space="preserve"> ways to prevent children from being vulnerable if they are brought in a home that is unsafe or unsuitable this could lead to them turning out to be a bad member of society. To prevent the children from being a bad member of society and living a life of crime there are services that help them.</w:t>
      </w:r>
      <w:r w:rsidR="006E11FB" w:rsidRPr="007F1A91">
        <w:rPr>
          <w:rFonts w:ascii="Arial" w:hAnsi="Arial" w:cs="Arial"/>
          <w:sz w:val="24"/>
          <w:szCs w:val="24"/>
        </w:rPr>
        <w:t xml:space="preserve"> Social workers get involved in any situation in which a child’s safety is at potential risk, if this happens social workers will do home visits talk to the children and family members if the situation is more severe the child will be taken out of the home and the parents could be arrested </w:t>
      </w:r>
      <w:r w:rsidR="006E11FB" w:rsidRPr="007F1A91">
        <w:rPr>
          <w:rFonts w:ascii="Arial" w:hAnsi="Arial" w:cs="Arial"/>
          <w:sz w:val="24"/>
          <w:szCs w:val="24"/>
        </w:rPr>
        <w:t>(Korbin et al., 1998; Coulton</w:t>
      </w:r>
      <w:r w:rsidR="00EC44CC" w:rsidRPr="007F1A91">
        <w:rPr>
          <w:rFonts w:ascii="Arial" w:hAnsi="Arial" w:cs="Arial"/>
          <w:sz w:val="24"/>
          <w:szCs w:val="24"/>
        </w:rPr>
        <w:t xml:space="preserve"> et al</w:t>
      </w:r>
      <w:r w:rsidR="006E11FB" w:rsidRPr="007F1A91">
        <w:rPr>
          <w:rFonts w:ascii="Arial" w:hAnsi="Arial" w:cs="Arial"/>
          <w:sz w:val="24"/>
          <w:szCs w:val="24"/>
        </w:rPr>
        <w:t>, 2007; Olsen &amp; Stroud, 2012)</w:t>
      </w:r>
      <w:r w:rsidR="006E11FB" w:rsidRPr="007F1A91">
        <w:rPr>
          <w:rFonts w:ascii="Arial" w:hAnsi="Arial" w:cs="Arial"/>
          <w:sz w:val="24"/>
          <w:szCs w:val="24"/>
        </w:rPr>
        <w:t xml:space="preserve">. </w:t>
      </w:r>
      <w:r w:rsidR="006E11FB" w:rsidRPr="007F1A91">
        <w:rPr>
          <w:rFonts w:ascii="Arial" w:hAnsi="Arial" w:cs="Arial"/>
          <w:sz w:val="24"/>
          <w:szCs w:val="24"/>
        </w:rPr>
        <w:t xml:space="preserve">Vulnerabilities and risk factors for child abuse and neglect </w:t>
      </w:r>
      <w:r w:rsidR="006E11FB" w:rsidRPr="007F1A91">
        <w:rPr>
          <w:rFonts w:ascii="Arial" w:hAnsi="Arial" w:cs="Arial"/>
          <w:sz w:val="24"/>
          <w:szCs w:val="24"/>
        </w:rPr>
        <w:t xml:space="preserve">can vary depending on the environment that children </w:t>
      </w:r>
      <w:r w:rsidR="002D2A40" w:rsidRPr="007F1A91">
        <w:rPr>
          <w:rFonts w:ascii="Arial" w:hAnsi="Arial" w:cs="Arial"/>
          <w:sz w:val="24"/>
          <w:szCs w:val="24"/>
        </w:rPr>
        <w:t>grow up in. neighbourhoods in which have a higher rate of poverty, single-parent family and unemployment have higher rates of child maltreatment.</w:t>
      </w:r>
      <w:r w:rsidR="00EE01F9" w:rsidRPr="007F1A91">
        <w:rPr>
          <w:rFonts w:ascii="Arial" w:hAnsi="Arial" w:cs="Arial"/>
          <w:sz w:val="24"/>
          <w:szCs w:val="24"/>
        </w:rPr>
        <w:t xml:space="preserve"> </w:t>
      </w:r>
      <w:r w:rsidR="00EE01F9" w:rsidRPr="007F1A91">
        <w:rPr>
          <w:rFonts w:ascii="Arial" w:hAnsi="Arial" w:cs="Arial"/>
          <w:sz w:val="24"/>
          <w:szCs w:val="24"/>
        </w:rPr>
        <w:t>Noticing and reporting child abuse varies by neighbourhood. It is always a question whether varied rates of child abuse reporting and validation represent the availability of various social relational resources between community and family or difference control of the masses in the form of increased monitoring (Olsen &amp; Stroud, 2012). Yet, certain neighbourhood variables increase the likelihood of child abuse.</w:t>
      </w:r>
      <w:r w:rsidR="00EE01F9" w:rsidRPr="007F1A91">
        <w:rPr>
          <w:rFonts w:ascii="Arial" w:hAnsi="Arial" w:cs="Arial"/>
          <w:sz w:val="24"/>
          <w:szCs w:val="24"/>
        </w:rPr>
        <w:t xml:space="preserve"> Children will always be seen as vulnerable as they have a lower comprehension of life and the dangers that come along with it this is why it is important for them to be treated fairly and kept safe.</w:t>
      </w:r>
    </w:p>
    <w:p w14:paraId="7161E066" w14:textId="044EC1CD" w:rsidR="007F6CEE" w:rsidRPr="007F1A91" w:rsidRDefault="00326623" w:rsidP="009B759E">
      <w:pPr>
        <w:spacing w:line="480" w:lineRule="auto"/>
        <w:rPr>
          <w:rFonts w:ascii="Arial" w:hAnsi="Arial" w:cs="Arial"/>
          <w:sz w:val="24"/>
          <w:szCs w:val="24"/>
        </w:rPr>
      </w:pPr>
      <w:r w:rsidRPr="007F1A91">
        <w:rPr>
          <w:rFonts w:ascii="Arial" w:hAnsi="Arial" w:cs="Arial"/>
          <w:sz w:val="24"/>
          <w:szCs w:val="24"/>
        </w:rPr>
        <w:t xml:space="preserve">People who have been victims of abuse are vulnerable because whether it is committed by and intimate partner or randomly because of crime. </w:t>
      </w:r>
      <w:r w:rsidR="004433BB" w:rsidRPr="007F1A91">
        <w:rPr>
          <w:rFonts w:ascii="Arial" w:hAnsi="Arial" w:cs="Arial"/>
          <w:sz w:val="24"/>
          <w:szCs w:val="24"/>
        </w:rPr>
        <w:t>Violence within intimate relationships has been around for thousands of years but it has only recently been acknowledged as a social problem.</w:t>
      </w:r>
      <w:r w:rsidR="00D47889" w:rsidRPr="007F1A91">
        <w:rPr>
          <w:rFonts w:ascii="Arial" w:hAnsi="Arial" w:cs="Arial"/>
          <w:sz w:val="24"/>
          <w:szCs w:val="24"/>
        </w:rPr>
        <w:t xml:space="preserve"> </w:t>
      </w:r>
      <w:proofErr w:type="gramStart"/>
      <w:r w:rsidR="004433BB" w:rsidRPr="007F1A91">
        <w:rPr>
          <w:rFonts w:ascii="Arial" w:hAnsi="Arial" w:cs="Arial"/>
          <w:sz w:val="24"/>
          <w:szCs w:val="24"/>
        </w:rPr>
        <w:t>Much</w:t>
      </w:r>
      <w:proofErr w:type="gramEnd"/>
      <w:r w:rsidR="004433BB" w:rsidRPr="007F1A91">
        <w:rPr>
          <w:rFonts w:ascii="Arial" w:hAnsi="Arial" w:cs="Arial"/>
          <w:sz w:val="24"/>
          <w:szCs w:val="24"/>
        </w:rPr>
        <w:t xml:space="preserve"> has been discovered about the origin of this phenomena, as well as its related risk factors and effects, since its entrance into the popular consciousness in the 1970s. A thorough method for comprehending intimate partner abuse incorporates risk variables and informs prevention and therapy</w:t>
      </w:r>
      <w:r w:rsidR="004433BB" w:rsidRPr="007F1A91">
        <w:rPr>
          <w:rFonts w:ascii="Arial" w:hAnsi="Arial" w:cs="Arial"/>
          <w:sz w:val="24"/>
          <w:szCs w:val="24"/>
        </w:rPr>
        <w:t xml:space="preserve"> </w:t>
      </w:r>
      <w:r w:rsidR="004433BB" w:rsidRPr="007F1A91">
        <w:rPr>
          <w:rFonts w:ascii="Arial" w:hAnsi="Arial" w:cs="Arial"/>
          <w:sz w:val="24"/>
          <w:szCs w:val="24"/>
        </w:rPr>
        <w:t>(Thaller et al, 2014).</w:t>
      </w:r>
      <w:r w:rsidR="004433BB" w:rsidRPr="007F1A91">
        <w:rPr>
          <w:rFonts w:ascii="Arial" w:hAnsi="Arial" w:cs="Arial"/>
          <w:sz w:val="24"/>
          <w:szCs w:val="24"/>
        </w:rPr>
        <w:t xml:space="preserve"> </w:t>
      </w:r>
      <w:r w:rsidR="00D47889" w:rsidRPr="007F1A91">
        <w:rPr>
          <w:rFonts w:ascii="Arial" w:hAnsi="Arial" w:cs="Arial"/>
          <w:sz w:val="24"/>
          <w:szCs w:val="24"/>
        </w:rPr>
        <w:t xml:space="preserve">Defining and understanding violence in intimate relationships has been fraught with controversy since it first appeared as a social phenomenon. While </w:t>
      </w:r>
      <w:r w:rsidR="00D47889" w:rsidRPr="007F1A91">
        <w:rPr>
          <w:rFonts w:ascii="Arial" w:hAnsi="Arial" w:cs="Arial"/>
          <w:sz w:val="24"/>
          <w:szCs w:val="24"/>
        </w:rPr>
        <w:t>most referred</w:t>
      </w:r>
      <w:r w:rsidR="00D47889" w:rsidRPr="007F1A91">
        <w:rPr>
          <w:rFonts w:ascii="Arial" w:hAnsi="Arial" w:cs="Arial"/>
          <w:sz w:val="24"/>
          <w:szCs w:val="24"/>
        </w:rPr>
        <w:t xml:space="preserve"> to as domestic violence, violence against female intimate partners has earned </w:t>
      </w:r>
      <w:proofErr w:type="gramStart"/>
      <w:r w:rsidR="00D47889" w:rsidRPr="007F1A91">
        <w:rPr>
          <w:rFonts w:ascii="Arial" w:hAnsi="Arial" w:cs="Arial"/>
          <w:sz w:val="24"/>
          <w:szCs w:val="24"/>
        </w:rPr>
        <w:t>a number of</w:t>
      </w:r>
      <w:proofErr w:type="gramEnd"/>
      <w:r w:rsidR="00D47889" w:rsidRPr="007F1A91">
        <w:rPr>
          <w:rFonts w:ascii="Arial" w:hAnsi="Arial" w:cs="Arial"/>
          <w:sz w:val="24"/>
          <w:szCs w:val="24"/>
        </w:rPr>
        <w:t xml:space="preserve"> different titles, including spousal abuse, marital violence, and, most lately, intimate partner violence or intimate relationship abuse. While research has shown violence in cohabiting and dating couples as early as junior high school, researchers have been less reluctant to name </w:t>
      </w:r>
      <w:r w:rsidR="00D47889" w:rsidRPr="007F1A91">
        <w:rPr>
          <w:rFonts w:ascii="Arial" w:hAnsi="Arial" w:cs="Arial"/>
          <w:sz w:val="24"/>
          <w:szCs w:val="24"/>
        </w:rPr>
        <w:t>this phenomenon</w:t>
      </w:r>
      <w:r w:rsidR="00D47889" w:rsidRPr="007F1A91">
        <w:rPr>
          <w:rFonts w:ascii="Arial" w:hAnsi="Arial" w:cs="Arial"/>
          <w:sz w:val="24"/>
          <w:szCs w:val="24"/>
        </w:rPr>
        <w:t xml:space="preserve"> marital assault or spousal abuse unless they are expressly referring to abuse in the context of marriage.</w:t>
      </w:r>
      <w:r w:rsidR="00D47889" w:rsidRPr="007F1A91">
        <w:rPr>
          <w:rFonts w:ascii="Arial" w:hAnsi="Arial" w:cs="Arial"/>
          <w:sz w:val="24"/>
          <w:szCs w:val="24"/>
        </w:rPr>
        <w:t xml:space="preserve"> </w:t>
      </w:r>
      <w:r w:rsidR="00D47889" w:rsidRPr="007F1A91">
        <w:rPr>
          <w:rFonts w:ascii="Arial" w:hAnsi="Arial" w:cs="Arial"/>
          <w:sz w:val="24"/>
          <w:szCs w:val="24"/>
        </w:rPr>
        <w:t>Similarly, the phrase domestic violence refers to violence that happens in a home, eliminating certain intimate connections while including some non-intimate ones (e.g., child abuse). Despite the fact that the phrase "intimate partner abuse" is gender neutral, women are more likely than males to be victims of violence in intimate relationships, as will be described (Thaller et al, 2014).</w:t>
      </w:r>
    </w:p>
    <w:p w14:paraId="256C0EEE" w14:textId="47280654" w:rsidR="00ED799A" w:rsidRPr="007F1A91" w:rsidRDefault="00D47889" w:rsidP="009B759E">
      <w:pPr>
        <w:spacing w:line="480" w:lineRule="auto"/>
        <w:rPr>
          <w:rFonts w:ascii="Arial" w:hAnsi="Arial" w:cs="Arial"/>
          <w:sz w:val="24"/>
          <w:szCs w:val="24"/>
        </w:rPr>
      </w:pPr>
      <w:r w:rsidRPr="007F1A91">
        <w:rPr>
          <w:rFonts w:ascii="Arial" w:hAnsi="Arial" w:cs="Arial"/>
          <w:sz w:val="24"/>
          <w:szCs w:val="24"/>
        </w:rPr>
        <w:t>There is a considerable body of work on the vulnerability and risk factors of intimate relationship violence. According to national studies, female murder victims are far more likely to be slain by an intimate partner, such as a spouse, ex-husband, or lover, than male homicide victims (Catalano et al., 2009; Fox, 2005). Prior intimate partner violence, stalking, nonfatal strangling, access to guns, threats to murder, forced sex, and recent alienation are all significant risk factors for intimate partner homicide or attempted homicide (Campbell et al., 2003; Campbell, 1995; Glass et al., 2008; McFarlane et al., 1999; Wilson &amp; Daly, 1993; Wilson</w:t>
      </w:r>
      <w:r w:rsidRPr="007F1A91">
        <w:rPr>
          <w:rFonts w:ascii="Arial" w:hAnsi="Arial" w:cs="Arial"/>
          <w:sz w:val="24"/>
          <w:szCs w:val="24"/>
        </w:rPr>
        <w:t xml:space="preserve"> e</w:t>
      </w:r>
      <w:r w:rsidR="00E21286" w:rsidRPr="007F1A91">
        <w:rPr>
          <w:rFonts w:ascii="Arial" w:hAnsi="Arial" w:cs="Arial"/>
          <w:sz w:val="24"/>
          <w:szCs w:val="24"/>
        </w:rPr>
        <w:t>t</w:t>
      </w:r>
      <w:r w:rsidRPr="007F1A91">
        <w:rPr>
          <w:rFonts w:ascii="Arial" w:hAnsi="Arial" w:cs="Arial"/>
          <w:sz w:val="24"/>
          <w:szCs w:val="24"/>
        </w:rPr>
        <w:t xml:space="preserve"> al</w:t>
      </w:r>
      <w:r w:rsidRPr="007F1A91">
        <w:rPr>
          <w:rFonts w:ascii="Arial" w:hAnsi="Arial" w:cs="Arial"/>
          <w:sz w:val="24"/>
          <w:szCs w:val="24"/>
        </w:rPr>
        <w:t>, 1995).</w:t>
      </w:r>
      <w:r w:rsidRPr="007F1A91">
        <w:rPr>
          <w:rFonts w:ascii="Arial" w:hAnsi="Arial" w:cs="Arial"/>
          <w:sz w:val="24"/>
          <w:szCs w:val="24"/>
        </w:rPr>
        <w:t xml:space="preserve"> </w:t>
      </w:r>
      <w:r w:rsidRPr="007F1A91">
        <w:rPr>
          <w:rFonts w:ascii="Arial" w:hAnsi="Arial" w:cs="Arial"/>
          <w:sz w:val="24"/>
          <w:szCs w:val="24"/>
        </w:rPr>
        <w:t xml:space="preserve">When a woman is separated from her boyfriend, her risk of lethal violence </w:t>
      </w:r>
      <w:proofErr w:type="gramStart"/>
      <w:r w:rsidRPr="007F1A91">
        <w:rPr>
          <w:rFonts w:ascii="Arial" w:hAnsi="Arial" w:cs="Arial"/>
          <w:sz w:val="24"/>
          <w:szCs w:val="24"/>
        </w:rPr>
        <w:t>increases considerably, especially</w:t>
      </w:r>
      <w:proofErr w:type="gramEnd"/>
      <w:r w:rsidRPr="007F1A91">
        <w:rPr>
          <w:rFonts w:ascii="Arial" w:hAnsi="Arial" w:cs="Arial"/>
          <w:sz w:val="24"/>
          <w:szCs w:val="24"/>
        </w:rPr>
        <w:t xml:space="preserve"> if that spouse is dominating (Campbell et al., 2003). Women in abusive relationships are at risk of intimate partner murder (Campbell et al., 2003), and this risk has recently been modified for immigrant women (Messing et al., 2012) and women in same-sex partnerships (Glass et al., 2008). In the 2010 nationally representative sample, almost one in seven women (14.8 percent) and one in twenty-five males (4 percent) suffered bodily harm </w:t>
      </w:r>
      <w:r w:rsidRPr="007F1A91">
        <w:rPr>
          <w:rFonts w:ascii="Arial" w:hAnsi="Arial" w:cs="Arial"/>
          <w:sz w:val="24"/>
          <w:szCs w:val="24"/>
        </w:rPr>
        <w:t>because of</w:t>
      </w:r>
      <w:r w:rsidRPr="007F1A91">
        <w:rPr>
          <w:rFonts w:ascii="Arial" w:hAnsi="Arial" w:cs="Arial"/>
          <w:sz w:val="24"/>
          <w:szCs w:val="24"/>
        </w:rPr>
        <w:t xml:space="preserve"> intimate relationship rape, physical violence, or stalking (Black et al., 2011).</w:t>
      </w:r>
      <w:r w:rsidRPr="007F1A91">
        <w:rPr>
          <w:rFonts w:ascii="Arial" w:hAnsi="Arial" w:cs="Arial"/>
          <w:sz w:val="24"/>
          <w:szCs w:val="24"/>
        </w:rPr>
        <w:t xml:space="preserve"> Even though</w:t>
      </w:r>
      <w:r w:rsidRPr="007F1A91">
        <w:rPr>
          <w:rFonts w:ascii="Arial" w:hAnsi="Arial" w:cs="Arial"/>
          <w:sz w:val="24"/>
          <w:szCs w:val="24"/>
        </w:rPr>
        <w:t xml:space="preserve"> injuries are widespread in the aftermath of domestic violence, many injured victims do not seek care. Injuries were recorded by 7.9 percent of women and 1.6 percent of males who claimed intimate relationship rape, physical assault, or stalking (Black et al., 2011;Kwako et al., 2011; Wu et al, 2010).</w:t>
      </w:r>
      <w:r w:rsidRPr="007F1A91">
        <w:rPr>
          <w:rFonts w:ascii="Arial" w:hAnsi="Arial" w:cs="Arial"/>
          <w:sz w:val="24"/>
          <w:szCs w:val="24"/>
        </w:rPr>
        <w:t xml:space="preserve"> People who suffer from abuse or are victims of violence in a relationship in which they </w:t>
      </w:r>
      <w:r w:rsidR="00E21286" w:rsidRPr="007F1A91">
        <w:rPr>
          <w:rFonts w:ascii="Arial" w:hAnsi="Arial" w:cs="Arial"/>
          <w:sz w:val="24"/>
          <w:szCs w:val="24"/>
        </w:rPr>
        <w:t xml:space="preserve">should feel safe and loved, are vulnerable to having the same thing happen </w:t>
      </w:r>
      <w:proofErr w:type="gramStart"/>
      <w:r w:rsidR="00E21286" w:rsidRPr="007F1A91">
        <w:rPr>
          <w:rFonts w:ascii="Arial" w:hAnsi="Arial" w:cs="Arial"/>
          <w:sz w:val="24"/>
          <w:szCs w:val="24"/>
        </w:rPr>
        <w:t>over and over again</w:t>
      </w:r>
      <w:proofErr w:type="gramEnd"/>
      <w:r w:rsidR="00E21286" w:rsidRPr="007F1A91">
        <w:rPr>
          <w:rFonts w:ascii="Arial" w:hAnsi="Arial" w:cs="Arial"/>
          <w:sz w:val="24"/>
          <w:szCs w:val="24"/>
        </w:rPr>
        <w:t>. This is because it is a norm for them and may find it hard not to be victims of it again.</w:t>
      </w:r>
      <w:r w:rsidR="001518AD">
        <w:rPr>
          <w:rFonts w:ascii="Arial" w:hAnsi="Arial" w:cs="Arial"/>
          <w:sz w:val="24"/>
          <w:szCs w:val="24"/>
        </w:rPr>
        <w:t xml:space="preserve"> Many victims of abuse are scared to report any of the crimes to police because of the fear that there will be retaliation from the perpetrator, the police and social workers provide a safe environment for them when reporting. Being by there side from start to finish, providing a safe environment and support to over come those fears and to get out the situation.</w:t>
      </w:r>
      <w:r w:rsidR="00E21286" w:rsidRPr="007F1A91">
        <w:rPr>
          <w:rFonts w:ascii="Arial" w:hAnsi="Arial" w:cs="Arial"/>
          <w:sz w:val="24"/>
          <w:szCs w:val="24"/>
        </w:rPr>
        <w:t xml:space="preserve"> </w:t>
      </w:r>
    </w:p>
    <w:p w14:paraId="3D8595BB" w14:textId="59246FBB" w:rsidR="00ED799A" w:rsidRPr="007F1A91" w:rsidRDefault="00ED799A" w:rsidP="009B759E">
      <w:pPr>
        <w:spacing w:line="480" w:lineRule="auto"/>
        <w:rPr>
          <w:rFonts w:ascii="Arial" w:hAnsi="Arial" w:cs="Arial"/>
          <w:color w:val="000000"/>
          <w:sz w:val="24"/>
          <w:szCs w:val="24"/>
        </w:rPr>
      </w:pPr>
      <w:r w:rsidRPr="007F1A91">
        <w:rPr>
          <w:rFonts w:ascii="Arial" w:hAnsi="Arial" w:cs="Arial"/>
          <w:color w:val="000000"/>
          <w:sz w:val="24"/>
          <w:szCs w:val="24"/>
        </w:rPr>
        <w:t>Over the last 20 years the government of England and Wales have made a commitment to making sure victims are an important part of the criminal justice agenda (</w:t>
      </w:r>
      <w:hyperlink r:id="rId9" w:anchor="bibr189-1365712716655168" w:history="1">
        <w:r w:rsidRPr="007F1A91">
          <w:rPr>
            <w:rStyle w:val="Hyperlink"/>
            <w:rFonts w:ascii="Arial" w:hAnsi="Arial" w:cs="Arial"/>
            <w:color w:val="000000"/>
            <w:sz w:val="24"/>
            <w:szCs w:val="24"/>
            <w:u w:val="none"/>
          </w:rPr>
          <w:t>Home Office, 2002</w:t>
        </w:r>
      </w:hyperlink>
      <w:r w:rsidRPr="007F1A91">
        <w:rPr>
          <w:rFonts w:ascii="Arial" w:hAnsi="Arial" w:cs="Arial"/>
          <w:color w:val="000000"/>
          <w:sz w:val="24"/>
          <w:szCs w:val="24"/>
        </w:rPr>
        <w:t>; </w:t>
      </w:r>
      <w:hyperlink r:id="rId10" w:anchor="bibr104-1365712716655168" w:history="1">
        <w:r w:rsidRPr="007F1A91">
          <w:rPr>
            <w:rStyle w:val="Hyperlink"/>
            <w:rFonts w:ascii="Arial" w:hAnsi="Arial" w:cs="Arial"/>
            <w:color w:val="000000"/>
            <w:sz w:val="24"/>
            <w:szCs w:val="24"/>
            <w:u w:val="none"/>
          </w:rPr>
          <w:t>Ministry of Justice, 2012</w:t>
        </w:r>
      </w:hyperlink>
      <w:r w:rsidRPr="007F1A91">
        <w:rPr>
          <w:rFonts w:ascii="Arial" w:hAnsi="Arial" w:cs="Arial"/>
          <w:color w:val="000000"/>
          <w:sz w:val="24"/>
          <w:szCs w:val="24"/>
        </w:rPr>
        <w:t xml:space="preserve">).  There are </w:t>
      </w:r>
      <w:proofErr w:type="gramStart"/>
      <w:r w:rsidRPr="007F1A91">
        <w:rPr>
          <w:rFonts w:ascii="Arial" w:hAnsi="Arial" w:cs="Arial"/>
          <w:color w:val="000000"/>
          <w:sz w:val="24"/>
          <w:szCs w:val="24"/>
        </w:rPr>
        <w:t>many</w:t>
      </w:r>
      <w:proofErr w:type="gramEnd"/>
      <w:r w:rsidRPr="007F1A91">
        <w:rPr>
          <w:rFonts w:ascii="Arial" w:hAnsi="Arial" w:cs="Arial"/>
          <w:color w:val="000000"/>
          <w:sz w:val="24"/>
          <w:szCs w:val="24"/>
        </w:rPr>
        <w:t xml:space="preserve"> experiences in life that can provoke trauma and a psychological reaction to an event that may be stressful to people, this varies depending on the person. This can be affected by a span of factors which include what the original stressor is, how strong the person is when it comes to a stressful situation and any of the individuals past trauma. Overall, it is known that for many people trauma can relentless because of this it can make someone vulnerable to crime and cause them to be a victim of getting affected by the outcome. There are many emotions that come with this, these include the feeling of confused, shame, anger and having anxiety (</w:t>
      </w:r>
      <w:hyperlink r:id="rId11" w:anchor="bibr145-1365712716655168" w:history="1">
        <w:r w:rsidRPr="007F1A91">
          <w:rPr>
            <w:rStyle w:val="Hyperlink"/>
            <w:rFonts w:ascii="Arial" w:hAnsi="Arial" w:cs="Arial"/>
            <w:color w:val="000000"/>
            <w:sz w:val="24"/>
            <w:szCs w:val="24"/>
            <w:u w:val="none"/>
          </w:rPr>
          <w:t>Van der Kolk et al., 1996</w:t>
        </w:r>
      </w:hyperlink>
      <w:r w:rsidRPr="007F1A91">
        <w:rPr>
          <w:rFonts w:ascii="Arial" w:hAnsi="Arial" w:cs="Arial"/>
          <w:color w:val="000000"/>
          <w:sz w:val="24"/>
          <w:szCs w:val="24"/>
        </w:rPr>
        <w:t>). Most of these reactions are transient, lasting only a few weeks or days at most. Nevertheless, if reactions become so severe and persistent that social, vocational, or other functioning is compromised, an individual may be classified with 'post-traumatic stress disorder' ('PTSD') (Herman, 1992; Yule, 1999). In the criminal justice system, it is extremely important that people take PTSD or any trauma into consideration when dealing with any victims. When dealing with any victims it</w:t>
      </w:r>
      <w:r w:rsidR="00B25C09" w:rsidRPr="007F1A91">
        <w:rPr>
          <w:rFonts w:ascii="Arial" w:hAnsi="Arial" w:cs="Arial"/>
          <w:color w:val="000000"/>
          <w:sz w:val="24"/>
          <w:szCs w:val="24"/>
        </w:rPr>
        <w:t xml:space="preserve"> is</w:t>
      </w:r>
      <w:r w:rsidRPr="007F1A91">
        <w:rPr>
          <w:rFonts w:ascii="Arial" w:hAnsi="Arial" w:cs="Arial"/>
          <w:color w:val="000000"/>
          <w:sz w:val="24"/>
          <w:szCs w:val="24"/>
        </w:rPr>
        <w:t xml:space="preserve"> important to understand that they can face some sort of flashback when needing to retell their experience with a crime (</w:t>
      </w:r>
      <w:hyperlink r:id="rId12" w:anchor="bibr27-1365712716655168" w:history="1">
        <w:r w:rsidRPr="007F1A91">
          <w:rPr>
            <w:rStyle w:val="Hyperlink"/>
            <w:rFonts w:ascii="Arial" w:hAnsi="Arial" w:cs="Arial"/>
            <w:color w:val="000000"/>
            <w:sz w:val="24"/>
            <w:szCs w:val="24"/>
            <w:u w:val="none"/>
          </w:rPr>
          <w:t>Briere and Scott, 2015</w:t>
        </w:r>
      </w:hyperlink>
      <w:r w:rsidRPr="007F1A91">
        <w:rPr>
          <w:rFonts w:ascii="Arial" w:hAnsi="Arial" w:cs="Arial"/>
          <w:color w:val="000000"/>
          <w:sz w:val="24"/>
          <w:szCs w:val="24"/>
        </w:rPr>
        <w:t>; </w:t>
      </w:r>
      <w:hyperlink r:id="rId13" w:anchor="bibr200-1365712716655168" w:history="1">
        <w:r w:rsidRPr="007F1A91">
          <w:rPr>
            <w:rStyle w:val="Hyperlink"/>
            <w:rFonts w:ascii="Arial" w:hAnsi="Arial" w:cs="Arial"/>
            <w:color w:val="000000"/>
            <w:sz w:val="24"/>
            <w:szCs w:val="24"/>
            <w:u w:val="none"/>
          </w:rPr>
          <w:t>Joseph et al., 1997</w:t>
        </w:r>
      </w:hyperlink>
      <w:r w:rsidRPr="007F1A91">
        <w:rPr>
          <w:rFonts w:ascii="Arial" w:hAnsi="Arial" w:cs="Arial"/>
          <w:color w:val="000000"/>
          <w:sz w:val="24"/>
          <w:szCs w:val="24"/>
        </w:rPr>
        <w:t xml:space="preserve">). Post-traumatic shame, for example, can make a person feel alienated, worthless, and powerless, and it is frequently associated with the desire to hide away, avoid scrutiny, or </w:t>
      </w:r>
      <w:r w:rsidRPr="007F1A91">
        <w:rPr>
          <w:rFonts w:ascii="Arial" w:hAnsi="Arial" w:cs="Arial"/>
          <w:color w:val="000000"/>
          <w:sz w:val="24"/>
          <w:szCs w:val="24"/>
        </w:rPr>
        <w:t>separate</w:t>
      </w:r>
      <w:r w:rsidRPr="007F1A91">
        <w:rPr>
          <w:rFonts w:ascii="Arial" w:hAnsi="Arial" w:cs="Arial"/>
          <w:color w:val="000000"/>
          <w:sz w:val="24"/>
          <w:szCs w:val="24"/>
        </w:rPr>
        <w:t xml:space="preserve"> one's own in expectation of being judged negatively, blamed, or ignored (Lee et al., 2001; Rahm et al., 2006; Wilson et al., 2006).</w:t>
      </w:r>
    </w:p>
    <w:p w14:paraId="37B772B8" w14:textId="248B1911" w:rsidR="00F51DB1" w:rsidRPr="007F1A91" w:rsidRDefault="009B42F1" w:rsidP="009B759E">
      <w:pPr>
        <w:spacing w:line="480" w:lineRule="auto"/>
        <w:rPr>
          <w:rFonts w:ascii="Arial" w:hAnsi="Arial" w:cs="Arial"/>
          <w:sz w:val="24"/>
          <w:szCs w:val="24"/>
        </w:rPr>
      </w:pPr>
      <w:r w:rsidRPr="009B42F1">
        <w:rPr>
          <w:rFonts w:ascii="Arial" w:hAnsi="Arial" w:cs="Arial"/>
          <w:sz w:val="24"/>
          <w:szCs w:val="24"/>
        </w:rPr>
        <w:t>Many homeless people are vulnerable in several ways; they constitute one of the most vulnerable groups handled by social workers. Individuals and groups that have lost a secure place to live face physical dangers such as vulnerability and aggression, as well as psychological dangers associated with excessive stress, such as mental health illnesses and drug abuse. While chronically homeless adult males may be perceived as the face of homelessness by many, homelessness affects men, women, and children, families and single persons, teens and adults (Mcclendon and Lane, 2014). Homelessness is inextricably linked to poverty. Yet, homelessness is perhaps the most visible manifestation of poverty, and it certainly attracts a lot of attention.</w:t>
      </w:r>
      <w:r>
        <w:rPr>
          <w:rFonts w:ascii="Arial" w:hAnsi="Arial" w:cs="Arial"/>
          <w:sz w:val="24"/>
          <w:szCs w:val="24"/>
        </w:rPr>
        <w:t xml:space="preserve"> </w:t>
      </w:r>
      <w:r w:rsidR="00F51DB1" w:rsidRPr="007F1A91">
        <w:rPr>
          <w:rFonts w:ascii="Arial" w:hAnsi="Arial" w:cs="Arial"/>
          <w:sz w:val="24"/>
          <w:szCs w:val="24"/>
        </w:rPr>
        <w:t>The situation of homeless families garnered more public attention in the aftermath of the current mortgage crisis and massive foreclosures. Subprime mortgages enabled low-income households with weak credit histories to become homeowners for the first time, but the loans were frequently misunderstood and unaffordable as interest rates soared and monthly payments inflated for families already struggling financially (Williams et al, 2005).</w:t>
      </w:r>
    </w:p>
    <w:p w14:paraId="3607487B" w14:textId="1EF81982" w:rsidR="00F51DB1" w:rsidRPr="007F1A91" w:rsidRDefault="00F51DB1" w:rsidP="009B759E">
      <w:pPr>
        <w:spacing w:line="480" w:lineRule="auto"/>
        <w:rPr>
          <w:rFonts w:ascii="Arial" w:hAnsi="Arial" w:cs="Arial"/>
          <w:sz w:val="24"/>
          <w:szCs w:val="24"/>
        </w:rPr>
      </w:pPr>
      <w:r w:rsidRPr="007F1A91">
        <w:rPr>
          <w:rFonts w:ascii="Arial" w:hAnsi="Arial" w:cs="Arial"/>
          <w:sz w:val="24"/>
          <w:szCs w:val="24"/>
        </w:rPr>
        <w:t xml:space="preserve">Individuals and families who are homeless face physiological, emotional, and legal hazards to their well-being. Exposure, starvation, worsening of medical issues, and the possibility or actuality of sexual and physical abuse are among the physical threats. Coupled with physical issues, homeless people are constantly threatened with arrest, family separation, and coerced mental care. Homelessness is frequently associated with severe loss: loss of not just one's home, but also of one's family, community ties, status and position, health, safety, and well-being. These traumatic experiences can exacerbate or cause the beginnings of mental illness, as well as unhealthy coping techniques such as substance misuse (Didenko &amp; Pankratz, 2007; North et al, 1998).One of the most important responsibilities of a house is to protect its inhabitants from outside hazards and threats. Without a place to live, one's safety and health are jeopardised. </w:t>
      </w:r>
      <w:proofErr w:type="gramStart"/>
      <w:r w:rsidRPr="007F1A91">
        <w:rPr>
          <w:rFonts w:ascii="Arial" w:hAnsi="Arial" w:cs="Arial"/>
          <w:sz w:val="24"/>
          <w:szCs w:val="24"/>
        </w:rPr>
        <w:t>Some of</w:t>
      </w:r>
      <w:proofErr w:type="gramEnd"/>
      <w:r w:rsidRPr="007F1A91">
        <w:rPr>
          <w:rFonts w:ascii="Arial" w:hAnsi="Arial" w:cs="Arial"/>
          <w:sz w:val="24"/>
          <w:szCs w:val="24"/>
        </w:rPr>
        <w:t xml:space="preserve"> the symptoms typically connected with homelessness include hypothermia, wound infection, and respiratory infections (National Coalition for the Homeless, 2009b).</w:t>
      </w:r>
      <w:r w:rsidRPr="007F1A91">
        <w:rPr>
          <w:rFonts w:ascii="Arial" w:hAnsi="Arial" w:cs="Arial"/>
          <w:sz w:val="24"/>
          <w:szCs w:val="24"/>
        </w:rPr>
        <w:t xml:space="preserve"> Because of these issues homeless people are and will be vulnerable to all types of dangers as they are without a home and will be more likely to face violence.</w:t>
      </w:r>
      <w:r w:rsidR="00B360F4">
        <w:rPr>
          <w:rFonts w:ascii="Arial" w:hAnsi="Arial" w:cs="Arial"/>
          <w:sz w:val="24"/>
          <w:szCs w:val="24"/>
        </w:rPr>
        <w:t xml:space="preserve"> Many homeless are seen as bad people because of the situation they are in, they are seen as drug addicts or criminals which is not always the case. They are constantly harassed or questioned by the police just because they are with out a home, yes it is true that some homeless people will turn to a life of crime such as stealing, many do this because they are hungry or would rather stay in jail to have a bed to sleep in at night. However, this is not the case for all homeless, the criminal justice system and local authorities offer safe havens for these people, provide shelter, a place to come have food and clothing, </w:t>
      </w:r>
      <w:proofErr w:type="gramStart"/>
      <w:r w:rsidR="00B360F4">
        <w:rPr>
          <w:rFonts w:ascii="Arial" w:hAnsi="Arial" w:cs="Arial"/>
          <w:sz w:val="24"/>
          <w:szCs w:val="24"/>
        </w:rPr>
        <w:t>some</w:t>
      </w:r>
      <w:proofErr w:type="gramEnd"/>
      <w:r w:rsidR="00B360F4">
        <w:rPr>
          <w:rFonts w:ascii="Arial" w:hAnsi="Arial" w:cs="Arial"/>
          <w:sz w:val="24"/>
          <w:szCs w:val="24"/>
        </w:rPr>
        <w:t xml:space="preserve"> even provide opportunities for them to get of there feet with providing a job opportunity. The criminal justice system works well to show the vulnerable that they are safe and can trust in the system.</w:t>
      </w:r>
    </w:p>
    <w:p w14:paraId="1E322A67" w14:textId="204445A7" w:rsidR="00326623" w:rsidRPr="007F1A91" w:rsidRDefault="006F4793" w:rsidP="009B759E">
      <w:pPr>
        <w:spacing w:line="480" w:lineRule="auto"/>
        <w:rPr>
          <w:rFonts w:ascii="Arial" w:hAnsi="Arial" w:cs="Arial"/>
          <w:sz w:val="24"/>
          <w:szCs w:val="24"/>
        </w:rPr>
      </w:pPr>
      <w:r w:rsidRPr="007F1A91">
        <w:rPr>
          <w:rFonts w:ascii="Arial" w:hAnsi="Arial" w:cs="Arial"/>
          <w:sz w:val="24"/>
          <w:szCs w:val="24"/>
        </w:rPr>
        <w:t xml:space="preserve">As shown above there are many </w:t>
      </w:r>
      <w:r w:rsidR="007F1A91" w:rsidRPr="007F1A91">
        <w:rPr>
          <w:rFonts w:ascii="Arial" w:hAnsi="Arial" w:cs="Arial"/>
          <w:sz w:val="24"/>
          <w:szCs w:val="24"/>
        </w:rPr>
        <w:t>groups</w:t>
      </w:r>
      <w:r w:rsidR="007F1A91">
        <w:rPr>
          <w:rFonts w:ascii="Arial" w:hAnsi="Arial" w:cs="Arial"/>
          <w:sz w:val="24"/>
          <w:szCs w:val="24"/>
        </w:rPr>
        <w:t xml:space="preserve"> that are vulnerable to being victims of crime, the criminal justice system has had a helping hand in prioritising the vulnerable</w:t>
      </w:r>
      <w:r w:rsidR="00FC5020">
        <w:rPr>
          <w:rFonts w:ascii="Arial" w:hAnsi="Arial" w:cs="Arial"/>
          <w:sz w:val="24"/>
          <w:szCs w:val="24"/>
        </w:rPr>
        <w:t xml:space="preserve"> by allowing victims to be heard and understood, acknowledge that they are not alone and have a place to turn to when they are in need</w:t>
      </w:r>
      <w:r w:rsidR="007F1A91">
        <w:rPr>
          <w:rFonts w:ascii="Arial" w:hAnsi="Arial" w:cs="Arial"/>
          <w:sz w:val="24"/>
          <w:szCs w:val="24"/>
        </w:rPr>
        <w:t xml:space="preserve">. Statistically in the UK for children that need to be helped by social workers </w:t>
      </w:r>
      <w:r w:rsidR="00FC5020">
        <w:rPr>
          <w:rFonts w:ascii="Arial" w:hAnsi="Arial" w:cs="Arial"/>
          <w:sz w:val="24"/>
          <w:szCs w:val="24"/>
        </w:rPr>
        <w:t>has decreased by</w:t>
      </w:r>
      <w:r w:rsidR="007F1A91">
        <w:rPr>
          <w:rFonts w:ascii="Arial" w:hAnsi="Arial" w:cs="Arial"/>
          <w:sz w:val="24"/>
          <w:szCs w:val="24"/>
        </w:rPr>
        <w:t xml:space="preserve"> 16%  in </w:t>
      </w:r>
      <w:r w:rsidR="00FC5020">
        <w:rPr>
          <w:rFonts w:ascii="Arial" w:hAnsi="Arial" w:cs="Arial"/>
          <w:sz w:val="24"/>
          <w:szCs w:val="24"/>
        </w:rPr>
        <w:t>May</w:t>
      </w:r>
      <w:r w:rsidR="007F1A91">
        <w:rPr>
          <w:rFonts w:ascii="Arial" w:hAnsi="Arial" w:cs="Arial"/>
          <w:sz w:val="24"/>
          <w:szCs w:val="24"/>
        </w:rPr>
        <w:t xml:space="preserve"> of 2020 (Gov.uk, 2022)</w:t>
      </w:r>
      <w:r w:rsidR="00FC5020">
        <w:rPr>
          <w:rFonts w:ascii="Arial" w:hAnsi="Arial" w:cs="Arial"/>
          <w:sz w:val="24"/>
          <w:szCs w:val="24"/>
        </w:rPr>
        <w:t xml:space="preserve">. With having these services available it prevents </w:t>
      </w:r>
      <w:r w:rsidR="007F1A91">
        <w:rPr>
          <w:rFonts w:ascii="Arial" w:hAnsi="Arial" w:cs="Arial"/>
          <w:sz w:val="24"/>
          <w:szCs w:val="24"/>
        </w:rPr>
        <w:t xml:space="preserve"> </w:t>
      </w:r>
      <w:r w:rsidR="00FC5020">
        <w:rPr>
          <w:rFonts w:ascii="Arial" w:hAnsi="Arial" w:cs="Arial"/>
          <w:sz w:val="24"/>
          <w:szCs w:val="24"/>
        </w:rPr>
        <w:t xml:space="preserve">situations getting worse and helps vulnerable people feel safer. To conclude, the issue of being vulnerable is always prominent in any aspect of life, this is because of human nature. Some people are un able to see the signs of danger before it is too late. Some are able to prevent these and go down the right path in life and avoid criminal activity. But there are still a high number of people who still full into the negative bracket of life. </w:t>
      </w:r>
    </w:p>
    <w:p w14:paraId="51055FD3" w14:textId="563A1471" w:rsidR="007F6CEE" w:rsidRPr="007F1A91" w:rsidRDefault="007F6CEE" w:rsidP="009B759E">
      <w:pPr>
        <w:spacing w:line="480" w:lineRule="auto"/>
        <w:rPr>
          <w:rFonts w:ascii="Arial" w:hAnsi="Arial" w:cs="Arial"/>
          <w:sz w:val="24"/>
          <w:szCs w:val="24"/>
        </w:rPr>
      </w:pPr>
    </w:p>
    <w:p w14:paraId="0082EB54" w14:textId="77777777" w:rsidR="007F1A91" w:rsidRPr="007F1A91" w:rsidRDefault="007F1A91" w:rsidP="009B759E">
      <w:pPr>
        <w:spacing w:line="480" w:lineRule="auto"/>
        <w:rPr>
          <w:rFonts w:ascii="Arial" w:hAnsi="Arial" w:cs="Arial"/>
          <w:sz w:val="24"/>
          <w:szCs w:val="24"/>
        </w:rPr>
      </w:pPr>
    </w:p>
    <w:p w14:paraId="3447106C" w14:textId="77777777" w:rsidR="00E21286" w:rsidRPr="007F1A91" w:rsidRDefault="00E21286" w:rsidP="009B759E">
      <w:pPr>
        <w:spacing w:line="480" w:lineRule="auto"/>
        <w:rPr>
          <w:rFonts w:ascii="Arial" w:hAnsi="Arial" w:cs="Arial"/>
          <w:sz w:val="24"/>
          <w:szCs w:val="24"/>
        </w:rPr>
      </w:pPr>
    </w:p>
    <w:p w14:paraId="18893495" w14:textId="17883A12" w:rsidR="007F6CEE" w:rsidRPr="007F1A91" w:rsidRDefault="007F6CEE" w:rsidP="009B759E">
      <w:pPr>
        <w:spacing w:line="480" w:lineRule="auto"/>
        <w:rPr>
          <w:rFonts w:ascii="Arial" w:hAnsi="Arial" w:cs="Arial"/>
          <w:sz w:val="24"/>
          <w:szCs w:val="24"/>
        </w:rPr>
      </w:pPr>
      <w:r w:rsidRPr="007F1A91">
        <w:rPr>
          <w:rFonts w:ascii="Arial" w:hAnsi="Arial" w:cs="Arial"/>
          <w:sz w:val="24"/>
          <w:szCs w:val="24"/>
        </w:rPr>
        <w:t>References</w:t>
      </w:r>
    </w:p>
    <w:p w14:paraId="11B1360D"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Beck, U. (1992) </w:t>
      </w:r>
      <w:r w:rsidRPr="007F1A91">
        <w:rPr>
          <w:rFonts w:ascii="Arial" w:hAnsi="Arial" w:cs="Arial"/>
          <w:i/>
          <w:iCs/>
          <w:sz w:val="24"/>
          <w:szCs w:val="24"/>
        </w:rPr>
        <w:t>Risk Society: Towards a New Modernity</w:t>
      </w:r>
      <w:r w:rsidRPr="007F1A91">
        <w:rPr>
          <w:rFonts w:ascii="Arial" w:hAnsi="Arial" w:cs="Arial"/>
          <w:sz w:val="24"/>
          <w:szCs w:val="24"/>
        </w:rPr>
        <w:t>, London: Sage.</w:t>
      </w:r>
    </w:p>
    <w:p w14:paraId="56734EB0"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Beck, U. (2009) </w:t>
      </w:r>
      <w:r w:rsidRPr="007F1A91">
        <w:rPr>
          <w:rFonts w:ascii="Arial" w:hAnsi="Arial" w:cs="Arial"/>
          <w:i/>
          <w:iCs/>
          <w:sz w:val="24"/>
          <w:szCs w:val="24"/>
        </w:rPr>
        <w:t>World at Risk</w:t>
      </w:r>
      <w:r w:rsidRPr="007F1A91">
        <w:rPr>
          <w:rFonts w:ascii="Arial" w:hAnsi="Arial" w:cs="Arial"/>
          <w:sz w:val="24"/>
          <w:szCs w:val="24"/>
        </w:rPr>
        <w:t>, Cambridge: Polity Press</w:t>
      </w:r>
    </w:p>
    <w:p w14:paraId="209E9819" w14:textId="77777777" w:rsidR="009B759E" w:rsidRPr="007F1A91" w:rsidRDefault="009B759E" w:rsidP="009B759E">
      <w:pPr>
        <w:spacing w:line="480" w:lineRule="auto"/>
        <w:rPr>
          <w:rFonts w:ascii="Arial" w:hAnsi="Arial" w:cs="Arial"/>
          <w:sz w:val="24"/>
          <w:szCs w:val="24"/>
          <w:shd w:val="clear" w:color="auto" w:fill="FFFFFF"/>
        </w:rPr>
      </w:pPr>
      <w:r w:rsidRPr="007F1A91">
        <w:rPr>
          <w:rFonts w:ascii="Arial" w:hAnsi="Arial" w:cs="Arial"/>
          <w:sz w:val="24"/>
          <w:szCs w:val="24"/>
          <w:shd w:val="clear" w:color="auto" w:fill="FFFFFF"/>
        </w:rPr>
        <w:t xml:space="preserve">Black, M.C., </w:t>
      </w:r>
      <w:r w:rsidRPr="007F1A91">
        <w:rPr>
          <w:rFonts w:ascii="Arial" w:hAnsi="Arial" w:cs="Arial"/>
          <w:sz w:val="24"/>
          <w:szCs w:val="24"/>
          <w:shd w:val="clear" w:color="auto" w:fill="FFFFFF"/>
        </w:rPr>
        <w:t>et al (</w:t>
      </w:r>
      <w:r w:rsidRPr="007F1A91">
        <w:rPr>
          <w:rFonts w:ascii="Arial" w:hAnsi="Arial" w:cs="Arial"/>
          <w:sz w:val="24"/>
          <w:szCs w:val="24"/>
          <w:shd w:val="clear" w:color="auto" w:fill="FFFFFF"/>
        </w:rPr>
        <w:t>2011</w:t>
      </w:r>
      <w:r w:rsidRPr="007F1A91">
        <w:rPr>
          <w:rFonts w:ascii="Arial" w:hAnsi="Arial" w:cs="Arial"/>
          <w:sz w:val="24"/>
          <w:szCs w:val="24"/>
          <w:shd w:val="clear" w:color="auto" w:fill="FFFFFF"/>
        </w:rPr>
        <w:t>)</w:t>
      </w:r>
      <w:r w:rsidRPr="007F1A91">
        <w:rPr>
          <w:rFonts w:ascii="Arial" w:hAnsi="Arial" w:cs="Arial"/>
          <w:sz w:val="24"/>
          <w:szCs w:val="24"/>
          <w:shd w:val="clear" w:color="auto" w:fill="FFFFFF"/>
        </w:rPr>
        <w:t xml:space="preserve">. </w:t>
      </w:r>
      <w:r w:rsidRPr="007F1A91">
        <w:rPr>
          <w:rFonts w:ascii="Arial" w:hAnsi="Arial" w:cs="Arial"/>
          <w:i/>
          <w:iCs/>
          <w:sz w:val="24"/>
          <w:szCs w:val="24"/>
          <w:shd w:val="clear" w:color="auto" w:fill="FFFFFF"/>
        </w:rPr>
        <w:t>National intimate partner and sexual violence survey: 2010 summary report.</w:t>
      </w:r>
      <w:r w:rsidRPr="007F1A91">
        <w:rPr>
          <w:rFonts w:ascii="Arial" w:hAnsi="Arial" w:cs="Arial"/>
          <w:i/>
          <w:iCs/>
          <w:sz w:val="24"/>
          <w:szCs w:val="24"/>
          <w:shd w:val="clear" w:color="auto" w:fill="FFFFFF"/>
        </w:rPr>
        <w:t xml:space="preserve"> </w:t>
      </w:r>
      <w:r w:rsidRPr="007F1A91">
        <w:rPr>
          <w:rFonts w:ascii="Arial" w:hAnsi="Arial" w:cs="Arial"/>
          <w:sz w:val="24"/>
          <w:szCs w:val="24"/>
          <w:shd w:val="clear" w:color="auto" w:fill="FFFFFF"/>
        </w:rPr>
        <w:t xml:space="preserve">Available at: </w:t>
      </w:r>
      <w:hyperlink r:id="rId14" w:history="1">
        <w:r w:rsidRPr="007F1A91">
          <w:rPr>
            <w:rStyle w:val="Hyperlink"/>
            <w:rFonts w:ascii="Arial" w:hAnsi="Arial" w:cs="Arial"/>
            <w:sz w:val="24"/>
            <w:szCs w:val="24"/>
            <w:shd w:val="clear" w:color="auto" w:fill="FFFFFF"/>
          </w:rPr>
          <w:t>https://stacks.cdc.gov/view/cdc/11637</w:t>
        </w:r>
      </w:hyperlink>
      <w:r w:rsidRPr="007F1A91">
        <w:rPr>
          <w:rFonts w:ascii="Arial" w:hAnsi="Arial" w:cs="Arial"/>
          <w:sz w:val="24"/>
          <w:szCs w:val="24"/>
          <w:shd w:val="clear" w:color="auto" w:fill="FFFFFF"/>
        </w:rPr>
        <w:t xml:space="preserve"> (Accessed: 20 March 2023)</w:t>
      </w:r>
    </w:p>
    <w:p w14:paraId="7F3DA89B" w14:textId="77777777" w:rsidR="009B759E" w:rsidRPr="007F1A91" w:rsidRDefault="009B759E" w:rsidP="009B759E">
      <w:pPr>
        <w:spacing w:line="480" w:lineRule="auto"/>
        <w:rPr>
          <w:rFonts w:ascii="Arial" w:hAnsi="Arial" w:cs="Arial"/>
          <w:color w:val="000000"/>
          <w:sz w:val="24"/>
          <w:szCs w:val="24"/>
        </w:rPr>
      </w:pPr>
      <w:r w:rsidRPr="007F1A91">
        <w:rPr>
          <w:rFonts w:ascii="Arial" w:hAnsi="Arial" w:cs="Arial"/>
          <w:color w:val="000000"/>
          <w:sz w:val="24"/>
          <w:szCs w:val="24"/>
        </w:rPr>
        <w:t>Briere J,</w:t>
      </w:r>
      <w:r w:rsidRPr="007F1A91">
        <w:rPr>
          <w:rFonts w:ascii="Arial" w:hAnsi="Arial" w:cs="Arial"/>
          <w:color w:val="000000"/>
          <w:sz w:val="24"/>
          <w:szCs w:val="24"/>
        </w:rPr>
        <w:t xml:space="preserve"> and</w:t>
      </w:r>
      <w:r w:rsidRPr="007F1A91">
        <w:rPr>
          <w:rFonts w:ascii="Arial" w:hAnsi="Arial" w:cs="Arial"/>
          <w:color w:val="000000"/>
          <w:sz w:val="24"/>
          <w:szCs w:val="24"/>
        </w:rPr>
        <w:t xml:space="preserve"> Scott C (2015) </w:t>
      </w:r>
      <w:r w:rsidRPr="007F1A91">
        <w:rPr>
          <w:rStyle w:val="Emphasis"/>
          <w:rFonts w:ascii="Arial" w:hAnsi="Arial" w:cs="Arial"/>
          <w:color w:val="000000"/>
          <w:sz w:val="24"/>
          <w:szCs w:val="24"/>
        </w:rPr>
        <w:t>Principles of Trauma Therapy: A Guide to Symptoms, Evaluation and Treatment</w:t>
      </w:r>
      <w:r w:rsidRPr="007F1A91">
        <w:rPr>
          <w:rFonts w:ascii="Arial" w:hAnsi="Arial" w:cs="Arial"/>
          <w:color w:val="000000"/>
          <w:sz w:val="24"/>
          <w:szCs w:val="24"/>
        </w:rPr>
        <w:t xml:space="preserve">. 2nd ed. California: SAGE. </w:t>
      </w:r>
    </w:p>
    <w:p w14:paraId="7B7A44FB"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Brown, K et al (2017) ‘Review Article: The Many Faces of Vulnerability.’ </w:t>
      </w:r>
      <w:r w:rsidRPr="007F1A91">
        <w:rPr>
          <w:rFonts w:ascii="Arial" w:hAnsi="Arial" w:cs="Arial"/>
          <w:i/>
          <w:iCs/>
          <w:sz w:val="24"/>
          <w:szCs w:val="24"/>
        </w:rPr>
        <w:t>Social Policy &amp; Society</w:t>
      </w:r>
      <w:r w:rsidRPr="007F1A91">
        <w:rPr>
          <w:rFonts w:ascii="Arial" w:hAnsi="Arial" w:cs="Arial"/>
          <w:sz w:val="24"/>
          <w:szCs w:val="24"/>
        </w:rPr>
        <w:t xml:space="preserve">, 16(3), pp. 497-510. DOI: </w:t>
      </w:r>
      <w:hyperlink r:id="rId15" w:tgtFrame="_blank" w:history="1">
        <w:r w:rsidRPr="007F1A91">
          <w:rPr>
            <w:rStyle w:val="text"/>
            <w:rFonts w:ascii="Arial" w:hAnsi="Arial" w:cs="Arial"/>
            <w:color w:val="006FCA"/>
            <w:sz w:val="24"/>
            <w:szCs w:val="24"/>
            <w:bdr w:val="none" w:sz="0" w:space="0" w:color="auto" w:frame="1"/>
            <w:shd w:val="clear" w:color="auto" w:fill="F3F3F3"/>
          </w:rPr>
          <w:t>https://doi.org/10.1017/S1474746416000610</w:t>
        </w:r>
      </w:hyperlink>
      <w:r w:rsidRPr="007F1A91">
        <w:rPr>
          <w:rFonts w:ascii="Arial" w:hAnsi="Arial" w:cs="Arial"/>
          <w:sz w:val="24"/>
          <w:szCs w:val="24"/>
        </w:rPr>
        <w:t xml:space="preserve"> </w:t>
      </w:r>
    </w:p>
    <w:p w14:paraId="1CB548FF"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Brown, K. (2014) </w:t>
      </w:r>
      <w:r w:rsidRPr="007F1A91">
        <w:rPr>
          <w:rFonts w:ascii="Arial" w:hAnsi="Arial" w:cs="Arial"/>
          <w:i/>
          <w:iCs/>
          <w:sz w:val="24"/>
          <w:szCs w:val="24"/>
        </w:rPr>
        <w:t>Beyond protection: “The vulnerable” in the age of austerity’, in M. Harrison and T. Sanders (eds.), Social Policies and Social Control: New Perspectives on the Not-so-Big Society</w:t>
      </w:r>
      <w:r w:rsidRPr="007F1A91">
        <w:rPr>
          <w:rFonts w:ascii="Arial" w:hAnsi="Arial" w:cs="Arial"/>
          <w:i/>
          <w:iCs/>
          <w:sz w:val="24"/>
          <w:szCs w:val="24"/>
        </w:rPr>
        <w:t>.</w:t>
      </w:r>
      <w:r w:rsidRPr="007F1A91">
        <w:rPr>
          <w:rFonts w:ascii="Arial" w:hAnsi="Arial" w:cs="Arial"/>
          <w:i/>
          <w:iCs/>
          <w:sz w:val="24"/>
          <w:szCs w:val="24"/>
        </w:rPr>
        <w:t xml:space="preserve"> </w:t>
      </w:r>
      <w:r w:rsidRPr="007F1A91">
        <w:rPr>
          <w:rFonts w:ascii="Arial" w:hAnsi="Arial" w:cs="Arial"/>
          <w:sz w:val="24"/>
          <w:szCs w:val="24"/>
        </w:rPr>
        <w:t>Bristol: Policy Press</w:t>
      </w:r>
      <w:r w:rsidRPr="007F1A91">
        <w:rPr>
          <w:rFonts w:ascii="Arial" w:hAnsi="Arial" w:cs="Arial"/>
          <w:sz w:val="24"/>
          <w:szCs w:val="24"/>
        </w:rPr>
        <w:t xml:space="preserve">. </w:t>
      </w:r>
    </w:p>
    <w:p w14:paraId="71BE2332"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 Brown, K. (2015) </w:t>
      </w:r>
      <w:r w:rsidRPr="007F1A91">
        <w:rPr>
          <w:rFonts w:ascii="Arial" w:hAnsi="Arial" w:cs="Arial"/>
          <w:i/>
          <w:iCs/>
          <w:sz w:val="24"/>
          <w:szCs w:val="24"/>
        </w:rPr>
        <w:t xml:space="preserve">Vulnerability and Young People: Care and Social Control in Policy and </w:t>
      </w:r>
      <w:proofErr w:type="spellStart"/>
      <w:r w:rsidRPr="007F1A91">
        <w:rPr>
          <w:rFonts w:ascii="Arial" w:hAnsi="Arial" w:cs="Arial"/>
          <w:i/>
          <w:iCs/>
          <w:sz w:val="24"/>
          <w:szCs w:val="24"/>
        </w:rPr>
        <w:t>Practice</w:t>
      </w:r>
      <w:r w:rsidRPr="007F1A91">
        <w:rPr>
          <w:rFonts w:ascii="Arial" w:hAnsi="Arial" w:cs="Arial"/>
          <w:sz w:val="24"/>
          <w:szCs w:val="24"/>
        </w:rPr>
        <w:t>.</w:t>
      </w:r>
      <w:r w:rsidRPr="007F1A91">
        <w:rPr>
          <w:rFonts w:ascii="Arial" w:hAnsi="Arial" w:cs="Arial"/>
          <w:sz w:val="24"/>
          <w:szCs w:val="24"/>
        </w:rPr>
        <w:t>Bristol</w:t>
      </w:r>
      <w:proofErr w:type="spellEnd"/>
      <w:r w:rsidRPr="007F1A91">
        <w:rPr>
          <w:rFonts w:ascii="Arial" w:hAnsi="Arial" w:cs="Arial"/>
          <w:sz w:val="24"/>
          <w:szCs w:val="24"/>
        </w:rPr>
        <w:t>: Policy Press</w:t>
      </w:r>
    </w:p>
    <w:p w14:paraId="265916B9"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Brown, K. (2015) </w:t>
      </w:r>
      <w:r w:rsidRPr="007F1A91">
        <w:rPr>
          <w:rFonts w:ascii="Arial" w:hAnsi="Arial" w:cs="Arial"/>
          <w:i/>
          <w:iCs/>
          <w:sz w:val="24"/>
          <w:szCs w:val="24"/>
        </w:rPr>
        <w:t>Vulnerability and Young People: Care and Social Control in Policy and Practice</w:t>
      </w:r>
      <w:r w:rsidRPr="007F1A91">
        <w:rPr>
          <w:rFonts w:ascii="Arial" w:hAnsi="Arial" w:cs="Arial"/>
          <w:sz w:val="24"/>
          <w:szCs w:val="24"/>
        </w:rPr>
        <w:t>, Bristol: Policy Press.</w:t>
      </w:r>
    </w:p>
    <w:p w14:paraId="42C97DDD"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Butler, J. (2004) </w:t>
      </w:r>
      <w:r w:rsidRPr="007F1A91">
        <w:rPr>
          <w:rFonts w:ascii="Arial" w:hAnsi="Arial" w:cs="Arial"/>
          <w:i/>
          <w:iCs/>
          <w:sz w:val="24"/>
          <w:szCs w:val="24"/>
        </w:rPr>
        <w:t>Precarious Life: The Powers of Mourning and Violence</w:t>
      </w:r>
      <w:r w:rsidRPr="007F1A91">
        <w:rPr>
          <w:rFonts w:ascii="Arial" w:hAnsi="Arial" w:cs="Arial"/>
          <w:sz w:val="24"/>
          <w:szCs w:val="24"/>
        </w:rPr>
        <w:t>, London: Verso</w:t>
      </w:r>
    </w:p>
    <w:p w14:paraId="46EE6C23"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Campbell, J. C. (1995). </w:t>
      </w:r>
      <w:r w:rsidRPr="007F1A91">
        <w:rPr>
          <w:rFonts w:ascii="Arial" w:hAnsi="Arial" w:cs="Arial"/>
          <w:i/>
          <w:iCs/>
          <w:sz w:val="24"/>
          <w:szCs w:val="24"/>
        </w:rPr>
        <w:t>Assessing dangerousness</w:t>
      </w:r>
      <w:r w:rsidRPr="007F1A91">
        <w:rPr>
          <w:rFonts w:ascii="Arial" w:hAnsi="Arial" w:cs="Arial"/>
          <w:sz w:val="24"/>
          <w:szCs w:val="24"/>
        </w:rPr>
        <w:t>. Newbury Park, CA: Sage.</w:t>
      </w:r>
    </w:p>
    <w:p w14:paraId="43B76749"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Campbell, J. C., </w:t>
      </w:r>
      <w:r w:rsidRPr="007F1A91">
        <w:rPr>
          <w:rFonts w:ascii="Arial" w:hAnsi="Arial" w:cs="Arial"/>
          <w:sz w:val="24"/>
          <w:szCs w:val="24"/>
        </w:rPr>
        <w:t>et al</w:t>
      </w:r>
      <w:r w:rsidRPr="007F1A91">
        <w:rPr>
          <w:rFonts w:ascii="Arial" w:hAnsi="Arial" w:cs="Arial"/>
          <w:sz w:val="24"/>
          <w:szCs w:val="24"/>
        </w:rPr>
        <w:t xml:space="preserve"> (2003). </w:t>
      </w:r>
      <w:r w:rsidRPr="007F1A91">
        <w:rPr>
          <w:rFonts w:ascii="Arial" w:hAnsi="Arial" w:cs="Arial"/>
          <w:sz w:val="24"/>
          <w:szCs w:val="24"/>
        </w:rPr>
        <w:t>‘</w:t>
      </w:r>
      <w:r w:rsidRPr="007F1A91">
        <w:rPr>
          <w:rFonts w:ascii="Arial" w:hAnsi="Arial" w:cs="Arial"/>
          <w:sz w:val="24"/>
          <w:szCs w:val="24"/>
        </w:rPr>
        <w:t>Assessing risk factors for intimate partner homicide.</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National Institute of Justice Journal</w:t>
      </w:r>
      <w:r w:rsidRPr="007F1A91">
        <w:rPr>
          <w:rFonts w:ascii="Arial" w:hAnsi="Arial" w:cs="Arial"/>
          <w:sz w:val="24"/>
          <w:szCs w:val="24"/>
        </w:rPr>
        <w:t xml:space="preserve">, 250, </w:t>
      </w:r>
      <w:r w:rsidRPr="007F1A91">
        <w:rPr>
          <w:rFonts w:ascii="Arial" w:hAnsi="Arial" w:cs="Arial"/>
          <w:sz w:val="24"/>
          <w:szCs w:val="24"/>
        </w:rPr>
        <w:t>pp.</w:t>
      </w:r>
      <w:r w:rsidRPr="007F1A91">
        <w:rPr>
          <w:rFonts w:ascii="Arial" w:hAnsi="Arial" w:cs="Arial"/>
          <w:sz w:val="24"/>
          <w:szCs w:val="24"/>
        </w:rPr>
        <w:t>14–19.</w:t>
      </w:r>
    </w:p>
    <w:p w14:paraId="6E023CEC"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Carr, H. and Hunter, C. (2008) ‘Managing vulnerability: homelessness law and the interplay of the social, the political and the technical’, </w:t>
      </w:r>
      <w:r w:rsidRPr="007F1A91">
        <w:rPr>
          <w:rFonts w:ascii="Arial" w:hAnsi="Arial" w:cs="Arial"/>
          <w:i/>
          <w:iCs/>
          <w:sz w:val="24"/>
          <w:szCs w:val="24"/>
        </w:rPr>
        <w:t>Journal of Social Welfare and Family Law,</w:t>
      </w:r>
      <w:r w:rsidRPr="007F1A91">
        <w:rPr>
          <w:rFonts w:ascii="Arial" w:hAnsi="Arial" w:cs="Arial"/>
          <w:sz w:val="24"/>
          <w:szCs w:val="24"/>
        </w:rPr>
        <w:t xml:space="preserve"> 30</w:t>
      </w:r>
      <w:r w:rsidRPr="007F1A91">
        <w:rPr>
          <w:rFonts w:ascii="Arial" w:hAnsi="Arial" w:cs="Arial"/>
          <w:sz w:val="24"/>
          <w:szCs w:val="24"/>
        </w:rPr>
        <w:t>(</w:t>
      </w:r>
      <w:r w:rsidRPr="007F1A91">
        <w:rPr>
          <w:rFonts w:ascii="Arial" w:hAnsi="Arial" w:cs="Arial"/>
          <w:sz w:val="24"/>
          <w:szCs w:val="24"/>
        </w:rPr>
        <w:t>4</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293–307.</w:t>
      </w:r>
      <w:r w:rsidRPr="007F1A91">
        <w:rPr>
          <w:rFonts w:ascii="Arial" w:hAnsi="Arial" w:cs="Arial"/>
          <w:sz w:val="24"/>
          <w:szCs w:val="24"/>
        </w:rPr>
        <w:t xml:space="preserve"> DOI: </w:t>
      </w:r>
      <w:hyperlink r:id="rId16" w:history="1">
        <w:r w:rsidRPr="007F1A91">
          <w:rPr>
            <w:rStyle w:val="Hyperlink"/>
            <w:rFonts w:ascii="Arial" w:hAnsi="Arial" w:cs="Arial"/>
            <w:sz w:val="24"/>
            <w:szCs w:val="24"/>
          </w:rPr>
          <w:t>https://doi.org/10.1080/09649060802580979</w:t>
        </w:r>
      </w:hyperlink>
      <w:r w:rsidRPr="007F1A91">
        <w:rPr>
          <w:rFonts w:ascii="Arial" w:hAnsi="Arial" w:cs="Arial"/>
          <w:sz w:val="24"/>
          <w:szCs w:val="24"/>
        </w:rPr>
        <w:t xml:space="preserve"> </w:t>
      </w:r>
    </w:p>
    <w:p w14:paraId="66E82F08"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Catalano, S., </w:t>
      </w:r>
      <w:r w:rsidRPr="007F1A91">
        <w:rPr>
          <w:rFonts w:ascii="Arial" w:hAnsi="Arial" w:cs="Arial"/>
          <w:sz w:val="24"/>
          <w:szCs w:val="24"/>
        </w:rPr>
        <w:t xml:space="preserve">et al </w:t>
      </w:r>
      <w:r w:rsidRPr="007F1A91">
        <w:rPr>
          <w:rFonts w:ascii="Arial" w:hAnsi="Arial" w:cs="Arial"/>
          <w:sz w:val="24"/>
          <w:szCs w:val="24"/>
        </w:rPr>
        <w:t xml:space="preserve">(2009). </w:t>
      </w:r>
      <w:r w:rsidRPr="007F1A91">
        <w:rPr>
          <w:rFonts w:ascii="Arial" w:hAnsi="Arial" w:cs="Arial"/>
          <w:sz w:val="24"/>
          <w:szCs w:val="24"/>
        </w:rPr>
        <w:t>‘</w:t>
      </w:r>
      <w:r w:rsidRPr="007F1A91">
        <w:rPr>
          <w:rFonts w:ascii="Arial" w:hAnsi="Arial" w:cs="Arial"/>
          <w:sz w:val="24"/>
          <w:szCs w:val="24"/>
        </w:rPr>
        <w:t>Bureau of Statistics. Female Victims of Violence</w:t>
      </w:r>
      <w:r w:rsidRPr="007F1A91">
        <w:rPr>
          <w:rFonts w:ascii="Arial" w:hAnsi="Arial" w:cs="Arial"/>
          <w:sz w:val="24"/>
          <w:szCs w:val="24"/>
        </w:rPr>
        <w:t xml:space="preserve">.’ Available at: </w:t>
      </w:r>
      <w:hyperlink r:id="rId17" w:history="1">
        <w:r w:rsidRPr="007F1A91">
          <w:rPr>
            <w:rStyle w:val="Hyperlink"/>
            <w:rFonts w:ascii="Arial" w:hAnsi="Arial" w:cs="Arial"/>
            <w:sz w:val="24"/>
            <w:szCs w:val="24"/>
          </w:rPr>
          <w:t>https://bjs.ojp.gov/content/pub/pdf/fvv.pdf</w:t>
        </w:r>
      </w:hyperlink>
      <w:r w:rsidRPr="007F1A91">
        <w:rPr>
          <w:rFonts w:ascii="Arial" w:hAnsi="Arial" w:cs="Arial"/>
          <w:sz w:val="24"/>
          <w:szCs w:val="24"/>
        </w:rPr>
        <w:t xml:space="preserve">  (Accessed: 20 March 2023)</w:t>
      </w:r>
    </w:p>
    <w:p w14:paraId="74612523"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Clough, B. (2014) ‘Vulnerability and capacity to consent to sex: asking the right questions?’, </w:t>
      </w:r>
      <w:r w:rsidRPr="007F1A91">
        <w:rPr>
          <w:rFonts w:ascii="Arial" w:hAnsi="Arial" w:cs="Arial"/>
          <w:i/>
          <w:iCs/>
          <w:sz w:val="24"/>
          <w:szCs w:val="24"/>
        </w:rPr>
        <w:t>Child and Family Law Quarterly</w:t>
      </w:r>
      <w:r w:rsidRPr="007F1A91">
        <w:rPr>
          <w:rFonts w:ascii="Arial" w:hAnsi="Arial" w:cs="Arial"/>
          <w:sz w:val="24"/>
          <w:szCs w:val="24"/>
        </w:rPr>
        <w:t xml:space="preserve"> 26</w:t>
      </w:r>
      <w:r w:rsidRPr="007F1A91">
        <w:rPr>
          <w:rFonts w:ascii="Arial" w:hAnsi="Arial" w:cs="Arial"/>
          <w:sz w:val="24"/>
          <w:szCs w:val="24"/>
        </w:rPr>
        <w:t xml:space="preserve"> (</w:t>
      </w:r>
      <w:r w:rsidRPr="007F1A91">
        <w:rPr>
          <w:rFonts w:ascii="Arial" w:hAnsi="Arial" w:cs="Arial"/>
          <w:sz w:val="24"/>
          <w:szCs w:val="24"/>
        </w:rPr>
        <w:t>4</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371–97.</w:t>
      </w:r>
    </w:p>
    <w:p w14:paraId="4DDAAABF"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Coulton, C. J., </w:t>
      </w:r>
      <w:r w:rsidRPr="007F1A91">
        <w:rPr>
          <w:rFonts w:ascii="Arial" w:hAnsi="Arial" w:cs="Arial"/>
          <w:sz w:val="24"/>
          <w:szCs w:val="24"/>
        </w:rPr>
        <w:t>et al</w:t>
      </w:r>
      <w:r w:rsidRPr="007F1A91">
        <w:rPr>
          <w:rFonts w:ascii="Arial" w:hAnsi="Arial" w:cs="Arial"/>
          <w:sz w:val="24"/>
          <w:szCs w:val="24"/>
        </w:rPr>
        <w:t xml:space="preserve">(2007). </w:t>
      </w:r>
      <w:r w:rsidRPr="007F1A91">
        <w:rPr>
          <w:rFonts w:ascii="Arial" w:hAnsi="Arial" w:cs="Arial"/>
          <w:sz w:val="24"/>
          <w:szCs w:val="24"/>
        </w:rPr>
        <w:t>‘</w:t>
      </w:r>
      <w:r w:rsidRPr="007F1A91">
        <w:rPr>
          <w:rFonts w:ascii="Arial" w:hAnsi="Arial" w:cs="Arial"/>
          <w:sz w:val="24"/>
          <w:szCs w:val="24"/>
        </w:rPr>
        <w:t xml:space="preserve">How </w:t>
      </w:r>
      <w:r w:rsidRPr="007F1A91">
        <w:rPr>
          <w:rFonts w:ascii="Arial" w:hAnsi="Arial" w:cs="Arial"/>
          <w:sz w:val="24"/>
          <w:szCs w:val="24"/>
        </w:rPr>
        <w:t>neighbourhoods</w:t>
      </w:r>
      <w:r w:rsidRPr="007F1A91">
        <w:rPr>
          <w:rFonts w:ascii="Arial" w:hAnsi="Arial" w:cs="Arial"/>
          <w:sz w:val="24"/>
          <w:szCs w:val="24"/>
        </w:rPr>
        <w:t xml:space="preserve"> influence child maltreatment. A review of the literature and alternative pathways.</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Child Abuse and Neglect</w:t>
      </w:r>
      <w:r w:rsidRPr="007F1A91">
        <w:rPr>
          <w:rFonts w:ascii="Arial" w:hAnsi="Arial" w:cs="Arial"/>
          <w:sz w:val="24"/>
          <w:szCs w:val="24"/>
        </w:rPr>
        <w:t xml:space="preserve">, 31(11–12), </w:t>
      </w:r>
      <w:r w:rsidRPr="007F1A91">
        <w:rPr>
          <w:rFonts w:ascii="Arial" w:hAnsi="Arial" w:cs="Arial"/>
          <w:sz w:val="24"/>
          <w:szCs w:val="24"/>
        </w:rPr>
        <w:t>pp.</w:t>
      </w:r>
      <w:r w:rsidRPr="007F1A91">
        <w:rPr>
          <w:rFonts w:ascii="Arial" w:hAnsi="Arial" w:cs="Arial"/>
          <w:sz w:val="24"/>
          <w:szCs w:val="24"/>
        </w:rPr>
        <w:t>1117–42</w:t>
      </w:r>
      <w:r w:rsidRPr="007F1A91">
        <w:rPr>
          <w:rFonts w:ascii="Arial" w:hAnsi="Arial" w:cs="Arial"/>
          <w:sz w:val="24"/>
          <w:szCs w:val="24"/>
        </w:rPr>
        <w:t xml:space="preserve">. DOI: </w:t>
      </w:r>
      <w:hyperlink r:id="rId18" w:tgtFrame="_blank" w:tooltip="Persistent link using digital object identifier" w:history="1">
        <w:r w:rsidRPr="007F1A91">
          <w:rPr>
            <w:rStyle w:val="anchor-text"/>
            <w:rFonts w:ascii="Arial" w:hAnsi="Arial" w:cs="Arial"/>
            <w:color w:val="007398"/>
            <w:sz w:val="24"/>
            <w:szCs w:val="24"/>
          </w:rPr>
          <w:t>https://doi.org/10.1016/j.chiabu.2007.03.023</w:t>
        </w:r>
      </w:hyperlink>
      <w:r w:rsidRPr="007F1A91">
        <w:rPr>
          <w:rFonts w:ascii="Arial" w:hAnsi="Arial" w:cs="Arial"/>
          <w:sz w:val="24"/>
          <w:szCs w:val="24"/>
        </w:rPr>
        <w:t xml:space="preserve"> </w:t>
      </w:r>
    </w:p>
    <w:p w14:paraId="58D5451D"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Daniel, B. (2010) ‘Concepts of adversity, risk, vulnerability and resilience: a discussion in the context of the Child Protection System’, </w:t>
      </w:r>
      <w:r w:rsidRPr="007F1A91">
        <w:rPr>
          <w:rFonts w:ascii="Arial" w:hAnsi="Arial" w:cs="Arial"/>
          <w:i/>
          <w:iCs/>
          <w:sz w:val="24"/>
          <w:szCs w:val="24"/>
        </w:rPr>
        <w:t>Social Policy and Society</w:t>
      </w:r>
      <w:r w:rsidRPr="007F1A91">
        <w:rPr>
          <w:rFonts w:ascii="Arial" w:hAnsi="Arial" w:cs="Arial"/>
          <w:sz w:val="24"/>
          <w:szCs w:val="24"/>
        </w:rPr>
        <w:t>, 9</w:t>
      </w:r>
      <w:r w:rsidRPr="007F1A91">
        <w:rPr>
          <w:rFonts w:ascii="Arial" w:hAnsi="Arial" w:cs="Arial"/>
          <w:sz w:val="24"/>
          <w:szCs w:val="24"/>
        </w:rPr>
        <w:t xml:space="preserve"> (</w:t>
      </w:r>
      <w:r w:rsidRPr="007F1A91">
        <w:rPr>
          <w:rFonts w:ascii="Arial" w:hAnsi="Arial" w:cs="Arial"/>
          <w:sz w:val="24"/>
          <w:szCs w:val="24"/>
        </w:rPr>
        <w:t>2</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231–41.</w:t>
      </w:r>
      <w:r w:rsidRPr="007F1A91">
        <w:rPr>
          <w:rFonts w:ascii="Arial" w:hAnsi="Arial" w:cs="Arial"/>
          <w:sz w:val="24"/>
          <w:szCs w:val="24"/>
        </w:rPr>
        <w:t xml:space="preserve"> DOI: </w:t>
      </w:r>
      <w:hyperlink r:id="rId19" w:history="1">
        <w:r w:rsidRPr="007F1A91">
          <w:rPr>
            <w:rStyle w:val="Hyperlink"/>
            <w:rFonts w:ascii="Arial" w:hAnsi="Arial" w:cs="Arial"/>
            <w:sz w:val="24"/>
            <w:szCs w:val="24"/>
          </w:rPr>
          <w:t>https://doi.org/10.1017/S1474746409990364</w:t>
        </w:r>
      </w:hyperlink>
      <w:r w:rsidRPr="007F1A91">
        <w:rPr>
          <w:rFonts w:ascii="Arial" w:hAnsi="Arial" w:cs="Arial"/>
          <w:sz w:val="24"/>
          <w:szCs w:val="24"/>
        </w:rPr>
        <w:t xml:space="preserve"> </w:t>
      </w:r>
    </w:p>
    <w:p w14:paraId="08C960AD" w14:textId="77777777" w:rsidR="009B759E" w:rsidRPr="007F1A91" w:rsidRDefault="009B759E" w:rsidP="009B759E">
      <w:pPr>
        <w:spacing w:line="480" w:lineRule="auto"/>
        <w:rPr>
          <w:rFonts w:ascii="Arial" w:hAnsi="Arial" w:cs="Arial"/>
          <w:color w:val="232323"/>
          <w:sz w:val="24"/>
          <w:szCs w:val="24"/>
          <w:shd w:val="clear" w:color="auto" w:fill="FFFFFF"/>
        </w:rPr>
      </w:pPr>
      <w:r w:rsidRPr="007F1A91">
        <w:rPr>
          <w:rFonts w:ascii="Arial" w:hAnsi="Arial" w:cs="Arial"/>
          <w:color w:val="232323"/>
          <w:sz w:val="24"/>
          <w:szCs w:val="24"/>
          <w:shd w:val="clear" w:color="auto" w:fill="FFFFFF"/>
        </w:rPr>
        <w:t xml:space="preserve">Department of Health (2015) </w:t>
      </w:r>
      <w:r w:rsidRPr="007F1A91">
        <w:rPr>
          <w:rFonts w:ascii="Arial" w:hAnsi="Arial" w:cs="Arial"/>
          <w:i/>
          <w:iCs/>
          <w:color w:val="232323"/>
          <w:sz w:val="24"/>
          <w:szCs w:val="24"/>
          <w:shd w:val="clear" w:color="auto" w:fill="FFFFFF"/>
        </w:rPr>
        <w:t>Mental Health Act 1983: Code of Practice</w:t>
      </w:r>
      <w:r w:rsidRPr="007F1A91">
        <w:rPr>
          <w:rFonts w:ascii="Arial" w:hAnsi="Arial" w:cs="Arial"/>
          <w:color w:val="232323"/>
          <w:sz w:val="24"/>
          <w:szCs w:val="24"/>
          <w:shd w:val="clear" w:color="auto" w:fill="FFFFFF"/>
        </w:rPr>
        <w:t xml:space="preserve">. Available at: </w:t>
      </w:r>
      <w:hyperlink r:id="rId20" w:history="1">
        <w:r w:rsidRPr="007F1A91">
          <w:rPr>
            <w:rStyle w:val="Hyperlink"/>
            <w:rFonts w:ascii="Arial" w:hAnsi="Arial" w:cs="Arial"/>
            <w:sz w:val="24"/>
            <w:szCs w:val="24"/>
          </w:rPr>
          <w:t>Mental Health Act 1983 (publishing.service.gov.uk)</w:t>
        </w:r>
      </w:hyperlink>
      <w:r w:rsidRPr="007F1A91">
        <w:rPr>
          <w:rFonts w:ascii="Arial" w:hAnsi="Arial" w:cs="Arial"/>
          <w:color w:val="232323"/>
          <w:sz w:val="24"/>
          <w:szCs w:val="24"/>
          <w:shd w:val="clear" w:color="auto" w:fill="FFFFFF"/>
        </w:rPr>
        <w:t xml:space="preserve"> (Accessed: 20 March 2023).</w:t>
      </w:r>
    </w:p>
    <w:p w14:paraId="308E78FB"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Didenko, E., &amp; Pankratz, N. (2007). </w:t>
      </w:r>
      <w:r w:rsidRPr="007F1A91">
        <w:rPr>
          <w:rFonts w:ascii="Arial" w:hAnsi="Arial" w:cs="Arial"/>
          <w:sz w:val="24"/>
          <w:szCs w:val="24"/>
        </w:rPr>
        <w:t>‘</w:t>
      </w:r>
      <w:r w:rsidRPr="007F1A91">
        <w:rPr>
          <w:rFonts w:ascii="Arial" w:hAnsi="Arial" w:cs="Arial"/>
          <w:sz w:val="24"/>
          <w:szCs w:val="24"/>
        </w:rPr>
        <w:t>Substance use: Pathways to homelessness</w:t>
      </w:r>
      <w:r w:rsidRPr="007F1A91">
        <w:rPr>
          <w:rFonts w:ascii="Arial" w:hAnsi="Arial" w:cs="Arial"/>
          <w:sz w:val="24"/>
          <w:szCs w:val="24"/>
        </w:rPr>
        <w:t xml:space="preserve">? </w:t>
      </w:r>
      <w:r w:rsidRPr="007F1A91">
        <w:rPr>
          <w:rFonts w:ascii="Arial" w:hAnsi="Arial" w:cs="Arial"/>
          <w:sz w:val="24"/>
          <w:szCs w:val="24"/>
        </w:rPr>
        <w:t>Or a way of adapting to street life?</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Visions: BC’s Mental Health and Addictions Journal</w:t>
      </w:r>
      <w:r w:rsidRPr="007F1A91">
        <w:rPr>
          <w:rFonts w:ascii="Arial" w:hAnsi="Arial" w:cs="Arial"/>
          <w:sz w:val="24"/>
          <w:szCs w:val="24"/>
        </w:rPr>
        <w:t xml:space="preserve">, 4(1), </w:t>
      </w:r>
      <w:r w:rsidRPr="007F1A91">
        <w:rPr>
          <w:rFonts w:ascii="Arial" w:hAnsi="Arial" w:cs="Arial"/>
          <w:sz w:val="24"/>
          <w:szCs w:val="24"/>
        </w:rPr>
        <w:t>pp.</w:t>
      </w:r>
      <w:r w:rsidRPr="007F1A91">
        <w:rPr>
          <w:rFonts w:ascii="Arial" w:hAnsi="Arial" w:cs="Arial"/>
          <w:sz w:val="24"/>
          <w:szCs w:val="24"/>
        </w:rPr>
        <w:t>9–10</w:t>
      </w:r>
    </w:p>
    <w:p w14:paraId="64C40E7F"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Dunn, M., </w:t>
      </w:r>
      <w:r w:rsidRPr="007F1A91">
        <w:rPr>
          <w:rFonts w:ascii="Arial" w:hAnsi="Arial" w:cs="Arial"/>
          <w:sz w:val="24"/>
          <w:szCs w:val="24"/>
        </w:rPr>
        <w:t>et al</w:t>
      </w:r>
      <w:r w:rsidRPr="007F1A91">
        <w:rPr>
          <w:rFonts w:ascii="Arial" w:hAnsi="Arial" w:cs="Arial"/>
          <w:sz w:val="24"/>
          <w:szCs w:val="24"/>
        </w:rPr>
        <w:t xml:space="preserve"> (2008) ‘To empower or protect? Constructing the “vulnerable adult” in English law and public policy</w:t>
      </w:r>
      <w:proofErr w:type="gramStart"/>
      <w:r w:rsidRPr="007F1A91">
        <w:rPr>
          <w:rFonts w:ascii="Arial" w:hAnsi="Arial" w:cs="Arial"/>
          <w:sz w:val="24"/>
          <w:szCs w:val="24"/>
        </w:rPr>
        <w:t>’,</w:t>
      </w:r>
      <w:proofErr w:type="gramEnd"/>
      <w:r w:rsidRPr="007F1A91">
        <w:rPr>
          <w:rFonts w:ascii="Arial" w:hAnsi="Arial" w:cs="Arial"/>
          <w:sz w:val="24"/>
          <w:szCs w:val="24"/>
        </w:rPr>
        <w:t xml:space="preserve"> </w:t>
      </w:r>
      <w:r w:rsidRPr="007F1A91">
        <w:rPr>
          <w:rFonts w:ascii="Arial" w:hAnsi="Arial" w:cs="Arial"/>
          <w:i/>
          <w:iCs/>
          <w:sz w:val="24"/>
          <w:szCs w:val="24"/>
        </w:rPr>
        <w:t>Legal Studies</w:t>
      </w:r>
      <w:r w:rsidRPr="007F1A91">
        <w:rPr>
          <w:rFonts w:ascii="Arial" w:hAnsi="Arial" w:cs="Arial"/>
          <w:sz w:val="24"/>
          <w:szCs w:val="24"/>
        </w:rPr>
        <w:t>, 28</w:t>
      </w:r>
      <w:r w:rsidRPr="007F1A91">
        <w:rPr>
          <w:rFonts w:ascii="Arial" w:hAnsi="Arial" w:cs="Arial"/>
          <w:sz w:val="24"/>
          <w:szCs w:val="24"/>
        </w:rPr>
        <w:t xml:space="preserve"> (</w:t>
      </w:r>
      <w:r w:rsidRPr="007F1A91">
        <w:rPr>
          <w:rFonts w:ascii="Arial" w:hAnsi="Arial" w:cs="Arial"/>
          <w:sz w:val="24"/>
          <w:szCs w:val="24"/>
        </w:rPr>
        <w:t>2</w:t>
      </w:r>
      <w:r w:rsidRPr="007F1A91">
        <w:rPr>
          <w:rFonts w:ascii="Arial" w:hAnsi="Arial" w:cs="Arial"/>
          <w:sz w:val="24"/>
          <w:szCs w:val="24"/>
        </w:rPr>
        <w:t>)</w:t>
      </w:r>
      <w:r w:rsidRPr="007F1A91">
        <w:rPr>
          <w:rFonts w:ascii="Arial" w:hAnsi="Arial" w:cs="Arial"/>
          <w:sz w:val="24"/>
          <w:szCs w:val="24"/>
        </w:rPr>
        <w:t>,</w:t>
      </w:r>
      <w:r w:rsidRPr="007F1A91">
        <w:rPr>
          <w:rFonts w:ascii="Arial" w:hAnsi="Arial" w:cs="Arial"/>
          <w:sz w:val="24"/>
          <w:szCs w:val="24"/>
        </w:rPr>
        <w:t>pp.</w:t>
      </w:r>
      <w:r w:rsidRPr="007F1A91">
        <w:rPr>
          <w:rFonts w:ascii="Arial" w:hAnsi="Arial" w:cs="Arial"/>
          <w:sz w:val="24"/>
          <w:szCs w:val="24"/>
        </w:rPr>
        <w:t xml:space="preserve"> 234–53.</w:t>
      </w:r>
      <w:r w:rsidRPr="007F1A91">
        <w:rPr>
          <w:rFonts w:ascii="Arial" w:hAnsi="Arial" w:cs="Arial"/>
          <w:sz w:val="24"/>
          <w:szCs w:val="24"/>
        </w:rPr>
        <w:t xml:space="preserve"> DOI: </w:t>
      </w:r>
      <w:hyperlink r:id="rId21" w:history="1">
        <w:r w:rsidRPr="007F1A91">
          <w:rPr>
            <w:rStyle w:val="Hyperlink"/>
            <w:rFonts w:ascii="Arial" w:hAnsi="Arial" w:cs="Arial"/>
            <w:sz w:val="24"/>
            <w:szCs w:val="24"/>
          </w:rPr>
          <w:t>https://doi.org/10.1111/j.1748-121X.2008.00085.x</w:t>
        </w:r>
      </w:hyperlink>
      <w:r w:rsidRPr="007F1A91">
        <w:rPr>
          <w:rFonts w:ascii="Arial" w:hAnsi="Arial" w:cs="Arial"/>
          <w:sz w:val="24"/>
          <w:szCs w:val="24"/>
        </w:rPr>
        <w:t xml:space="preserve"> </w:t>
      </w:r>
    </w:p>
    <w:p w14:paraId="506D0BC2"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Ecclestone, K. and Goodley, D. (2014) ‘Political and educational springboard or straightjacket? Theorizing post/humanist subjects in an age of vulnerability’, </w:t>
      </w:r>
      <w:r w:rsidRPr="007F1A91">
        <w:rPr>
          <w:rFonts w:ascii="Arial" w:hAnsi="Arial" w:cs="Arial"/>
          <w:i/>
          <w:iCs/>
          <w:sz w:val="24"/>
          <w:szCs w:val="24"/>
        </w:rPr>
        <w:t>Discourse: Studies in the Cultural Politics of Education</w:t>
      </w:r>
      <w:r w:rsidRPr="007F1A91">
        <w:rPr>
          <w:rFonts w:ascii="Arial" w:hAnsi="Arial" w:cs="Arial"/>
          <w:sz w:val="24"/>
          <w:szCs w:val="24"/>
        </w:rPr>
        <w:t>, doi: 10.1080/01596306.2014.927112.</w:t>
      </w:r>
    </w:p>
    <w:p w14:paraId="0268E15B"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Ecclestone, K. and Lewis, L. (2014) ‘Interventions for resilience in educational settings: challenging policy discourses of risk and vulnerability’, </w:t>
      </w:r>
      <w:r w:rsidRPr="007F1A91">
        <w:rPr>
          <w:rFonts w:ascii="Arial" w:hAnsi="Arial" w:cs="Arial"/>
          <w:i/>
          <w:iCs/>
          <w:sz w:val="24"/>
          <w:szCs w:val="24"/>
        </w:rPr>
        <w:t>Journal of Education Policy</w:t>
      </w:r>
      <w:r w:rsidRPr="007F1A91">
        <w:rPr>
          <w:rFonts w:ascii="Arial" w:hAnsi="Arial" w:cs="Arial"/>
          <w:sz w:val="24"/>
          <w:szCs w:val="24"/>
        </w:rPr>
        <w:t>, 29</w:t>
      </w:r>
      <w:r w:rsidRPr="007F1A91">
        <w:rPr>
          <w:rFonts w:ascii="Arial" w:hAnsi="Arial" w:cs="Arial"/>
          <w:sz w:val="24"/>
          <w:szCs w:val="24"/>
        </w:rPr>
        <w:t>(</w:t>
      </w:r>
      <w:r w:rsidRPr="007F1A91">
        <w:rPr>
          <w:rFonts w:ascii="Arial" w:hAnsi="Arial" w:cs="Arial"/>
          <w:sz w:val="24"/>
          <w:szCs w:val="24"/>
        </w:rPr>
        <w:t>2</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195–216.</w:t>
      </w:r>
      <w:r w:rsidRPr="007F1A91">
        <w:rPr>
          <w:rFonts w:ascii="Arial" w:hAnsi="Arial" w:cs="Arial"/>
          <w:sz w:val="24"/>
          <w:szCs w:val="24"/>
        </w:rPr>
        <w:t xml:space="preserve"> DOI: </w:t>
      </w:r>
      <w:hyperlink r:id="rId22" w:history="1">
        <w:r w:rsidRPr="007F1A91">
          <w:rPr>
            <w:rStyle w:val="Hyperlink"/>
            <w:rFonts w:ascii="Arial" w:hAnsi="Arial" w:cs="Arial"/>
            <w:sz w:val="24"/>
            <w:szCs w:val="24"/>
          </w:rPr>
          <w:t>https://doi.org/10.1080/02680939.2013.806678</w:t>
        </w:r>
      </w:hyperlink>
      <w:r w:rsidRPr="007F1A91">
        <w:rPr>
          <w:rFonts w:ascii="Arial" w:hAnsi="Arial" w:cs="Arial"/>
          <w:sz w:val="24"/>
          <w:szCs w:val="24"/>
        </w:rPr>
        <w:t xml:space="preserve"> </w:t>
      </w:r>
    </w:p>
    <w:p w14:paraId="0C9A054D" w14:textId="77777777" w:rsidR="009B759E" w:rsidRPr="009B759E" w:rsidRDefault="009B759E" w:rsidP="009B759E">
      <w:pPr>
        <w:spacing w:line="480" w:lineRule="auto"/>
        <w:rPr>
          <w:rFonts w:ascii="Arial" w:hAnsi="Arial" w:cs="Arial"/>
          <w:sz w:val="24"/>
          <w:szCs w:val="24"/>
          <w:shd w:val="clear" w:color="auto" w:fill="FFFFFF"/>
        </w:rPr>
      </w:pPr>
      <w:r w:rsidRPr="009B759E">
        <w:rPr>
          <w:rFonts w:ascii="Arial" w:hAnsi="Arial" w:cs="Arial"/>
          <w:sz w:val="24"/>
          <w:szCs w:val="24"/>
          <w:shd w:val="clear" w:color="auto" w:fill="FFFFFF"/>
        </w:rPr>
        <w:t xml:space="preserve">Ferraro, K.F. (1995) Fear of Crime: Interpreting Victimization Risk. State University of New York Press, New York. </w:t>
      </w:r>
    </w:p>
    <w:p w14:paraId="0BCA1905"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rPr>
        <w:t xml:space="preserve">Fineman, M. (2008) ‘The vulnerable subject: anchoring equality in the human condition’, </w:t>
      </w:r>
      <w:r w:rsidRPr="009B759E">
        <w:rPr>
          <w:rFonts w:ascii="Arial" w:hAnsi="Arial" w:cs="Arial"/>
          <w:i/>
          <w:iCs/>
          <w:sz w:val="24"/>
          <w:szCs w:val="24"/>
        </w:rPr>
        <w:t>Yale Journal of Law and Feminism</w:t>
      </w:r>
      <w:r w:rsidRPr="009B759E">
        <w:rPr>
          <w:rFonts w:ascii="Arial" w:hAnsi="Arial" w:cs="Arial"/>
          <w:sz w:val="24"/>
          <w:szCs w:val="24"/>
        </w:rPr>
        <w:t xml:space="preserve">, 20 </w:t>
      </w:r>
      <w:r w:rsidRPr="009B759E">
        <w:rPr>
          <w:rFonts w:ascii="Arial" w:hAnsi="Arial" w:cs="Arial"/>
          <w:sz w:val="24"/>
          <w:szCs w:val="24"/>
        </w:rPr>
        <w:t>(</w:t>
      </w:r>
      <w:r w:rsidRPr="009B759E">
        <w:rPr>
          <w:rFonts w:ascii="Arial" w:hAnsi="Arial" w:cs="Arial"/>
          <w:sz w:val="24"/>
          <w:szCs w:val="24"/>
        </w:rPr>
        <w:t>1</w:t>
      </w:r>
      <w:r w:rsidRPr="009B759E">
        <w:rPr>
          <w:rFonts w:ascii="Arial" w:hAnsi="Arial" w:cs="Arial"/>
          <w:sz w:val="24"/>
          <w:szCs w:val="24"/>
        </w:rPr>
        <w:t>)</w:t>
      </w:r>
      <w:r w:rsidRPr="009B759E">
        <w:rPr>
          <w:rFonts w:ascii="Arial" w:hAnsi="Arial" w:cs="Arial"/>
          <w:sz w:val="24"/>
          <w:szCs w:val="24"/>
        </w:rPr>
        <w:t xml:space="preserve">, </w:t>
      </w:r>
      <w:r w:rsidRPr="009B759E">
        <w:rPr>
          <w:rFonts w:ascii="Arial" w:hAnsi="Arial" w:cs="Arial"/>
          <w:sz w:val="24"/>
          <w:szCs w:val="24"/>
        </w:rPr>
        <w:t>pp.</w:t>
      </w:r>
      <w:r w:rsidRPr="009B759E">
        <w:rPr>
          <w:rFonts w:ascii="Arial" w:hAnsi="Arial" w:cs="Arial"/>
          <w:sz w:val="24"/>
          <w:szCs w:val="24"/>
        </w:rPr>
        <w:t>1–23</w:t>
      </w:r>
    </w:p>
    <w:p w14:paraId="632E8835"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shd w:val="clear" w:color="auto" w:fill="FFFFFF"/>
        </w:rPr>
        <w:t xml:space="preserve">Fineman, M.A. </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2013</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 </w:t>
      </w:r>
      <w:r w:rsidRPr="009B759E">
        <w:rPr>
          <w:rFonts w:ascii="Arial" w:hAnsi="Arial" w:cs="Arial"/>
          <w:i/>
          <w:iCs/>
          <w:sz w:val="24"/>
          <w:szCs w:val="24"/>
          <w:shd w:val="clear" w:color="auto" w:fill="FFFFFF"/>
        </w:rPr>
        <w:t>Vulnerability: reflections on a new ethical foundation for law and politics</w:t>
      </w:r>
      <w:r w:rsidRPr="009B759E">
        <w:rPr>
          <w:rFonts w:ascii="Arial" w:hAnsi="Arial" w:cs="Arial"/>
          <w:sz w:val="24"/>
          <w:szCs w:val="24"/>
          <w:shd w:val="clear" w:color="auto" w:fill="FFFFFF"/>
        </w:rPr>
        <w:t xml:space="preserve">. Ashgate Publishing, </w:t>
      </w:r>
      <w:proofErr w:type="gramStart"/>
      <w:r w:rsidRPr="009B759E">
        <w:rPr>
          <w:rFonts w:ascii="Arial" w:hAnsi="Arial" w:cs="Arial"/>
          <w:sz w:val="24"/>
          <w:szCs w:val="24"/>
          <w:shd w:val="clear" w:color="auto" w:fill="FFFFFF"/>
        </w:rPr>
        <w:t>Ltd..</w:t>
      </w:r>
      <w:proofErr w:type="gramEnd"/>
    </w:p>
    <w:p w14:paraId="0B2C3B11"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Fox, J.A (2005) </w:t>
      </w:r>
      <w:r w:rsidRPr="007F1A91">
        <w:rPr>
          <w:rFonts w:ascii="Arial" w:hAnsi="Arial" w:cs="Arial"/>
          <w:i/>
          <w:iCs/>
          <w:sz w:val="24"/>
          <w:szCs w:val="24"/>
        </w:rPr>
        <w:t>Uniform Crime Reports [United States]: Supplementary Homicide Reports, 1976–2002 Computer file</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Ann Arbor, M</w:t>
      </w:r>
      <w:r w:rsidRPr="007F1A91">
        <w:rPr>
          <w:rFonts w:ascii="Arial" w:hAnsi="Arial" w:cs="Arial"/>
          <w:sz w:val="24"/>
          <w:szCs w:val="24"/>
        </w:rPr>
        <w:t>ichigan</w:t>
      </w:r>
      <w:r w:rsidRPr="007F1A91">
        <w:rPr>
          <w:rFonts w:ascii="Arial" w:hAnsi="Arial" w:cs="Arial"/>
          <w:sz w:val="24"/>
          <w:szCs w:val="24"/>
        </w:rPr>
        <w:t xml:space="preserve">: </w:t>
      </w:r>
      <w:r w:rsidRPr="007F1A91">
        <w:rPr>
          <w:rFonts w:ascii="Arial" w:hAnsi="Arial" w:cs="Arial"/>
          <w:sz w:val="24"/>
          <w:szCs w:val="24"/>
        </w:rPr>
        <w:t>Interuniversity</w:t>
      </w:r>
      <w:r w:rsidRPr="007F1A91">
        <w:rPr>
          <w:rFonts w:ascii="Arial" w:hAnsi="Arial" w:cs="Arial"/>
          <w:sz w:val="24"/>
          <w:szCs w:val="24"/>
        </w:rPr>
        <w:t xml:space="preserve"> Consortium for Political and Social Research.</w:t>
      </w:r>
    </w:p>
    <w:p w14:paraId="3AE2B7A5"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Glass, N., </w:t>
      </w:r>
      <w:r w:rsidRPr="007F1A91">
        <w:rPr>
          <w:rFonts w:ascii="Arial" w:hAnsi="Arial" w:cs="Arial"/>
          <w:sz w:val="24"/>
          <w:szCs w:val="24"/>
        </w:rPr>
        <w:t>et al</w:t>
      </w:r>
      <w:r w:rsidRPr="007F1A91">
        <w:rPr>
          <w:rFonts w:ascii="Arial" w:hAnsi="Arial" w:cs="Arial"/>
          <w:sz w:val="24"/>
          <w:szCs w:val="24"/>
        </w:rPr>
        <w:t xml:space="preserve"> (2008). </w:t>
      </w:r>
      <w:r w:rsidRPr="007F1A91">
        <w:rPr>
          <w:rFonts w:ascii="Arial" w:hAnsi="Arial" w:cs="Arial"/>
          <w:sz w:val="24"/>
          <w:szCs w:val="24"/>
        </w:rPr>
        <w:t>‘</w:t>
      </w:r>
      <w:r w:rsidRPr="007F1A91">
        <w:rPr>
          <w:rFonts w:ascii="Arial" w:hAnsi="Arial" w:cs="Arial"/>
          <w:sz w:val="24"/>
          <w:szCs w:val="24"/>
        </w:rPr>
        <w:t>Risk for reassault in abusive female same-sex relationships.</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American Journal of Public Health</w:t>
      </w:r>
      <w:r w:rsidRPr="007F1A91">
        <w:rPr>
          <w:rFonts w:ascii="Arial" w:hAnsi="Arial" w:cs="Arial"/>
          <w:sz w:val="24"/>
          <w:szCs w:val="24"/>
        </w:rPr>
        <w:t xml:space="preserve">, 98(6), </w:t>
      </w:r>
      <w:r w:rsidRPr="007F1A91">
        <w:rPr>
          <w:rFonts w:ascii="Arial" w:hAnsi="Arial" w:cs="Arial"/>
          <w:sz w:val="24"/>
          <w:szCs w:val="24"/>
        </w:rPr>
        <w:t>pp.</w:t>
      </w:r>
      <w:r w:rsidRPr="007F1A91">
        <w:rPr>
          <w:rFonts w:ascii="Arial" w:hAnsi="Arial" w:cs="Arial"/>
          <w:sz w:val="24"/>
          <w:szCs w:val="24"/>
        </w:rPr>
        <w:t>1021–27</w:t>
      </w:r>
    </w:p>
    <w:p w14:paraId="26ABFED3" w14:textId="77777777" w:rsidR="009B759E" w:rsidRPr="007F1A91" w:rsidRDefault="009B759E" w:rsidP="009B759E">
      <w:pPr>
        <w:spacing w:line="480" w:lineRule="auto"/>
        <w:rPr>
          <w:rFonts w:ascii="Arial" w:hAnsi="Arial" w:cs="Arial"/>
          <w:sz w:val="24"/>
          <w:szCs w:val="24"/>
        </w:rPr>
      </w:pPr>
      <w:proofErr w:type="spellStart"/>
      <w:r w:rsidRPr="007F1A91">
        <w:rPr>
          <w:rFonts w:ascii="Arial" w:hAnsi="Arial" w:cs="Arial"/>
          <w:sz w:val="24"/>
          <w:szCs w:val="24"/>
        </w:rPr>
        <w:t>Goodin</w:t>
      </w:r>
      <w:proofErr w:type="spellEnd"/>
      <w:r w:rsidRPr="007F1A91">
        <w:rPr>
          <w:rFonts w:ascii="Arial" w:hAnsi="Arial" w:cs="Arial"/>
          <w:sz w:val="24"/>
          <w:szCs w:val="24"/>
        </w:rPr>
        <w:t xml:space="preserve">, R. (1985) </w:t>
      </w:r>
      <w:r w:rsidRPr="007F1A91">
        <w:rPr>
          <w:rFonts w:ascii="Arial" w:hAnsi="Arial" w:cs="Arial"/>
          <w:i/>
          <w:iCs/>
          <w:sz w:val="24"/>
          <w:szCs w:val="24"/>
        </w:rPr>
        <w:t>Protecting the Vulnerable: A Re-analysis of our Social Responsibilities</w:t>
      </w:r>
      <w:r w:rsidRPr="007F1A91">
        <w:rPr>
          <w:rFonts w:ascii="Arial" w:hAnsi="Arial" w:cs="Arial"/>
          <w:sz w:val="24"/>
          <w:szCs w:val="24"/>
        </w:rPr>
        <w:t>, London: University of Chicago Press</w:t>
      </w:r>
    </w:p>
    <w:p w14:paraId="2F5B9BE0" w14:textId="77777777" w:rsidR="009B759E" w:rsidRPr="007F1A91" w:rsidRDefault="009B759E" w:rsidP="009B759E">
      <w:pPr>
        <w:spacing w:line="480" w:lineRule="auto"/>
        <w:rPr>
          <w:rFonts w:ascii="Arial" w:hAnsi="Arial" w:cs="Arial"/>
          <w:color w:val="000000"/>
          <w:sz w:val="24"/>
          <w:szCs w:val="24"/>
        </w:rPr>
      </w:pPr>
      <w:r>
        <w:rPr>
          <w:rFonts w:ascii="Arial" w:hAnsi="Arial" w:cs="Arial"/>
          <w:color w:val="000000"/>
          <w:sz w:val="24"/>
          <w:szCs w:val="24"/>
        </w:rPr>
        <w:t xml:space="preserve">Gov.uk (2022) </w:t>
      </w:r>
      <w:r w:rsidRPr="007F1A91">
        <w:rPr>
          <w:rFonts w:ascii="Arial" w:hAnsi="Arial" w:cs="Arial"/>
          <w:i/>
          <w:iCs/>
          <w:color w:val="0B0C0C"/>
          <w:sz w:val="24"/>
          <w:szCs w:val="24"/>
        </w:rPr>
        <w:t>Vulnerable children and young people survey</w:t>
      </w:r>
      <w:r>
        <w:rPr>
          <w:rFonts w:ascii="Arial" w:hAnsi="Arial" w:cs="Arial"/>
          <w:i/>
          <w:iCs/>
          <w:color w:val="0B0C0C"/>
          <w:sz w:val="24"/>
          <w:szCs w:val="24"/>
        </w:rPr>
        <w:t xml:space="preserve">. </w:t>
      </w:r>
      <w:r>
        <w:rPr>
          <w:rFonts w:ascii="Arial" w:hAnsi="Arial" w:cs="Arial"/>
          <w:color w:val="0B0C0C"/>
          <w:sz w:val="24"/>
          <w:szCs w:val="24"/>
        </w:rPr>
        <w:t xml:space="preserve">Available at: </w:t>
      </w:r>
      <w:hyperlink r:id="rId23" w:history="1">
        <w:r w:rsidRPr="005A0630">
          <w:rPr>
            <w:rStyle w:val="Hyperlink"/>
            <w:rFonts w:ascii="Arial" w:hAnsi="Arial" w:cs="Arial"/>
            <w:sz w:val="24"/>
            <w:szCs w:val="24"/>
          </w:rPr>
          <w:t>https://explore-education-statistics.service.gov.uk/find-statistics/vulnerable-children-and-young-people-survey</w:t>
        </w:r>
      </w:hyperlink>
      <w:r>
        <w:rPr>
          <w:rFonts w:ascii="Arial" w:hAnsi="Arial" w:cs="Arial"/>
          <w:color w:val="0B0C0C"/>
          <w:sz w:val="24"/>
          <w:szCs w:val="24"/>
        </w:rPr>
        <w:t xml:space="preserve"> (Accessed: 20 March 2023)</w:t>
      </w:r>
    </w:p>
    <w:p w14:paraId="6877B531"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rPr>
        <w:t>Herman J (1992) </w:t>
      </w:r>
      <w:r w:rsidRPr="009B759E">
        <w:rPr>
          <w:rStyle w:val="Emphasis"/>
          <w:rFonts w:ascii="Arial" w:hAnsi="Arial" w:cs="Arial"/>
          <w:sz w:val="24"/>
          <w:szCs w:val="24"/>
        </w:rPr>
        <w:t>Trauma and Recovery: from Domestic Abuse to Political Terror</w:t>
      </w:r>
      <w:r w:rsidRPr="009B759E">
        <w:rPr>
          <w:rFonts w:ascii="Arial" w:hAnsi="Arial" w:cs="Arial"/>
          <w:sz w:val="24"/>
          <w:szCs w:val="24"/>
        </w:rPr>
        <w:t>. London: Pandora.</w:t>
      </w:r>
    </w:p>
    <w:p w14:paraId="536F0A51"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rPr>
        <w:t>Home Office (2002) </w:t>
      </w:r>
      <w:r w:rsidRPr="009B759E">
        <w:rPr>
          <w:rStyle w:val="Emphasis"/>
          <w:rFonts w:ascii="Arial" w:hAnsi="Arial" w:cs="Arial"/>
          <w:sz w:val="24"/>
          <w:szCs w:val="24"/>
        </w:rPr>
        <w:t>Justice for All</w:t>
      </w:r>
      <w:r w:rsidRPr="009B759E">
        <w:rPr>
          <w:rFonts w:ascii="Arial" w:hAnsi="Arial" w:cs="Arial"/>
          <w:sz w:val="24"/>
          <w:szCs w:val="24"/>
        </w:rPr>
        <w:t>. London: Home Office.</w:t>
      </w:r>
    </w:p>
    <w:p w14:paraId="65EBA662"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rPr>
        <w:t>Joseph S,</w:t>
      </w:r>
      <w:r w:rsidRPr="009B759E">
        <w:rPr>
          <w:rFonts w:ascii="Arial" w:hAnsi="Arial" w:cs="Arial"/>
          <w:sz w:val="24"/>
          <w:szCs w:val="24"/>
        </w:rPr>
        <w:t xml:space="preserve"> et al</w:t>
      </w:r>
      <w:r w:rsidRPr="009B759E">
        <w:rPr>
          <w:rFonts w:ascii="Arial" w:hAnsi="Arial" w:cs="Arial"/>
          <w:sz w:val="24"/>
          <w:szCs w:val="24"/>
        </w:rPr>
        <w:t xml:space="preserve"> (1997) </w:t>
      </w:r>
      <w:r w:rsidRPr="009B759E">
        <w:rPr>
          <w:rStyle w:val="Emphasis"/>
          <w:rFonts w:ascii="Arial" w:hAnsi="Arial" w:cs="Arial"/>
          <w:sz w:val="24"/>
          <w:szCs w:val="24"/>
        </w:rPr>
        <w:t>Understanding Post-Traumatic Stress: A Psychosocial Perspective on PTSD and Treatment</w:t>
      </w:r>
      <w:r w:rsidRPr="009B759E">
        <w:rPr>
          <w:rFonts w:ascii="Arial" w:hAnsi="Arial" w:cs="Arial"/>
          <w:sz w:val="24"/>
          <w:szCs w:val="24"/>
        </w:rPr>
        <w:t>. Chichester: Wiley.</w:t>
      </w:r>
    </w:p>
    <w:p w14:paraId="1C5AD917" w14:textId="77777777" w:rsidR="009B759E" w:rsidRPr="009B759E" w:rsidRDefault="009B759E" w:rsidP="009B759E">
      <w:pPr>
        <w:spacing w:line="480" w:lineRule="auto"/>
        <w:rPr>
          <w:rFonts w:ascii="Arial" w:hAnsi="Arial" w:cs="Arial"/>
          <w:sz w:val="24"/>
          <w:szCs w:val="24"/>
        </w:rPr>
      </w:pPr>
      <w:r w:rsidRPr="009B759E">
        <w:rPr>
          <w:rFonts w:ascii="Arial" w:hAnsi="Arial" w:cs="Arial"/>
          <w:sz w:val="24"/>
          <w:szCs w:val="24"/>
          <w:shd w:val="clear" w:color="auto" w:fill="FFFFFF"/>
        </w:rPr>
        <w:t xml:space="preserve">Kemshall, H., </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2002</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 xml:space="preserve">. </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Key organising principles of social welfare and the new risk-based welfare.</w:t>
      </w:r>
      <w:r w:rsidRPr="009B759E">
        <w:rPr>
          <w:rFonts w:ascii="Arial" w:hAnsi="Arial" w:cs="Arial"/>
          <w:sz w:val="24"/>
          <w:szCs w:val="24"/>
          <w:shd w:val="clear" w:color="auto" w:fill="FFFFFF"/>
        </w:rPr>
        <w:t>’</w:t>
      </w:r>
      <w:r w:rsidRPr="009B759E">
        <w:rPr>
          <w:rFonts w:ascii="Arial" w:hAnsi="Arial" w:cs="Arial"/>
          <w:sz w:val="24"/>
          <w:szCs w:val="24"/>
          <w:shd w:val="clear" w:color="auto" w:fill="FFFFFF"/>
        </w:rPr>
        <w:t> </w:t>
      </w:r>
      <w:r w:rsidRPr="009B759E">
        <w:rPr>
          <w:rFonts w:ascii="Arial" w:hAnsi="Arial" w:cs="Arial"/>
          <w:i/>
          <w:iCs/>
          <w:sz w:val="24"/>
          <w:szCs w:val="24"/>
          <w:shd w:val="clear" w:color="auto" w:fill="FFFFFF"/>
        </w:rPr>
        <w:t>Risk, social policy and welfare</w:t>
      </w:r>
      <w:r w:rsidRPr="009B759E">
        <w:rPr>
          <w:rFonts w:ascii="Arial" w:hAnsi="Arial" w:cs="Arial"/>
          <w:sz w:val="24"/>
          <w:szCs w:val="24"/>
          <w:shd w:val="clear" w:color="auto" w:fill="FFFFFF"/>
        </w:rPr>
        <w:t>.</w:t>
      </w:r>
    </w:p>
    <w:p w14:paraId="644718E0"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Korbin, J. E., </w:t>
      </w:r>
      <w:r w:rsidRPr="007F1A91">
        <w:rPr>
          <w:rFonts w:ascii="Arial" w:hAnsi="Arial" w:cs="Arial"/>
          <w:sz w:val="24"/>
          <w:szCs w:val="24"/>
        </w:rPr>
        <w:t>et al</w:t>
      </w:r>
      <w:r w:rsidRPr="007F1A91">
        <w:rPr>
          <w:rFonts w:ascii="Arial" w:hAnsi="Arial" w:cs="Arial"/>
          <w:sz w:val="24"/>
          <w:szCs w:val="24"/>
        </w:rPr>
        <w:t xml:space="preserve"> (1998). </w:t>
      </w:r>
      <w:r w:rsidRPr="007F1A91">
        <w:rPr>
          <w:rFonts w:ascii="Arial" w:hAnsi="Arial" w:cs="Arial"/>
          <w:sz w:val="24"/>
          <w:szCs w:val="24"/>
        </w:rPr>
        <w:t>‘</w:t>
      </w:r>
      <w:r w:rsidRPr="007F1A91">
        <w:rPr>
          <w:rFonts w:ascii="Arial" w:hAnsi="Arial" w:cs="Arial"/>
          <w:sz w:val="24"/>
          <w:szCs w:val="24"/>
        </w:rPr>
        <w:t xml:space="preserve">Impoverishment and child maltreatment in </w:t>
      </w:r>
      <w:r w:rsidRPr="007F1A91">
        <w:rPr>
          <w:rFonts w:ascii="Arial" w:hAnsi="Arial" w:cs="Arial"/>
          <w:sz w:val="24"/>
          <w:szCs w:val="24"/>
        </w:rPr>
        <w:t>African American</w:t>
      </w:r>
      <w:r w:rsidRPr="007F1A91">
        <w:rPr>
          <w:rFonts w:ascii="Arial" w:hAnsi="Arial" w:cs="Arial"/>
          <w:sz w:val="24"/>
          <w:szCs w:val="24"/>
        </w:rPr>
        <w:t xml:space="preserve"> and </w:t>
      </w:r>
      <w:r w:rsidRPr="007F1A91">
        <w:rPr>
          <w:rFonts w:ascii="Arial" w:hAnsi="Arial" w:cs="Arial"/>
          <w:sz w:val="24"/>
          <w:szCs w:val="24"/>
        </w:rPr>
        <w:t>European American</w:t>
      </w:r>
      <w:r w:rsidRPr="007F1A91">
        <w:rPr>
          <w:rFonts w:ascii="Arial" w:hAnsi="Arial" w:cs="Arial"/>
          <w:sz w:val="24"/>
          <w:szCs w:val="24"/>
        </w:rPr>
        <w:t xml:space="preserve"> </w:t>
      </w:r>
      <w:r w:rsidRPr="007F1A91">
        <w:rPr>
          <w:rFonts w:ascii="Arial" w:hAnsi="Arial" w:cs="Arial"/>
          <w:sz w:val="24"/>
          <w:szCs w:val="24"/>
        </w:rPr>
        <w:t>neighbourhoods</w:t>
      </w:r>
      <w:r w:rsidRPr="007F1A91">
        <w:rPr>
          <w:rFonts w:ascii="Arial" w:hAnsi="Arial" w:cs="Arial"/>
          <w:sz w:val="24"/>
          <w:szCs w:val="24"/>
        </w:rPr>
        <w:t>.</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Development and Psychopathology</w:t>
      </w:r>
      <w:r w:rsidRPr="007F1A91">
        <w:rPr>
          <w:rFonts w:ascii="Arial" w:hAnsi="Arial" w:cs="Arial"/>
          <w:sz w:val="24"/>
          <w:szCs w:val="24"/>
        </w:rPr>
        <w:t xml:space="preserve">, 10(2), </w:t>
      </w:r>
      <w:r w:rsidRPr="007F1A91">
        <w:rPr>
          <w:rFonts w:ascii="Arial" w:hAnsi="Arial" w:cs="Arial"/>
          <w:sz w:val="24"/>
          <w:szCs w:val="24"/>
        </w:rPr>
        <w:t>pp.</w:t>
      </w:r>
      <w:r w:rsidRPr="007F1A91">
        <w:rPr>
          <w:rFonts w:ascii="Arial" w:hAnsi="Arial" w:cs="Arial"/>
          <w:sz w:val="24"/>
          <w:szCs w:val="24"/>
        </w:rPr>
        <w:t>215–33</w:t>
      </w:r>
      <w:r w:rsidRPr="007F1A91">
        <w:rPr>
          <w:rFonts w:ascii="Arial" w:hAnsi="Arial" w:cs="Arial"/>
          <w:sz w:val="24"/>
          <w:szCs w:val="24"/>
        </w:rPr>
        <w:t xml:space="preserve">. DOI: </w:t>
      </w:r>
      <w:hyperlink r:id="rId24" w:history="1">
        <w:r w:rsidRPr="007F1A91">
          <w:rPr>
            <w:rStyle w:val="Hyperlink"/>
            <w:rFonts w:ascii="Arial" w:hAnsi="Arial" w:cs="Arial"/>
            <w:sz w:val="24"/>
            <w:szCs w:val="24"/>
            <w:shd w:val="clear" w:color="auto" w:fill="CAE7FF"/>
          </w:rPr>
          <w:t>https://doi.org/10.1017/S0954579498001588</w:t>
        </w:r>
      </w:hyperlink>
      <w:r w:rsidRPr="007F1A91">
        <w:rPr>
          <w:rFonts w:ascii="Arial" w:hAnsi="Arial" w:cs="Arial"/>
          <w:color w:val="181817"/>
          <w:sz w:val="24"/>
          <w:szCs w:val="24"/>
          <w:shd w:val="clear" w:color="auto" w:fill="CAE7FF"/>
        </w:rPr>
        <w:t xml:space="preserve"> </w:t>
      </w:r>
    </w:p>
    <w:p w14:paraId="16923B32"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Kwako, L. E., </w:t>
      </w:r>
      <w:r w:rsidRPr="007F1A91">
        <w:rPr>
          <w:rFonts w:ascii="Arial" w:hAnsi="Arial" w:cs="Arial"/>
          <w:sz w:val="24"/>
          <w:szCs w:val="24"/>
        </w:rPr>
        <w:t>et al</w:t>
      </w:r>
      <w:r w:rsidRPr="007F1A91">
        <w:rPr>
          <w:rFonts w:ascii="Arial" w:hAnsi="Arial" w:cs="Arial"/>
          <w:sz w:val="24"/>
          <w:szCs w:val="24"/>
        </w:rPr>
        <w:t xml:space="preserve"> (2011). </w:t>
      </w:r>
      <w:r w:rsidRPr="007F1A91">
        <w:rPr>
          <w:rFonts w:ascii="Arial" w:hAnsi="Arial" w:cs="Arial"/>
          <w:sz w:val="24"/>
          <w:szCs w:val="24"/>
        </w:rPr>
        <w:t>‘</w:t>
      </w:r>
      <w:r w:rsidRPr="007F1A91">
        <w:rPr>
          <w:rFonts w:ascii="Arial" w:hAnsi="Arial" w:cs="Arial"/>
          <w:sz w:val="24"/>
          <w:szCs w:val="24"/>
        </w:rPr>
        <w:t>Traumatic brain injury in intimate partner violence:  A critical review of outcomes and mechanisms.</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Trauma, Violence and Abuse</w:t>
      </w:r>
      <w:r w:rsidRPr="007F1A91">
        <w:rPr>
          <w:rFonts w:ascii="Arial" w:hAnsi="Arial" w:cs="Arial"/>
          <w:sz w:val="24"/>
          <w:szCs w:val="24"/>
        </w:rPr>
        <w:t xml:space="preserve">, 12, </w:t>
      </w:r>
      <w:r w:rsidRPr="007F1A91">
        <w:rPr>
          <w:rFonts w:ascii="Arial" w:hAnsi="Arial" w:cs="Arial"/>
          <w:sz w:val="24"/>
          <w:szCs w:val="24"/>
        </w:rPr>
        <w:t>pp.</w:t>
      </w:r>
      <w:r w:rsidRPr="007F1A91">
        <w:rPr>
          <w:rFonts w:ascii="Arial" w:hAnsi="Arial" w:cs="Arial"/>
          <w:sz w:val="24"/>
          <w:szCs w:val="24"/>
        </w:rPr>
        <w:t>115–26.</w:t>
      </w:r>
      <w:r w:rsidRPr="007F1A91">
        <w:rPr>
          <w:rFonts w:ascii="Arial" w:hAnsi="Arial" w:cs="Arial"/>
          <w:sz w:val="24"/>
          <w:szCs w:val="24"/>
        </w:rPr>
        <w:t xml:space="preserve"> DOI: </w:t>
      </w:r>
      <w:hyperlink r:id="rId25" w:history="1">
        <w:r w:rsidRPr="007F1A91">
          <w:rPr>
            <w:rStyle w:val="Hyperlink"/>
            <w:rFonts w:ascii="Arial" w:hAnsi="Arial" w:cs="Arial"/>
            <w:sz w:val="24"/>
            <w:szCs w:val="24"/>
          </w:rPr>
          <w:t>https://doi.org/10.1177/1524838011404251</w:t>
        </w:r>
      </w:hyperlink>
      <w:r w:rsidRPr="007F1A91">
        <w:rPr>
          <w:rFonts w:ascii="Arial" w:hAnsi="Arial" w:cs="Arial"/>
          <w:sz w:val="24"/>
          <w:szCs w:val="24"/>
        </w:rPr>
        <w:t xml:space="preserve"> </w:t>
      </w:r>
    </w:p>
    <w:p w14:paraId="02F59D46" w14:textId="77777777" w:rsidR="009B759E" w:rsidRPr="007F1A91" w:rsidRDefault="009B759E" w:rsidP="009B759E">
      <w:pPr>
        <w:spacing w:line="480" w:lineRule="auto"/>
        <w:rPr>
          <w:rFonts w:ascii="Arial" w:hAnsi="Arial" w:cs="Arial"/>
          <w:color w:val="000000"/>
          <w:sz w:val="24"/>
          <w:szCs w:val="24"/>
        </w:rPr>
      </w:pPr>
      <w:r w:rsidRPr="007F1A91">
        <w:rPr>
          <w:rStyle w:val="citation"/>
          <w:rFonts w:ascii="Arial" w:hAnsi="Arial" w:cs="Arial"/>
          <w:color w:val="000000"/>
          <w:sz w:val="24"/>
          <w:szCs w:val="24"/>
        </w:rPr>
        <w:t xml:space="preserve">Lee D, </w:t>
      </w:r>
      <w:r w:rsidRPr="007F1A91">
        <w:rPr>
          <w:rStyle w:val="citation"/>
          <w:rFonts w:ascii="Arial" w:hAnsi="Arial" w:cs="Arial"/>
          <w:color w:val="000000"/>
          <w:sz w:val="24"/>
          <w:szCs w:val="24"/>
        </w:rPr>
        <w:t>et al</w:t>
      </w:r>
      <w:r w:rsidRPr="007F1A91">
        <w:rPr>
          <w:rStyle w:val="citation"/>
          <w:rFonts w:ascii="Arial" w:hAnsi="Arial" w:cs="Arial"/>
          <w:color w:val="000000"/>
          <w:sz w:val="24"/>
          <w:szCs w:val="24"/>
        </w:rPr>
        <w:t xml:space="preserve"> (2001) </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The role of shame and guilt in traumatic events: A clinical model of shame-based and guilt-based PTSD.</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 </w:t>
      </w:r>
      <w:r w:rsidRPr="007F1A91">
        <w:rPr>
          <w:rStyle w:val="Emphasis"/>
          <w:rFonts w:ascii="Arial" w:hAnsi="Arial" w:cs="Arial"/>
          <w:color w:val="000000"/>
          <w:sz w:val="24"/>
          <w:szCs w:val="24"/>
        </w:rPr>
        <w:t>British Journal of Medical Psychology</w:t>
      </w:r>
      <w:r w:rsidRPr="007F1A91">
        <w:rPr>
          <w:rStyle w:val="citation"/>
          <w:rFonts w:ascii="Arial" w:hAnsi="Arial" w:cs="Arial"/>
          <w:color w:val="000000"/>
          <w:sz w:val="24"/>
          <w:szCs w:val="24"/>
        </w:rPr>
        <w:t> 74(4)</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 xml:space="preserve"> </w:t>
      </w:r>
      <w:r w:rsidRPr="007F1A91">
        <w:rPr>
          <w:rStyle w:val="citation"/>
          <w:rFonts w:ascii="Arial" w:hAnsi="Arial" w:cs="Arial"/>
          <w:color w:val="000000"/>
          <w:sz w:val="24"/>
          <w:szCs w:val="24"/>
        </w:rPr>
        <w:t>pp.</w:t>
      </w:r>
      <w:r w:rsidRPr="007F1A91">
        <w:rPr>
          <w:rStyle w:val="citation"/>
          <w:rFonts w:ascii="Arial" w:hAnsi="Arial" w:cs="Arial"/>
          <w:color w:val="000000"/>
          <w:sz w:val="24"/>
          <w:szCs w:val="24"/>
        </w:rPr>
        <w:t>451–466.</w:t>
      </w:r>
      <w:r w:rsidRPr="007F1A91">
        <w:rPr>
          <w:rStyle w:val="citation"/>
          <w:rFonts w:ascii="Arial" w:hAnsi="Arial" w:cs="Arial"/>
          <w:color w:val="000000"/>
          <w:sz w:val="24"/>
          <w:szCs w:val="24"/>
        </w:rPr>
        <w:t xml:space="preserve"> DOI: </w:t>
      </w:r>
      <w:hyperlink r:id="rId26" w:history="1">
        <w:r w:rsidRPr="007F1A91">
          <w:rPr>
            <w:rStyle w:val="Hyperlink"/>
            <w:rFonts w:ascii="Arial" w:hAnsi="Arial" w:cs="Arial"/>
            <w:sz w:val="24"/>
            <w:szCs w:val="24"/>
          </w:rPr>
          <w:t>https://doi.org/10.1348/000711201161109</w:t>
        </w:r>
      </w:hyperlink>
      <w:r w:rsidRPr="007F1A91">
        <w:rPr>
          <w:rStyle w:val="citation"/>
          <w:rFonts w:ascii="Arial" w:hAnsi="Arial" w:cs="Arial"/>
          <w:color w:val="000000"/>
          <w:sz w:val="24"/>
          <w:szCs w:val="24"/>
        </w:rPr>
        <w:t xml:space="preserve"> </w:t>
      </w:r>
      <w:r w:rsidRPr="007F1A91">
        <w:rPr>
          <w:rFonts w:ascii="Arial" w:hAnsi="Arial" w:cs="Arial"/>
          <w:color w:val="000000"/>
          <w:sz w:val="24"/>
          <w:szCs w:val="24"/>
        </w:rPr>
        <w:t> </w:t>
      </w:r>
    </w:p>
    <w:p w14:paraId="239F2B12"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Levitas, R. (1998) </w:t>
      </w:r>
      <w:r w:rsidRPr="007F1A91">
        <w:rPr>
          <w:rFonts w:ascii="Arial" w:hAnsi="Arial" w:cs="Arial"/>
          <w:i/>
          <w:iCs/>
          <w:sz w:val="24"/>
          <w:szCs w:val="24"/>
        </w:rPr>
        <w:t>The Inclusive Society? Social Exclusion and New Labour</w:t>
      </w:r>
      <w:r w:rsidRPr="007F1A91">
        <w:rPr>
          <w:rFonts w:ascii="Arial" w:hAnsi="Arial" w:cs="Arial"/>
          <w:sz w:val="24"/>
          <w:szCs w:val="24"/>
        </w:rPr>
        <w:t>, London: Macmillan Press.</w:t>
      </w:r>
    </w:p>
    <w:p w14:paraId="2C442490"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Lister, R. (2004) </w:t>
      </w:r>
      <w:r w:rsidRPr="007F1A91">
        <w:rPr>
          <w:rFonts w:ascii="Arial" w:hAnsi="Arial" w:cs="Arial"/>
          <w:i/>
          <w:iCs/>
          <w:sz w:val="24"/>
          <w:szCs w:val="24"/>
        </w:rPr>
        <w:t>Poverty</w:t>
      </w:r>
      <w:r w:rsidRPr="007F1A91">
        <w:rPr>
          <w:rFonts w:ascii="Arial" w:hAnsi="Arial" w:cs="Arial"/>
          <w:sz w:val="24"/>
          <w:szCs w:val="24"/>
        </w:rPr>
        <w:t>, Chichester: Wiley</w:t>
      </w:r>
    </w:p>
    <w:p w14:paraId="4D3B7CAE"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Mcclendon, J and Lane, S.R (2014</w:t>
      </w:r>
      <w:r w:rsidRPr="007F1A91">
        <w:rPr>
          <w:rFonts w:ascii="Arial" w:hAnsi="Arial" w:cs="Arial"/>
          <w:i/>
          <w:iCs/>
          <w:sz w:val="24"/>
          <w:szCs w:val="24"/>
        </w:rPr>
        <w:t xml:space="preserve">) Handbook of Social Work Practice with Vulnerable and Resilient Populations. </w:t>
      </w:r>
      <w:r w:rsidRPr="007F1A91">
        <w:rPr>
          <w:rFonts w:ascii="Arial" w:hAnsi="Arial" w:cs="Arial"/>
          <w:sz w:val="24"/>
          <w:szCs w:val="24"/>
        </w:rPr>
        <w:t>Columbia: Columbia University Press.</w:t>
      </w:r>
    </w:p>
    <w:p w14:paraId="7E2B0D47"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McFarlane, J., </w:t>
      </w:r>
      <w:r w:rsidRPr="007F1A91">
        <w:rPr>
          <w:rFonts w:ascii="Arial" w:hAnsi="Arial" w:cs="Arial"/>
          <w:sz w:val="24"/>
          <w:szCs w:val="24"/>
        </w:rPr>
        <w:t>et al</w:t>
      </w:r>
      <w:r w:rsidRPr="007F1A91">
        <w:rPr>
          <w:rFonts w:ascii="Arial" w:hAnsi="Arial" w:cs="Arial"/>
          <w:sz w:val="24"/>
          <w:szCs w:val="24"/>
        </w:rPr>
        <w:t xml:space="preserve"> (1999). </w:t>
      </w:r>
      <w:r w:rsidRPr="007F1A91">
        <w:rPr>
          <w:rFonts w:ascii="Arial" w:hAnsi="Arial" w:cs="Arial"/>
          <w:sz w:val="24"/>
          <w:szCs w:val="24"/>
        </w:rPr>
        <w:t>‘</w:t>
      </w:r>
      <w:r w:rsidRPr="007F1A91">
        <w:rPr>
          <w:rFonts w:ascii="Arial" w:hAnsi="Arial" w:cs="Arial"/>
          <w:sz w:val="24"/>
          <w:szCs w:val="24"/>
        </w:rPr>
        <w:t>Stalking and intimate partner femicide.</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Homicide Studies</w:t>
      </w:r>
      <w:r w:rsidRPr="007F1A91">
        <w:rPr>
          <w:rFonts w:ascii="Arial" w:hAnsi="Arial" w:cs="Arial"/>
          <w:sz w:val="24"/>
          <w:szCs w:val="24"/>
        </w:rPr>
        <w:t xml:space="preserve">, 3(4), </w:t>
      </w:r>
      <w:r w:rsidRPr="007F1A91">
        <w:rPr>
          <w:rFonts w:ascii="Arial" w:hAnsi="Arial" w:cs="Arial"/>
          <w:sz w:val="24"/>
          <w:szCs w:val="24"/>
        </w:rPr>
        <w:t>pp.</w:t>
      </w:r>
      <w:proofErr w:type="gramStart"/>
      <w:r w:rsidRPr="007F1A91">
        <w:rPr>
          <w:rFonts w:ascii="Arial" w:hAnsi="Arial" w:cs="Arial"/>
          <w:sz w:val="24"/>
          <w:szCs w:val="24"/>
        </w:rPr>
        <w:t>300</w:t>
      </w:r>
      <w:proofErr w:type="gramEnd"/>
      <w:r w:rsidRPr="007F1A91">
        <w:rPr>
          <w:rFonts w:ascii="Arial" w:hAnsi="Arial" w:cs="Arial"/>
          <w:sz w:val="24"/>
          <w:szCs w:val="24"/>
        </w:rPr>
        <w:t>–316</w:t>
      </w:r>
      <w:r w:rsidRPr="007F1A91">
        <w:rPr>
          <w:rFonts w:ascii="Arial" w:hAnsi="Arial" w:cs="Arial"/>
          <w:sz w:val="24"/>
          <w:szCs w:val="24"/>
        </w:rPr>
        <w:t xml:space="preserve">. DOI: </w:t>
      </w:r>
      <w:hyperlink r:id="rId27" w:history="1">
        <w:r w:rsidRPr="007F1A91">
          <w:rPr>
            <w:rStyle w:val="Hyperlink"/>
            <w:rFonts w:ascii="Arial" w:hAnsi="Arial" w:cs="Arial"/>
            <w:sz w:val="24"/>
            <w:szCs w:val="24"/>
          </w:rPr>
          <w:t>https://doi.org/10.1177/1088767999003004003</w:t>
        </w:r>
      </w:hyperlink>
      <w:r w:rsidRPr="007F1A91">
        <w:rPr>
          <w:rFonts w:ascii="Arial" w:hAnsi="Arial" w:cs="Arial"/>
          <w:sz w:val="24"/>
          <w:szCs w:val="24"/>
        </w:rPr>
        <w:t xml:space="preserve"> </w:t>
      </w:r>
    </w:p>
    <w:p w14:paraId="54A9567A"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Messing, J. T., </w:t>
      </w:r>
      <w:r w:rsidRPr="007F1A91">
        <w:rPr>
          <w:rFonts w:ascii="Arial" w:hAnsi="Arial" w:cs="Arial"/>
          <w:sz w:val="24"/>
          <w:szCs w:val="24"/>
        </w:rPr>
        <w:t>et al</w:t>
      </w:r>
      <w:r w:rsidRPr="007F1A91">
        <w:rPr>
          <w:rFonts w:ascii="Arial" w:hAnsi="Arial" w:cs="Arial"/>
          <w:sz w:val="24"/>
          <w:szCs w:val="24"/>
        </w:rPr>
        <w:t xml:space="preserve"> (2012). </w:t>
      </w:r>
      <w:r w:rsidRPr="007F1A91">
        <w:rPr>
          <w:rFonts w:ascii="Arial" w:hAnsi="Arial" w:cs="Arial"/>
          <w:sz w:val="24"/>
          <w:szCs w:val="24"/>
        </w:rPr>
        <w:t>‘</w:t>
      </w:r>
      <w:r w:rsidRPr="007F1A91">
        <w:rPr>
          <w:rFonts w:ascii="Arial" w:hAnsi="Arial" w:cs="Arial"/>
          <w:sz w:val="24"/>
          <w:szCs w:val="24"/>
        </w:rPr>
        <w:t>Factors Related to Sexual Abuse and Forced Sex Among a Sample of Women Experiencing Intimate Partner Violence.</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Aggression, Maltreatment, and Trauma</w:t>
      </w:r>
      <w:r w:rsidRPr="007F1A91">
        <w:rPr>
          <w:rFonts w:ascii="Arial" w:hAnsi="Arial" w:cs="Arial"/>
          <w:sz w:val="24"/>
          <w:szCs w:val="24"/>
        </w:rPr>
        <w:t xml:space="preserve">, 21(7), </w:t>
      </w:r>
      <w:r w:rsidRPr="007F1A91">
        <w:rPr>
          <w:rFonts w:ascii="Arial" w:hAnsi="Arial" w:cs="Arial"/>
          <w:sz w:val="24"/>
          <w:szCs w:val="24"/>
        </w:rPr>
        <w:t>pp.</w:t>
      </w:r>
      <w:r w:rsidRPr="007F1A91">
        <w:rPr>
          <w:rFonts w:ascii="Arial" w:hAnsi="Arial" w:cs="Arial"/>
          <w:sz w:val="24"/>
          <w:szCs w:val="24"/>
        </w:rPr>
        <w:t>792–811</w:t>
      </w:r>
    </w:p>
    <w:p w14:paraId="7F675F8E" w14:textId="77777777" w:rsidR="009B759E" w:rsidRPr="007F1A91" w:rsidRDefault="009B759E" w:rsidP="009B759E">
      <w:pPr>
        <w:spacing w:line="480" w:lineRule="auto"/>
        <w:rPr>
          <w:rFonts w:ascii="Arial" w:hAnsi="Arial" w:cs="Arial"/>
          <w:color w:val="000000"/>
          <w:sz w:val="24"/>
          <w:szCs w:val="24"/>
        </w:rPr>
      </w:pPr>
      <w:r w:rsidRPr="007F1A91">
        <w:rPr>
          <w:rFonts w:ascii="Arial" w:hAnsi="Arial" w:cs="Arial"/>
          <w:color w:val="000000"/>
          <w:sz w:val="24"/>
          <w:szCs w:val="24"/>
        </w:rPr>
        <w:t>Ministry of Justice (2012) </w:t>
      </w:r>
      <w:r w:rsidRPr="007F1A91">
        <w:rPr>
          <w:rStyle w:val="Emphasis"/>
          <w:rFonts w:ascii="Arial" w:hAnsi="Arial" w:cs="Arial"/>
          <w:color w:val="000000"/>
          <w:sz w:val="24"/>
          <w:szCs w:val="24"/>
        </w:rPr>
        <w:t>Getting it Right for Victims and Witnesses</w:t>
      </w:r>
      <w:r w:rsidRPr="007F1A91">
        <w:rPr>
          <w:rFonts w:ascii="Arial" w:hAnsi="Arial" w:cs="Arial"/>
          <w:color w:val="000000"/>
          <w:sz w:val="24"/>
          <w:szCs w:val="24"/>
        </w:rPr>
        <w:t>. London: Ministry of Justice.</w:t>
      </w:r>
    </w:p>
    <w:p w14:paraId="3BC9D79A"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National Coalition for the Homeless and National Law </w:t>
      </w:r>
      <w:r w:rsidRPr="007F1A91">
        <w:rPr>
          <w:rFonts w:ascii="Arial" w:hAnsi="Arial" w:cs="Arial"/>
          <w:sz w:val="24"/>
          <w:szCs w:val="24"/>
        </w:rPr>
        <w:t>Centre</w:t>
      </w:r>
      <w:r w:rsidRPr="007F1A91">
        <w:rPr>
          <w:rFonts w:ascii="Arial" w:hAnsi="Arial" w:cs="Arial"/>
          <w:sz w:val="24"/>
          <w:szCs w:val="24"/>
        </w:rPr>
        <w:t xml:space="preserve"> on Homelessness &amp; Poverty. (2009). </w:t>
      </w:r>
      <w:r w:rsidRPr="007F1A91">
        <w:rPr>
          <w:rFonts w:ascii="Arial" w:hAnsi="Arial" w:cs="Arial"/>
          <w:i/>
          <w:iCs/>
          <w:sz w:val="24"/>
          <w:szCs w:val="24"/>
        </w:rPr>
        <w:t>Homes not handcuffs: The criminalization of homelessness in U.S. cities</w:t>
      </w:r>
      <w:r w:rsidRPr="007F1A91">
        <w:rPr>
          <w:rFonts w:ascii="Arial" w:hAnsi="Arial" w:cs="Arial"/>
          <w:sz w:val="24"/>
          <w:szCs w:val="24"/>
        </w:rPr>
        <w:t xml:space="preserve">. Available at: </w:t>
      </w:r>
      <w:hyperlink r:id="rId28" w:history="1">
        <w:r w:rsidRPr="007F1A91">
          <w:rPr>
            <w:rStyle w:val="Hyperlink"/>
            <w:rFonts w:ascii="Arial" w:hAnsi="Arial" w:cs="Arial"/>
            <w:sz w:val="24"/>
            <w:szCs w:val="24"/>
          </w:rPr>
          <w:t>https://www.nationalhomeless.org/factsheets/Hatecrimes.pdf</w:t>
        </w:r>
      </w:hyperlink>
      <w:r w:rsidRPr="007F1A91">
        <w:rPr>
          <w:rFonts w:ascii="Arial" w:hAnsi="Arial" w:cs="Arial"/>
          <w:sz w:val="24"/>
          <w:szCs w:val="24"/>
        </w:rPr>
        <w:t xml:space="preserve">  (Accessed: 20 March 2023)</w:t>
      </w:r>
    </w:p>
    <w:p w14:paraId="49610317"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North, C. S., </w:t>
      </w:r>
      <w:r w:rsidRPr="007F1A91">
        <w:rPr>
          <w:rFonts w:ascii="Arial" w:hAnsi="Arial" w:cs="Arial"/>
          <w:sz w:val="24"/>
          <w:szCs w:val="24"/>
        </w:rPr>
        <w:t>et al</w:t>
      </w:r>
      <w:r w:rsidRPr="007F1A91">
        <w:rPr>
          <w:rFonts w:ascii="Arial" w:hAnsi="Arial" w:cs="Arial"/>
          <w:sz w:val="24"/>
          <w:szCs w:val="24"/>
        </w:rPr>
        <w:t xml:space="preserve"> (1998). </w:t>
      </w:r>
      <w:r w:rsidRPr="007F1A91">
        <w:rPr>
          <w:rFonts w:ascii="Arial" w:hAnsi="Arial" w:cs="Arial"/>
          <w:sz w:val="24"/>
          <w:szCs w:val="24"/>
        </w:rPr>
        <w:t>‘</w:t>
      </w:r>
      <w:r w:rsidRPr="007F1A91">
        <w:rPr>
          <w:rFonts w:ascii="Arial" w:hAnsi="Arial" w:cs="Arial"/>
          <w:sz w:val="24"/>
          <w:szCs w:val="24"/>
        </w:rPr>
        <w:t>Correlates of early onset and chronicity of homelessness in a large urban homeless population.</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Journal of Nervous and Mental Disease</w:t>
      </w:r>
      <w:r w:rsidRPr="007F1A91">
        <w:rPr>
          <w:rFonts w:ascii="Arial" w:hAnsi="Arial" w:cs="Arial"/>
          <w:sz w:val="24"/>
          <w:szCs w:val="24"/>
        </w:rPr>
        <w:t xml:space="preserve">, 186, </w:t>
      </w:r>
      <w:r w:rsidRPr="007F1A91">
        <w:rPr>
          <w:rFonts w:ascii="Arial" w:hAnsi="Arial" w:cs="Arial"/>
          <w:sz w:val="24"/>
          <w:szCs w:val="24"/>
        </w:rPr>
        <w:t>pp.</w:t>
      </w:r>
      <w:r w:rsidRPr="007F1A91">
        <w:rPr>
          <w:rFonts w:ascii="Arial" w:hAnsi="Arial" w:cs="Arial"/>
          <w:sz w:val="24"/>
          <w:szCs w:val="24"/>
        </w:rPr>
        <w:t>393–</w:t>
      </w:r>
      <w:proofErr w:type="gramStart"/>
      <w:r w:rsidRPr="007F1A91">
        <w:rPr>
          <w:rFonts w:ascii="Arial" w:hAnsi="Arial" w:cs="Arial"/>
          <w:sz w:val="24"/>
          <w:szCs w:val="24"/>
        </w:rPr>
        <w:t>400</w:t>
      </w:r>
      <w:proofErr w:type="gramEnd"/>
      <w:r w:rsidRPr="007F1A91">
        <w:rPr>
          <w:rFonts w:ascii="Arial" w:hAnsi="Arial" w:cs="Arial"/>
          <w:sz w:val="24"/>
          <w:szCs w:val="24"/>
        </w:rPr>
        <w:t>.</w:t>
      </w:r>
    </w:p>
    <w:p w14:paraId="29C06286"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Olsen, S., &amp; Stround, C. (2012). </w:t>
      </w:r>
      <w:r w:rsidRPr="007F1A91">
        <w:rPr>
          <w:rFonts w:ascii="Arial" w:hAnsi="Arial" w:cs="Arial"/>
          <w:i/>
          <w:iCs/>
          <w:sz w:val="24"/>
          <w:szCs w:val="24"/>
        </w:rPr>
        <w:t>Child maltreatment research, policy and practice for the next decade: Workshop summary</w:t>
      </w:r>
      <w:r w:rsidRPr="007F1A91">
        <w:rPr>
          <w:rFonts w:ascii="Arial" w:hAnsi="Arial" w:cs="Arial"/>
          <w:sz w:val="24"/>
          <w:szCs w:val="24"/>
        </w:rPr>
        <w:t>. Washington, DC: National Academies Press.</w:t>
      </w:r>
    </w:p>
    <w:p w14:paraId="54906800"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Peroni, L. and Timmer, A. (2013) ‘Vulnerable groups: the promise of an emergent concept in European Human Rights Convention Law’, </w:t>
      </w:r>
      <w:r w:rsidRPr="007F1A91">
        <w:rPr>
          <w:rFonts w:ascii="Arial" w:hAnsi="Arial" w:cs="Arial"/>
          <w:i/>
          <w:iCs/>
          <w:sz w:val="24"/>
          <w:szCs w:val="24"/>
        </w:rPr>
        <w:t>International Journal of Constitutional Law</w:t>
      </w:r>
      <w:r w:rsidRPr="007F1A91">
        <w:rPr>
          <w:rFonts w:ascii="Arial" w:hAnsi="Arial" w:cs="Arial"/>
          <w:sz w:val="24"/>
          <w:szCs w:val="24"/>
        </w:rPr>
        <w:t>, 11</w:t>
      </w:r>
      <w:r w:rsidRPr="007F1A91">
        <w:rPr>
          <w:rFonts w:ascii="Arial" w:hAnsi="Arial" w:cs="Arial"/>
          <w:sz w:val="24"/>
          <w:szCs w:val="24"/>
        </w:rPr>
        <w:t xml:space="preserve"> (</w:t>
      </w:r>
      <w:r w:rsidRPr="007F1A91">
        <w:rPr>
          <w:rFonts w:ascii="Arial" w:hAnsi="Arial" w:cs="Arial"/>
          <w:sz w:val="24"/>
          <w:szCs w:val="24"/>
        </w:rPr>
        <w:t>4</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1056–85.</w:t>
      </w:r>
      <w:r w:rsidRPr="007F1A91">
        <w:rPr>
          <w:rFonts w:ascii="Arial" w:hAnsi="Arial" w:cs="Arial"/>
          <w:sz w:val="24"/>
          <w:szCs w:val="24"/>
        </w:rPr>
        <w:t xml:space="preserve"> DOI: </w:t>
      </w:r>
      <w:hyperlink r:id="rId29" w:history="1">
        <w:r w:rsidRPr="007F1A91">
          <w:rPr>
            <w:rStyle w:val="Hyperlink"/>
            <w:rFonts w:ascii="Arial" w:hAnsi="Arial" w:cs="Arial"/>
            <w:sz w:val="24"/>
            <w:szCs w:val="24"/>
          </w:rPr>
          <w:t>https://doi.org/10.1093/icon/mot042</w:t>
        </w:r>
      </w:hyperlink>
      <w:r w:rsidRPr="007F1A91">
        <w:rPr>
          <w:rFonts w:ascii="Arial" w:hAnsi="Arial" w:cs="Arial"/>
          <w:sz w:val="24"/>
          <w:szCs w:val="24"/>
        </w:rPr>
        <w:t xml:space="preserve"> </w:t>
      </w:r>
    </w:p>
    <w:p w14:paraId="42F2A01E" w14:textId="77777777" w:rsidR="009B759E" w:rsidRPr="007F1A91" w:rsidRDefault="009B759E" w:rsidP="009B759E">
      <w:pPr>
        <w:spacing w:line="480" w:lineRule="auto"/>
        <w:rPr>
          <w:rFonts w:ascii="Arial" w:hAnsi="Arial" w:cs="Arial"/>
          <w:color w:val="000000"/>
          <w:sz w:val="24"/>
          <w:szCs w:val="24"/>
        </w:rPr>
      </w:pPr>
      <w:r w:rsidRPr="007F1A91">
        <w:rPr>
          <w:rStyle w:val="citation"/>
          <w:rFonts w:ascii="Arial" w:hAnsi="Arial" w:cs="Arial"/>
          <w:color w:val="000000"/>
          <w:sz w:val="24"/>
          <w:szCs w:val="24"/>
        </w:rPr>
        <w:t xml:space="preserve">Rahm G, </w:t>
      </w:r>
      <w:r w:rsidRPr="007F1A91">
        <w:rPr>
          <w:rStyle w:val="citation"/>
          <w:rFonts w:ascii="Arial" w:hAnsi="Arial" w:cs="Arial"/>
          <w:color w:val="000000"/>
          <w:sz w:val="24"/>
          <w:szCs w:val="24"/>
        </w:rPr>
        <w:t>et al</w:t>
      </w:r>
      <w:r w:rsidRPr="007F1A91">
        <w:rPr>
          <w:rStyle w:val="citation"/>
          <w:rFonts w:ascii="Arial" w:hAnsi="Arial" w:cs="Arial"/>
          <w:color w:val="000000"/>
          <w:sz w:val="24"/>
          <w:szCs w:val="24"/>
        </w:rPr>
        <w:t xml:space="preserve"> (2006) </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Disgust, disgust beyond description: Shame cues to detect shame in disguise in interviews with women who were sexually abused during childhood.</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 </w:t>
      </w:r>
      <w:r w:rsidRPr="007F1A91">
        <w:rPr>
          <w:rStyle w:val="Emphasis"/>
          <w:rFonts w:ascii="Arial" w:hAnsi="Arial" w:cs="Arial"/>
          <w:color w:val="000000"/>
          <w:sz w:val="24"/>
          <w:szCs w:val="24"/>
        </w:rPr>
        <w:t>Journal of Psychiatric and Mental Health Nursing</w:t>
      </w:r>
      <w:r w:rsidRPr="007F1A91">
        <w:rPr>
          <w:rStyle w:val="citation"/>
          <w:rFonts w:ascii="Arial" w:hAnsi="Arial" w:cs="Arial"/>
          <w:color w:val="000000"/>
          <w:sz w:val="24"/>
          <w:szCs w:val="24"/>
        </w:rPr>
        <w:t> 13(1)</w:t>
      </w:r>
      <w:r w:rsidRPr="007F1A91">
        <w:rPr>
          <w:rStyle w:val="citation"/>
          <w:rFonts w:ascii="Arial" w:hAnsi="Arial" w:cs="Arial"/>
          <w:color w:val="000000"/>
          <w:sz w:val="24"/>
          <w:szCs w:val="24"/>
        </w:rPr>
        <w:t>, pp.</w:t>
      </w:r>
      <w:r w:rsidRPr="007F1A91">
        <w:rPr>
          <w:rStyle w:val="citation"/>
          <w:rFonts w:ascii="Arial" w:hAnsi="Arial" w:cs="Arial"/>
          <w:color w:val="000000"/>
          <w:sz w:val="24"/>
          <w:szCs w:val="24"/>
        </w:rPr>
        <w:t>100–109.</w:t>
      </w:r>
      <w:r w:rsidRPr="007F1A91">
        <w:rPr>
          <w:rFonts w:ascii="Arial" w:hAnsi="Arial" w:cs="Arial"/>
          <w:color w:val="000000"/>
          <w:sz w:val="24"/>
          <w:szCs w:val="24"/>
        </w:rPr>
        <w:t> </w:t>
      </w:r>
      <w:r w:rsidRPr="007F1A91">
        <w:rPr>
          <w:rFonts w:ascii="Arial" w:hAnsi="Arial" w:cs="Arial"/>
          <w:sz w:val="24"/>
          <w:szCs w:val="24"/>
        </w:rPr>
        <w:t xml:space="preserve">DOI: </w:t>
      </w:r>
      <w:hyperlink r:id="rId30" w:history="1">
        <w:r w:rsidRPr="007F1A91">
          <w:rPr>
            <w:rStyle w:val="Hyperlink"/>
            <w:rFonts w:ascii="Arial" w:hAnsi="Arial" w:cs="Arial"/>
            <w:sz w:val="24"/>
            <w:szCs w:val="24"/>
          </w:rPr>
          <w:t>https://doi.org/10.1111/j.1365-2850.2006.00927.x</w:t>
        </w:r>
      </w:hyperlink>
      <w:r w:rsidRPr="007F1A91">
        <w:rPr>
          <w:rFonts w:ascii="Arial" w:hAnsi="Arial" w:cs="Arial"/>
          <w:sz w:val="24"/>
          <w:szCs w:val="24"/>
        </w:rPr>
        <w:t xml:space="preserve"> </w:t>
      </w:r>
    </w:p>
    <w:p w14:paraId="70F569C0"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Roulstone, A., </w:t>
      </w:r>
      <w:r w:rsidRPr="007F1A91">
        <w:rPr>
          <w:rFonts w:ascii="Arial" w:hAnsi="Arial" w:cs="Arial"/>
          <w:sz w:val="24"/>
          <w:szCs w:val="24"/>
        </w:rPr>
        <w:t>et al</w:t>
      </w:r>
      <w:r w:rsidRPr="007F1A91">
        <w:rPr>
          <w:rFonts w:ascii="Arial" w:hAnsi="Arial" w:cs="Arial"/>
          <w:sz w:val="24"/>
          <w:szCs w:val="24"/>
        </w:rPr>
        <w:t xml:space="preserve"> (2011) ‘Between hate and vulnerability: unpacking the British criminal justice system’s construction of disablist hate crime’, </w:t>
      </w:r>
      <w:r w:rsidRPr="007F1A91">
        <w:rPr>
          <w:rFonts w:ascii="Arial" w:hAnsi="Arial" w:cs="Arial"/>
          <w:i/>
          <w:iCs/>
          <w:sz w:val="24"/>
          <w:szCs w:val="24"/>
        </w:rPr>
        <w:t>Disability and Society</w:t>
      </w:r>
      <w:r w:rsidRPr="007F1A91">
        <w:rPr>
          <w:rFonts w:ascii="Arial" w:hAnsi="Arial" w:cs="Arial"/>
          <w:sz w:val="24"/>
          <w:szCs w:val="24"/>
        </w:rPr>
        <w:t>, 26,</w:t>
      </w:r>
      <w:r w:rsidRPr="007F1A91">
        <w:rPr>
          <w:rFonts w:ascii="Arial" w:hAnsi="Arial" w:cs="Arial"/>
          <w:sz w:val="24"/>
          <w:szCs w:val="24"/>
        </w:rPr>
        <w:t>(</w:t>
      </w:r>
      <w:r w:rsidRPr="007F1A91">
        <w:rPr>
          <w:rFonts w:ascii="Arial" w:hAnsi="Arial" w:cs="Arial"/>
          <w:sz w:val="24"/>
          <w:szCs w:val="24"/>
        </w:rPr>
        <w:t>3</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351–64</w:t>
      </w:r>
      <w:r w:rsidRPr="007F1A91">
        <w:rPr>
          <w:rFonts w:ascii="Arial" w:hAnsi="Arial" w:cs="Arial"/>
          <w:sz w:val="24"/>
          <w:szCs w:val="24"/>
        </w:rPr>
        <w:t xml:space="preserve">. DOI: </w:t>
      </w:r>
      <w:hyperlink r:id="rId31" w:history="1">
        <w:r w:rsidRPr="007F1A91">
          <w:rPr>
            <w:rStyle w:val="Hyperlink"/>
            <w:rFonts w:ascii="Arial" w:hAnsi="Arial" w:cs="Arial"/>
            <w:color w:val="10147E"/>
            <w:sz w:val="24"/>
            <w:szCs w:val="24"/>
          </w:rPr>
          <w:t>https://doi.org/10.1080/09687599.2011.560418</w:t>
        </w:r>
      </w:hyperlink>
    </w:p>
    <w:p w14:paraId="11E6D633" w14:textId="77777777" w:rsidR="009B759E" w:rsidRPr="007F1A91" w:rsidRDefault="009B759E" w:rsidP="009B759E">
      <w:pPr>
        <w:spacing w:line="480" w:lineRule="auto"/>
        <w:rPr>
          <w:rFonts w:ascii="Arial" w:hAnsi="Arial" w:cs="Arial"/>
          <w:sz w:val="24"/>
          <w:szCs w:val="24"/>
          <w:shd w:val="clear" w:color="auto" w:fill="FFFFFF"/>
        </w:rPr>
      </w:pPr>
      <w:r w:rsidRPr="007F1A91">
        <w:rPr>
          <w:rFonts w:ascii="Arial" w:hAnsi="Arial" w:cs="Arial"/>
          <w:sz w:val="24"/>
          <w:szCs w:val="24"/>
          <w:shd w:val="clear" w:color="auto" w:fill="FFFFFF"/>
        </w:rPr>
        <w:t xml:space="preserve">Thaller, J et al (2014) </w:t>
      </w:r>
      <w:r w:rsidRPr="007F1A91">
        <w:rPr>
          <w:rFonts w:ascii="Arial" w:hAnsi="Arial" w:cs="Arial"/>
          <w:i/>
          <w:iCs/>
          <w:sz w:val="24"/>
          <w:szCs w:val="24"/>
          <w:shd w:val="clear" w:color="auto" w:fill="FFFFFF"/>
        </w:rPr>
        <w:t>Handbook of Social Work Practice with Vulnerable and Resilient Populations</w:t>
      </w:r>
      <w:r w:rsidRPr="007F1A91">
        <w:rPr>
          <w:rFonts w:ascii="Arial" w:hAnsi="Arial" w:cs="Arial"/>
          <w:sz w:val="24"/>
          <w:szCs w:val="24"/>
          <w:shd w:val="clear" w:color="auto" w:fill="FFFFFF"/>
        </w:rPr>
        <w:t>. Columbia: Columbia University Press.</w:t>
      </w:r>
    </w:p>
    <w:p w14:paraId="5FB42849"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Townsend, P. (1979) </w:t>
      </w:r>
      <w:r w:rsidRPr="007F1A91">
        <w:rPr>
          <w:rFonts w:ascii="Arial" w:hAnsi="Arial" w:cs="Arial"/>
          <w:i/>
          <w:iCs/>
          <w:sz w:val="24"/>
          <w:szCs w:val="24"/>
        </w:rPr>
        <w:t>Poverty in the United Kingdom</w:t>
      </w:r>
      <w:r w:rsidRPr="007F1A91">
        <w:rPr>
          <w:rFonts w:ascii="Arial" w:hAnsi="Arial" w:cs="Arial"/>
          <w:sz w:val="24"/>
          <w:szCs w:val="24"/>
        </w:rPr>
        <w:t>, London: Allen Lane and Penguin Books.</w:t>
      </w:r>
    </w:p>
    <w:p w14:paraId="1D7A567B"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Turner, B. (2006) </w:t>
      </w:r>
      <w:r w:rsidRPr="007F1A91">
        <w:rPr>
          <w:rFonts w:ascii="Arial" w:hAnsi="Arial" w:cs="Arial"/>
          <w:i/>
          <w:iCs/>
          <w:sz w:val="24"/>
          <w:szCs w:val="24"/>
        </w:rPr>
        <w:t>Vulnerability and Human Rights</w:t>
      </w:r>
      <w:r w:rsidRPr="007F1A91">
        <w:rPr>
          <w:rFonts w:ascii="Arial" w:hAnsi="Arial" w:cs="Arial"/>
          <w:sz w:val="24"/>
          <w:szCs w:val="24"/>
        </w:rPr>
        <w:t>, Pennsylvania: The Pennsylvania State University Press.</w:t>
      </w:r>
    </w:p>
    <w:p w14:paraId="79547DFA" w14:textId="77777777" w:rsidR="009B759E" w:rsidRPr="007F1A91" w:rsidRDefault="009B759E" w:rsidP="009B759E">
      <w:pPr>
        <w:spacing w:line="480" w:lineRule="auto"/>
        <w:rPr>
          <w:rFonts w:ascii="Arial" w:hAnsi="Arial" w:cs="Arial"/>
          <w:color w:val="000000"/>
          <w:sz w:val="24"/>
          <w:szCs w:val="24"/>
        </w:rPr>
      </w:pPr>
      <w:r w:rsidRPr="007F1A91">
        <w:rPr>
          <w:rFonts w:ascii="Arial" w:hAnsi="Arial" w:cs="Arial"/>
          <w:color w:val="000000"/>
          <w:sz w:val="24"/>
          <w:szCs w:val="24"/>
        </w:rPr>
        <w:t>Van der Kolk, B et al(1996) </w:t>
      </w:r>
      <w:r w:rsidRPr="007F1A91">
        <w:rPr>
          <w:rStyle w:val="Emphasis"/>
          <w:rFonts w:ascii="Arial" w:hAnsi="Arial" w:cs="Arial"/>
          <w:color w:val="000000"/>
          <w:sz w:val="24"/>
          <w:szCs w:val="24"/>
        </w:rPr>
        <w:t>Traumatic Stress: The Effects of Overwhelming Experience of Mind, Body and Society</w:t>
      </w:r>
      <w:r w:rsidRPr="007F1A91">
        <w:rPr>
          <w:rFonts w:ascii="Arial" w:hAnsi="Arial" w:cs="Arial"/>
          <w:color w:val="000000"/>
          <w:sz w:val="24"/>
          <w:szCs w:val="24"/>
        </w:rPr>
        <w:t>. New York: The Guilford Press.</w:t>
      </w:r>
    </w:p>
    <w:p w14:paraId="3971E318" w14:textId="77777777" w:rsidR="009B759E" w:rsidRPr="007F1A91" w:rsidRDefault="009B759E" w:rsidP="009B759E">
      <w:pPr>
        <w:spacing w:line="480" w:lineRule="auto"/>
        <w:rPr>
          <w:rFonts w:ascii="Arial" w:hAnsi="Arial" w:cs="Arial"/>
          <w:sz w:val="24"/>
          <w:szCs w:val="24"/>
          <w:shd w:val="clear" w:color="auto" w:fill="FFFFFF"/>
        </w:rPr>
      </w:pPr>
      <w:r w:rsidRPr="007F1A91">
        <w:rPr>
          <w:rFonts w:ascii="Arial" w:hAnsi="Arial" w:cs="Arial"/>
          <w:sz w:val="24"/>
          <w:szCs w:val="24"/>
          <w:shd w:val="clear" w:color="auto" w:fill="FFFFFF"/>
        </w:rPr>
        <w:t xml:space="preserve">Videka, L et al (2014) </w:t>
      </w:r>
      <w:r w:rsidRPr="007F1A91">
        <w:rPr>
          <w:rFonts w:ascii="Arial" w:hAnsi="Arial" w:cs="Arial"/>
          <w:i/>
          <w:iCs/>
          <w:sz w:val="24"/>
          <w:szCs w:val="24"/>
          <w:shd w:val="clear" w:color="auto" w:fill="FFFFFF"/>
        </w:rPr>
        <w:t>Handbook of Social Work Practice with Vulnerable and Resilient Population</w:t>
      </w:r>
      <w:r w:rsidRPr="007F1A91">
        <w:rPr>
          <w:rFonts w:ascii="Arial" w:hAnsi="Arial" w:cs="Arial"/>
          <w:sz w:val="24"/>
          <w:szCs w:val="24"/>
          <w:shd w:val="clear" w:color="auto" w:fill="FFFFFF"/>
        </w:rPr>
        <w:t>. Columbia: Columbia University Press</w:t>
      </w:r>
    </w:p>
    <w:p w14:paraId="6121F28C"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Walkgate, S. (2011) ‘Reframing criminal victimization: finding a place for vulnerability and resilience’, </w:t>
      </w:r>
      <w:r w:rsidRPr="007F1A91">
        <w:rPr>
          <w:rFonts w:ascii="Arial" w:hAnsi="Arial" w:cs="Arial"/>
          <w:i/>
          <w:iCs/>
          <w:sz w:val="24"/>
          <w:szCs w:val="24"/>
        </w:rPr>
        <w:t>Theoretical Criminology</w:t>
      </w:r>
      <w:r w:rsidRPr="007F1A91">
        <w:rPr>
          <w:rFonts w:ascii="Arial" w:hAnsi="Arial" w:cs="Arial"/>
          <w:sz w:val="24"/>
          <w:szCs w:val="24"/>
        </w:rPr>
        <w:t>, 15</w:t>
      </w:r>
      <w:r w:rsidRPr="007F1A91">
        <w:rPr>
          <w:rFonts w:ascii="Arial" w:hAnsi="Arial" w:cs="Arial"/>
          <w:sz w:val="24"/>
          <w:szCs w:val="24"/>
        </w:rPr>
        <w:t>(</w:t>
      </w:r>
      <w:r w:rsidRPr="007F1A91">
        <w:rPr>
          <w:rFonts w:ascii="Arial" w:hAnsi="Arial" w:cs="Arial"/>
          <w:sz w:val="24"/>
          <w:szCs w:val="24"/>
        </w:rPr>
        <w:t>2</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sz w:val="24"/>
          <w:szCs w:val="24"/>
        </w:rPr>
        <w:t>pp.</w:t>
      </w:r>
      <w:r w:rsidRPr="007F1A91">
        <w:rPr>
          <w:rFonts w:ascii="Arial" w:hAnsi="Arial" w:cs="Arial"/>
          <w:sz w:val="24"/>
          <w:szCs w:val="24"/>
        </w:rPr>
        <w:t>179–94.</w:t>
      </w:r>
      <w:r w:rsidRPr="007F1A91">
        <w:rPr>
          <w:rFonts w:ascii="Arial" w:hAnsi="Arial" w:cs="Arial"/>
          <w:sz w:val="24"/>
          <w:szCs w:val="24"/>
        </w:rPr>
        <w:t xml:space="preserve"> DOI: </w:t>
      </w:r>
      <w:hyperlink r:id="rId32" w:history="1">
        <w:r w:rsidRPr="007F1A91">
          <w:rPr>
            <w:rStyle w:val="Hyperlink"/>
            <w:rFonts w:ascii="Arial" w:hAnsi="Arial" w:cs="Arial"/>
            <w:sz w:val="24"/>
            <w:szCs w:val="24"/>
          </w:rPr>
          <w:t>https://doi.org/10.1177/1362480610383452</w:t>
        </w:r>
      </w:hyperlink>
      <w:r w:rsidRPr="007F1A91">
        <w:rPr>
          <w:rFonts w:ascii="Arial" w:hAnsi="Arial" w:cs="Arial"/>
          <w:sz w:val="24"/>
          <w:szCs w:val="24"/>
        </w:rPr>
        <w:t xml:space="preserve"> </w:t>
      </w:r>
    </w:p>
    <w:p w14:paraId="6E62D519" w14:textId="77777777" w:rsidR="009B759E" w:rsidRPr="007F1A91" w:rsidRDefault="009B759E" w:rsidP="009B759E">
      <w:pPr>
        <w:spacing w:line="480" w:lineRule="auto"/>
        <w:rPr>
          <w:rFonts w:ascii="Arial" w:hAnsi="Arial" w:cs="Arial"/>
          <w:sz w:val="24"/>
          <w:szCs w:val="24"/>
        </w:rPr>
      </w:pPr>
      <w:proofErr w:type="spellStart"/>
      <w:r w:rsidRPr="007F1A91">
        <w:rPr>
          <w:rFonts w:ascii="Arial" w:hAnsi="Arial" w:cs="Arial"/>
          <w:sz w:val="24"/>
          <w:szCs w:val="24"/>
        </w:rPr>
        <w:t>Wallbank</w:t>
      </w:r>
      <w:proofErr w:type="spellEnd"/>
      <w:r w:rsidRPr="007F1A91">
        <w:rPr>
          <w:rFonts w:ascii="Arial" w:hAnsi="Arial" w:cs="Arial"/>
          <w:sz w:val="24"/>
          <w:szCs w:val="24"/>
        </w:rPr>
        <w:t xml:space="preserve">, J. and Herring, </w:t>
      </w:r>
      <w:proofErr w:type="gramStart"/>
      <w:r w:rsidRPr="007F1A91">
        <w:rPr>
          <w:rFonts w:ascii="Arial" w:hAnsi="Arial" w:cs="Arial"/>
          <w:sz w:val="24"/>
          <w:szCs w:val="24"/>
        </w:rPr>
        <w:t xml:space="preserve">J.  </w:t>
      </w:r>
      <w:proofErr w:type="gramEnd"/>
      <w:r w:rsidRPr="007F1A91">
        <w:rPr>
          <w:rFonts w:ascii="Arial" w:hAnsi="Arial" w:cs="Arial"/>
          <w:sz w:val="24"/>
          <w:szCs w:val="24"/>
        </w:rPr>
        <w:t xml:space="preserve">(2014) </w:t>
      </w:r>
      <w:r w:rsidRPr="007F1A91">
        <w:rPr>
          <w:rFonts w:ascii="Arial" w:hAnsi="Arial" w:cs="Arial"/>
          <w:i/>
          <w:iCs/>
          <w:sz w:val="24"/>
          <w:szCs w:val="24"/>
        </w:rPr>
        <w:t>Vulnerabilities, Care and Family Law</w:t>
      </w:r>
      <w:r w:rsidRPr="007F1A91">
        <w:rPr>
          <w:rFonts w:ascii="Arial" w:hAnsi="Arial" w:cs="Arial"/>
          <w:sz w:val="24"/>
          <w:szCs w:val="24"/>
        </w:rPr>
        <w:t>, London: Routledge.</w:t>
      </w:r>
    </w:p>
    <w:p w14:paraId="60962407"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Williams, R., </w:t>
      </w:r>
      <w:r w:rsidRPr="007F1A91">
        <w:rPr>
          <w:rFonts w:ascii="Arial" w:hAnsi="Arial" w:cs="Arial"/>
          <w:sz w:val="24"/>
          <w:szCs w:val="24"/>
        </w:rPr>
        <w:t>et al</w:t>
      </w:r>
      <w:r w:rsidRPr="007F1A91">
        <w:rPr>
          <w:rFonts w:ascii="Arial" w:hAnsi="Arial" w:cs="Arial"/>
          <w:sz w:val="24"/>
          <w:szCs w:val="24"/>
        </w:rPr>
        <w:t xml:space="preserve"> (2005). </w:t>
      </w:r>
      <w:r w:rsidRPr="007F1A91">
        <w:rPr>
          <w:rFonts w:ascii="Arial" w:hAnsi="Arial" w:cs="Arial"/>
          <w:sz w:val="24"/>
          <w:szCs w:val="24"/>
        </w:rPr>
        <w:t>‘</w:t>
      </w:r>
      <w:r w:rsidRPr="007F1A91">
        <w:rPr>
          <w:rFonts w:ascii="Arial" w:hAnsi="Arial" w:cs="Arial"/>
          <w:sz w:val="24"/>
          <w:szCs w:val="24"/>
        </w:rPr>
        <w:t>The changing face of inequality in home mortgage lending.</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Social Problems</w:t>
      </w:r>
      <w:r w:rsidRPr="007F1A91">
        <w:rPr>
          <w:rFonts w:ascii="Arial" w:hAnsi="Arial" w:cs="Arial"/>
          <w:sz w:val="24"/>
          <w:szCs w:val="24"/>
        </w:rPr>
        <w:t xml:space="preserve">, 52, </w:t>
      </w:r>
      <w:r w:rsidRPr="007F1A91">
        <w:rPr>
          <w:rFonts w:ascii="Arial" w:hAnsi="Arial" w:cs="Arial"/>
          <w:sz w:val="24"/>
          <w:szCs w:val="24"/>
        </w:rPr>
        <w:t>pp.</w:t>
      </w:r>
      <w:r w:rsidRPr="007F1A91">
        <w:rPr>
          <w:rFonts w:ascii="Arial" w:hAnsi="Arial" w:cs="Arial"/>
          <w:sz w:val="24"/>
          <w:szCs w:val="24"/>
        </w:rPr>
        <w:t>181–208.</w:t>
      </w:r>
      <w:r w:rsidRPr="007F1A91">
        <w:rPr>
          <w:rFonts w:ascii="Arial" w:hAnsi="Arial" w:cs="Arial"/>
          <w:sz w:val="24"/>
          <w:szCs w:val="24"/>
        </w:rPr>
        <w:t xml:space="preserve"> DOI: </w:t>
      </w:r>
      <w:hyperlink r:id="rId33" w:history="1">
        <w:r w:rsidRPr="007F1A91">
          <w:rPr>
            <w:rStyle w:val="Hyperlink"/>
            <w:rFonts w:ascii="Arial" w:hAnsi="Arial" w:cs="Arial"/>
            <w:sz w:val="24"/>
            <w:szCs w:val="24"/>
          </w:rPr>
          <w:t>https://doi.org/10.1525/sp.2005.52.2.181</w:t>
        </w:r>
      </w:hyperlink>
      <w:r w:rsidRPr="007F1A91">
        <w:rPr>
          <w:rFonts w:ascii="Arial" w:hAnsi="Arial" w:cs="Arial"/>
          <w:sz w:val="24"/>
          <w:szCs w:val="24"/>
        </w:rPr>
        <w:t xml:space="preserve"> </w:t>
      </w:r>
    </w:p>
    <w:p w14:paraId="7AF11BCC" w14:textId="77777777" w:rsidR="009B759E" w:rsidRPr="007F1A91" w:rsidRDefault="009B759E" w:rsidP="009B759E">
      <w:pPr>
        <w:spacing w:line="480" w:lineRule="auto"/>
        <w:rPr>
          <w:rFonts w:ascii="Arial" w:hAnsi="Arial" w:cs="Arial"/>
          <w:sz w:val="24"/>
          <w:szCs w:val="24"/>
        </w:rPr>
      </w:pPr>
      <w:r w:rsidRPr="007F1A91">
        <w:rPr>
          <w:rStyle w:val="citation"/>
          <w:rFonts w:ascii="Arial" w:hAnsi="Arial" w:cs="Arial"/>
          <w:color w:val="000000"/>
          <w:sz w:val="24"/>
          <w:szCs w:val="24"/>
        </w:rPr>
        <w:t xml:space="preserve">Wilson J, </w:t>
      </w:r>
      <w:r w:rsidRPr="007F1A91">
        <w:rPr>
          <w:rStyle w:val="citation"/>
          <w:rFonts w:ascii="Arial" w:hAnsi="Arial" w:cs="Arial"/>
          <w:color w:val="000000"/>
          <w:sz w:val="24"/>
          <w:szCs w:val="24"/>
        </w:rPr>
        <w:t>et al</w:t>
      </w:r>
      <w:r w:rsidRPr="007F1A91">
        <w:rPr>
          <w:rStyle w:val="citation"/>
          <w:rFonts w:ascii="Arial" w:hAnsi="Arial" w:cs="Arial"/>
          <w:color w:val="000000"/>
          <w:sz w:val="24"/>
          <w:szCs w:val="24"/>
        </w:rPr>
        <w:t xml:space="preserve"> (2006) </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Posttraumatic shame and guilt.</w:t>
      </w:r>
      <w:r w:rsidRPr="007F1A91">
        <w:rPr>
          <w:rStyle w:val="citation"/>
          <w:rFonts w:ascii="Arial" w:hAnsi="Arial" w:cs="Arial"/>
          <w:color w:val="000000"/>
          <w:sz w:val="24"/>
          <w:szCs w:val="24"/>
        </w:rPr>
        <w:t>’</w:t>
      </w:r>
      <w:r w:rsidRPr="007F1A91">
        <w:rPr>
          <w:rStyle w:val="citation"/>
          <w:rFonts w:ascii="Arial" w:hAnsi="Arial" w:cs="Arial"/>
          <w:color w:val="000000"/>
          <w:sz w:val="24"/>
          <w:szCs w:val="24"/>
        </w:rPr>
        <w:t> </w:t>
      </w:r>
      <w:r w:rsidRPr="007F1A91">
        <w:rPr>
          <w:rStyle w:val="Emphasis"/>
          <w:rFonts w:ascii="Arial" w:hAnsi="Arial" w:cs="Arial"/>
          <w:color w:val="000000"/>
          <w:sz w:val="24"/>
          <w:szCs w:val="24"/>
        </w:rPr>
        <w:t>Trauma, Violence and Abuse</w:t>
      </w:r>
      <w:r w:rsidRPr="007F1A91">
        <w:rPr>
          <w:rStyle w:val="citation"/>
          <w:rFonts w:ascii="Arial" w:hAnsi="Arial" w:cs="Arial"/>
          <w:color w:val="000000"/>
          <w:sz w:val="24"/>
          <w:szCs w:val="24"/>
        </w:rPr>
        <w:t> 7(2)</w:t>
      </w:r>
      <w:r w:rsidRPr="007F1A91">
        <w:rPr>
          <w:rStyle w:val="citation"/>
          <w:rFonts w:ascii="Arial" w:hAnsi="Arial" w:cs="Arial"/>
          <w:color w:val="000000"/>
          <w:sz w:val="24"/>
          <w:szCs w:val="24"/>
        </w:rPr>
        <w:t>, pp.</w:t>
      </w:r>
      <w:r w:rsidRPr="007F1A91">
        <w:rPr>
          <w:rStyle w:val="citation"/>
          <w:rFonts w:ascii="Arial" w:hAnsi="Arial" w:cs="Arial"/>
          <w:color w:val="000000"/>
          <w:sz w:val="24"/>
          <w:szCs w:val="24"/>
        </w:rPr>
        <w:t>122–141.</w:t>
      </w:r>
      <w:r w:rsidRPr="007F1A91">
        <w:rPr>
          <w:rFonts w:ascii="Arial" w:hAnsi="Arial" w:cs="Arial"/>
          <w:color w:val="000000"/>
          <w:sz w:val="24"/>
          <w:szCs w:val="24"/>
        </w:rPr>
        <w:t> </w:t>
      </w:r>
      <w:r w:rsidRPr="007F1A91">
        <w:rPr>
          <w:rFonts w:ascii="Arial" w:hAnsi="Arial" w:cs="Arial"/>
          <w:sz w:val="24"/>
          <w:szCs w:val="24"/>
        </w:rPr>
        <w:t xml:space="preserve">DOI: </w:t>
      </w:r>
      <w:hyperlink r:id="rId34" w:history="1">
        <w:r w:rsidRPr="007F1A91">
          <w:rPr>
            <w:rStyle w:val="Hyperlink"/>
            <w:rFonts w:ascii="Arial" w:hAnsi="Arial" w:cs="Arial"/>
            <w:sz w:val="24"/>
            <w:szCs w:val="24"/>
          </w:rPr>
          <w:t>https://doi.org/10.1177/1524838005285914</w:t>
        </w:r>
      </w:hyperlink>
      <w:r w:rsidRPr="007F1A91">
        <w:rPr>
          <w:rFonts w:ascii="Arial" w:hAnsi="Arial" w:cs="Arial"/>
          <w:sz w:val="24"/>
          <w:szCs w:val="24"/>
        </w:rPr>
        <w:t xml:space="preserve"> </w:t>
      </w:r>
    </w:p>
    <w:p w14:paraId="0EC45999" w14:textId="77777777" w:rsidR="009B759E" w:rsidRPr="007F1A91" w:rsidRDefault="009B759E" w:rsidP="009B759E">
      <w:pPr>
        <w:spacing w:line="480" w:lineRule="auto"/>
        <w:rPr>
          <w:rFonts w:ascii="Arial" w:eastAsia="Times New Roman" w:hAnsi="Arial" w:cs="Arial"/>
          <w:kern w:val="0"/>
          <w:sz w:val="24"/>
          <w:szCs w:val="24"/>
          <w:lang w:eastAsia="en-GB"/>
          <w14:ligatures w14:val="none"/>
        </w:rPr>
      </w:pPr>
      <w:r w:rsidRPr="007F1A91">
        <w:rPr>
          <w:rFonts w:ascii="Arial" w:hAnsi="Arial" w:cs="Arial"/>
          <w:sz w:val="24"/>
          <w:szCs w:val="24"/>
        </w:rPr>
        <w:t xml:space="preserve">Wilson, M., &amp; Daly, M. (1993). </w:t>
      </w:r>
      <w:r w:rsidRPr="007F1A91">
        <w:rPr>
          <w:rFonts w:ascii="Arial" w:hAnsi="Arial" w:cs="Arial"/>
          <w:sz w:val="24"/>
          <w:szCs w:val="24"/>
        </w:rPr>
        <w:t>‘</w:t>
      </w:r>
      <w:r w:rsidRPr="007F1A91">
        <w:rPr>
          <w:rFonts w:ascii="Arial" w:hAnsi="Arial" w:cs="Arial"/>
          <w:sz w:val="24"/>
          <w:szCs w:val="24"/>
        </w:rPr>
        <w:t>Spousal homicide risk and estrangement.</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Violence and Victims</w:t>
      </w:r>
      <w:r w:rsidRPr="007F1A91">
        <w:rPr>
          <w:rFonts w:ascii="Arial" w:hAnsi="Arial" w:cs="Arial"/>
          <w:sz w:val="24"/>
          <w:szCs w:val="24"/>
        </w:rPr>
        <w:t xml:space="preserve">, 8(1), </w:t>
      </w:r>
      <w:r w:rsidRPr="007F1A91">
        <w:rPr>
          <w:rFonts w:ascii="Arial" w:hAnsi="Arial" w:cs="Arial"/>
          <w:sz w:val="24"/>
          <w:szCs w:val="24"/>
        </w:rPr>
        <w:t>pp.</w:t>
      </w:r>
      <w:r w:rsidRPr="007F1A91">
        <w:rPr>
          <w:rFonts w:ascii="Arial" w:hAnsi="Arial" w:cs="Arial"/>
          <w:sz w:val="24"/>
          <w:szCs w:val="24"/>
        </w:rPr>
        <w:t xml:space="preserve">3–15. </w:t>
      </w:r>
    </w:p>
    <w:p w14:paraId="1DADF90F"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Wilson, M., </w:t>
      </w:r>
      <w:r w:rsidRPr="007F1A91">
        <w:rPr>
          <w:rFonts w:ascii="Arial" w:hAnsi="Arial" w:cs="Arial"/>
          <w:sz w:val="24"/>
          <w:szCs w:val="24"/>
        </w:rPr>
        <w:t>et al</w:t>
      </w:r>
      <w:r w:rsidRPr="007F1A91">
        <w:rPr>
          <w:rFonts w:ascii="Arial" w:hAnsi="Arial" w:cs="Arial"/>
          <w:sz w:val="24"/>
          <w:szCs w:val="24"/>
        </w:rPr>
        <w:t xml:space="preserve"> (1995). </w:t>
      </w:r>
      <w:r w:rsidRPr="007F1A91">
        <w:rPr>
          <w:rFonts w:ascii="Arial" w:hAnsi="Arial" w:cs="Arial"/>
          <w:sz w:val="24"/>
          <w:szCs w:val="24"/>
        </w:rPr>
        <w:t>‘</w:t>
      </w:r>
      <w:r w:rsidRPr="007F1A91">
        <w:rPr>
          <w:rFonts w:ascii="Arial" w:hAnsi="Arial" w:cs="Arial"/>
          <w:sz w:val="24"/>
          <w:szCs w:val="24"/>
        </w:rPr>
        <w:t>Lethal and nonlethal violence against wives.</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Canadian Journal of Criminology</w:t>
      </w:r>
      <w:r w:rsidRPr="007F1A91">
        <w:rPr>
          <w:rFonts w:ascii="Arial" w:hAnsi="Arial" w:cs="Arial"/>
          <w:sz w:val="24"/>
          <w:szCs w:val="24"/>
        </w:rPr>
        <w:t xml:space="preserve">, 37, </w:t>
      </w:r>
      <w:r w:rsidRPr="007F1A91">
        <w:rPr>
          <w:rFonts w:ascii="Arial" w:hAnsi="Arial" w:cs="Arial"/>
          <w:sz w:val="24"/>
          <w:szCs w:val="24"/>
        </w:rPr>
        <w:t>pp.</w:t>
      </w:r>
      <w:r w:rsidRPr="007F1A91">
        <w:rPr>
          <w:rFonts w:ascii="Arial" w:hAnsi="Arial" w:cs="Arial"/>
          <w:sz w:val="24"/>
          <w:szCs w:val="24"/>
        </w:rPr>
        <w:t>331–62.</w:t>
      </w:r>
      <w:r w:rsidRPr="007F1A91">
        <w:rPr>
          <w:rFonts w:ascii="Arial" w:hAnsi="Arial" w:cs="Arial"/>
          <w:sz w:val="24"/>
          <w:szCs w:val="24"/>
        </w:rPr>
        <w:t xml:space="preserve"> DOI: </w:t>
      </w:r>
      <w:hyperlink r:id="rId35" w:history="1">
        <w:r w:rsidRPr="007F1A91">
          <w:rPr>
            <w:rStyle w:val="Hyperlink"/>
            <w:rFonts w:ascii="Arial" w:hAnsi="Arial" w:cs="Arial"/>
            <w:color w:val="002554"/>
            <w:sz w:val="24"/>
            <w:szCs w:val="24"/>
            <w:shd w:val="clear" w:color="auto" w:fill="FFFFFF"/>
          </w:rPr>
          <w:t>https://doi.org/10.3138/cjcrim.37.3.331</w:t>
        </w:r>
      </w:hyperlink>
    </w:p>
    <w:p w14:paraId="363869F3"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Wright, K. (2016) ‘Resilient communities? Experiences of risk and resilience in a time of austerity</w:t>
      </w:r>
      <w:proofErr w:type="gramStart"/>
      <w:r w:rsidRPr="007F1A91">
        <w:rPr>
          <w:rFonts w:ascii="Arial" w:hAnsi="Arial" w:cs="Arial"/>
          <w:sz w:val="24"/>
          <w:szCs w:val="24"/>
        </w:rPr>
        <w:t>’,</w:t>
      </w:r>
      <w:proofErr w:type="gramEnd"/>
      <w:r w:rsidRPr="007F1A91">
        <w:rPr>
          <w:rFonts w:ascii="Arial" w:hAnsi="Arial" w:cs="Arial"/>
          <w:sz w:val="24"/>
          <w:szCs w:val="24"/>
        </w:rPr>
        <w:t xml:space="preserve"> </w:t>
      </w:r>
      <w:r w:rsidRPr="007F1A91">
        <w:rPr>
          <w:rFonts w:ascii="Arial" w:hAnsi="Arial" w:cs="Arial"/>
          <w:i/>
          <w:iCs/>
          <w:sz w:val="24"/>
          <w:szCs w:val="24"/>
        </w:rPr>
        <w:t>International Journal of Disaster Risk Reduction</w:t>
      </w:r>
      <w:r w:rsidRPr="007F1A91">
        <w:rPr>
          <w:rFonts w:ascii="Arial" w:hAnsi="Arial" w:cs="Arial"/>
          <w:sz w:val="24"/>
          <w:szCs w:val="24"/>
        </w:rPr>
        <w:t xml:space="preserve">, 18, </w:t>
      </w:r>
      <w:r w:rsidRPr="007F1A91">
        <w:rPr>
          <w:rFonts w:ascii="Arial" w:hAnsi="Arial" w:cs="Arial"/>
          <w:sz w:val="24"/>
          <w:szCs w:val="24"/>
        </w:rPr>
        <w:t>pp.</w:t>
      </w:r>
      <w:r w:rsidRPr="007F1A91">
        <w:rPr>
          <w:rFonts w:ascii="Arial" w:hAnsi="Arial" w:cs="Arial"/>
          <w:sz w:val="24"/>
          <w:szCs w:val="24"/>
        </w:rPr>
        <w:t>154–61.</w:t>
      </w:r>
      <w:r w:rsidRPr="007F1A91">
        <w:rPr>
          <w:rFonts w:ascii="Arial" w:hAnsi="Arial" w:cs="Arial"/>
          <w:sz w:val="24"/>
          <w:szCs w:val="24"/>
        </w:rPr>
        <w:t xml:space="preserve"> DOI: </w:t>
      </w:r>
      <w:hyperlink r:id="rId36" w:history="1">
        <w:r w:rsidRPr="007F1A91">
          <w:rPr>
            <w:rStyle w:val="Hyperlink"/>
            <w:rFonts w:ascii="Arial" w:hAnsi="Arial" w:cs="Arial"/>
            <w:sz w:val="24"/>
            <w:szCs w:val="24"/>
          </w:rPr>
          <w:t>https://doi.org/10.1016/j.ijdrr.2016.06.003</w:t>
        </w:r>
      </w:hyperlink>
      <w:r w:rsidRPr="007F1A91">
        <w:rPr>
          <w:rFonts w:ascii="Arial" w:hAnsi="Arial" w:cs="Arial"/>
          <w:sz w:val="24"/>
          <w:szCs w:val="24"/>
        </w:rPr>
        <w:t xml:space="preserve"> </w:t>
      </w:r>
    </w:p>
    <w:p w14:paraId="2D455D47"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Wu, V., </w:t>
      </w:r>
      <w:r w:rsidRPr="007F1A91">
        <w:rPr>
          <w:rFonts w:ascii="Arial" w:hAnsi="Arial" w:cs="Arial"/>
          <w:sz w:val="24"/>
          <w:szCs w:val="24"/>
        </w:rPr>
        <w:t>et al</w:t>
      </w:r>
      <w:r w:rsidRPr="007F1A91">
        <w:rPr>
          <w:rFonts w:ascii="Arial" w:hAnsi="Arial" w:cs="Arial"/>
          <w:sz w:val="24"/>
          <w:szCs w:val="24"/>
        </w:rPr>
        <w:t xml:space="preserve">. (2010). </w:t>
      </w:r>
      <w:r w:rsidRPr="007F1A91">
        <w:rPr>
          <w:rFonts w:ascii="Arial" w:hAnsi="Arial" w:cs="Arial"/>
          <w:sz w:val="24"/>
          <w:szCs w:val="24"/>
        </w:rPr>
        <w:t>‘</w:t>
      </w:r>
      <w:r w:rsidRPr="007F1A91">
        <w:rPr>
          <w:rFonts w:ascii="Arial" w:hAnsi="Arial" w:cs="Arial"/>
          <w:sz w:val="24"/>
          <w:szCs w:val="24"/>
        </w:rPr>
        <w:t>Pattern of physical injury associated with intimate partner violence in women presenting to the emergency department: A systematic review and meta-analysis.</w:t>
      </w:r>
      <w:r w:rsidRPr="007F1A91">
        <w:rPr>
          <w:rFonts w:ascii="Arial" w:hAnsi="Arial" w:cs="Arial"/>
          <w:sz w:val="24"/>
          <w:szCs w:val="24"/>
        </w:rPr>
        <w:t>’</w:t>
      </w:r>
      <w:r w:rsidRPr="007F1A91">
        <w:rPr>
          <w:rFonts w:ascii="Arial" w:hAnsi="Arial" w:cs="Arial"/>
          <w:sz w:val="24"/>
          <w:szCs w:val="24"/>
        </w:rPr>
        <w:t xml:space="preserve"> </w:t>
      </w:r>
      <w:r w:rsidRPr="007F1A91">
        <w:rPr>
          <w:rFonts w:ascii="Arial" w:hAnsi="Arial" w:cs="Arial"/>
          <w:i/>
          <w:iCs/>
          <w:sz w:val="24"/>
          <w:szCs w:val="24"/>
        </w:rPr>
        <w:t>Trauma, Violence, &amp; Abuse</w:t>
      </w:r>
      <w:r w:rsidRPr="007F1A91">
        <w:rPr>
          <w:rFonts w:ascii="Arial" w:hAnsi="Arial" w:cs="Arial"/>
          <w:sz w:val="24"/>
          <w:szCs w:val="24"/>
        </w:rPr>
        <w:t xml:space="preserve">, 11(2), </w:t>
      </w:r>
      <w:r w:rsidRPr="007F1A91">
        <w:rPr>
          <w:rFonts w:ascii="Arial" w:hAnsi="Arial" w:cs="Arial"/>
          <w:sz w:val="24"/>
          <w:szCs w:val="24"/>
        </w:rPr>
        <w:t>pp.</w:t>
      </w:r>
      <w:r w:rsidRPr="007F1A91">
        <w:rPr>
          <w:rFonts w:ascii="Arial" w:hAnsi="Arial" w:cs="Arial"/>
          <w:sz w:val="24"/>
          <w:szCs w:val="24"/>
        </w:rPr>
        <w:t>71–82.</w:t>
      </w:r>
      <w:r w:rsidRPr="007F1A91">
        <w:rPr>
          <w:rFonts w:ascii="Arial" w:hAnsi="Arial" w:cs="Arial"/>
          <w:sz w:val="24"/>
          <w:szCs w:val="24"/>
        </w:rPr>
        <w:t xml:space="preserve"> DOI: </w:t>
      </w:r>
      <w:hyperlink r:id="rId37" w:history="1">
        <w:r w:rsidRPr="007F1A91">
          <w:rPr>
            <w:rStyle w:val="Hyperlink"/>
            <w:rFonts w:ascii="Arial" w:hAnsi="Arial" w:cs="Arial"/>
            <w:sz w:val="24"/>
            <w:szCs w:val="24"/>
          </w:rPr>
          <w:t>https://doi.org/10.1177/1524838010367503</w:t>
        </w:r>
      </w:hyperlink>
      <w:r w:rsidRPr="007F1A91">
        <w:rPr>
          <w:rFonts w:ascii="Arial" w:hAnsi="Arial" w:cs="Arial"/>
          <w:sz w:val="24"/>
          <w:szCs w:val="24"/>
        </w:rPr>
        <w:t xml:space="preserve"> </w:t>
      </w:r>
    </w:p>
    <w:p w14:paraId="59184A01" w14:textId="77777777" w:rsidR="009B759E" w:rsidRPr="007F1A91" w:rsidRDefault="009B759E" w:rsidP="009B759E">
      <w:pPr>
        <w:spacing w:line="480" w:lineRule="auto"/>
        <w:rPr>
          <w:rFonts w:ascii="Arial" w:hAnsi="Arial" w:cs="Arial"/>
          <w:sz w:val="24"/>
          <w:szCs w:val="24"/>
        </w:rPr>
      </w:pPr>
      <w:r w:rsidRPr="007F1A91">
        <w:rPr>
          <w:rFonts w:ascii="Arial" w:hAnsi="Arial" w:cs="Arial"/>
          <w:sz w:val="24"/>
          <w:szCs w:val="24"/>
        </w:rPr>
        <w:t xml:space="preserve">Young, J. (1999) </w:t>
      </w:r>
      <w:r w:rsidRPr="007F1A91">
        <w:rPr>
          <w:rFonts w:ascii="Arial" w:hAnsi="Arial" w:cs="Arial"/>
          <w:i/>
          <w:iCs/>
          <w:sz w:val="24"/>
          <w:szCs w:val="24"/>
        </w:rPr>
        <w:t>The Exclusive Society: Social Exclusion, Crime and Difference in Late Modernity</w:t>
      </w:r>
      <w:r w:rsidRPr="007F1A91">
        <w:rPr>
          <w:rFonts w:ascii="Arial" w:hAnsi="Arial" w:cs="Arial"/>
          <w:sz w:val="24"/>
          <w:szCs w:val="24"/>
        </w:rPr>
        <w:t>, London: Sage</w:t>
      </w:r>
    </w:p>
    <w:p w14:paraId="13DBE0B5" w14:textId="77777777" w:rsidR="009B759E" w:rsidRDefault="009B759E" w:rsidP="009B759E">
      <w:pPr>
        <w:spacing w:line="480" w:lineRule="auto"/>
        <w:rPr>
          <w:rFonts w:ascii="Arial" w:hAnsi="Arial" w:cs="Arial"/>
          <w:color w:val="000000"/>
          <w:sz w:val="24"/>
          <w:szCs w:val="24"/>
        </w:rPr>
      </w:pPr>
      <w:r w:rsidRPr="007F1A91">
        <w:rPr>
          <w:rFonts w:ascii="Arial" w:hAnsi="Arial" w:cs="Arial"/>
          <w:color w:val="000000"/>
          <w:sz w:val="24"/>
          <w:szCs w:val="24"/>
        </w:rPr>
        <w:t>Yule W (1999) </w:t>
      </w:r>
      <w:r w:rsidRPr="007F1A91">
        <w:rPr>
          <w:rStyle w:val="Emphasis"/>
          <w:rFonts w:ascii="Arial" w:hAnsi="Arial" w:cs="Arial"/>
          <w:color w:val="000000"/>
          <w:sz w:val="24"/>
          <w:szCs w:val="24"/>
        </w:rPr>
        <w:t>Post-Traumatic Stress Disorders, Concepts and Therapy</w:t>
      </w:r>
      <w:r w:rsidRPr="007F1A91">
        <w:rPr>
          <w:rFonts w:ascii="Arial" w:hAnsi="Arial" w:cs="Arial"/>
          <w:color w:val="000000"/>
          <w:sz w:val="24"/>
          <w:szCs w:val="24"/>
        </w:rPr>
        <w:t>. Chichester: Wiley.</w:t>
      </w:r>
    </w:p>
    <w:p w14:paraId="0D386D67" w14:textId="22CD4793" w:rsidR="007F1A91" w:rsidRPr="007F1A91" w:rsidRDefault="007F1A91" w:rsidP="00901CF4">
      <w:pPr>
        <w:rPr>
          <w:rFonts w:ascii="Arial" w:hAnsi="Arial" w:cs="Arial"/>
          <w:color w:val="000000"/>
          <w:sz w:val="24"/>
          <w:szCs w:val="24"/>
        </w:rPr>
      </w:pPr>
    </w:p>
    <w:p w14:paraId="6DFA7654" w14:textId="77777777" w:rsidR="00901CF4" w:rsidRDefault="00901CF4"/>
    <w:sectPr w:rsidR="00901CF4" w:rsidSect="001417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51149"/>
    <w:multiLevelType w:val="hybridMultilevel"/>
    <w:tmpl w:val="A894C6AA"/>
    <w:lvl w:ilvl="0" w:tplc="0040EAA4">
      <w:start w:val="1"/>
      <w:numFmt w:val="bullet"/>
      <w:lvlText w:val="•"/>
      <w:lvlJc w:val="left"/>
      <w:pPr>
        <w:tabs>
          <w:tab w:val="num" w:pos="720"/>
        </w:tabs>
        <w:ind w:left="720" w:hanging="360"/>
      </w:pPr>
      <w:rPr>
        <w:rFonts w:ascii="Arial" w:hAnsi="Arial" w:hint="default"/>
      </w:rPr>
    </w:lvl>
    <w:lvl w:ilvl="1" w:tplc="5CF80C7C" w:tentative="1">
      <w:start w:val="1"/>
      <w:numFmt w:val="bullet"/>
      <w:lvlText w:val="•"/>
      <w:lvlJc w:val="left"/>
      <w:pPr>
        <w:tabs>
          <w:tab w:val="num" w:pos="1440"/>
        </w:tabs>
        <w:ind w:left="1440" w:hanging="360"/>
      </w:pPr>
      <w:rPr>
        <w:rFonts w:ascii="Arial" w:hAnsi="Arial" w:hint="default"/>
      </w:rPr>
    </w:lvl>
    <w:lvl w:ilvl="2" w:tplc="61AC8C80" w:tentative="1">
      <w:start w:val="1"/>
      <w:numFmt w:val="bullet"/>
      <w:lvlText w:val="•"/>
      <w:lvlJc w:val="left"/>
      <w:pPr>
        <w:tabs>
          <w:tab w:val="num" w:pos="2160"/>
        </w:tabs>
        <w:ind w:left="2160" w:hanging="360"/>
      </w:pPr>
      <w:rPr>
        <w:rFonts w:ascii="Arial" w:hAnsi="Arial" w:hint="default"/>
      </w:rPr>
    </w:lvl>
    <w:lvl w:ilvl="3" w:tplc="88D83610" w:tentative="1">
      <w:start w:val="1"/>
      <w:numFmt w:val="bullet"/>
      <w:lvlText w:val="•"/>
      <w:lvlJc w:val="left"/>
      <w:pPr>
        <w:tabs>
          <w:tab w:val="num" w:pos="2880"/>
        </w:tabs>
        <w:ind w:left="2880" w:hanging="360"/>
      </w:pPr>
      <w:rPr>
        <w:rFonts w:ascii="Arial" w:hAnsi="Arial" w:hint="default"/>
      </w:rPr>
    </w:lvl>
    <w:lvl w:ilvl="4" w:tplc="59D0F3B4" w:tentative="1">
      <w:start w:val="1"/>
      <w:numFmt w:val="bullet"/>
      <w:lvlText w:val="•"/>
      <w:lvlJc w:val="left"/>
      <w:pPr>
        <w:tabs>
          <w:tab w:val="num" w:pos="3600"/>
        </w:tabs>
        <w:ind w:left="3600" w:hanging="360"/>
      </w:pPr>
      <w:rPr>
        <w:rFonts w:ascii="Arial" w:hAnsi="Arial" w:hint="default"/>
      </w:rPr>
    </w:lvl>
    <w:lvl w:ilvl="5" w:tplc="CCDA8124" w:tentative="1">
      <w:start w:val="1"/>
      <w:numFmt w:val="bullet"/>
      <w:lvlText w:val="•"/>
      <w:lvlJc w:val="left"/>
      <w:pPr>
        <w:tabs>
          <w:tab w:val="num" w:pos="4320"/>
        </w:tabs>
        <w:ind w:left="4320" w:hanging="360"/>
      </w:pPr>
      <w:rPr>
        <w:rFonts w:ascii="Arial" w:hAnsi="Arial" w:hint="default"/>
      </w:rPr>
    </w:lvl>
    <w:lvl w:ilvl="6" w:tplc="E140F216" w:tentative="1">
      <w:start w:val="1"/>
      <w:numFmt w:val="bullet"/>
      <w:lvlText w:val="•"/>
      <w:lvlJc w:val="left"/>
      <w:pPr>
        <w:tabs>
          <w:tab w:val="num" w:pos="5040"/>
        </w:tabs>
        <w:ind w:left="5040" w:hanging="360"/>
      </w:pPr>
      <w:rPr>
        <w:rFonts w:ascii="Arial" w:hAnsi="Arial" w:hint="default"/>
      </w:rPr>
    </w:lvl>
    <w:lvl w:ilvl="7" w:tplc="B84A68BE" w:tentative="1">
      <w:start w:val="1"/>
      <w:numFmt w:val="bullet"/>
      <w:lvlText w:val="•"/>
      <w:lvlJc w:val="left"/>
      <w:pPr>
        <w:tabs>
          <w:tab w:val="num" w:pos="5760"/>
        </w:tabs>
        <w:ind w:left="5760" w:hanging="360"/>
      </w:pPr>
      <w:rPr>
        <w:rFonts w:ascii="Arial" w:hAnsi="Arial" w:hint="default"/>
      </w:rPr>
    </w:lvl>
    <w:lvl w:ilvl="8" w:tplc="AD52D294" w:tentative="1">
      <w:start w:val="1"/>
      <w:numFmt w:val="bullet"/>
      <w:lvlText w:val="•"/>
      <w:lvlJc w:val="left"/>
      <w:pPr>
        <w:tabs>
          <w:tab w:val="num" w:pos="6480"/>
        </w:tabs>
        <w:ind w:left="6480" w:hanging="360"/>
      </w:pPr>
      <w:rPr>
        <w:rFonts w:ascii="Arial" w:hAnsi="Arial" w:hint="default"/>
      </w:rPr>
    </w:lvl>
  </w:abstractNum>
  <w:num w:numId="1" w16cid:durableId="517962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11"/>
    <w:rsid w:val="00064755"/>
    <w:rsid w:val="000715A4"/>
    <w:rsid w:val="00072E11"/>
    <w:rsid w:val="000D1CD5"/>
    <w:rsid w:val="000F37B2"/>
    <w:rsid w:val="00141711"/>
    <w:rsid w:val="001518AD"/>
    <w:rsid w:val="00267852"/>
    <w:rsid w:val="002D2A40"/>
    <w:rsid w:val="00326623"/>
    <w:rsid w:val="00354B96"/>
    <w:rsid w:val="0037370C"/>
    <w:rsid w:val="003C2136"/>
    <w:rsid w:val="004433BB"/>
    <w:rsid w:val="00577948"/>
    <w:rsid w:val="006D2374"/>
    <w:rsid w:val="006E11FB"/>
    <w:rsid w:val="006F4793"/>
    <w:rsid w:val="007C3CE4"/>
    <w:rsid w:val="007F1A91"/>
    <w:rsid w:val="007F6CEE"/>
    <w:rsid w:val="00853408"/>
    <w:rsid w:val="00901CF4"/>
    <w:rsid w:val="009900EA"/>
    <w:rsid w:val="009B42F1"/>
    <w:rsid w:val="009B759E"/>
    <w:rsid w:val="009F6B8F"/>
    <w:rsid w:val="00B25C09"/>
    <w:rsid w:val="00B360F4"/>
    <w:rsid w:val="00B3748B"/>
    <w:rsid w:val="00BF122B"/>
    <w:rsid w:val="00D47889"/>
    <w:rsid w:val="00E006C0"/>
    <w:rsid w:val="00E12E7D"/>
    <w:rsid w:val="00E21286"/>
    <w:rsid w:val="00EA5FC9"/>
    <w:rsid w:val="00EC44CC"/>
    <w:rsid w:val="00ED33EB"/>
    <w:rsid w:val="00ED799A"/>
    <w:rsid w:val="00EE01F9"/>
    <w:rsid w:val="00F51DB1"/>
    <w:rsid w:val="00FC1BE1"/>
    <w:rsid w:val="00FC5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2270"/>
  <w15:chartTrackingRefBased/>
  <w15:docId w15:val="{9DD5DDE3-357E-4EDD-AE70-70F916E0A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F1A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17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1711"/>
    <w:rPr>
      <w:rFonts w:eastAsiaTheme="minorEastAsia"/>
      <w:kern w:val="0"/>
      <w:lang w:val="en-US"/>
      <w14:ligatures w14:val="none"/>
    </w:rPr>
  </w:style>
  <w:style w:type="character" w:styleId="Hyperlink">
    <w:name w:val="Hyperlink"/>
    <w:basedOn w:val="DefaultParagraphFont"/>
    <w:uiPriority w:val="99"/>
    <w:unhideWhenUsed/>
    <w:rsid w:val="00577948"/>
    <w:rPr>
      <w:color w:val="0563C1" w:themeColor="hyperlink"/>
      <w:u w:val="single"/>
    </w:rPr>
  </w:style>
  <w:style w:type="character" w:styleId="UnresolvedMention">
    <w:name w:val="Unresolved Mention"/>
    <w:basedOn w:val="DefaultParagraphFont"/>
    <w:uiPriority w:val="99"/>
    <w:semiHidden/>
    <w:unhideWhenUsed/>
    <w:rsid w:val="00577948"/>
    <w:rPr>
      <w:color w:val="605E5C"/>
      <w:shd w:val="clear" w:color="auto" w:fill="E1DFDD"/>
    </w:rPr>
  </w:style>
  <w:style w:type="character" w:styleId="FollowedHyperlink">
    <w:name w:val="FollowedHyperlink"/>
    <w:basedOn w:val="DefaultParagraphFont"/>
    <w:uiPriority w:val="99"/>
    <w:semiHidden/>
    <w:unhideWhenUsed/>
    <w:rsid w:val="00577948"/>
    <w:rPr>
      <w:color w:val="954F72" w:themeColor="followedHyperlink"/>
      <w:u w:val="single"/>
    </w:rPr>
  </w:style>
  <w:style w:type="character" w:customStyle="1" w:styleId="anchor-text">
    <w:name w:val="anchor-text"/>
    <w:basedOn w:val="DefaultParagraphFont"/>
    <w:rsid w:val="004433BB"/>
  </w:style>
  <w:style w:type="paragraph" w:styleId="NormalWeb">
    <w:name w:val="Normal (Web)"/>
    <w:basedOn w:val="Normal"/>
    <w:uiPriority w:val="99"/>
    <w:semiHidden/>
    <w:unhideWhenUsed/>
    <w:rsid w:val="003737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01CF4"/>
    <w:rPr>
      <w:i/>
      <w:iCs/>
    </w:rPr>
  </w:style>
  <w:style w:type="character" w:customStyle="1" w:styleId="citation">
    <w:name w:val="citation"/>
    <w:basedOn w:val="DefaultParagraphFont"/>
    <w:rsid w:val="00901CF4"/>
  </w:style>
  <w:style w:type="character" w:customStyle="1" w:styleId="text">
    <w:name w:val="text"/>
    <w:basedOn w:val="DefaultParagraphFont"/>
    <w:rsid w:val="007C3CE4"/>
  </w:style>
  <w:style w:type="character" w:customStyle="1" w:styleId="Heading1Char">
    <w:name w:val="Heading 1 Char"/>
    <w:basedOn w:val="DefaultParagraphFont"/>
    <w:link w:val="Heading1"/>
    <w:uiPriority w:val="9"/>
    <w:rsid w:val="007F1A91"/>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573264">
      <w:bodyDiv w:val="1"/>
      <w:marLeft w:val="0"/>
      <w:marRight w:val="0"/>
      <w:marTop w:val="0"/>
      <w:marBottom w:val="0"/>
      <w:divBdr>
        <w:top w:val="none" w:sz="0" w:space="0" w:color="auto"/>
        <w:left w:val="none" w:sz="0" w:space="0" w:color="auto"/>
        <w:bottom w:val="none" w:sz="0" w:space="0" w:color="auto"/>
        <w:right w:val="none" w:sz="0" w:space="0" w:color="auto"/>
      </w:divBdr>
    </w:div>
    <w:div w:id="1953583878">
      <w:bodyDiv w:val="1"/>
      <w:marLeft w:val="0"/>
      <w:marRight w:val="0"/>
      <w:marTop w:val="0"/>
      <w:marBottom w:val="0"/>
      <w:divBdr>
        <w:top w:val="none" w:sz="0" w:space="0" w:color="auto"/>
        <w:left w:val="none" w:sz="0" w:space="0" w:color="auto"/>
        <w:bottom w:val="none" w:sz="0" w:space="0" w:color="auto"/>
        <w:right w:val="none" w:sz="0" w:space="0" w:color="auto"/>
      </w:divBdr>
      <w:divsChild>
        <w:div w:id="6292126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reader/content/17a8a25e4d7/10.1177/1365712716655168/format/epub/EPUB/xhtml/index.xhtml" TargetMode="External"/><Relationship Id="rId18" Type="http://schemas.openxmlformats.org/officeDocument/2006/relationships/hyperlink" Target="https://doi.org/10.1016/j.chiabu.2007.03.023" TargetMode="External"/><Relationship Id="rId26" Type="http://schemas.openxmlformats.org/officeDocument/2006/relationships/hyperlink" Target="https://doi.org/10.1348/000711201161109" TargetMode="External"/><Relationship Id="rId39" Type="http://schemas.openxmlformats.org/officeDocument/2006/relationships/theme" Target="theme/theme1.xml"/><Relationship Id="rId21" Type="http://schemas.openxmlformats.org/officeDocument/2006/relationships/hyperlink" Target="https://doi.org/10.1111/j.1748-121X.2008.00085.x" TargetMode="External"/><Relationship Id="rId34" Type="http://schemas.openxmlformats.org/officeDocument/2006/relationships/hyperlink" Target="https://doi.org/10.1177/1524838005285914" TargetMode="External"/><Relationship Id="rId7" Type="http://schemas.openxmlformats.org/officeDocument/2006/relationships/image" Target="media/image1.png"/><Relationship Id="rId12" Type="http://schemas.openxmlformats.org/officeDocument/2006/relationships/hyperlink" Target="https://journals.sagepub.com/reader/content/17a8a25e4d7/10.1177/1365712716655168/format/epub/EPUB/xhtml/index.xhtml" TargetMode="External"/><Relationship Id="rId17" Type="http://schemas.openxmlformats.org/officeDocument/2006/relationships/hyperlink" Target="https://bjs.ojp.gov/content/pub/pdf/fvv.pdf" TargetMode="External"/><Relationship Id="rId25" Type="http://schemas.openxmlformats.org/officeDocument/2006/relationships/hyperlink" Target="https://doi.org/10.1177/1524838011404251" TargetMode="External"/><Relationship Id="rId33" Type="http://schemas.openxmlformats.org/officeDocument/2006/relationships/hyperlink" Target="https://doi.org/10.1525/sp.2005.52.2.181"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09649060802580979" TargetMode="External"/><Relationship Id="rId20" Type="http://schemas.openxmlformats.org/officeDocument/2006/relationships/hyperlink" Target="https://assets.publishing.service.gov.uk/government/uploads/system/uploads/attachment_data/file/435512/MHA_Code_of_Practice.PDF" TargetMode="External"/><Relationship Id="rId29" Type="http://schemas.openxmlformats.org/officeDocument/2006/relationships/hyperlink" Target="https://doi.org/10.1093/icon/mot04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reader/content/17a8a25e4d7/10.1177/1365712716655168/format/epub/EPUB/xhtml/index.xhtml" TargetMode="External"/><Relationship Id="rId24" Type="http://schemas.openxmlformats.org/officeDocument/2006/relationships/hyperlink" Target="https://doi.org/10.1017/S0954579498001588" TargetMode="External"/><Relationship Id="rId32" Type="http://schemas.openxmlformats.org/officeDocument/2006/relationships/hyperlink" Target="https://doi.org/10.1177/1362480610383452" TargetMode="External"/><Relationship Id="rId37" Type="http://schemas.openxmlformats.org/officeDocument/2006/relationships/hyperlink" Target="https://doi.org/10.1177/1524838010367503" TargetMode="External"/><Relationship Id="rId5" Type="http://schemas.openxmlformats.org/officeDocument/2006/relationships/settings" Target="settings.xml"/><Relationship Id="rId15" Type="http://schemas.openxmlformats.org/officeDocument/2006/relationships/hyperlink" Target="https://doi.org/10.1017/S1474746416000610" TargetMode="External"/><Relationship Id="rId23" Type="http://schemas.openxmlformats.org/officeDocument/2006/relationships/hyperlink" Target="https://explore-education-statistics.service.gov.uk/find-statistics/vulnerable-children-and-young-people-survey" TargetMode="External"/><Relationship Id="rId28" Type="http://schemas.openxmlformats.org/officeDocument/2006/relationships/hyperlink" Target="https://www.nationalhomeless.org/factsheets/Hatecrimes.pdf" TargetMode="External"/><Relationship Id="rId36" Type="http://schemas.openxmlformats.org/officeDocument/2006/relationships/hyperlink" Target="https://doi.org/10.1016/j.ijdrr.2016.06.003" TargetMode="External"/><Relationship Id="rId10" Type="http://schemas.openxmlformats.org/officeDocument/2006/relationships/hyperlink" Target="https://journals.sagepub.com/reader/content/17a8a25e4d7/10.1177/1365712716655168/format/epub/EPUB/xhtml/index.xhtml" TargetMode="External"/><Relationship Id="rId19" Type="http://schemas.openxmlformats.org/officeDocument/2006/relationships/hyperlink" Target="https://doi.org/10.1017/S1474746409990364" TargetMode="External"/><Relationship Id="rId31" Type="http://schemas.openxmlformats.org/officeDocument/2006/relationships/hyperlink" Target="https://doi.org/10.1080/09687599.2011.560418" TargetMode="External"/><Relationship Id="rId4" Type="http://schemas.openxmlformats.org/officeDocument/2006/relationships/styles" Target="styles.xml"/><Relationship Id="rId9" Type="http://schemas.openxmlformats.org/officeDocument/2006/relationships/hyperlink" Target="https://journals.sagepub.com/reader/content/17a8a25e4d7/10.1177/1365712716655168/format/epub/EPUB/xhtml/index.xhtml" TargetMode="External"/><Relationship Id="rId14" Type="http://schemas.openxmlformats.org/officeDocument/2006/relationships/hyperlink" Target="https://stacks.cdc.gov/view/cdc/11637" TargetMode="External"/><Relationship Id="rId22" Type="http://schemas.openxmlformats.org/officeDocument/2006/relationships/hyperlink" Target="https://doi.org/10.1080/02680939.2013.806678" TargetMode="External"/><Relationship Id="rId27" Type="http://schemas.openxmlformats.org/officeDocument/2006/relationships/hyperlink" Target="https://doi.org/10.1177/1088767999003004003" TargetMode="External"/><Relationship Id="rId30" Type="http://schemas.openxmlformats.org/officeDocument/2006/relationships/hyperlink" Target="https://doi.org/10.1111/j.1365-2850.2006.00927.x" TargetMode="External"/><Relationship Id="rId35" Type="http://schemas.openxmlformats.org/officeDocument/2006/relationships/hyperlink" Target="https://doi.org/10.3138/cjcrim.37.3.331"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120D0B-D6A0-4AF7-B4EA-63400E706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18</Pages>
  <Words>4625</Words>
  <Characters>26364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Critically Evaluate the difficulties vulnerable victims may encounter within the criminal justice system.</vt:lpstr>
    </vt:vector>
  </TitlesOfParts>
  <Company/>
  <LinksUpToDate>false</LinksUpToDate>
  <CharactersWithSpaces>30928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Vulnerable people and the Criminal Justice System.</dc:title>
  <dc:subject/>
  <dc:creator>Lucy Roche (1902211)</dc:creator>
  <cp:keywords/>
  <dc:description/>
  <cp:lastModifiedBy>Lucy Roche (1902211)</cp:lastModifiedBy>
  <cp:revision>6</cp:revision>
  <dcterms:created xsi:type="dcterms:W3CDTF">2023-03-24T19:49:00Z</dcterms:created>
  <dcterms:modified xsi:type="dcterms:W3CDTF">2023-03-24T20:24:00Z</dcterms:modified>
</cp:coreProperties>
</file>