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6C9DCE" w14:textId="77777777" w:rsidR="008E4E36" w:rsidRPr="00BD74EA" w:rsidRDefault="008E4E36" w:rsidP="008E4E36">
      <w:pPr>
        <w:jc w:val="center"/>
        <w:rPr>
          <w:b/>
          <w:bCs/>
          <w:sz w:val="72"/>
          <w:szCs w:val="72"/>
        </w:rPr>
      </w:pPr>
    </w:p>
    <w:p w14:paraId="52D53089" w14:textId="77777777" w:rsidR="003047B8" w:rsidRPr="003047B8" w:rsidRDefault="003047B8" w:rsidP="003047B8">
      <w:pPr>
        <w:jc w:val="center"/>
        <w:rPr>
          <w:b/>
          <w:bCs/>
          <w:sz w:val="72"/>
          <w:szCs w:val="72"/>
        </w:rPr>
      </w:pPr>
      <w:r w:rsidRPr="003047B8">
        <w:rPr>
          <w:b/>
          <w:bCs/>
          <w:sz w:val="72"/>
          <w:szCs w:val="72"/>
        </w:rPr>
        <w:t xml:space="preserve">Analysis of Financial Report to assess </w:t>
      </w:r>
    </w:p>
    <w:p w14:paraId="6C00466C" w14:textId="57B3E2FE" w:rsidR="008E4E36" w:rsidRPr="00BD74EA" w:rsidRDefault="003047B8" w:rsidP="003047B8">
      <w:pPr>
        <w:jc w:val="center"/>
        <w:rPr>
          <w:b/>
          <w:bCs/>
          <w:sz w:val="72"/>
          <w:szCs w:val="72"/>
        </w:rPr>
      </w:pPr>
      <w:r w:rsidRPr="003047B8">
        <w:rPr>
          <w:b/>
          <w:bCs/>
          <w:sz w:val="72"/>
          <w:szCs w:val="72"/>
        </w:rPr>
        <w:t xml:space="preserve">business performance: Marriott International  </w:t>
      </w:r>
    </w:p>
    <w:p w14:paraId="0A55C399" w14:textId="77777777" w:rsidR="008E4E36" w:rsidRPr="00BD74EA" w:rsidRDefault="008E4E36" w:rsidP="008E4E36">
      <w:pPr>
        <w:jc w:val="both"/>
        <w:rPr>
          <w:b/>
          <w:bCs/>
          <w:szCs w:val="24"/>
        </w:rPr>
      </w:pPr>
    </w:p>
    <w:p w14:paraId="3D041AD2" w14:textId="77777777" w:rsidR="00E40009" w:rsidRDefault="00E40009" w:rsidP="008E4E36">
      <w:pPr>
        <w:spacing w:line="360" w:lineRule="auto"/>
        <w:jc w:val="both"/>
        <w:rPr>
          <w:b/>
          <w:bCs/>
          <w:szCs w:val="24"/>
        </w:rPr>
      </w:pPr>
    </w:p>
    <w:p w14:paraId="624F2857" w14:textId="77777777" w:rsidR="00E40009" w:rsidRDefault="00E40009" w:rsidP="008E4E36">
      <w:pPr>
        <w:spacing w:line="360" w:lineRule="auto"/>
        <w:jc w:val="both"/>
        <w:rPr>
          <w:b/>
          <w:bCs/>
          <w:szCs w:val="24"/>
        </w:rPr>
      </w:pPr>
    </w:p>
    <w:tbl>
      <w:tblPr>
        <w:tblStyle w:val="TableGrid"/>
        <w:tblpPr w:leftFromText="180" w:rightFromText="180" w:vertAnchor="page" w:horzAnchor="margin" w:tblpY="8391"/>
        <w:tblW w:w="0" w:type="auto"/>
        <w:tblLook w:val="04A0" w:firstRow="1" w:lastRow="0" w:firstColumn="1" w:lastColumn="0" w:noHBand="0" w:noVBand="1"/>
      </w:tblPr>
      <w:tblGrid>
        <w:gridCol w:w="2857"/>
        <w:gridCol w:w="6424"/>
      </w:tblGrid>
      <w:tr w:rsidR="00D5653B" w:rsidRPr="00BD74EA" w14:paraId="4A8E8A32" w14:textId="77777777" w:rsidTr="00D5653B">
        <w:trPr>
          <w:trHeight w:val="1073"/>
        </w:trPr>
        <w:tc>
          <w:tcPr>
            <w:tcW w:w="2857" w:type="dxa"/>
            <w:hideMark/>
          </w:tcPr>
          <w:p w14:paraId="33D5169D" w14:textId="77777777" w:rsidR="00D5653B" w:rsidRPr="00BD74EA" w:rsidRDefault="00D5653B" w:rsidP="00D5653B">
            <w:pPr>
              <w:spacing w:line="360" w:lineRule="auto"/>
              <w:jc w:val="center"/>
              <w:rPr>
                <w:rFonts w:eastAsia="Times New Roman" w:cs="Times New Roman"/>
                <w:b/>
                <w:bCs/>
                <w:szCs w:val="24"/>
              </w:rPr>
            </w:pPr>
            <w:r w:rsidRPr="00BD74EA">
              <w:rPr>
                <w:rFonts w:eastAsia="Times New Roman" w:cs="Times New Roman"/>
                <w:b/>
                <w:bCs/>
                <w:szCs w:val="24"/>
              </w:rPr>
              <w:t xml:space="preserve">Module </w:t>
            </w:r>
            <w:r>
              <w:rPr>
                <w:rFonts w:eastAsia="Times New Roman" w:cs="Times New Roman"/>
                <w:b/>
                <w:bCs/>
                <w:szCs w:val="24"/>
              </w:rPr>
              <w:t>Title and Code</w:t>
            </w:r>
          </w:p>
        </w:tc>
        <w:tc>
          <w:tcPr>
            <w:tcW w:w="6424" w:type="dxa"/>
            <w:hideMark/>
          </w:tcPr>
          <w:p w14:paraId="10D155A9" w14:textId="77777777" w:rsidR="00D5653B" w:rsidRDefault="00D5653B" w:rsidP="00D5653B">
            <w:pPr>
              <w:spacing w:line="360" w:lineRule="auto"/>
              <w:rPr>
                <w:rFonts w:eastAsia="Times New Roman" w:cs="Times New Roman"/>
                <w:b/>
                <w:bCs/>
                <w:szCs w:val="24"/>
              </w:rPr>
            </w:pPr>
            <w:r w:rsidRPr="00E40009">
              <w:rPr>
                <w:rFonts w:eastAsia="Times New Roman" w:cs="Times New Roman"/>
                <w:b/>
                <w:bCs/>
                <w:szCs w:val="24"/>
              </w:rPr>
              <w:t>Financial Management for the Hotel Industry</w:t>
            </w:r>
          </w:p>
          <w:p w14:paraId="49CFF8F4" w14:textId="77777777" w:rsidR="00D5653B" w:rsidRPr="00BD74EA" w:rsidRDefault="00D5653B" w:rsidP="00D5653B">
            <w:pPr>
              <w:spacing w:line="360" w:lineRule="auto"/>
              <w:rPr>
                <w:rFonts w:eastAsia="Times New Roman" w:cs="Times New Roman"/>
                <w:b/>
                <w:bCs/>
                <w:szCs w:val="24"/>
              </w:rPr>
            </w:pPr>
            <w:r w:rsidRPr="00E40009">
              <w:rPr>
                <w:rFonts w:eastAsia="Times New Roman" w:cs="Times New Roman"/>
                <w:b/>
                <w:bCs/>
                <w:szCs w:val="24"/>
              </w:rPr>
              <w:t xml:space="preserve"> BMIH5013</w:t>
            </w:r>
          </w:p>
        </w:tc>
      </w:tr>
      <w:tr w:rsidR="00D5653B" w:rsidRPr="00BD74EA" w14:paraId="15B36994" w14:textId="77777777" w:rsidTr="00D5653B">
        <w:trPr>
          <w:trHeight w:val="530"/>
        </w:trPr>
        <w:tc>
          <w:tcPr>
            <w:tcW w:w="2857" w:type="dxa"/>
            <w:hideMark/>
          </w:tcPr>
          <w:p w14:paraId="16DC003E" w14:textId="77777777" w:rsidR="00D5653B" w:rsidRPr="00BD74EA" w:rsidRDefault="00D5653B" w:rsidP="00D5653B">
            <w:pPr>
              <w:spacing w:line="360" w:lineRule="auto"/>
              <w:rPr>
                <w:rFonts w:eastAsia="Times New Roman" w:cs="Times New Roman"/>
                <w:szCs w:val="24"/>
              </w:rPr>
            </w:pPr>
            <w:r>
              <w:rPr>
                <w:rFonts w:eastAsia="Times New Roman" w:cs="Times New Roman"/>
                <w:b/>
                <w:bCs/>
                <w:szCs w:val="24"/>
              </w:rPr>
              <w:t>Student</w:t>
            </w:r>
            <w:r w:rsidRPr="00BD74EA">
              <w:rPr>
                <w:rFonts w:eastAsia="Times New Roman" w:cs="Times New Roman"/>
                <w:b/>
                <w:bCs/>
                <w:szCs w:val="24"/>
              </w:rPr>
              <w:t xml:space="preserve"> Name</w:t>
            </w:r>
          </w:p>
        </w:tc>
        <w:tc>
          <w:tcPr>
            <w:tcW w:w="6424" w:type="dxa"/>
            <w:hideMark/>
          </w:tcPr>
          <w:p w14:paraId="1102062B" w14:textId="77777777" w:rsidR="00D5653B" w:rsidRPr="00BD74EA" w:rsidRDefault="00D5653B" w:rsidP="00D5653B">
            <w:pPr>
              <w:spacing w:line="360" w:lineRule="auto"/>
              <w:rPr>
                <w:rFonts w:eastAsia="Times New Roman" w:cs="Times New Roman"/>
                <w:szCs w:val="24"/>
              </w:rPr>
            </w:pPr>
            <w:r>
              <w:rPr>
                <w:rFonts w:eastAsia="Times New Roman" w:cs="Times New Roman"/>
                <w:szCs w:val="24"/>
              </w:rPr>
              <w:t>Simona-Marilena Patrascu</w:t>
            </w:r>
          </w:p>
        </w:tc>
      </w:tr>
      <w:tr w:rsidR="00D5653B" w:rsidRPr="00BD74EA" w14:paraId="62A25FEB" w14:textId="77777777" w:rsidTr="00D5653B">
        <w:trPr>
          <w:trHeight w:val="530"/>
        </w:trPr>
        <w:tc>
          <w:tcPr>
            <w:tcW w:w="2857" w:type="dxa"/>
            <w:hideMark/>
          </w:tcPr>
          <w:p w14:paraId="1EE610F5" w14:textId="77777777" w:rsidR="00D5653B" w:rsidRPr="00BD74EA" w:rsidRDefault="00D5653B" w:rsidP="00D5653B">
            <w:pPr>
              <w:spacing w:line="360" w:lineRule="auto"/>
              <w:rPr>
                <w:rFonts w:eastAsia="Times New Roman" w:cs="Times New Roman"/>
                <w:szCs w:val="24"/>
              </w:rPr>
            </w:pPr>
            <w:r>
              <w:rPr>
                <w:rFonts w:eastAsia="Times New Roman" w:cs="Times New Roman"/>
                <w:b/>
                <w:bCs/>
                <w:szCs w:val="24"/>
              </w:rPr>
              <w:t>Student</w:t>
            </w:r>
            <w:r w:rsidRPr="00BD74EA">
              <w:rPr>
                <w:rFonts w:eastAsia="Times New Roman" w:cs="Times New Roman"/>
                <w:b/>
                <w:bCs/>
                <w:szCs w:val="24"/>
              </w:rPr>
              <w:t xml:space="preserve"> Number</w:t>
            </w:r>
          </w:p>
        </w:tc>
        <w:tc>
          <w:tcPr>
            <w:tcW w:w="6424" w:type="dxa"/>
            <w:hideMark/>
          </w:tcPr>
          <w:p w14:paraId="7B2557B3" w14:textId="77777777" w:rsidR="00D5653B" w:rsidRPr="00BD74EA" w:rsidRDefault="00D5653B" w:rsidP="00D5653B">
            <w:pPr>
              <w:spacing w:line="360" w:lineRule="auto"/>
              <w:rPr>
                <w:rFonts w:eastAsia="Times New Roman" w:cs="Times New Roman"/>
                <w:szCs w:val="24"/>
              </w:rPr>
            </w:pPr>
            <w:r>
              <w:rPr>
                <w:rFonts w:eastAsia="Times New Roman" w:cs="Times New Roman"/>
                <w:szCs w:val="24"/>
              </w:rPr>
              <w:t>2123259</w:t>
            </w:r>
          </w:p>
        </w:tc>
      </w:tr>
      <w:tr w:rsidR="00D5653B" w:rsidRPr="00BD74EA" w14:paraId="5228A406" w14:textId="77777777" w:rsidTr="00D5653B">
        <w:trPr>
          <w:trHeight w:val="543"/>
        </w:trPr>
        <w:tc>
          <w:tcPr>
            <w:tcW w:w="2857" w:type="dxa"/>
            <w:hideMark/>
          </w:tcPr>
          <w:p w14:paraId="0A4697CF" w14:textId="77777777" w:rsidR="00D5653B" w:rsidRPr="00E40009" w:rsidRDefault="00D5653B" w:rsidP="00D5653B">
            <w:pPr>
              <w:spacing w:line="360" w:lineRule="auto"/>
              <w:rPr>
                <w:rFonts w:eastAsia="Times New Roman" w:cs="Times New Roman"/>
                <w:b/>
                <w:bCs/>
                <w:szCs w:val="24"/>
              </w:rPr>
            </w:pPr>
            <w:r w:rsidRPr="00E40009">
              <w:rPr>
                <w:rFonts w:eastAsia="Times New Roman" w:cs="Times New Roman"/>
                <w:b/>
                <w:bCs/>
                <w:szCs w:val="24"/>
              </w:rPr>
              <w:t>Module lead</w:t>
            </w:r>
          </w:p>
        </w:tc>
        <w:tc>
          <w:tcPr>
            <w:tcW w:w="6424" w:type="dxa"/>
            <w:hideMark/>
          </w:tcPr>
          <w:p w14:paraId="513AA715" w14:textId="77777777" w:rsidR="00D5653B" w:rsidRPr="00BD74EA" w:rsidRDefault="00D5653B" w:rsidP="00D5653B">
            <w:pPr>
              <w:spacing w:line="360" w:lineRule="auto"/>
              <w:rPr>
                <w:rFonts w:eastAsia="Times New Roman" w:cs="Times New Roman"/>
                <w:szCs w:val="24"/>
              </w:rPr>
            </w:pPr>
            <w:proofErr w:type="spellStart"/>
            <w:r w:rsidRPr="00E40009">
              <w:rPr>
                <w:rFonts w:eastAsia="Times New Roman" w:cs="Times New Roman"/>
                <w:szCs w:val="24"/>
              </w:rPr>
              <w:t>Dr.</w:t>
            </w:r>
            <w:proofErr w:type="spellEnd"/>
            <w:r w:rsidRPr="00E40009">
              <w:rPr>
                <w:rFonts w:eastAsia="Times New Roman" w:cs="Times New Roman"/>
                <w:szCs w:val="24"/>
              </w:rPr>
              <w:t xml:space="preserve"> Ernest </w:t>
            </w:r>
            <w:proofErr w:type="spellStart"/>
            <w:r w:rsidRPr="00E40009">
              <w:rPr>
                <w:rFonts w:eastAsia="Times New Roman" w:cs="Times New Roman"/>
                <w:szCs w:val="24"/>
              </w:rPr>
              <w:t>Balutie</w:t>
            </w:r>
            <w:proofErr w:type="spellEnd"/>
            <w:r w:rsidRPr="00E40009">
              <w:rPr>
                <w:rFonts w:eastAsia="Times New Roman" w:cs="Times New Roman"/>
                <w:szCs w:val="24"/>
              </w:rPr>
              <w:t xml:space="preserve"> </w:t>
            </w:r>
            <w:proofErr w:type="spellStart"/>
            <w:r w:rsidRPr="00E40009">
              <w:rPr>
                <w:rFonts w:eastAsia="Times New Roman" w:cs="Times New Roman"/>
                <w:szCs w:val="24"/>
              </w:rPr>
              <w:t>Wavei</w:t>
            </w:r>
            <w:proofErr w:type="spellEnd"/>
          </w:p>
        </w:tc>
      </w:tr>
      <w:tr w:rsidR="00D5653B" w:rsidRPr="00BD74EA" w14:paraId="3B6B5E95" w14:textId="77777777" w:rsidTr="00D5653B">
        <w:trPr>
          <w:trHeight w:val="530"/>
        </w:trPr>
        <w:tc>
          <w:tcPr>
            <w:tcW w:w="2857" w:type="dxa"/>
            <w:hideMark/>
          </w:tcPr>
          <w:p w14:paraId="7C295A62" w14:textId="77777777" w:rsidR="00D5653B" w:rsidRPr="00BD74EA" w:rsidRDefault="00D5653B" w:rsidP="00D5653B">
            <w:pPr>
              <w:spacing w:line="360" w:lineRule="auto"/>
              <w:rPr>
                <w:rFonts w:eastAsia="Times New Roman" w:cs="Times New Roman"/>
                <w:szCs w:val="24"/>
              </w:rPr>
            </w:pPr>
            <w:r w:rsidRPr="00BD74EA">
              <w:rPr>
                <w:rFonts w:eastAsia="Times New Roman" w:cs="Times New Roman"/>
                <w:b/>
                <w:bCs/>
                <w:szCs w:val="24"/>
              </w:rPr>
              <w:t>Date of Submission</w:t>
            </w:r>
          </w:p>
        </w:tc>
        <w:tc>
          <w:tcPr>
            <w:tcW w:w="6424" w:type="dxa"/>
            <w:hideMark/>
          </w:tcPr>
          <w:p w14:paraId="597D6A7F" w14:textId="77777777" w:rsidR="00D5653B" w:rsidRPr="00BD74EA" w:rsidRDefault="00D5653B" w:rsidP="00D5653B">
            <w:pPr>
              <w:spacing w:line="360" w:lineRule="auto"/>
              <w:rPr>
                <w:rFonts w:eastAsia="Times New Roman" w:cs="Times New Roman"/>
                <w:szCs w:val="24"/>
              </w:rPr>
            </w:pPr>
            <w:r>
              <w:rPr>
                <w:rFonts w:eastAsia="Times New Roman" w:cs="Times New Roman"/>
                <w:szCs w:val="24"/>
              </w:rPr>
              <w:t>4 November 2024</w:t>
            </w:r>
          </w:p>
        </w:tc>
      </w:tr>
    </w:tbl>
    <w:p w14:paraId="48C26E16" w14:textId="77777777" w:rsidR="00E40009" w:rsidRDefault="00E40009" w:rsidP="008E4E36">
      <w:pPr>
        <w:spacing w:line="360" w:lineRule="auto"/>
        <w:jc w:val="both"/>
        <w:rPr>
          <w:b/>
          <w:bCs/>
          <w:szCs w:val="24"/>
        </w:rPr>
      </w:pPr>
    </w:p>
    <w:p w14:paraId="16210CA1" w14:textId="77777777" w:rsidR="00E40009" w:rsidRDefault="00E40009" w:rsidP="008E4E36">
      <w:pPr>
        <w:spacing w:line="360" w:lineRule="auto"/>
        <w:jc w:val="both"/>
        <w:rPr>
          <w:b/>
          <w:bCs/>
          <w:szCs w:val="24"/>
        </w:rPr>
      </w:pPr>
    </w:p>
    <w:p w14:paraId="3BADD609" w14:textId="77777777" w:rsidR="00D5653B" w:rsidRDefault="00D5653B" w:rsidP="008E4E36">
      <w:pPr>
        <w:spacing w:line="360" w:lineRule="auto"/>
        <w:jc w:val="both"/>
        <w:rPr>
          <w:b/>
          <w:bCs/>
          <w:szCs w:val="24"/>
        </w:rPr>
      </w:pPr>
    </w:p>
    <w:p w14:paraId="52F842FE" w14:textId="77777777" w:rsidR="003047B8" w:rsidRDefault="003047B8" w:rsidP="008E4E36">
      <w:pPr>
        <w:spacing w:line="360" w:lineRule="auto"/>
        <w:jc w:val="both"/>
        <w:rPr>
          <w:b/>
          <w:bCs/>
          <w:szCs w:val="24"/>
        </w:rPr>
      </w:pPr>
    </w:p>
    <w:p w14:paraId="36BB60AA" w14:textId="77777777" w:rsidR="003047B8" w:rsidRDefault="003047B8" w:rsidP="008E4E36">
      <w:pPr>
        <w:spacing w:line="360" w:lineRule="auto"/>
        <w:jc w:val="both"/>
        <w:rPr>
          <w:b/>
          <w:bCs/>
          <w:szCs w:val="24"/>
        </w:rPr>
      </w:pPr>
    </w:p>
    <w:p w14:paraId="178B6451" w14:textId="77777777" w:rsidR="003047B8" w:rsidRDefault="003047B8" w:rsidP="008E4E36">
      <w:pPr>
        <w:spacing w:line="360" w:lineRule="auto"/>
        <w:jc w:val="both"/>
        <w:rPr>
          <w:b/>
          <w:bCs/>
          <w:szCs w:val="24"/>
        </w:rPr>
      </w:pPr>
    </w:p>
    <w:p w14:paraId="173D68ED" w14:textId="4D7834B8" w:rsidR="008E4E36" w:rsidRPr="00BD74EA" w:rsidRDefault="008E4E36" w:rsidP="008E4E36">
      <w:pPr>
        <w:spacing w:line="360" w:lineRule="auto"/>
        <w:jc w:val="both"/>
        <w:rPr>
          <w:b/>
          <w:bCs/>
          <w:szCs w:val="24"/>
        </w:rPr>
      </w:pPr>
      <w:r w:rsidRPr="00BD74EA">
        <w:rPr>
          <w:b/>
          <w:bCs/>
          <w:szCs w:val="24"/>
        </w:rPr>
        <w:lastRenderedPageBreak/>
        <w:t>Acknowledgement</w:t>
      </w:r>
    </w:p>
    <w:p w14:paraId="29EF033F" w14:textId="77777777" w:rsidR="008E4E36" w:rsidRPr="00BD74EA" w:rsidRDefault="008E4E36" w:rsidP="008E4E36">
      <w:pPr>
        <w:spacing w:line="360" w:lineRule="auto"/>
        <w:jc w:val="both"/>
        <w:rPr>
          <w:bCs/>
          <w:szCs w:val="24"/>
        </w:rPr>
      </w:pPr>
      <w:r w:rsidRPr="00BD74EA">
        <w:rPr>
          <w:bCs/>
          <w:szCs w:val="24"/>
        </w:rPr>
        <w:t xml:space="preserve">I hereby declare that this report on </w:t>
      </w:r>
      <w:r w:rsidRPr="00BD74EA">
        <w:rPr>
          <w:b/>
          <w:bCs/>
          <w:i/>
          <w:iCs/>
          <w:szCs w:val="24"/>
        </w:rPr>
        <w:t>Analysis of Marriott International’s Strategic Growth and Performance</w:t>
      </w:r>
      <w:r w:rsidRPr="00BD74EA">
        <w:rPr>
          <w:bCs/>
          <w:i/>
          <w:szCs w:val="24"/>
        </w:rPr>
        <w:t xml:space="preserve"> </w:t>
      </w:r>
      <w:r w:rsidRPr="00BD74EA">
        <w:rPr>
          <w:bCs/>
          <w:szCs w:val="24"/>
        </w:rPr>
        <w:t>was completed without the assistance of any artificial intelligence tools or platforms. All research, analysis, and writing were conducted independently, adhering to academic integrity and originality standards.</w:t>
      </w:r>
    </w:p>
    <w:p w14:paraId="515C55BD" w14:textId="77777777" w:rsidR="008E4E36" w:rsidRPr="00BD74EA" w:rsidRDefault="008E4E36" w:rsidP="008E4E36">
      <w:pPr>
        <w:spacing w:line="360" w:lineRule="auto"/>
        <w:jc w:val="both"/>
        <w:rPr>
          <w:bCs/>
          <w:szCs w:val="24"/>
        </w:rPr>
      </w:pPr>
      <w:r w:rsidRPr="00BD74EA">
        <w:rPr>
          <w:bCs/>
          <w:szCs w:val="24"/>
        </w:rPr>
        <w:t>This report reflects my own understanding and insights into Marriott International's performance and strategy, based on thorough research and critical analysis of credible sources.</w:t>
      </w:r>
    </w:p>
    <w:p w14:paraId="78A9E820" w14:textId="77777777" w:rsidR="0022657F" w:rsidRPr="00BD74EA" w:rsidRDefault="0022657F" w:rsidP="0022657F">
      <w:pPr>
        <w:pStyle w:val="Heading1"/>
        <w:rPr>
          <w:rFonts w:ascii="Arial" w:hAnsi="Arial" w:cs="Arial"/>
          <w:bCs/>
        </w:rPr>
      </w:pPr>
      <w:bookmarkStart w:id="0" w:name="_Toc181631087"/>
      <w:r w:rsidRPr="00BD74EA">
        <w:rPr>
          <w:rFonts w:ascii="Arial" w:hAnsi="Arial" w:cs="Arial"/>
          <w:bCs/>
        </w:rPr>
        <w:t>Executive summary</w:t>
      </w:r>
      <w:bookmarkEnd w:id="0"/>
    </w:p>
    <w:p w14:paraId="1C430063" w14:textId="77777777" w:rsidR="0022657F" w:rsidRPr="00BD74EA" w:rsidRDefault="0022657F" w:rsidP="0022657F">
      <w:pPr>
        <w:spacing w:line="360" w:lineRule="auto"/>
        <w:rPr>
          <w:rFonts w:ascii="Arial" w:hAnsi="Arial" w:cs="Arial"/>
        </w:rPr>
      </w:pPr>
      <w:r w:rsidRPr="00BD74EA">
        <w:rPr>
          <w:rFonts w:ascii="Arial" w:hAnsi="Arial" w:cs="Arial"/>
        </w:rPr>
        <w:t>This report offers a critical analysis of Marriott International's strategic growth and financial performance over the recent past, specifically Marriott's rebound from the pandemic. It analyses Marriott's financial resilience, revenue growth, and digital transformation and loyalty programmes, not to mention its sustainability efforts. Hence, the report reflects on Marriott's competitive position, challenges in emerging markets, and opportunities for growth in the areas of eco-friendly travel and luxury travel. The recommendations involve further investment in sustainability, digital personalization, and regional expansion according to local preferences. This way, the strategy will ensure further strengthening of Marriott market leadership for sustained profitability since it is during this recovery phase that the hospitality industry becomes transformed.</w:t>
      </w:r>
    </w:p>
    <w:p w14:paraId="34E3E522" w14:textId="77777777" w:rsidR="0022657F" w:rsidRPr="00BD74EA" w:rsidRDefault="0022657F" w:rsidP="0022657F">
      <w:pPr>
        <w:spacing w:line="360" w:lineRule="auto"/>
        <w:rPr>
          <w:rFonts w:ascii="Arial" w:hAnsi="Arial" w:cs="Arial"/>
        </w:rPr>
      </w:pPr>
    </w:p>
    <w:p w14:paraId="3C0C25E8" w14:textId="77777777" w:rsidR="0022657F" w:rsidRPr="00BD74EA" w:rsidRDefault="0022657F" w:rsidP="0022657F">
      <w:pPr>
        <w:spacing w:line="360" w:lineRule="auto"/>
        <w:rPr>
          <w:rFonts w:ascii="Arial" w:hAnsi="Arial" w:cs="Arial"/>
        </w:rPr>
      </w:pPr>
    </w:p>
    <w:p w14:paraId="41CC0B0B" w14:textId="77777777" w:rsidR="0022657F" w:rsidRPr="00BD74EA" w:rsidRDefault="0022657F" w:rsidP="0022657F">
      <w:pPr>
        <w:spacing w:line="360" w:lineRule="auto"/>
        <w:rPr>
          <w:rFonts w:ascii="Arial" w:hAnsi="Arial" w:cs="Arial"/>
        </w:rPr>
      </w:pPr>
    </w:p>
    <w:p w14:paraId="15AD8B4D" w14:textId="77777777" w:rsidR="0022657F" w:rsidRPr="00BD74EA" w:rsidRDefault="0022657F" w:rsidP="0022657F">
      <w:pPr>
        <w:spacing w:line="360" w:lineRule="auto"/>
        <w:rPr>
          <w:rFonts w:ascii="Arial" w:hAnsi="Arial" w:cs="Arial"/>
        </w:rPr>
      </w:pPr>
    </w:p>
    <w:p w14:paraId="669ED0A7" w14:textId="77777777" w:rsidR="0022657F" w:rsidRPr="00BD74EA" w:rsidRDefault="0022657F" w:rsidP="0022657F">
      <w:pPr>
        <w:spacing w:line="360" w:lineRule="auto"/>
        <w:rPr>
          <w:rFonts w:ascii="Arial" w:hAnsi="Arial" w:cs="Arial"/>
        </w:rPr>
      </w:pPr>
    </w:p>
    <w:p w14:paraId="1D520FA3" w14:textId="77777777" w:rsidR="0022657F" w:rsidRPr="00BD74EA" w:rsidRDefault="0022657F" w:rsidP="0022657F">
      <w:pPr>
        <w:spacing w:line="360" w:lineRule="auto"/>
        <w:rPr>
          <w:rFonts w:ascii="Arial" w:hAnsi="Arial" w:cs="Arial"/>
        </w:rPr>
      </w:pPr>
    </w:p>
    <w:p w14:paraId="4823A51B" w14:textId="77777777" w:rsidR="0022657F" w:rsidRPr="00BD74EA" w:rsidRDefault="0022657F" w:rsidP="0022657F">
      <w:pPr>
        <w:spacing w:line="360" w:lineRule="auto"/>
        <w:rPr>
          <w:rFonts w:ascii="Arial" w:hAnsi="Arial" w:cs="Arial"/>
        </w:rPr>
      </w:pPr>
    </w:p>
    <w:p w14:paraId="63F0FF41" w14:textId="77777777" w:rsidR="0022657F" w:rsidRPr="00BD74EA" w:rsidRDefault="0022657F" w:rsidP="0022657F">
      <w:pPr>
        <w:spacing w:line="360" w:lineRule="auto"/>
        <w:rPr>
          <w:rFonts w:ascii="Arial" w:hAnsi="Arial" w:cs="Arial"/>
        </w:rPr>
      </w:pPr>
    </w:p>
    <w:sdt>
      <w:sdtPr>
        <w:rPr>
          <w:rFonts w:ascii="Times New Roman" w:eastAsiaTheme="minorHAnsi" w:hAnsi="Times New Roman" w:cstheme="minorBidi"/>
          <w:color w:val="auto"/>
          <w:sz w:val="24"/>
          <w:szCs w:val="22"/>
          <w:lang w:val="en-GB"/>
        </w:rPr>
        <w:id w:val="-1486079654"/>
        <w:docPartObj>
          <w:docPartGallery w:val="Table of Contents"/>
          <w:docPartUnique/>
        </w:docPartObj>
      </w:sdtPr>
      <w:sdtEndPr>
        <w:rPr>
          <w:b/>
          <w:bCs/>
        </w:rPr>
      </w:sdtEndPr>
      <w:sdtContent>
        <w:p w14:paraId="02144AAA" w14:textId="42305841" w:rsidR="0022657F" w:rsidRPr="00BD74EA" w:rsidRDefault="0022657F" w:rsidP="0022657F">
          <w:pPr>
            <w:pStyle w:val="TOCHeading"/>
            <w:spacing w:line="480" w:lineRule="auto"/>
            <w:rPr>
              <w:rFonts w:ascii="Arial" w:hAnsi="Arial" w:cs="Arial"/>
              <w:b/>
              <w:bCs/>
              <w:sz w:val="28"/>
              <w:szCs w:val="28"/>
              <w:lang w:val="en-GB"/>
            </w:rPr>
          </w:pPr>
          <w:r w:rsidRPr="00BD74EA">
            <w:rPr>
              <w:rFonts w:ascii="Arial" w:hAnsi="Arial" w:cs="Arial"/>
              <w:b/>
              <w:bCs/>
              <w:sz w:val="28"/>
              <w:szCs w:val="28"/>
              <w:lang w:val="en-GB"/>
            </w:rPr>
            <w:t>Contents</w:t>
          </w:r>
        </w:p>
        <w:p w14:paraId="484EEAC8" w14:textId="3923E82A" w:rsidR="0022657F" w:rsidRPr="00BD74EA" w:rsidRDefault="0022657F" w:rsidP="0022657F">
          <w:pPr>
            <w:pStyle w:val="TOC1"/>
            <w:tabs>
              <w:tab w:val="right" w:leader="dot" w:pos="9350"/>
            </w:tabs>
            <w:spacing w:line="480" w:lineRule="auto"/>
            <w:rPr>
              <w:rFonts w:ascii="Arial" w:eastAsiaTheme="minorEastAsia" w:hAnsi="Arial" w:cs="Arial"/>
              <w:noProof/>
              <w:kern w:val="2"/>
              <w:szCs w:val="24"/>
              <w:lang w:eastAsia="en-GB"/>
              <w14:ligatures w14:val="standardContextual"/>
            </w:rPr>
          </w:pPr>
          <w:r w:rsidRPr="00BD74EA">
            <w:rPr>
              <w:rFonts w:ascii="Arial" w:hAnsi="Arial" w:cs="Arial"/>
              <w:szCs w:val="24"/>
            </w:rPr>
            <w:fldChar w:fldCharType="begin"/>
          </w:r>
          <w:r w:rsidRPr="00BD74EA">
            <w:rPr>
              <w:rFonts w:ascii="Arial" w:hAnsi="Arial" w:cs="Arial"/>
              <w:szCs w:val="24"/>
            </w:rPr>
            <w:instrText xml:space="preserve"> TOC \o "1-3" \h \z \u </w:instrText>
          </w:r>
          <w:r w:rsidRPr="00BD74EA">
            <w:rPr>
              <w:rFonts w:ascii="Arial" w:hAnsi="Arial" w:cs="Arial"/>
              <w:szCs w:val="24"/>
            </w:rPr>
            <w:fldChar w:fldCharType="separate"/>
          </w:r>
          <w:hyperlink w:anchor="_Toc181631087" w:history="1">
            <w:r w:rsidRPr="00BD74EA">
              <w:rPr>
                <w:rStyle w:val="Hyperlink"/>
                <w:rFonts w:ascii="Arial" w:hAnsi="Arial" w:cs="Arial"/>
                <w:bCs/>
                <w:noProof/>
                <w:szCs w:val="24"/>
              </w:rPr>
              <w:t>Executive summary</w:t>
            </w:r>
            <w:r w:rsidRPr="00BD74EA">
              <w:rPr>
                <w:rFonts w:ascii="Arial" w:hAnsi="Arial" w:cs="Arial"/>
                <w:noProof/>
                <w:webHidden/>
                <w:szCs w:val="24"/>
              </w:rPr>
              <w:tab/>
            </w:r>
            <w:r w:rsidRPr="00BD74EA">
              <w:rPr>
                <w:rFonts w:ascii="Arial" w:hAnsi="Arial" w:cs="Arial"/>
                <w:noProof/>
                <w:webHidden/>
                <w:szCs w:val="24"/>
              </w:rPr>
              <w:fldChar w:fldCharType="begin"/>
            </w:r>
            <w:r w:rsidRPr="00BD74EA">
              <w:rPr>
                <w:rFonts w:ascii="Arial" w:hAnsi="Arial" w:cs="Arial"/>
                <w:noProof/>
                <w:webHidden/>
                <w:szCs w:val="24"/>
              </w:rPr>
              <w:instrText xml:space="preserve"> PAGEREF _Toc181631087 \h </w:instrText>
            </w:r>
            <w:r w:rsidRPr="00BD74EA">
              <w:rPr>
                <w:rFonts w:ascii="Arial" w:hAnsi="Arial" w:cs="Arial"/>
                <w:noProof/>
                <w:webHidden/>
                <w:szCs w:val="24"/>
              </w:rPr>
            </w:r>
            <w:r w:rsidRPr="00BD74EA">
              <w:rPr>
                <w:rFonts w:ascii="Arial" w:hAnsi="Arial" w:cs="Arial"/>
                <w:noProof/>
                <w:webHidden/>
                <w:szCs w:val="24"/>
              </w:rPr>
              <w:fldChar w:fldCharType="separate"/>
            </w:r>
            <w:r w:rsidRPr="00BD74EA">
              <w:rPr>
                <w:rFonts w:ascii="Arial" w:hAnsi="Arial" w:cs="Arial"/>
                <w:noProof/>
                <w:webHidden/>
                <w:szCs w:val="24"/>
              </w:rPr>
              <w:t>2</w:t>
            </w:r>
            <w:r w:rsidRPr="00BD74EA">
              <w:rPr>
                <w:rFonts w:ascii="Arial" w:hAnsi="Arial" w:cs="Arial"/>
                <w:noProof/>
                <w:webHidden/>
                <w:szCs w:val="24"/>
              </w:rPr>
              <w:fldChar w:fldCharType="end"/>
            </w:r>
          </w:hyperlink>
        </w:p>
        <w:p w14:paraId="1691E3A2" w14:textId="203C5ED7" w:rsidR="0022657F" w:rsidRPr="00BD74EA" w:rsidRDefault="0022657F" w:rsidP="0022657F">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631088" w:history="1">
            <w:r w:rsidRPr="00BD74EA">
              <w:rPr>
                <w:rStyle w:val="Hyperlink"/>
                <w:rFonts w:ascii="Arial" w:hAnsi="Arial" w:cs="Arial"/>
                <w:noProof/>
                <w:szCs w:val="24"/>
              </w:rPr>
              <w:t>Introduction</w:t>
            </w:r>
            <w:r w:rsidRPr="00BD74EA">
              <w:rPr>
                <w:rFonts w:ascii="Arial" w:hAnsi="Arial" w:cs="Arial"/>
                <w:noProof/>
                <w:webHidden/>
                <w:szCs w:val="24"/>
              </w:rPr>
              <w:tab/>
            </w:r>
            <w:r w:rsidRPr="00BD74EA">
              <w:rPr>
                <w:rFonts w:ascii="Arial" w:hAnsi="Arial" w:cs="Arial"/>
                <w:noProof/>
                <w:webHidden/>
                <w:szCs w:val="24"/>
              </w:rPr>
              <w:fldChar w:fldCharType="begin"/>
            </w:r>
            <w:r w:rsidRPr="00BD74EA">
              <w:rPr>
                <w:rFonts w:ascii="Arial" w:hAnsi="Arial" w:cs="Arial"/>
                <w:noProof/>
                <w:webHidden/>
                <w:szCs w:val="24"/>
              </w:rPr>
              <w:instrText xml:space="preserve"> PAGEREF _Toc181631088 \h </w:instrText>
            </w:r>
            <w:r w:rsidRPr="00BD74EA">
              <w:rPr>
                <w:rFonts w:ascii="Arial" w:hAnsi="Arial" w:cs="Arial"/>
                <w:noProof/>
                <w:webHidden/>
                <w:szCs w:val="24"/>
              </w:rPr>
            </w:r>
            <w:r w:rsidRPr="00BD74EA">
              <w:rPr>
                <w:rFonts w:ascii="Arial" w:hAnsi="Arial" w:cs="Arial"/>
                <w:noProof/>
                <w:webHidden/>
                <w:szCs w:val="24"/>
              </w:rPr>
              <w:fldChar w:fldCharType="separate"/>
            </w:r>
            <w:r w:rsidRPr="00BD74EA">
              <w:rPr>
                <w:rFonts w:ascii="Arial" w:hAnsi="Arial" w:cs="Arial"/>
                <w:noProof/>
                <w:webHidden/>
                <w:szCs w:val="24"/>
              </w:rPr>
              <w:t>4</w:t>
            </w:r>
            <w:r w:rsidRPr="00BD74EA">
              <w:rPr>
                <w:rFonts w:ascii="Arial" w:hAnsi="Arial" w:cs="Arial"/>
                <w:noProof/>
                <w:webHidden/>
                <w:szCs w:val="24"/>
              </w:rPr>
              <w:fldChar w:fldCharType="end"/>
            </w:r>
          </w:hyperlink>
        </w:p>
        <w:p w14:paraId="75D683AF" w14:textId="3041FC75" w:rsidR="0022657F" w:rsidRPr="00BD74EA" w:rsidRDefault="0022657F" w:rsidP="0022657F">
          <w:pPr>
            <w:pStyle w:val="TOC2"/>
            <w:tabs>
              <w:tab w:val="right" w:leader="dot" w:pos="9350"/>
            </w:tabs>
            <w:spacing w:line="480" w:lineRule="auto"/>
            <w:rPr>
              <w:rFonts w:ascii="Arial" w:hAnsi="Arial" w:cs="Arial"/>
              <w:noProof/>
              <w:szCs w:val="24"/>
            </w:rPr>
          </w:pPr>
          <w:hyperlink w:anchor="_Toc181631089" w:history="1">
            <w:r w:rsidRPr="00BD74EA">
              <w:rPr>
                <w:rStyle w:val="Hyperlink"/>
                <w:rFonts w:ascii="Arial" w:eastAsiaTheme="majorEastAsia" w:hAnsi="Arial" w:cs="Arial"/>
                <w:b/>
                <w:noProof/>
                <w:szCs w:val="24"/>
              </w:rPr>
              <w:t>Financial Performance Analysis</w:t>
            </w:r>
            <w:r w:rsidRPr="00BD74EA">
              <w:rPr>
                <w:rFonts w:ascii="Arial" w:hAnsi="Arial" w:cs="Arial"/>
                <w:noProof/>
                <w:webHidden/>
                <w:szCs w:val="24"/>
              </w:rPr>
              <w:tab/>
            </w:r>
            <w:r w:rsidRPr="00BD74EA">
              <w:rPr>
                <w:rFonts w:ascii="Arial" w:hAnsi="Arial" w:cs="Arial"/>
                <w:noProof/>
                <w:webHidden/>
                <w:szCs w:val="24"/>
              </w:rPr>
              <w:fldChar w:fldCharType="begin"/>
            </w:r>
            <w:r w:rsidRPr="00BD74EA">
              <w:rPr>
                <w:rFonts w:ascii="Arial" w:hAnsi="Arial" w:cs="Arial"/>
                <w:noProof/>
                <w:webHidden/>
                <w:szCs w:val="24"/>
              </w:rPr>
              <w:instrText xml:space="preserve"> PAGEREF _Toc181631089 \h </w:instrText>
            </w:r>
            <w:r w:rsidRPr="00BD74EA">
              <w:rPr>
                <w:rFonts w:ascii="Arial" w:hAnsi="Arial" w:cs="Arial"/>
                <w:noProof/>
                <w:webHidden/>
                <w:szCs w:val="24"/>
              </w:rPr>
            </w:r>
            <w:r w:rsidRPr="00BD74EA">
              <w:rPr>
                <w:rFonts w:ascii="Arial" w:hAnsi="Arial" w:cs="Arial"/>
                <w:noProof/>
                <w:webHidden/>
                <w:szCs w:val="24"/>
              </w:rPr>
              <w:fldChar w:fldCharType="separate"/>
            </w:r>
            <w:r w:rsidRPr="00BD74EA">
              <w:rPr>
                <w:rFonts w:ascii="Arial" w:hAnsi="Arial" w:cs="Arial"/>
                <w:noProof/>
                <w:webHidden/>
                <w:szCs w:val="24"/>
              </w:rPr>
              <w:t>4</w:t>
            </w:r>
            <w:r w:rsidRPr="00BD74EA">
              <w:rPr>
                <w:rFonts w:ascii="Arial" w:hAnsi="Arial" w:cs="Arial"/>
                <w:noProof/>
                <w:webHidden/>
                <w:szCs w:val="24"/>
              </w:rPr>
              <w:fldChar w:fldCharType="end"/>
            </w:r>
          </w:hyperlink>
        </w:p>
        <w:p w14:paraId="4186B581" w14:textId="1EB7ADF4" w:rsidR="0022657F" w:rsidRPr="00BD74EA" w:rsidRDefault="0022657F" w:rsidP="0022657F">
          <w:pPr>
            <w:pStyle w:val="TOC2"/>
            <w:tabs>
              <w:tab w:val="right" w:leader="dot" w:pos="9350"/>
            </w:tabs>
            <w:spacing w:line="480" w:lineRule="auto"/>
            <w:rPr>
              <w:rFonts w:ascii="Arial" w:hAnsi="Arial" w:cs="Arial"/>
              <w:noProof/>
              <w:szCs w:val="24"/>
            </w:rPr>
          </w:pPr>
          <w:hyperlink w:anchor="_Toc181631090" w:history="1">
            <w:r w:rsidRPr="00BD74EA">
              <w:rPr>
                <w:rStyle w:val="Hyperlink"/>
                <w:rFonts w:ascii="Arial" w:eastAsiaTheme="majorEastAsia" w:hAnsi="Arial" w:cs="Arial"/>
                <w:b/>
                <w:noProof/>
                <w:szCs w:val="24"/>
              </w:rPr>
              <w:t>Strategic Initiatives</w:t>
            </w:r>
            <w:r w:rsidRPr="00BD74EA">
              <w:rPr>
                <w:rFonts w:ascii="Arial" w:hAnsi="Arial" w:cs="Arial"/>
                <w:noProof/>
                <w:webHidden/>
                <w:szCs w:val="24"/>
              </w:rPr>
              <w:tab/>
            </w:r>
            <w:r w:rsidRPr="00BD74EA">
              <w:rPr>
                <w:rFonts w:ascii="Arial" w:hAnsi="Arial" w:cs="Arial"/>
                <w:noProof/>
                <w:webHidden/>
                <w:szCs w:val="24"/>
              </w:rPr>
              <w:fldChar w:fldCharType="begin"/>
            </w:r>
            <w:r w:rsidRPr="00BD74EA">
              <w:rPr>
                <w:rFonts w:ascii="Arial" w:hAnsi="Arial" w:cs="Arial"/>
                <w:noProof/>
                <w:webHidden/>
                <w:szCs w:val="24"/>
              </w:rPr>
              <w:instrText xml:space="preserve"> PAGEREF _Toc181631090 \h </w:instrText>
            </w:r>
            <w:r w:rsidRPr="00BD74EA">
              <w:rPr>
                <w:rFonts w:ascii="Arial" w:hAnsi="Arial" w:cs="Arial"/>
                <w:noProof/>
                <w:webHidden/>
                <w:szCs w:val="24"/>
              </w:rPr>
            </w:r>
            <w:r w:rsidRPr="00BD74EA">
              <w:rPr>
                <w:rFonts w:ascii="Arial" w:hAnsi="Arial" w:cs="Arial"/>
                <w:noProof/>
                <w:webHidden/>
                <w:szCs w:val="24"/>
              </w:rPr>
              <w:fldChar w:fldCharType="separate"/>
            </w:r>
            <w:r w:rsidRPr="00BD74EA">
              <w:rPr>
                <w:rFonts w:ascii="Arial" w:hAnsi="Arial" w:cs="Arial"/>
                <w:noProof/>
                <w:webHidden/>
                <w:szCs w:val="24"/>
              </w:rPr>
              <w:t>5</w:t>
            </w:r>
            <w:r w:rsidRPr="00BD74EA">
              <w:rPr>
                <w:rFonts w:ascii="Arial" w:hAnsi="Arial" w:cs="Arial"/>
                <w:noProof/>
                <w:webHidden/>
                <w:szCs w:val="24"/>
              </w:rPr>
              <w:fldChar w:fldCharType="end"/>
            </w:r>
          </w:hyperlink>
        </w:p>
        <w:p w14:paraId="67EDE31D" w14:textId="013627D4" w:rsidR="0022657F" w:rsidRPr="00BD74EA" w:rsidRDefault="0022657F" w:rsidP="0022657F">
          <w:pPr>
            <w:pStyle w:val="TOC2"/>
            <w:tabs>
              <w:tab w:val="right" w:leader="dot" w:pos="9350"/>
            </w:tabs>
            <w:spacing w:line="480" w:lineRule="auto"/>
            <w:rPr>
              <w:rFonts w:ascii="Arial" w:hAnsi="Arial" w:cs="Arial"/>
              <w:noProof/>
              <w:szCs w:val="24"/>
            </w:rPr>
          </w:pPr>
          <w:hyperlink w:anchor="_Toc181631091" w:history="1">
            <w:r w:rsidRPr="00BD74EA">
              <w:rPr>
                <w:rStyle w:val="Hyperlink"/>
                <w:rFonts w:ascii="Arial" w:eastAsiaTheme="majorEastAsia" w:hAnsi="Arial" w:cs="Arial"/>
                <w:b/>
                <w:noProof/>
                <w:szCs w:val="24"/>
              </w:rPr>
              <w:t>Market Positioning and Competitive Advantage</w:t>
            </w:r>
            <w:r w:rsidRPr="00BD74EA">
              <w:rPr>
                <w:rFonts w:ascii="Arial" w:hAnsi="Arial" w:cs="Arial"/>
                <w:noProof/>
                <w:webHidden/>
                <w:szCs w:val="24"/>
              </w:rPr>
              <w:tab/>
            </w:r>
            <w:r w:rsidRPr="00BD74EA">
              <w:rPr>
                <w:rFonts w:ascii="Arial" w:hAnsi="Arial" w:cs="Arial"/>
                <w:noProof/>
                <w:webHidden/>
                <w:szCs w:val="24"/>
              </w:rPr>
              <w:fldChar w:fldCharType="begin"/>
            </w:r>
            <w:r w:rsidRPr="00BD74EA">
              <w:rPr>
                <w:rFonts w:ascii="Arial" w:hAnsi="Arial" w:cs="Arial"/>
                <w:noProof/>
                <w:webHidden/>
                <w:szCs w:val="24"/>
              </w:rPr>
              <w:instrText xml:space="preserve"> PAGEREF _Toc181631091 \h </w:instrText>
            </w:r>
            <w:r w:rsidRPr="00BD74EA">
              <w:rPr>
                <w:rFonts w:ascii="Arial" w:hAnsi="Arial" w:cs="Arial"/>
                <w:noProof/>
                <w:webHidden/>
                <w:szCs w:val="24"/>
              </w:rPr>
            </w:r>
            <w:r w:rsidRPr="00BD74EA">
              <w:rPr>
                <w:rFonts w:ascii="Arial" w:hAnsi="Arial" w:cs="Arial"/>
                <w:noProof/>
                <w:webHidden/>
                <w:szCs w:val="24"/>
              </w:rPr>
              <w:fldChar w:fldCharType="separate"/>
            </w:r>
            <w:r w:rsidRPr="00BD74EA">
              <w:rPr>
                <w:rFonts w:ascii="Arial" w:hAnsi="Arial" w:cs="Arial"/>
                <w:noProof/>
                <w:webHidden/>
                <w:szCs w:val="24"/>
              </w:rPr>
              <w:t>7</w:t>
            </w:r>
            <w:r w:rsidRPr="00BD74EA">
              <w:rPr>
                <w:rFonts w:ascii="Arial" w:hAnsi="Arial" w:cs="Arial"/>
                <w:noProof/>
                <w:webHidden/>
                <w:szCs w:val="24"/>
              </w:rPr>
              <w:fldChar w:fldCharType="end"/>
            </w:r>
          </w:hyperlink>
        </w:p>
        <w:p w14:paraId="2C2EB3CA" w14:textId="48321137" w:rsidR="0022657F" w:rsidRPr="00BD74EA" w:rsidRDefault="0022657F" w:rsidP="0022657F">
          <w:pPr>
            <w:pStyle w:val="TOC2"/>
            <w:tabs>
              <w:tab w:val="right" w:leader="dot" w:pos="9350"/>
            </w:tabs>
            <w:spacing w:line="480" w:lineRule="auto"/>
            <w:rPr>
              <w:rFonts w:ascii="Arial" w:hAnsi="Arial" w:cs="Arial"/>
              <w:noProof/>
              <w:szCs w:val="24"/>
            </w:rPr>
          </w:pPr>
          <w:hyperlink w:anchor="_Toc181631092" w:history="1">
            <w:r w:rsidRPr="00BD74EA">
              <w:rPr>
                <w:rStyle w:val="Hyperlink"/>
                <w:rFonts w:ascii="Arial" w:eastAsiaTheme="majorEastAsia" w:hAnsi="Arial" w:cs="Arial"/>
                <w:b/>
                <w:noProof/>
                <w:szCs w:val="24"/>
              </w:rPr>
              <w:t>Challenges and Opportunities in Emerging Markets</w:t>
            </w:r>
            <w:r w:rsidRPr="00BD74EA">
              <w:rPr>
                <w:rFonts w:ascii="Arial" w:hAnsi="Arial" w:cs="Arial"/>
                <w:noProof/>
                <w:webHidden/>
                <w:szCs w:val="24"/>
              </w:rPr>
              <w:tab/>
            </w:r>
            <w:r w:rsidRPr="00BD74EA">
              <w:rPr>
                <w:rFonts w:ascii="Arial" w:hAnsi="Arial" w:cs="Arial"/>
                <w:noProof/>
                <w:webHidden/>
                <w:szCs w:val="24"/>
              </w:rPr>
              <w:fldChar w:fldCharType="begin"/>
            </w:r>
            <w:r w:rsidRPr="00BD74EA">
              <w:rPr>
                <w:rFonts w:ascii="Arial" w:hAnsi="Arial" w:cs="Arial"/>
                <w:noProof/>
                <w:webHidden/>
                <w:szCs w:val="24"/>
              </w:rPr>
              <w:instrText xml:space="preserve"> PAGEREF _Toc181631092 \h </w:instrText>
            </w:r>
            <w:r w:rsidRPr="00BD74EA">
              <w:rPr>
                <w:rFonts w:ascii="Arial" w:hAnsi="Arial" w:cs="Arial"/>
                <w:noProof/>
                <w:webHidden/>
                <w:szCs w:val="24"/>
              </w:rPr>
            </w:r>
            <w:r w:rsidRPr="00BD74EA">
              <w:rPr>
                <w:rFonts w:ascii="Arial" w:hAnsi="Arial" w:cs="Arial"/>
                <w:noProof/>
                <w:webHidden/>
                <w:szCs w:val="24"/>
              </w:rPr>
              <w:fldChar w:fldCharType="separate"/>
            </w:r>
            <w:r w:rsidRPr="00BD74EA">
              <w:rPr>
                <w:rFonts w:ascii="Arial" w:hAnsi="Arial" w:cs="Arial"/>
                <w:noProof/>
                <w:webHidden/>
                <w:szCs w:val="24"/>
              </w:rPr>
              <w:t>7</w:t>
            </w:r>
            <w:r w:rsidRPr="00BD74EA">
              <w:rPr>
                <w:rFonts w:ascii="Arial" w:hAnsi="Arial" w:cs="Arial"/>
                <w:noProof/>
                <w:webHidden/>
                <w:szCs w:val="24"/>
              </w:rPr>
              <w:fldChar w:fldCharType="end"/>
            </w:r>
          </w:hyperlink>
        </w:p>
        <w:p w14:paraId="16B42793" w14:textId="340290EF" w:rsidR="0022657F" w:rsidRPr="00BD74EA" w:rsidRDefault="0022657F" w:rsidP="0022657F">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631093" w:history="1">
            <w:r w:rsidRPr="00BD74EA">
              <w:rPr>
                <w:rStyle w:val="Hyperlink"/>
                <w:rFonts w:ascii="Arial" w:hAnsi="Arial" w:cs="Arial"/>
                <w:noProof/>
                <w:szCs w:val="24"/>
              </w:rPr>
              <w:t>Conclusion</w:t>
            </w:r>
            <w:r w:rsidRPr="00BD74EA">
              <w:rPr>
                <w:rFonts w:ascii="Arial" w:hAnsi="Arial" w:cs="Arial"/>
                <w:noProof/>
                <w:webHidden/>
                <w:szCs w:val="24"/>
              </w:rPr>
              <w:tab/>
            </w:r>
            <w:r w:rsidRPr="00BD74EA">
              <w:rPr>
                <w:rFonts w:ascii="Arial" w:hAnsi="Arial" w:cs="Arial"/>
                <w:noProof/>
                <w:webHidden/>
                <w:szCs w:val="24"/>
              </w:rPr>
              <w:fldChar w:fldCharType="begin"/>
            </w:r>
            <w:r w:rsidRPr="00BD74EA">
              <w:rPr>
                <w:rFonts w:ascii="Arial" w:hAnsi="Arial" w:cs="Arial"/>
                <w:noProof/>
                <w:webHidden/>
                <w:szCs w:val="24"/>
              </w:rPr>
              <w:instrText xml:space="preserve"> PAGEREF _Toc181631093 \h </w:instrText>
            </w:r>
            <w:r w:rsidRPr="00BD74EA">
              <w:rPr>
                <w:rFonts w:ascii="Arial" w:hAnsi="Arial" w:cs="Arial"/>
                <w:noProof/>
                <w:webHidden/>
                <w:szCs w:val="24"/>
              </w:rPr>
            </w:r>
            <w:r w:rsidRPr="00BD74EA">
              <w:rPr>
                <w:rFonts w:ascii="Arial" w:hAnsi="Arial" w:cs="Arial"/>
                <w:noProof/>
                <w:webHidden/>
                <w:szCs w:val="24"/>
              </w:rPr>
              <w:fldChar w:fldCharType="separate"/>
            </w:r>
            <w:r w:rsidRPr="00BD74EA">
              <w:rPr>
                <w:rFonts w:ascii="Arial" w:hAnsi="Arial" w:cs="Arial"/>
                <w:noProof/>
                <w:webHidden/>
                <w:szCs w:val="24"/>
              </w:rPr>
              <w:t>9</w:t>
            </w:r>
            <w:r w:rsidRPr="00BD74EA">
              <w:rPr>
                <w:rFonts w:ascii="Arial" w:hAnsi="Arial" w:cs="Arial"/>
                <w:noProof/>
                <w:webHidden/>
                <w:szCs w:val="24"/>
              </w:rPr>
              <w:fldChar w:fldCharType="end"/>
            </w:r>
          </w:hyperlink>
        </w:p>
        <w:p w14:paraId="185EE80E" w14:textId="47C892CB" w:rsidR="0022657F" w:rsidRPr="00BD74EA" w:rsidRDefault="0022657F" w:rsidP="0022657F">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631094" w:history="1">
            <w:r w:rsidRPr="00BD74EA">
              <w:rPr>
                <w:rStyle w:val="Hyperlink"/>
                <w:rFonts w:ascii="Arial" w:hAnsi="Arial" w:cs="Arial"/>
                <w:noProof/>
                <w:szCs w:val="24"/>
              </w:rPr>
              <w:t>References</w:t>
            </w:r>
            <w:r w:rsidRPr="00BD74EA">
              <w:rPr>
                <w:rFonts w:ascii="Arial" w:hAnsi="Arial" w:cs="Arial"/>
                <w:noProof/>
                <w:webHidden/>
                <w:szCs w:val="24"/>
              </w:rPr>
              <w:tab/>
            </w:r>
            <w:r w:rsidRPr="00BD74EA">
              <w:rPr>
                <w:rFonts w:ascii="Arial" w:hAnsi="Arial" w:cs="Arial"/>
                <w:noProof/>
                <w:webHidden/>
                <w:szCs w:val="24"/>
              </w:rPr>
              <w:fldChar w:fldCharType="begin"/>
            </w:r>
            <w:r w:rsidRPr="00BD74EA">
              <w:rPr>
                <w:rFonts w:ascii="Arial" w:hAnsi="Arial" w:cs="Arial"/>
                <w:noProof/>
                <w:webHidden/>
                <w:szCs w:val="24"/>
              </w:rPr>
              <w:instrText xml:space="preserve"> PAGEREF _Toc181631094 \h </w:instrText>
            </w:r>
            <w:r w:rsidRPr="00BD74EA">
              <w:rPr>
                <w:rFonts w:ascii="Arial" w:hAnsi="Arial" w:cs="Arial"/>
                <w:noProof/>
                <w:webHidden/>
                <w:szCs w:val="24"/>
              </w:rPr>
            </w:r>
            <w:r w:rsidRPr="00BD74EA">
              <w:rPr>
                <w:rFonts w:ascii="Arial" w:hAnsi="Arial" w:cs="Arial"/>
                <w:noProof/>
                <w:webHidden/>
                <w:szCs w:val="24"/>
              </w:rPr>
              <w:fldChar w:fldCharType="separate"/>
            </w:r>
            <w:r w:rsidRPr="00BD74EA">
              <w:rPr>
                <w:rFonts w:ascii="Arial" w:hAnsi="Arial" w:cs="Arial"/>
                <w:noProof/>
                <w:webHidden/>
                <w:szCs w:val="24"/>
              </w:rPr>
              <w:t>10</w:t>
            </w:r>
            <w:r w:rsidRPr="00BD74EA">
              <w:rPr>
                <w:rFonts w:ascii="Arial" w:hAnsi="Arial" w:cs="Arial"/>
                <w:noProof/>
                <w:webHidden/>
                <w:szCs w:val="24"/>
              </w:rPr>
              <w:fldChar w:fldCharType="end"/>
            </w:r>
          </w:hyperlink>
        </w:p>
        <w:p w14:paraId="5F810C29" w14:textId="74B4410C" w:rsidR="0022657F" w:rsidRPr="00BD74EA" w:rsidRDefault="0022657F" w:rsidP="0022657F">
          <w:pPr>
            <w:spacing w:line="480" w:lineRule="auto"/>
          </w:pPr>
          <w:r w:rsidRPr="00BD74EA">
            <w:rPr>
              <w:rFonts w:ascii="Arial" w:hAnsi="Arial" w:cs="Arial"/>
              <w:b/>
              <w:bCs/>
              <w:szCs w:val="24"/>
            </w:rPr>
            <w:fldChar w:fldCharType="end"/>
          </w:r>
        </w:p>
      </w:sdtContent>
    </w:sdt>
    <w:p w14:paraId="23398819" w14:textId="49BA54B0" w:rsidR="00564CC2" w:rsidRPr="00BD74EA" w:rsidRDefault="00564CC2" w:rsidP="0022657F">
      <w:pPr>
        <w:spacing w:line="360" w:lineRule="auto"/>
      </w:pPr>
      <w:r w:rsidRPr="00BD74EA">
        <w:br w:type="page"/>
      </w:r>
    </w:p>
    <w:p w14:paraId="1C3E75CA" w14:textId="39B8062C" w:rsidR="00564CC2" w:rsidRPr="00BD74EA" w:rsidRDefault="00564CC2" w:rsidP="00564CC2">
      <w:pPr>
        <w:pStyle w:val="Heading1"/>
      </w:pPr>
      <w:bookmarkStart w:id="1" w:name="_Toc181103360"/>
      <w:bookmarkStart w:id="2" w:name="_Toc181631088"/>
      <w:r w:rsidRPr="00BD74EA">
        <w:lastRenderedPageBreak/>
        <w:t>Introduction</w:t>
      </w:r>
      <w:bookmarkEnd w:id="1"/>
      <w:bookmarkEnd w:id="2"/>
    </w:p>
    <w:p w14:paraId="3C8F9F0A" w14:textId="0FC88FB9" w:rsidR="00633779" w:rsidRPr="00BD74EA" w:rsidRDefault="00F1530C" w:rsidP="00D5653B">
      <w:pPr>
        <w:pStyle w:val="NormalWeb"/>
        <w:spacing w:line="360" w:lineRule="auto"/>
        <w:jc w:val="both"/>
        <w:rPr>
          <w:rFonts w:ascii="Arial" w:hAnsi="Arial" w:cs="Arial"/>
          <w:lang w:val="en-GB"/>
        </w:rPr>
      </w:pPr>
      <w:r w:rsidRPr="00BD74EA">
        <w:rPr>
          <w:rFonts w:ascii="Arial" w:hAnsi="Arial" w:cs="Arial"/>
          <w:lang w:val="en-GB"/>
        </w:rPr>
        <w:t>Marriott International managed to stay atop the hospitality spectrum with unprecedented challenges during the last three years</w:t>
      </w:r>
      <w:r w:rsidR="00A6359C" w:rsidRPr="00BD74EA">
        <w:rPr>
          <w:rFonts w:ascii="Arial" w:hAnsi="Arial" w:cs="Arial"/>
          <w:lang w:val="en-GB"/>
        </w:rPr>
        <w:t xml:space="preserve"> (Vouk, 2022)</w:t>
      </w:r>
      <w:r w:rsidRPr="00BD74EA">
        <w:rPr>
          <w:rFonts w:ascii="Arial" w:hAnsi="Arial" w:cs="Arial"/>
          <w:lang w:val="en-GB"/>
        </w:rPr>
        <w:t>. The pandemic globally forced the industry of hospitality to face a big loss in terms of revenue during 2020 and 2021. During all this, Marriott showed resilience in adapting its strategies to bounce back to its strong positions in the market. It would then be a deep critical analysis of Marriott's performance in financial terms, covering total revenues for the past three years, market positioning, and growth potential</w:t>
      </w:r>
      <w:r w:rsidR="00BF1273" w:rsidRPr="00BD74EA">
        <w:rPr>
          <w:rFonts w:ascii="Arial" w:hAnsi="Arial" w:cs="Arial"/>
          <w:lang w:val="en-GB"/>
        </w:rPr>
        <w:t xml:space="preserve"> (Marriott)</w:t>
      </w:r>
      <w:r w:rsidRPr="00BD74EA">
        <w:rPr>
          <w:rFonts w:ascii="Arial" w:hAnsi="Arial" w:cs="Arial"/>
          <w:lang w:val="en-GB"/>
        </w:rPr>
        <w:t xml:space="preserve">. The analysis will also consider how the firm has dealt with the external challenges brought about by economic uncertainties and intensifying competition in the wake of the company's expansion plans into emerging markets by 2025. Grounded on a detailed analysis of Marriott's strategic </w:t>
      </w:r>
      <w:r w:rsidR="00F6334E" w:rsidRPr="00BD74EA">
        <w:rPr>
          <w:rFonts w:ascii="Arial" w:hAnsi="Arial" w:cs="Arial"/>
          <w:lang w:val="en-GB"/>
        </w:rPr>
        <w:t>manoeuvres</w:t>
      </w:r>
      <w:r w:rsidRPr="00BD74EA">
        <w:rPr>
          <w:rFonts w:ascii="Arial" w:hAnsi="Arial" w:cs="Arial"/>
          <w:lang w:val="en-GB"/>
        </w:rPr>
        <w:t>, the essay will provide suggestions on how to enhance its global status through sustainability, digital innovation, and market diversification</w:t>
      </w:r>
      <w:r w:rsidR="00633779" w:rsidRPr="00BD74EA">
        <w:rPr>
          <w:rFonts w:ascii="Arial" w:hAnsi="Arial" w:cs="Arial"/>
          <w:lang w:val="en-GB"/>
        </w:rPr>
        <w:t>.</w:t>
      </w:r>
    </w:p>
    <w:p w14:paraId="776C0496" w14:textId="4596E08A" w:rsidR="00207103" w:rsidRPr="00D5653B" w:rsidRDefault="00207103" w:rsidP="00207103">
      <w:pPr>
        <w:keepNext/>
        <w:keepLines/>
        <w:spacing w:before="240" w:after="240"/>
        <w:outlineLvl w:val="1"/>
        <w:rPr>
          <w:rFonts w:eastAsiaTheme="majorEastAsia" w:cstheme="majorBidi"/>
          <w:b/>
          <w:color w:val="2E74B5" w:themeColor="accent1" w:themeShade="BF"/>
          <w:szCs w:val="26"/>
        </w:rPr>
      </w:pPr>
      <w:bookmarkStart w:id="3" w:name="_Toc181103362"/>
      <w:bookmarkStart w:id="4" w:name="_Toc181631089"/>
      <w:r w:rsidRPr="00D5653B">
        <w:rPr>
          <w:rFonts w:eastAsiaTheme="majorEastAsia" w:cstheme="majorBidi"/>
          <w:b/>
          <w:color w:val="2E74B5" w:themeColor="accent1" w:themeShade="BF"/>
          <w:szCs w:val="26"/>
        </w:rPr>
        <w:t>Financial Performance</w:t>
      </w:r>
      <w:r w:rsidR="00D5653B" w:rsidRPr="00D5653B">
        <w:rPr>
          <w:rFonts w:eastAsiaTheme="majorEastAsia" w:cstheme="majorBidi"/>
          <w:b/>
          <w:color w:val="2E74B5" w:themeColor="accent1" w:themeShade="BF"/>
          <w:szCs w:val="26"/>
        </w:rPr>
        <w:t xml:space="preserve"> </w:t>
      </w:r>
      <w:r w:rsidRPr="00D5653B">
        <w:rPr>
          <w:rFonts w:eastAsiaTheme="majorEastAsia" w:cstheme="majorBidi"/>
          <w:b/>
          <w:color w:val="2E74B5" w:themeColor="accent1" w:themeShade="BF"/>
          <w:szCs w:val="26"/>
        </w:rPr>
        <w:t>Analysis</w:t>
      </w:r>
      <w:bookmarkEnd w:id="3"/>
      <w:bookmarkEnd w:id="4"/>
    </w:p>
    <w:p w14:paraId="4359862B" w14:textId="77777777" w:rsidR="00F1530C" w:rsidRPr="00BD74EA" w:rsidRDefault="00F1530C" w:rsidP="00D5653B">
      <w:pPr>
        <w:spacing w:line="360" w:lineRule="auto"/>
        <w:jc w:val="both"/>
        <w:rPr>
          <w:rFonts w:ascii="Arial" w:hAnsi="Arial" w:cs="Arial"/>
        </w:rPr>
      </w:pPr>
      <w:r w:rsidRPr="00BD74EA">
        <w:rPr>
          <w:rFonts w:ascii="Arial" w:hAnsi="Arial" w:cs="Arial"/>
        </w:rPr>
        <w:t>The past three years have indicated a steady upward shift in Marriott International's revenues, which marks the gradual recovery the company is experiencing after the pandemic-led major crash that it suffered in 2020</w:t>
      </w:r>
      <w:r w:rsidR="00A6359C" w:rsidRPr="00BD74EA">
        <w:rPr>
          <w:rFonts w:ascii="Arial" w:hAnsi="Arial" w:cs="Arial"/>
        </w:rPr>
        <w:t xml:space="preserve"> (Nhamo et al., 2020)</w:t>
      </w:r>
      <w:r w:rsidRPr="00BD74EA">
        <w:rPr>
          <w:rFonts w:ascii="Arial" w:hAnsi="Arial" w:cs="Arial"/>
        </w:rPr>
        <w:t>. Marriott hauled in about $13.86 billion revenues for the calendar year 2021</w:t>
      </w:r>
      <w:r w:rsidR="00D8422F" w:rsidRPr="00BD74EA">
        <w:rPr>
          <w:rFonts w:ascii="Arial" w:hAnsi="Arial" w:cs="Arial"/>
        </w:rPr>
        <w:t xml:space="preserve"> (Marriott International, 2021)</w:t>
      </w:r>
      <w:r w:rsidRPr="00BD74EA">
        <w:rPr>
          <w:rFonts w:ascii="Arial" w:hAnsi="Arial" w:cs="Arial"/>
        </w:rPr>
        <w:t>. This was a steeper drop than its pre-pandemic performance as the company struggled amidst global lockdowns, travel restrictions, and the collapse of international tourism. Nevertheless, towards the end of 2021, Marriott's financial resilience began to be seen as domestic travel markets in the United States, among others, started their recovery.</w:t>
      </w:r>
    </w:p>
    <w:p w14:paraId="5C7CF975" w14:textId="798B363E" w:rsidR="00F1530C" w:rsidRPr="00BD74EA" w:rsidRDefault="00F1530C" w:rsidP="00F6334E">
      <w:pPr>
        <w:spacing w:line="360" w:lineRule="auto"/>
        <w:jc w:val="both"/>
        <w:rPr>
          <w:rFonts w:ascii="Arial" w:hAnsi="Arial" w:cs="Arial"/>
        </w:rPr>
      </w:pPr>
      <w:r w:rsidRPr="00BD74EA">
        <w:rPr>
          <w:rFonts w:ascii="Arial" w:hAnsi="Arial" w:cs="Arial"/>
        </w:rPr>
        <w:t>Total revenues at Marriott had well recuperated by the year 2022</w:t>
      </w:r>
      <w:r w:rsidR="00D8422F" w:rsidRPr="00BD74EA">
        <w:rPr>
          <w:rFonts w:ascii="Arial" w:hAnsi="Arial" w:cs="Arial"/>
        </w:rPr>
        <w:t xml:space="preserve"> (</w:t>
      </w:r>
      <w:r w:rsidR="00F6334E" w:rsidRPr="00BD74EA">
        <w:rPr>
          <w:rFonts w:ascii="Arial" w:hAnsi="Arial" w:cs="Arial"/>
        </w:rPr>
        <w:t>Marriott International, 2022</w:t>
      </w:r>
      <w:r w:rsidR="00D8422F" w:rsidRPr="00BD74EA">
        <w:rPr>
          <w:rFonts w:ascii="Arial" w:hAnsi="Arial" w:cs="Arial"/>
        </w:rPr>
        <w:t>)</w:t>
      </w:r>
      <w:r w:rsidRPr="00BD74EA">
        <w:rPr>
          <w:rFonts w:ascii="Arial" w:hAnsi="Arial" w:cs="Arial"/>
        </w:rPr>
        <w:t>. Total revenue results had recorded 49.91% growth compared to those in 2021 and stood at $20.77 billion. Incremental factors that have led to this recovery include the gradual reopening of borders, the increases in vaccination rates, and consumer confidence in travelling again</w:t>
      </w:r>
      <w:r w:rsidR="00A6359C" w:rsidRPr="00BD74EA">
        <w:rPr>
          <w:rFonts w:ascii="Arial" w:hAnsi="Arial" w:cs="Arial"/>
        </w:rPr>
        <w:t xml:space="preserve"> (Nientied and Shutina, 2020)</w:t>
      </w:r>
      <w:r w:rsidRPr="00BD74EA">
        <w:rPr>
          <w:rFonts w:ascii="Arial" w:hAnsi="Arial" w:cs="Arial"/>
        </w:rPr>
        <w:t xml:space="preserve">. One of the drivers for Marriott's revenue comeback was leisure travel in the United States. Business travel, during the time of this study, was dominated by leisure travel. Marriott further relied on a </w:t>
      </w:r>
      <w:r w:rsidRPr="00BD74EA">
        <w:rPr>
          <w:rFonts w:ascii="Arial" w:hAnsi="Arial" w:cs="Arial"/>
        </w:rPr>
        <w:lastRenderedPageBreak/>
        <w:t xml:space="preserve">feature of most traveler demographics; some needed long extended stays while others required luxury and many </w:t>
      </w:r>
      <w:r w:rsidR="00F6334E" w:rsidRPr="00BD74EA">
        <w:rPr>
          <w:rFonts w:ascii="Arial" w:hAnsi="Arial" w:cs="Arial"/>
        </w:rPr>
        <w:t>longed-for</w:t>
      </w:r>
      <w:r w:rsidRPr="00BD74EA">
        <w:rPr>
          <w:rFonts w:ascii="Arial" w:hAnsi="Arial" w:cs="Arial"/>
        </w:rPr>
        <w:t xml:space="preserve"> low-cost accommodation.</w:t>
      </w:r>
    </w:p>
    <w:p w14:paraId="417AF58A" w14:textId="77777777" w:rsidR="00F1530C" w:rsidRPr="00BD74EA" w:rsidRDefault="00F1530C" w:rsidP="00F6334E">
      <w:pPr>
        <w:spacing w:line="360" w:lineRule="auto"/>
        <w:jc w:val="both"/>
        <w:rPr>
          <w:rFonts w:ascii="Arial" w:hAnsi="Arial" w:cs="Arial"/>
        </w:rPr>
      </w:pPr>
      <w:r w:rsidRPr="00BD74EA">
        <w:rPr>
          <w:rFonts w:ascii="Arial" w:hAnsi="Arial" w:cs="Arial"/>
        </w:rPr>
        <w:t>Marriott's total revenues for the year 2023 were about $23.71 billion</w:t>
      </w:r>
      <w:r w:rsidR="00D8422F" w:rsidRPr="00BD74EA">
        <w:rPr>
          <w:rFonts w:ascii="Arial" w:hAnsi="Arial" w:cs="Arial"/>
        </w:rPr>
        <w:t xml:space="preserve"> (Marriott International, 2023)</w:t>
      </w:r>
      <w:r w:rsidRPr="00BD74EA">
        <w:rPr>
          <w:rFonts w:ascii="Arial" w:hAnsi="Arial" w:cs="Arial"/>
        </w:rPr>
        <w:t>. Compared to that of last year, these revenues increased by 14.15%. The company's flexible strategies, coupled with its capacity to snap up the gradual recovery of leisure and business travels, were indicated by sustained growth. Though some areas were still reeling from the residual effects of the pandemic, Marriott's impressive recovery in North America and other key geographies, which included Europe and the Middle East, led the company to financial recovery</w:t>
      </w:r>
      <w:r w:rsidR="0059604B" w:rsidRPr="00BD74EA">
        <w:rPr>
          <w:rFonts w:ascii="Arial" w:hAnsi="Arial" w:cs="Arial"/>
        </w:rPr>
        <w:t xml:space="preserve"> (Neves, 2022)</w:t>
      </w:r>
      <w:r w:rsidRPr="00BD74EA">
        <w:rPr>
          <w:rFonts w:ascii="Arial" w:hAnsi="Arial" w:cs="Arial"/>
        </w:rPr>
        <w:t>. This was also driven by the Marriott Bonvoy loyalty program that promoted repeat business, hence assisting in the increase of occupancy levels and revenues from loyal customers.</w:t>
      </w:r>
    </w:p>
    <w:p w14:paraId="252A8886" w14:textId="77777777" w:rsidR="00633779" w:rsidRPr="00BD74EA" w:rsidRDefault="00F1530C" w:rsidP="00F6334E">
      <w:pPr>
        <w:spacing w:line="360" w:lineRule="auto"/>
        <w:jc w:val="both"/>
        <w:rPr>
          <w:rFonts w:ascii="Arial" w:hAnsi="Arial" w:cs="Arial"/>
        </w:rPr>
      </w:pPr>
      <w:r w:rsidRPr="00BD74EA">
        <w:rPr>
          <w:rFonts w:ascii="Arial" w:hAnsi="Arial" w:cs="Arial"/>
        </w:rPr>
        <w:t>The EBITDA in 2023 across the company was also a remarkable $4.6 billion, which meant a 21% rise compared to the same time in 2022</w:t>
      </w:r>
      <w:r w:rsidR="00A6359C" w:rsidRPr="00BD74EA">
        <w:rPr>
          <w:rFonts w:ascii="Arial" w:hAnsi="Arial" w:cs="Arial"/>
        </w:rPr>
        <w:t xml:space="preserve"> (Afonso, 2023)</w:t>
      </w:r>
      <w:r w:rsidRPr="00BD74EA">
        <w:rPr>
          <w:rFonts w:ascii="Arial" w:hAnsi="Arial" w:cs="Arial"/>
        </w:rPr>
        <w:t>. The same source noted that this was up, thus an indication of the effectiveness of Marriott's strategy to focus growth in high-margin properties, particularly luxury as well as extended-stay properties. Improved financial performance for Marriott would be due to efficient cost management, including streamlined operational processes and effective use of technology in the travel experience for customers. This is contrasted with the fact that Marriott has fully recovered, but its revenue growth is dependent on the greater forces of the economy such as inflation, increasing interest rates, and global uncertainty, which will absorb a large part of consumer's travel expenditure in the future</w:t>
      </w:r>
      <w:r w:rsidR="00633779" w:rsidRPr="00BD74EA">
        <w:rPr>
          <w:rFonts w:ascii="Arial" w:hAnsi="Arial" w:cs="Arial"/>
        </w:rPr>
        <w:t>.</w:t>
      </w:r>
    </w:p>
    <w:p w14:paraId="3FC7C1D1" w14:textId="359F5DAA" w:rsidR="008A23A4" w:rsidRPr="00D5653B" w:rsidRDefault="008A23A4" w:rsidP="008A23A4">
      <w:pPr>
        <w:keepNext/>
        <w:keepLines/>
        <w:spacing w:before="240" w:after="240"/>
        <w:outlineLvl w:val="1"/>
        <w:rPr>
          <w:rFonts w:eastAsiaTheme="majorEastAsia" w:cstheme="majorBidi"/>
          <w:b/>
          <w:color w:val="2E74B5" w:themeColor="accent1" w:themeShade="BF"/>
          <w:szCs w:val="26"/>
        </w:rPr>
      </w:pPr>
      <w:bookmarkStart w:id="5" w:name="_Toc181103363"/>
      <w:bookmarkStart w:id="6" w:name="_Toc181631090"/>
      <w:r w:rsidRPr="00D5653B">
        <w:rPr>
          <w:rFonts w:eastAsiaTheme="majorEastAsia" w:cstheme="majorBidi"/>
          <w:b/>
          <w:color w:val="2E74B5" w:themeColor="accent1" w:themeShade="BF"/>
          <w:szCs w:val="26"/>
        </w:rPr>
        <w:t>Strategic Initiatives</w:t>
      </w:r>
      <w:bookmarkEnd w:id="5"/>
      <w:bookmarkEnd w:id="6"/>
    </w:p>
    <w:p w14:paraId="6BC44AE7" w14:textId="77777777" w:rsidR="00F1530C" w:rsidRPr="00BD74EA" w:rsidRDefault="00F1530C" w:rsidP="00F6334E">
      <w:pPr>
        <w:spacing w:line="360" w:lineRule="auto"/>
        <w:jc w:val="both"/>
        <w:rPr>
          <w:rFonts w:ascii="Arial" w:hAnsi="Arial" w:cs="Arial"/>
        </w:rPr>
      </w:pPr>
      <w:r w:rsidRPr="00BD74EA">
        <w:rPr>
          <w:rFonts w:ascii="Arial" w:hAnsi="Arial" w:cs="Arial"/>
        </w:rPr>
        <w:t>The company has retained its position in the market with all the challenges the pandemic created and Marriott International has grown to become one of the world's largest hotel chains. The portfolio comprising over 8,500 properties spread across 139 countries and territories is meant to cater to a broad range of customer segments as it ranges from luxury travelers to budget-conscious individuals</w:t>
      </w:r>
      <w:r w:rsidR="0047593F" w:rsidRPr="00BD74EA">
        <w:rPr>
          <w:rFonts w:ascii="Arial" w:hAnsi="Arial" w:cs="Arial"/>
        </w:rPr>
        <w:t xml:space="preserve"> (Segwe, 2021)</w:t>
      </w:r>
      <w:r w:rsidRPr="00BD74EA">
        <w:rPr>
          <w:rFonts w:ascii="Arial" w:hAnsi="Arial" w:cs="Arial"/>
        </w:rPr>
        <w:t>. This diversified brand portfolio features world-class brands such as Ritz Carlton, St. Regis, JW Marriott, Westin, and Fairfield Inn &amp; Suites targeting different market niches.</w:t>
      </w:r>
    </w:p>
    <w:p w14:paraId="647A7208" w14:textId="77777777" w:rsidR="00F1530C" w:rsidRPr="00BD74EA" w:rsidRDefault="00F1530C" w:rsidP="00F6334E">
      <w:pPr>
        <w:spacing w:line="360" w:lineRule="auto"/>
        <w:jc w:val="both"/>
        <w:rPr>
          <w:rFonts w:ascii="Arial" w:hAnsi="Arial" w:cs="Arial"/>
        </w:rPr>
      </w:pPr>
      <w:r w:rsidRPr="00BD74EA">
        <w:rPr>
          <w:rFonts w:ascii="Arial" w:hAnsi="Arial" w:cs="Arial"/>
        </w:rPr>
        <w:lastRenderedPageBreak/>
        <w:t>In 2021, the house lost market share due to the global travel downturn, but the competitive advantage was maintained through sound strategic brand management and continued expansion of its loyalty program</w:t>
      </w:r>
      <w:r w:rsidR="00A6359C" w:rsidRPr="00BD74EA">
        <w:rPr>
          <w:rFonts w:ascii="Arial" w:hAnsi="Arial" w:cs="Arial"/>
        </w:rPr>
        <w:t xml:space="preserve"> (Kotabe and Helsen, 2022)</w:t>
      </w:r>
      <w:r w:rsidRPr="00BD74EA">
        <w:rPr>
          <w:rFonts w:ascii="Arial" w:hAnsi="Arial" w:cs="Arial"/>
        </w:rPr>
        <w:t>. One of the strongest distinguishing factors at Marriott is its loyalty program, Marriott Bonvoy, with over 177 million memberships in the world as of 2023. Through this program, Marriott has been able to collect valuable customer data that allows the company to give more customized experiences to their customers, makes them more loyal, and better positions itself in the market.</w:t>
      </w:r>
    </w:p>
    <w:p w14:paraId="48758F52" w14:textId="77777777" w:rsidR="00F1530C" w:rsidRPr="00BD74EA" w:rsidRDefault="00F1530C" w:rsidP="00F6334E">
      <w:pPr>
        <w:spacing w:line="360" w:lineRule="auto"/>
        <w:jc w:val="both"/>
        <w:rPr>
          <w:rFonts w:ascii="Arial" w:hAnsi="Arial" w:cs="Arial"/>
        </w:rPr>
      </w:pPr>
      <w:r w:rsidRPr="00BD74EA">
        <w:rPr>
          <w:rFonts w:ascii="Arial" w:hAnsi="Arial" w:cs="Arial"/>
        </w:rPr>
        <w:t>Rebound in domestic and international travel for 2022 and 2023 gave Marriott the chance to regain its market share and regain its competitive position. Specifically, Marriott strength within the United States, Canada, and Europe helped the company take advantage of pent-up travel demand once borders opened up. The brand's efforts have been in providing unique, luxurious experiences, such as personalized concierge service and destination stays that have sustained its position in high-end travel.</w:t>
      </w:r>
    </w:p>
    <w:p w14:paraId="610824A3" w14:textId="77777777" w:rsidR="00F1530C" w:rsidRPr="00BD74EA" w:rsidRDefault="00F1530C" w:rsidP="00F6334E">
      <w:pPr>
        <w:spacing w:line="360" w:lineRule="auto"/>
        <w:jc w:val="both"/>
        <w:rPr>
          <w:rFonts w:ascii="Arial" w:hAnsi="Arial" w:cs="Arial"/>
        </w:rPr>
      </w:pPr>
      <w:r w:rsidRPr="00BD74EA">
        <w:rPr>
          <w:rFonts w:ascii="Arial" w:hAnsi="Arial" w:cs="Arial"/>
        </w:rPr>
        <w:t>Marriott still has to contend with other world hospitality giants such as Hilton, Hyatt, and Accor, and also non-traditional challengers like Airbnb, attracting travelers with its flexibility and alternative accommodations. Marriott focuses more on digital transformation in an endeavor to remain ahead; it has seen improvements in mobile booking platforms, contactless services for check-in, and other innovative technological tools such as artificial intelligence toward deeper personalization of its guest offerings</w:t>
      </w:r>
      <w:r w:rsidR="0047593F" w:rsidRPr="00BD74EA">
        <w:rPr>
          <w:rFonts w:ascii="Arial" w:hAnsi="Arial" w:cs="Arial"/>
        </w:rPr>
        <w:t xml:space="preserve"> (Vouk, 2022)</w:t>
      </w:r>
      <w:r w:rsidRPr="00BD74EA">
        <w:rPr>
          <w:rFonts w:ascii="Arial" w:hAnsi="Arial" w:cs="Arial"/>
        </w:rPr>
        <w:t>. Also, the strength of the brand portfolio of Marriott and being responsive to the modification in market demands, like wellness-based travel and eco-friendly lodging, also indicate long-term market leadership for the firm</w:t>
      </w:r>
      <w:r w:rsidR="00633779" w:rsidRPr="00BD74EA">
        <w:rPr>
          <w:rFonts w:ascii="Arial" w:hAnsi="Arial" w:cs="Arial"/>
        </w:rPr>
        <w:t>.</w:t>
      </w:r>
      <w:r w:rsidR="000671E3" w:rsidRPr="00BD74EA">
        <w:rPr>
          <w:rFonts w:ascii="Arial" w:hAnsi="Arial" w:cs="Arial"/>
        </w:rPr>
        <w:t xml:space="preserve"> </w:t>
      </w:r>
      <w:r w:rsidRPr="00BD74EA">
        <w:rPr>
          <w:rFonts w:ascii="Arial" w:hAnsi="Arial" w:cs="Arial"/>
        </w:rPr>
        <w:t>The growth prospect of Marriott International in the next several years is substantial since the company now shifts focus to expansion in emerging markets</w:t>
      </w:r>
      <w:r w:rsidR="00A6359C" w:rsidRPr="00BD74EA">
        <w:rPr>
          <w:rFonts w:ascii="Arial" w:hAnsi="Arial" w:cs="Arial"/>
        </w:rPr>
        <w:t xml:space="preserve"> (Neves, 2022)</w:t>
      </w:r>
      <w:r w:rsidRPr="00BD74EA">
        <w:rPr>
          <w:rFonts w:ascii="Arial" w:hAnsi="Arial" w:cs="Arial"/>
        </w:rPr>
        <w:t>. The hospitality industry worldwide is growing at a compound annual growth rate of 10.3% from 2023 to 2027, driven by the recovery of international travel, growth in middle-class population, and tourist infrastructure development in regions such as Asia-Pacific, Africa, and Latin America.</w:t>
      </w:r>
    </w:p>
    <w:p w14:paraId="12551F12" w14:textId="65449913" w:rsidR="00C84FAD" w:rsidRPr="00D5653B" w:rsidRDefault="00C84FAD" w:rsidP="00C84FAD">
      <w:pPr>
        <w:keepNext/>
        <w:keepLines/>
        <w:spacing w:before="240" w:after="240"/>
        <w:outlineLvl w:val="1"/>
        <w:rPr>
          <w:rFonts w:eastAsiaTheme="majorEastAsia" w:cstheme="majorBidi"/>
          <w:b/>
          <w:color w:val="2E74B5" w:themeColor="accent1" w:themeShade="BF"/>
          <w:szCs w:val="26"/>
        </w:rPr>
      </w:pPr>
      <w:bookmarkStart w:id="7" w:name="_Toc181103364"/>
      <w:bookmarkStart w:id="8" w:name="_Toc181631091"/>
      <w:r w:rsidRPr="00D5653B">
        <w:rPr>
          <w:rFonts w:eastAsiaTheme="majorEastAsia" w:cstheme="majorBidi"/>
          <w:b/>
          <w:color w:val="2E74B5" w:themeColor="accent1" w:themeShade="BF"/>
          <w:szCs w:val="26"/>
        </w:rPr>
        <w:lastRenderedPageBreak/>
        <w:t>Market Positioning and Competitive Advantage</w:t>
      </w:r>
      <w:bookmarkEnd w:id="7"/>
      <w:bookmarkEnd w:id="8"/>
    </w:p>
    <w:p w14:paraId="107277FB" w14:textId="0E2E157A" w:rsidR="00F1530C" w:rsidRPr="00BD74EA" w:rsidRDefault="00F1530C" w:rsidP="00F6334E">
      <w:pPr>
        <w:spacing w:line="360" w:lineRule="auto"/>
        <w:jc w:val="both"/>
        <w:rPr>
          <w:rFonts w:ascii="Arial" w:hAnsi="Arial" w:cs="Arial"/>
        </w:rPr>
      </w:pPr>
      <w:r w:rsidRPr="00BD74EA">
        <w:rPr>
          <w:rFonts w:ascii="Arial" w:hAnsi="Arial" w:cs="Arial"/>
        </w:rPr>
        <w:t>Marriott introduced 81,300 new rooms in 2022. That translates into a 4.7% increase in its global portfolio. Many of the launches were concentrated in areas with high growth potential, like the Middle East, Asia-Pac, and the Caribbean. This way, the strategy on product differentiation across geographies promotes the company's ability to position itself in different global travel directions while minimizing risks due</w:t>
      </w:r>
      <w:r w:rsidR="000671E3" w:rsidRPr="00BD74EA">
        <w:rPr>
          <w:rFonts w:ascii="Arial" w:hAnsi="Arial" w:cs="Arial"/>
        </w:rPr>
        <w:t xml:space="preserve"> to overreliance on one market. </w:t>
      </w:r>
      <w:r w:rsidRPr="00BD74EA">
        <w:rPr>
          <w:rFonts w:ascii="Arial" w:hAnsi="Arial" w:cs="Arial"/>
        </w:rPr>
        <w:t>Looking ahead, Marriott's expansion strategy is very much about harvesting demand, particularly for luxury and mid-scale accommodations in emerging markets. Everywhere in Southeast Asia or Sub-Saharan Africa, tremendous opportunity awaits Marriott</w:t>
      </w:r>
      <w:r w:rsidR="00A6359C" w:rsidRPr="00BD74EA">
        <w:rPr>
          <w:rFonts w:ascii="Arial" w:hAnsi="Arial" w:cs="Arial"/>
        </w:rPr>
        <w:t xml:space="preserve"> (Touo, 2021)</w:t>
      </w:r>
      <w:r w:rsidRPr="00BD74EA">
        <w:rPr>
          <w:rFonts w:ascii="Arial" w:hAnsi="Arial" w:cs="Arial"/>
        </w:rPr>
        <w:t>. Both regions abound with burgeoning middle-class populations, with enhancing infrastructure and growing levels of disposable incomes. Marriott's special expertise in luxury properties will also be in great demand in these regions, which are requiring ever more luxury hotels and one-of-a-kind travel experiences. But developing mid-scale hotels will also be required for this wider market.</w:t>
      </w:r>
    </w:p>
    <w:p w14:paraId="127187D7" w14:textId="77777777" w:rsidR="00633779" w:rsidRPr="00BD74EA" w:rsidRDefault="00F1530C" w:rsidP="00F6334E">
      <w:pPr>
        <w:spacing w:line="360" w:lineRule="auto"/>
        <w:jc w:val="both"/>
        <w:rPr>
          <w:rFonts w:ascii="Arial" w:hAnsi="Arial" w:cs="Arial"/>
        </w:rPr>
      </w:pPr>
      <w:r w:rsidRPr="00BD74EA">
        <w:rPr>
          <w:rFonts w:ascii="Arial" w:hAnsi="Arial" w:cs="Arial"/>
        </w:rPr>
        <w:t>Sustainability and responsible tourism are proving to be drivers of growth for the hospitality industry, and Marriott has responded with numerous initiatives across its properties</w:t>
      </w:r>
      <w:r w:rsidR="0047593F" w:rsidRPr="00BD74EA">
        <w:rPr>
          <w:rFonts w:ascii="Arial" w:hAnsi="Arial" w:cs="Arial"/>
        </w:rPr>
        <w:t xml:space="preserve"> (Wesley et al., 2024)</w:t>
      </w:r>
      <w:r w:rsidRPr="00BD74EA">
        <w:rPr>
          <w:rFonts w:ascii="Arial" w:hAnsi="Arial" w:cs="Arial"/>
        </w:rPr>
        <w:t>. The company is committed to reducing carbon footprints, increasing its use of renewable energy, and encouraging sustainable tourism practices-the latter especially in emerging markets, where the environmental impact of travel increasingly threatens to gain ground. These efforts not only brand Marriott as an accountable socially responsible company but also make Marriott appealing to travel-conscious environmentalists, who now form an increasingly large share of the traveling population.</w:t>
      </w:r>
    </w:p>
    <w:p w14:paraId="290ECF1E" w14:textId="3631163D" w:rsidR="00361B66" w:rsidRPr="00D5653B" w:rsidRDefault="00361B66" w:rsidP="00361B66">
      <w:pPr>
        <w:keepNext/>
        <w:keepLines/>
        <w:spacing w:before="240" w:after="240"/>
        <w:outlineLvl w:val="1"/>
        <w:rPr>
          <w:rFonts w:eastAsiaTheme="majorEastAsia" w:cstheme="majorBidi"/>
          <w:b/>
          <w:color w:val="2E74B5" w:themeColor="accent1" w:themeShade="BF"/>
          <w:szCs w:val="26"/>
        </w:rPr>
      </w:pPr>
      <w:bookmarkStart w:id="9" w:name="_Toc181103365"/>
      <w:bookmarkStart w:id="10" w:name="_Toc181631092"/>
      <w:r w:rsidRPr="00D5653B">
        <w:rPr>
          <w:rFonts w:eastAsiaTheme="majorEastAsia" w:cstheme="majorBidi"/>
          <w:b/>
          <w:color w:val="2E74B5" w:themeColor="accent1" w:themeShade="BF"/>
          <w:szCs w:val="26"/>
        </w:rPr>
        <w:t>Challenges and Opportunities in Emerging Markets</w:t>
      </w:r>
      <w:bookmarkEnd w:id="9"/>
      <w:bookmarkEnd w:id="10"/>
    </w:p>
    <w:p w14:paraId="28750AAA" w14:textId="77777777" w:rsidR="00F1530C" w:rsidRPr="00BD74EA" w:rsidRDefault="00F1530C" w:rsidP="00F6334E">
      <w:pPr>
        <w:spacing w:line="360" w:lineRule="auto"/>
        <w:jc w:val="both"/>
        <w:rPr>
          <w:rFonts w:ascii="Arial" w:hAnsi="Arial" w:cs="Arial"/>
        </w:rPr>
      </w:pPr>
      <w:r w:rsidRPr="00BD74EA">
        <w:rPr>
          <w:rFonts w:ascii="Arial" w:hAnsi="Arial" w:cs="Arial"/>
        </w:rPr>
        <w:t>For genuinely getting the most bang for its money and negotiating the challenges that pose while expanding into new emerging markets in 2025, Marriott International needs to focus</w:t>
      </w:r>
      <w:r w:rsidR="000671E3" w:rsidRPr="00BD74EA">
        <w:rPr>
          <w:rFonts w:ascii="Arial" w:hAnsi="Arial" w:cs="Arial"/>
        </w:rPr>
        <w:t xml:space="preserve"> the following strategic areas</w:t>
      </w:r>
      <w:r w:rsidR="00A6359C" w:rsidRPr="00BD74EA">
        <w:rPr>
          <w:rFonts w:ascii="Arial" w:hAnsi="Arial" w:cs="Arial"/>
        </w:rPr>
        <w:t xml:space="preserve"> (Narayanan, 2020)</w:t>
      </w:r>
      <w:r w:rsidR="000671E3" w:rsidRPr="00BD74EA">
        <w:rPr>
          <w:rFonts w:ascii="Arial" w:hAnsi="Arial" w:cs="Arial"/>
        </w:rPr>
        <w:t xml:space="preserve">. </w:t>
      </w:r>
      <w:r w:rsidRPr="00BD74EA">
        <w:rPr>
          <w:rFonts w:ascii="Arial" w:hAnsi="Arial" w:cs="Arial"/>
        </w:rPr>
        <w:t xml:space="preserve">First, Marriott must concentrate more on the sustainability and eco-friendly positioning in its operations in all aspects of operations around the world. This aspect is more important in emerging markets, as environmental concerns are on the rise and sustainable tourism is considered a point of </w:t>
      </w:r>
      <w:r w:rsidRPr="00BD74EA">
        <w:rPr>
          <w:rFonts w:ascii="Arial" w:hAnsi="Arial" w:cs="Arial"/>
        </w:rPr>
        <w:lastRenderedPageBreak/>
        <w:t>differentiation. Marriott can do this by getting green building certifications, renewable energy solutions, and responsible tourism activities that minimize the ecological footprint of its properties. On the front in sustainable hospitality, Marriott will further strengthen its brand. This will bring aboard both environmentally conscious travelers and some traveling who meet legal requirements in other jurisdictions.</w:t>
      </w:r>
    </w:p>
    <w:p w14:paraId="2D26E125" w14:textId="77777777" w:rsidR="00F1530C" w:rsidRPr="00BD74EA" w:rsidRDefault="00F1530C" w:rsidP="00F6334E">
      <w:pPr>
        <w:spacing w:line="360" w:lineRule="auto"/>
        <w:jc w:val="both"/>
        <w:rPr>
          <w:rFonts w:ascii="Arial" w:hAnsi="Arial" w:cs="Arial"/>
        </w:rPr>
      </w:pPr>
      <w:r w:rsidRPr="00BD74EA">
        <w:rPr>
          <w:rFonts w:ascii="Arial" w:hAnsi="Arial" w:cs="Arial"/>
        </w:rPr>
        <w:t>Another area Marriott should compete on is its digital ability, most importantly, those regions with a strong mobile technology usage</w:t>
      </w:r>
      <w:r w:rsidR="0047593F" w:rsidRPr="00BD74EA">
        <w:rPr>
          <w:rFonts w:ascii="Arial" w:hAnsi="Arial" w:cs="Arial"/>
        </w:rPr>
        <w:t xml:space="preserve"> (Wynn and Jones, 2022)</w:t>
      </w:r>
      <w:r w:rsidRPr="00BD74EA">
        <w:rPr>
          <w:rFonts w:ascii="Arial" w:hAnsi="Arial" w:cs="Arial"/>
        </w:rPr>
        <w:t>. Delivering seamless digital experiences through Marriott's mobile application or website will make booking easier, contribute to building customer engagement, and improve direct bookings. Personalization will also be key as Marriott will be able to use vast data resources of the Bonvoy program to tailor-adequate offers and rewards and services to an individual's preferences to improve customer satisfaction and loyalty.</w:t>
      </w:r>
    </w:p>
    <w:p w14:paraId="4798038F" w14:textId="77777777" w:rsidR="00F1530C" w:rsidRPr="00BD74EA" w:rsidRDefault="00F1530C" w:rsidP="00F6334E">
      <w:pPr>
        <w:spacing w:line="360" w:lineRule="auto"/>
        <w:jc w:val="both"/>
        <w:rPr>
          <w:rFonts w:ascii="Arial" w:hAnsi="Arial" w:cs="Arial"/>
        </w:rPr>
      </w:pPr>
      <w:r w:rsidRPr="00BD74EA">
        <w:rPr>
          <w:rFonts w:ascii="Arial" w:hAnsi="Arial" w:cs="Arial"/>
        </w:rPr>
        <w:t>Strategic partnerships with local stakeholders, from developers and governments to authorities charged with the management of local tourism, will be needed to overcome regulatory challenges and to negotiate advantageous expansion conditions in emerging markets</w:t>
      </w:r>
      <w:r w:rsidR="0047593F" w:rsidRPr="00BD74EA">
        <w:rPr>
          <w:rFonts w:ascii="Arial" w:hAnsi="Arial" w:cs="Arial"/>
        </w:rPr>
        <w:t xml:space="preserve"> (Stoffelen et al., 2020)</w:t>
      </w:r>
      <w:r w:rsidRPr="00BD74EA">
        <w:rPr>
          <w:rFonts w:ascii="Arial" w:hAnsi="Arial" w:cs="Arial"/>
        </w:rPr>
        <w:t>. Local stakeholders will help Marriott understand consumer preferences, adapt its offerings to specific regional demands, and ensure that the company's development projects are in keeping with national policies for tourism.</w:t>
      </w:r>
    </w:p>
    <w:p w14:paraId="2DCD6ADA" w14:textId="3D5B1C7F" w:rsidR="00F1530C" w:rsidRPr="00BD74EA" w:rsidRDefault="00F1530C" w:rsidP="00F6334E">
      <w:pPr>
        <w:spacing w:line="360" w:lineRule="auto"/>
        <w:jc w:val="both"/>
        <w:rPr>
          <w:rFonts w:ascii="Arial" w:hAnsi="Arial" w:cs="Arial"/>
        </w:rPr>
      </w:pPr>
      <w:r w:rsidRPr="00BD74EA">
        <w:rPr>
          <w:rFonts w:ascii="Arial" w:hAnsi="Arial" w:cs="Arial"/>
        </w:rPr>
        <w:t xml:space="preserve">On the other hand, Marriott should expand the brand inventory that caters to all kinds of travelers-from luxury tourists to the shoestring customer. In </w:t>
      </w:r>
      <w:r w:rsidR="00F6334E" w:rsidRPr="00BD74EA">
        <w:rPr>
          <w:rFonts w:ascii="Arial" w:hAnsi="Arial" w:cs="Arial"/>
        </w:rPr>
        <w:t>Southeast</w:t>
      </w:r>
      <w:r w:rsidRPr="00BD74EA">
        <w:rPr>
          <w:rFonts w:ascii="Arial" w:hAnsi="Arial" w:cs="Arial"/>
        </w:rPr>
        <w:t xml:space="preserve"> Asia and Africa, Marriott should exploit the emerging middle class for its mid-scale brands</w:t>
      </w:r>
      <w:r w:rsidR="00A6359C" w:rsidRPr="00BD74EA">
        <w:rPr>
          <w:rFonts w:ascii="Arial" w:hAnsi="Arial" w:cs="Arial"/>
        </w:rPr>
        <w:t xml:space="preserve"> (Singh and Goel, 2021)</w:t>
      </w:r>
      <w:r w:rsidRPr="00BD74EA">
        <w:rPr>
          <w:rFonts w:ascii="Arial" w:hAnsi="Arial" w:cs="Arial"/>
        </w:rPr>
        <w:t>. By increase in the level of penetration for brands such as Fairfield Inn &amp; Suites and Courtyard by Marriott, the company will penetrate a wider demographic but continue to maintain its middle-of-the road position within the luxury market.</w:t>
      </w:r>
    </w:p>
    <w:p w14:paraId="3C89083C" w14:textId="77777777" w:rsidR="00633779" w:rsidRPr="00BD74EA" w:rsidRDefault="00F1530C" w:rsidP="00F6334E">
      <w:pPr>
        <w:spacing w:line="360" w:lineRule="auto"/>
        <w:jc w:val="both"/>
        <w:rPr>
          <w:rFonts w:ascii="Arial" w:hAnsi="Arial" w:cs="Arial"/>
        </w:rPr>
      </w:pPr>
      <w:r w:rsidRPr="00BD74EA">
        <w:rPr>
          <w:rFonts w:ascii="Arial" w:hAnsi="Arial" w:cs="Arial"/>
        </w:rPr>
        <w:t>Finally, Marriott should ensure that its expansion strategy matches closely the loyalty program, Bonvoy, that it has shown to be a powerful driver of repeat business</w:t>
      </w:r>
      <w:r w:rsidR="00A6359C" w:rsidRPr="00BD74EA">
        <w:rPr>
          <w:rFonts w:ascii="Arial" w:hAnsi="Arial" w:cs="Arial"/>
        </w:rPr>
        <w:t xml:space="preserve"> (Eschenbrenner et al., 2023)</w:t>
      </w:r>
      <w:r w:rsidRPr="00BD74EA">
        <w:rPr>
          <w:rFonts w:ascii="Arial" w:hAnsi="Arial" w:cs="Arial"/>
        </w:rPr>
        <w:t xml:space="preserve">. One way in which Marriott can drive loyalty by providing its Bonvoy loyalty program members' specific advantages suited for travelers around emerging markets, including discounts on local attractions, unique dining experiences, </w:t>
      </w:r>
      <w:r w:rsidRPr="00BD74EA">
        <w:rPr>
          <w:rFonts w:ascii="Arial" w:hAnsi="Arial" w:cs="Arial"/>
        </w:rPr>
        <w:lastRenderedPageBreak/>
        <w:t>and wellness activities that will further catapult customer loyalty while building its brand presence in these regions.</w:t>
      </w:r>
    </w:p>
    <w:p w14:paraId="30ECF98B" w14:textId="06EC51A1" w:rsidR="00F6334E" w:rsidRPr="00BD74EA" w:rsidRDefault="006112ED" w:rsidP="006112ED">
      <w:pPr>
        <w:pStyle w:val="Heading1"/>
      </w:pPr>
      <w:bookmarkStart w:id="11" w:name="_Toc181103366"/>
      <w:bookmarkStart w:id="12" w:name="_Toc181631093"/>
      <w:r w:rsidRPr="00BD74EA">
        <w:t>Conclusion</w:t>
      </w:r>
      <w:bookmarkEnd w:id="11"/>
      <w:bookmarkEnd w:id="12"/>
    </w:p>
    <w:p w14:paraId="58BA5631" w14:textId="01E129D9" w:rsidR="0097521E" w:rsidRPr="00BD74EA" w:rsidRDefault="00633779" w:rsidP="00F6334E">
      <w:pPr>
        <w:pStyle w:val="NormalWeb"/>
        <w:spacing w:line="360" w:lineRule="auto"/>
        <w:ind w:firstLine="720"/>
        <w:jc w:val="both"/>
        <w:rPr>
          <w:rFonts w:ascii="Arial" w:hAnsi="Arial" w:cs="Arial"/>
          <w:lang w:val="en-GB"/>
        </w:rPr>
      </w:pPr>
      <w:r w:rsidRPr="00BD74EA">
        <w:rPr>
          <w:rFonts w:ascii="Arial" w:hAnsi="Arial" w:cs="Arial"/>
          <w:lang w:val="en-GB"/>
        </w:rPr>
        <w:t xml:space="preserve">In conclusion, </w:t>
      </w:r>
      <w:r w:rsidR="00F1530C" w:rsidRPr="00BD74EA">
        <w:rPr>
          <w:rFonts w:ascii="Arial" w:hAnsi="Arial" w:cs="Arial"/>
          <w:lang w:val="en-GB"/>
        </w:rPr>
        <w:t xml:space="preserve">Marriott International has indeed demonstrated the resilience and recovery capacity from the devastating effect of the COVID-19 pandemic. In return, it has concentrated on its high-margin luxury properties while reaching its new digital and mobile platforms and bringing out the </w:t>
      </w:r>
      <w:r w:rsidR="00F6334E" w:rsidRPr="00BD74EA">
        <w:rPr>
          <w:rFonts w:ascii="Arial" w:hAnsi="Arial" w:cs="Arial"/>
          <w:lang w:val="en-GB"/>
        </w:rPr>
        <w:t>vigour</w:t>
      </w:r>
      <w:r w:rsidR="00F1530C" w:rsidRPr="00BD74EA">
        <w:rPr>
          <w:rFonts w:ascii="Arial" w:hAnsi="Arial" w:cs="Arial"/>
          <w:lang w:val="en-GB"/>
        </w:rPr>
        <w:t xml:space="preserve"> that loyalty programs have to offer for the company itself, thus further strengthening the financial performance of the company while maintaining a healthy market position. Going forward, Marriott has room to grow because it continues penetrating burgeoning markets where demand for luxury and mid-scale stays is constant. However, it needs to consider sustainability, strategic partnerships, and regional market tailoring of its products to come through. Alignment of its business model with these emerging trends will bode well for Marriott to maintain its leadership position in this global hospitality </w:t>
      </w:r>
      <w:r w:rsidR="00F6334E" w:rsidRPr="00BD74EA">
        <w:rPr>
          <w:rFonts w:ascii="Arial" w:hAnsi="Arial" w:cs="Arial"/>
          <w:lang w:val="en-GB"/>
        </w:rPr>
        <w:t>industry,</w:t>
      </w:r>
      <w:r w:rsidR="00F1530C" w:rsidRPr="00BD74EA">
        <w:rPr>
          <w:rFonts w:ascii="Arial" w:hAnsi="Arial" w:cs="Arial"/>
          <w:lang w:val="en-GB"/>
        </w:rPr>
        <w:t xml:space="preserve"> driving growth and profitability into 2025 and beyond.</w:t>
      </w:r>
    </w:p>
    <w:p w14:paraId="7F896A17" w14:textId="77777777" w:rsidR="007B24E6" w:rsidRPr="00BD74EA" w:rsidRDefault="007B24E6" w:rsidP="00F6334E">
      <w:pPr>
        <w:spacing w:line="360" w:lineRule="auto"/>
        <w:rPr>
          <w:rFonts w:ascii="Arial" w:eastAsia="Times New Roman" w:hAnsi="Arial" w:cs="Arial"/>
          <w:szCs w:val="24"/>
        </w:rPr>
      </w:pPr>
      <w:r w:rsidRPr="00BD74EA">
        <w:rPr>
          <w:rFonts w:ascii="Arial" w:hAnsi="Arial" w:cs="Arial"/>
        </w:rPr>
        <w:br w:type="page"/>
      </w:r>
    </w:p>
    <w:p w14:paraId="55B801D2" w14:textId="77777777" w:rsidR="007B24E6" w:rsidRPr="00BD74EA" w:rsidRDefault="007B24E6" w:rsidP="00F6334E">
      <w:pPr>
        <w:pStyle w:val="Heading1"/>
        <w:spacing w:line="360" w:lineRule="auto"/>
        <w:rPr>
          <w:rFonts w:ascii="Arial" w:hAnsi="Arial" w:cs="Arial"/>
        </w:rPr>
      </w:pPr>
      <w:bookmarkStart w:id="13" w:name="_Toc179376771"/>
      <w:bookmarkStart w:id="14" w:name="_Toc181631094"/>
      <w:r w:rsidRPr="00BD74EA">
        <w:rPr>
          <w:rFonts w:ascii="Arial" w:hAnsi="Arial" w:cs="Arial"/>
        </w:rPr>
        <w:lastRenderedPageBreak/>
        <w:t>References</w:t>
      </w:r>
      <w:bookmarkEnd w:id="13"/>
      <w:bookmarkEnd w:id="14"/>
      <w:r w:rsidRPr="00BD74EA">
        <w:rPr>
          <w:rFonts w:ascii="Arial" w:hAnsi="Arial" w:cs="Arial"/>
        </w:rPr>
        <w:t xml:space="preserve"> </w:t>
      </w:r>
    </w:p>
    <w:p w14:paraId="46C77DDA" w14:textId="7A0FD1F6"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Afonso, F.G.A., (2023). Equity valuation of EDP Renováveis, SA: A critical assessment of the strategic update 2021-2025 (master’s thesis).</w:t>
      </w:r>
    </w:p>
    <w:p w14:paraId="6E33FE4B" w14:textId="0706D693"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Eschenbrenner, B., Zlatic, A., Bechtel, M., Collins, B., Straley, C. and Gubbels, G., (2023). Marriott International: A Managerial Strategic Audit.</w:t>
      </w:r>
    </w:p>
    <w:p w14:paraId="5BAF64E0" w14:textId="5759F1B4"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Kotabe, M.M. and Helsen, K., (2022). Global marketing management. John Wiley &amp; Sons.</w:t>
      </w:r>
    </w:p>
    <w:p w14:paraId="72BDD949" w14:textId="77777777"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 xml:space="preserve">Mariott International (2022) </w:t>
      </w:r>
      <w:r w:rsidRPr="00BD74EA">
        <w:rPr>
          <w:rFonts w:ascii="Arial" w:hAnsi="Arial" w:cs="Arial"/>
          <w:i/>
          <w:iCs/>
          <w:lang w:val="en-GB"/>
        </w:rPr>
        <w:t>2022 Annual report</w:t>
      </w:r>
      <w:r w:rsidRPr="00BD74EA">
        <w:rPr>
          <w:rFonts w:ascii="Arial" w:hAnsi="Arial" w:cs="Arial"/>
          <w:lang w:val="en-GB"/>
        </w:rPr>
        <w:t xml:space="preserve">, </w:t>
      </w:r>
      <w:r w:rsidRPr="00BD74EA">
        <w:rPr>
          <w:rFonts w:ascii="Arial" w:hAnsi="Arial" w:cs="Arial"/>
          <w:i/>
          <w:iCs/>
          <w:lang w:val="en-GB"/>
        </w:rPr>
        <w:t xml:space="preserve">Mariott International </w:t>
      </w:r>
      <w:r w:rsidRPr="00BD74EA">
        <w:rPr>
          <w:rFonts w:ascii="Arial" w:hAnsi="Arial" w:cs="Arial"/>
          <w:lang w:val="en-GB"/>
        </w:rPr>
        <w:t xml:space="preserve">. Available at: https://marriott.gcs-web.com/static-files/c0fb865c-15b1-4166-9846-49b548da1ce4 (Accessed: 21 October 2024). </w:t>
      </w:r>
    </w:p>
    <w:p w14:paraId="7845C5A5" w14:textId="77777777"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 xml:space="preserve">Marriott International (2021) </w:t>
      </w:r>
      <w:r w:rsidRPr="00BD74EA">
        <w:rPr>
          <w:rFonts w:ascii="Arial" w:hAnsi="Arial" w:cs="Arial"/>
          <w:i/>
          <w:iCs/>
          <w:lang w:val="en-GB"/>
        </w:rPr>
        <w:t>2021 annual report</w:t>
      </w:r>
      <w:r w:rsidRPr="00BD74EA">
        <w:rPr>
          <w:rFonts w:ascii="Arial" w:hAnsi="Arial" w:cs="Arial"/>
          <w:lang w:val="en-GB"/>
        </w:rPr>
        <w:t xml:space="preserve">, </w:t>
      </w:r>
      <w:r w:rsidRPr="00BD74EA">
        <w:rPr>
          <w:rFonts w:ascii="Arial" w:hAnsi="Arial" w:cs="Arial"/>
          <w:i/>
          <w:iCs/>
          <w:lang w:val="en-GB"/>
        </w:rPr>
        <w:t xml:space="preserve">Marriott International </w:t>
      </w:r>
      <w:r w:rsidRPr="00BD74EA">
        <w:rPr>
          <w:rFonts w:ascii="Arial" w:hAnsi="Arial" w:cs="Arial"/>
          <w:lang w:val="en-GB"/>
        </w:rPr>
        <w:t xml:space="preserve">. Available at: https://marriott.gcs-web.com/static-files/33ba0a19-8a68-4f3f-9f73-fef2c458c22e (Accessed: 21 October 2024). </w:t>
      </w:r>
    </w:p>
    <w:p w14:paraId="27BC3C29" w14:textId="77777777"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 xml:space="preserve">Marriott International (2023). </w:t>
      </w:r>
      <w:r w:rsidRPr="00BD74EA">
        <w:rPr>
          <w:rFonts w:ascii="Arial" w:hAnsi="Arial" w:cs="Arial"/>
          <w:i/>
          <w:iCs/>
          <w:lang w:val="en-GB"/>
        </w:rPr>
        <w:t>2023 Annual Report</w:t>
      </w:r>
      <w:r w:rsidRPr="00BD74EA">
        <w:rPr>
          <w:rFonts w:ascii="Arial" w:hAnsi="Arial" w:cs="Arial"/>
          <w:lang w:val="en-GB"/>
        </w:rPr>
        <w:t xml:space="preserve">. [online] Available at: </w:t>
      </w:r>
      <w:hyperlink r:id="rId7" w:history="1">
        <w:r w:rsidRPr="00BD74EA">
          <w:rPr>
            <w:rStyle w:val="Hyperlink"/>
            <w:rFonts w:ascii="Arial" w:hAnsi="Arial" w:cs="Arial"/>
            <w:lang w:val="en-GB"/>
          </w:rPr>
          <w:t>https://marriott.gcs-web.com/static-files/b82978a6-9d28-4e38-9855-fc4ae2cebe11</w:t>
        </w:r>
      </w:hyperlink>
      <w:r w:rsidRPr="00BD74EA">
        <w:rPr>
          <w:rFonts w:ascii="Arial" w:hAnsi="Arial" w:cs="Arial"/>
          <w:lang w:val="en-GB"/>
        </w:rPr>
        <w:t xml:space="preserve">. (Accessed: 21 October 2024). </w:t>
      </w:r>
    </w:p>
    <w:p w14:paraId="7B5CB60D" w14:textId="77777777"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 xml:space="preserve">Marriott International (2024) </w:t>
      </w:r>
      <w:r w:rsidRPr="00BD74EA">
        <w:rPr>
          <w:rFonts w:ascii="Arial" w:hAnsi="Arial" w:cs="Arial"/>
          <w:i/>
          <w:iCs/>
          <w:lang w:val="en-GB"/>
        </w:rPr>
        <w:t>About Marriott International: Corporate Information</w:t>
      </w:r>
      <w:r w:rsidRPr="00BD74EA">
        <w:rPr>
          <w:rFonts w:ascii="Arial" w:hAnsi="Arial" w:cs="Arial"/>
          <w:lang w:val="en-GB"/>
        </w:rPr>
        <w:t xml:space="preserve">, </w:t>
      </w:r>
      <w:r w:rsidRPr="00BD74EA">
        <w:rPr>
          <w:rFonts w:ascii="Arial" w:hAnsi="Arial" w:cs="Arial"/>
          <w:i/>
          <w:iCs/>
          <w:lang w:val="en-GB"/>
        </w:rPr>
        <w:t>About Marriott International | Corporate Information</w:t>
      </w:r>
      <w:r w:rsidRPr="00BD74EA">
        <w:rPr>
          <w:rFonts w:ascii="Arial" w:hAnsi="Arial" w:cs="Arial"/>
          <w:lang w:val="en-GB"/>
        </w:rPr>
        <w:t xml:space="preserve">. Available at: https://www.marriott.com/marriott/aboutmarriott.mi (Accessed: 21 October 2024). </w:t>
      </w:r>
    </w:p>
    <w:p w14:paraId="2EC103AA" w14:textId="77777777"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 xml:space="preserve">Marriott International (2024) </w:t>
      </w:r>
      <w:r w:rsidRPr="00BD74EA">
        <w:rPr>
          <w:rFonts w:ascii="Arial" w:hAnsi="Arial" w:cs="Arial"/>
          <w:i/>
          <w:iCs/>
          <w:lang w:val="en-GB"/>
        </w:rPr>
        <w:t>Financial Press releases</w:t>
      </w:r>
      <w:r w:rsidRPr="00BD74EA">
        <w:rPr>
          <w:rFonts w:ascii="Arial" w:hAnsi="Arial" w:cs="Arial"/>
          <w:lang w:val="en-GB"/>
        </w:rPr>
        <w:t xml:space="preserve">, </w:t>
      </w:r>
      <w:r w:rsidRPr="00BD74EA">
        <w:rPr>
          <w:rFonts w:ascii="Arial" w:hAnsi="Arial" w:cs="Arial"/>
          <w:i/>
          <w:iCs/>
          <w:lang w:val="en-GB"/>
        </w:rPr>
        <w:t>Marriott International</w:t>
      </w:r>
      <w:r w:rsidRPr="00BD74EA">
        <w:rPr>
          <w:rFonts w:ascii="Arial" w:hAnsi="Arial" w:cs="Arial"/>
          <w:lang w:val="en-GB"/>
        </w:rPr>
        <w:t xml:space="preserve">. Available at: https://marriott.gcs-web.com/press-releases (Accessed: 21 October 2024). </w:t>
      </w:r>
    </w:p>
    <w:p w14:paraId="3DB65CCF" w14:textId="306CE673"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Narayanan, C., (2020). From Oberoi to Oyo: Behind the scenes with the movers and shakers of India’s hotel industry. Penguin Random House India Private Limited.</w:t>
      </w:r>
    </w:p>
    <w:p w14:paraId="1813590D" w14:textId="53CF0B58"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Neves, D.D., (2022). Marriott International Inc. Equity Research-the Hotel Giant´ s Recovery (master’s thesis, Universidade NOVA de Lisboa (Portugal)).</w:t>
      </w:r>
    </w:p>
    <w:p w14:paraId="394C181F" w14:textId="2D6C6CF8"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lastRenderedPageBreak/>
        <w:t>Neves, D.D., (2022). Marriott International Inc. Equity Research-the Hotel Giant´ s Recovery (master’s thesis, Universidade NOVA de Lisboa (Portugal)).</w:t>
      </w:r>
    </w:p>
    <w:p w14:paraId="37463348" w14:textId="0D7BB888"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Nhamo, G., Dube, K., Chikodzi, D., Nhamo, G., Dube, K. and Chikodzi, D., (2020). COVID-19 and the stock market: Impacts on tourism-related companies. Counting the cost of COVID-19 on the global tourism industry, pp.297-318.</w:t>
      </w:r>
    </w:p>
    <w:p w14:paraId="1B2A18B7" w14:textId="15264044"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Nientied, P. and Shutina, D., (2020). Tourism in transition, the post Covid-19 aftermath in the Western Balkans. Annual Review of Territorial Governance in the Western Balkans, II, pp.46-60.</w:t>
      </w:r>
    </w:p>
    <w:p w14:paraId="3902E9DD" w14:textId="72FA4E0F"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Segwe, G.O.Z., (2021). Factors Impacting the Performance of SA Listed Property Indices. University of Johannesburg (South Africa).</w:t>
      </w:r>
    </w:p>
    <w:p w14:paraId="3FD2A4C4" w14:textId="74135CD9"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Singh, V.B. and Goel, S.K., (2021). Growth of the Indian Tourism and Hospitality Industry. Turkish Online Journal of Qualitative Inquiry, 12(7).</w:t>
      </w:r>
    </w:p>
    <w:p w14:paraId="0F07D91C" w14:textId="4C2D3232"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Stoffelen, A., Adiyia, B., Vanneste, D. and Kotze, N., (2020). Post-apartheid local sustainable development through tourism: an analysis of policy perceptions among ‘responsible’tourism stakeholders around Pilanesberg National Park, South Africa. Journal of Sustainable Tourism, 28(3), pp.414-432.</w:t>
      </w:r>
    </w:p>
    <w:p w14:paraId="3B20BBD9" w14:textId="70B95F9D"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Touo, H., (2021). The Changing US-Africa Relations: From Offshore Balancer to Offensive Realism?. Available at SSRN 3836681.</w:t>
      </w:r>
    </w:p>
    <w:p w14:paraId="71D341E8" w14:textId="1CE08847"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Vouk, I., (2022). Hospitality 2.0: Digital revolution in the hotel industry. Ira Vouk Hospitality Technology and Revenue Management Consulting.</w:t>
      </w:r>
    </w:p>
    <w:p w14:paraId="63399429" w14:textId="757C33B5" w:rsidR="00F6334E" w:rsidRPr="00BD74EA" w:rsidRDefault="00F6334E" w:rsidP="00F6334E">
      <w:pPr>
        <w:pStyle w:val="NormalWeb"/>
        <w:spacing w:line="360" w:lineRule="auto"/>
        <w:ind w:left="720" w:hanging="720"/>
        <w:jc w:val="both"/>
        <w:rPr>
          <w:rFonts w:ascii="Arial" w:hAnsi="Arial" w:cs="Arial"/>
          <w:lang w:val="en-GB"/>
        </w:rPr>
      </w:pPr>
      <w:r w:rsidRPr="00BD74EA">
        <w:rPr>
          <w:rFonts w:ascii="Arial" w:hAnsi="Arial" w:cs="Arial"/>
          <w:lang w:val="en-GB"/>
        </w:rPr>
        <w:t>Wesley, S., Jackson, K.N., Ramos, D.M., Vanbeber, S. and Mujtaba, B.G., (2024). Marriott Hotel’s practices in mitigating discrimination through inclusionary employee resource groups. Journal of Business Diversity, 24(1).</w:t>
      </w:r>
    </w:p>
    <w:p w14:paraId="453A6112" w14:textId="7838E74F" w:rsidR="0047593F" w:rsidRPr="00BD74EA" w:rsidRDefault="00F6334E" w:rsidP="00D5653B">
      <w:pPr>
        <w:pStyle w:val="NormalWeb"/>
        <w:spacing w:line="360" w:lineRule="auto"/>
        <w:ind w:left="720" w:hanging="720"/>
        <w:jc w:val="both"/>
        <w:rPr>
          <w:rFonts w:ascii="Arial" w:hAnsi="Arial" w:cs="Arial"/>
          <w:lang w:val="en-GB"/>
        </w:rPr>
      </w:pPr>
      <w:r w:rsidRPr="00BD74EA">
        <w:rPr>
          <w:rFonts w:ascii="Arial" w:hAnsi="Arial" w:cs="Arial"/>
          <w:lang w:val="en-GB"/>
        </w:rPr>
        <w:t>Wynn, M. and Jones, P., (2022). IT strategy in the hotel industry in the digital era. Sustainability, 14(17), p.10705.</w:t>
      </w:r>
    </w:p>
    <w:sectPr w:rsidR="0047593F" w:rsidRPr="00BD74EA" w:rsidSect="00D5653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18F78A" w14:textId="77777777" w:rsidR="002F0023" w:rsidRDefault="002F0023" w:rsidP="00F6334E">
      <w:pPr>
        <w:spacing w:after="0" w:line="240" w:lineRule="auto"/>
      </w:pPr>
      <w:r>
        <w:separator/>
      </w:r>
    </w:p>
  </w:endnote>
  <w:endnote w:type="continuationSeparator" w:id="0">
    <w:p w14:paraId="11C74584" w14:textId="77777777" w:rsidR="002F0023" w:rsidRDefault="002F0023" w:rsidP="00F63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9129599"/>
      <w:docPartObj>
        <w:docPartGallery w:val="Page Numbers (Bottom of Page)"/>
        <w:docPartUnique/>
      </w:docPartObj>
    </w:sdtPr>
    <w:sdtContent>
      <w:p w14:paraId="08E3E045" w14:textId="3452D329" w:rsidR="00F6334E" w:rsidRDefault="00F6334E">
        <w:pPr>
          <w:pStyle w:val="Footer"/>
          <w:jc w:val="center"/>
        </w:pPr>
        <w:r>
          <w:fldChar w:fldCharType="begin"/>
        </w:r>
        <w:r>
          <w:instrText>PAGE   \* MERGEFORMAT</w:instrText>
        </w:r>
        <w:r>
          <w:fldChar w:fldCharType="separate"/>
        </w:r>
        <w:r>
          <w:t>2</w:t>
        </w:r>
        <w:r>
          <w:fldChar w:fldCharType="end"/>
        </w:r>
      </w:p>
    </w:sdtContent>
  </w:sdt>
  <w:p w14:paraId="2138BB1F" w14:textId="77777777" w:rsidR="00F6334E" w:rsidRDefault="00F63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CEC69D" w14:textId="77777777" w:rsidR="002F0023" w:rsidRDefault="002F0023" w:rsidP="00F6334E">
      <w:pPr>
        <w:spacing w:after="0" w:line="240" w:lineRule="auto"/>
      </w:pPr>
      <w:r>
        <w:separator/>
      </w:r>
    </w:p>
  </w:footnote>
  <w:footnote w:type="continuationSeparator" w:id="0">
    <w:p w14:paraId="09C4F526" w14:textId="77777777" w:rsidR="002F0023" w:rsidRDefault="002F0023" w:rsidP="00F633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779"/>
    <w:rsid w:val="000671E3"/>
    <w:rsid w:val="000C26B0"/>
    <w:rsid w:val="000F67E3"/>
    <w:rsid w:val="00207103"/>
    <w:rsid w:val="0022657F"/>
    <w:rsid w:val="00266421"/>
    <w:rsid w:val="002B63F3"/>
    <w:rsid w:val="002F0023"/>
    <w:rsid w:val="003047B8"/>
    <w:rsid w:val="00352FA4"/>
    <w:rsid w:val="00361B66"/>
    <w:rsid w:val="003852BE"/>
    <w:rsid w:val="003B5024"/>
    <w:rsid w:val="003F173E"/>
    <w:rsid w:val="0047593F"/>
    <w:rsid w:val="00564CC2"/>
    <w:rsid w:val="0059604B"/>
    <w:rsid w:val="005D6685"/>
    <w:rsid w:val="006112ED"/>
    <w:rsid w:val="00633779"/>
    <w:rsid w:val="006A60F7"/>
    <w:rsid w:val="00722D5E"/>
    <w:rsid w:val="007B24E6"/>
    <w:rsid w:val="008A23A4"/>
    <w:rsid w:val="008E4E36"/>
    <w:rsid w:val="0097521E"/>
    <w:rsid w:val="00A6359C"/>
    <w:rsid w:val="00AE3674"/>
    <w:rsid w:val="00B560C6"/>
    <w:rsid w:val="00BD74EA"/>
    <w:rsid w:val="00BF1273"/>
    <w:rsid w:val="00C84FAD"/>
    <w:rsid w:val="00D5653B"/>
    <w:rsid w:val="00D8422F"/>
    <w:rsid w:val="00E40009"/>
    <w:rsid w:val="00EA5E69"/>
    <w:rsid w:val="00F1530C"/>
    <w:rsid w:val="00F6334E"/>
    <w:rsid w:val="00F771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4518A"/>
  <w15:chartTrackingRefBased/>
  <w15:docId w15:val="{24E5992A-2FA4-48D2-A905-431509FA0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0F7"/>
    <w:rPr>
      <w:rFonts w:ascii="Times New Roman" w:hAnsi="Times New Roman"/>
      <w:sz w:val="24"/>
      <w:lang w:val="en-GB"/>
    </w:rPr>
  </w:style>
  <w:style w:type="paragraph" w:styleId="Heading1">
    <w:name w:val="heading 1"/>
    <w:basedOn w:val="Normal"/>
    <w:next w:val="Normal"/>
    <w:link w:val="Heading1Char"/>
    <w:uiPriority w:val="9"/>
    <w:qFormat/>
    <w:rsid w:val="000671E3"/>
    <w:pPr>
      <w:keepNext/>
      <w:keepLines/>
      <w:spacing w:before="360" w:after="12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EA5E69"/>
    <w:pPr>
      <w:keepNext/>
      <w:keepLines/>
      <w:spacing w:before="40" w:after="0"/>
      <w:outlineLvl w:val="1"/>
    </w:pPr>
    <w:rPr>
      <w:rFonts w:eastAsiaTheme="majorEastAsia" w:cstheme="majorBidi"/>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1E3"/>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semiHidden/>
    <w:rsid w:val="00EA5E69"/>
    <w:rPr>
      <w:rFonts w:ascii="Times New Roman" w:eastAsiaTheme="majorEastAsia" w:hAnsi="Times New Roman" w:cstheme="majorBidi"/>
      <w:color w:val="2E74B5" w:themeColor="accent1" w:themeShade="BF"/>
      <w:sz w:val="24"/>
      <w:szCs w:val="26"/>
      <w:lang w:val="en-GB"/>
    </w:rPr>
  </w:style>
  <w:style w:type="paragraph" w:styleId="NormalWeb">
    <w:name w:val="Normal (Web)"/>
    <w:basedOn w:val="Normal"/>
    <w:uiPriority w:val="99"/>
    <w:unhideWhenUsed/>
    <w:rsid w:val="00633779"/>
    <w:pPr>
      <w:spacing w:before="100" w:beforeAutospacing="1" w:after="100" w:afterAutospacing="1" w:line="240" w:lineRule="auto"/>
    </w:pPr>
    <w:rPr>
      <w:rFonts w:eastAsia="Times New Roman" w:cs="Times New Roman"/>
      <w:szCs w:val="24"/>
      <w:lang w:val="en-US"/>
    </w:rPr>
  </w:style>
  <w:style w:type="paragraph" w:styleId="TOCHeading">
    <w:name w:val="TOC Heading"/>
    <w:basedOn w:val="Heading1"/>
    <w:next w:val="Normal"/>
    <w:uiPriority w:val="39"/>
    <w:unhideWhenUsed/>
    <w:qFormat/>
    <w:rsid w:val="000671E3"/>
    <w:pPr>
      <w:spacing w:before="240" w:after="0"/>
      <w:outlineLvl w:val="9"/>
    </w:pPr>
    <w:rPr>
      <w:rFonts w:asciiTheme="majorHAnsi" w:hAnsiTheme="majorHAnsi"/>
      <w:b w:val="0"/>
      <w:sz w:val="32"/>
      <w:lang w:val="en-US"/>
    </w:rPr>
  </w:style>
  <w:style w:type="paragraph" w:styleId="TOC1">
    <w:name w:val="toc 1"/>
    <w:basedOn w:val="Normal"/>
    <w:next w:val="Normal"/>
    <w:autoRedefine/>
    <w:uiPriority w:val="39"/>
    <w:unhideWhenUsed/>
    <w:rsid w:val="000671E3"/>
    <w:pPr>
      <w:spacing w:after="100"/>
    </w:pPr>
  </w:style>
  <w:style w:type="character" w:styleId="Hyperlink">
    <w:name w:val="Hyperlink"/>
    <w:basedOn w:val="DefaultParagraphFont"/>
    <w:uiPriority w:val="99"/>
    <w:unhideWhenUsed/>
    <w:rsid w:val="000671E3"/>
    <w:rPr>
      <w:color w:val="0563C1" w:themeColor="hyperlink"/>
      <w:u w:val="single"/>
    </w:rPr>
  </w:style>
  <w:style w:type="paragraph" w:styleId="Header">
    <w:name w:val="header"/>
    <w:basedOn w:val="Normal"/>
    <w:link w:val="HeaderChar"/>
    <w:uiPriority w:val="99"/>
    <w:unhideWhenUsed/>
    <w:rsid w:val="00F63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34E"/>
    <w:rPr>
      <w:rFonts w:ascii="Times New Roman" w:hAnsi="Times New Roman"/>
      <w:sz w:val="24"/>
      <w:lang w:val="en-GB"/>
    </w:rPr>
  </w:style>
  <w:style w:type="paragraph" w:styleId="Footer">
    <w:name w:val="footer"/>
    <w:basedOn w:val="Normal"/>
    <w:link w:val="FooterChar"/>
    <w:uiPriority w:val="99"/>
    <w:unhideWhenUsed/>
    <w:rsid w:val="00F63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34E"/>
    <w:rPr>
      <w:rFonts w:ascii="Times New Roman" w:hAnsi="Times New Roman"/>
      <w:sz w:val="24"/>
      <w:lang w:val="en-GB"/>
    </w:rPr>
  </w:style>
  <w:style w:type="paragraph" w:styleId="TOC2">
    <w:name w:val="toc 2"/>
    <w:basedOn w:val="Normal"/>
    <w:next w:val="Normal"/>
    <w:autoRedefine/>
    <w:uiPriority w:val="39"/>
    <w:unhideWhenUsed/>
    <w:rsid w:val="0022657F"/>
    <w:pPr>
      <w:spacing w:after="100"/>
      <w:ind w:left="240"/>
    </w:pPr>
  </w:style>
  <w:style w:type="table" w:styleId="TableGrid">
    <w:name w:val="Table Grid"/>
    <w:basedOn w:val="TableNormal"/>
    <w:uiPriority w:val="39"/>
    <w:rsid w:val="008E4E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476638">
      <w:bodyDiv w:val="1"/>
      <w:marLeft w:val="0"/>
      <w:marRight w:val="0"/>
      <w:marTop w:val="0"/>
      <w:marBottom w:val="0"/>
      <w:divBdr>
        <w:top w:val="none" w:sz="0" w:space="0" w:color="auto"/>
        <w:left w:val="none" w:sz="0" w:space="0" w:color="auto"/>
        <w:bottom w:val="none" w:sz="0" w:space="0" w:color="auto"/>
        <w:right w:val="none" w:sz="0" w:space="0" w:color="auto"/>
      </w:divBdr>
    </w:div>
    <w:div w:id="405078351">
      <w:bodyDiv w:val="1"/>
      <w:marLeft w:val="0"/>
      <w:marRight w:val="0"/>
      <w:marTop w:val="0"/>
      <w:marBottom w:val="0"/>
      <w:divBdr>
        <w:top w:val="none" w:sz="0" w:space="0" w:color="auto"/>
        <w:left w:val="none" w:sz="0" w:space="0" w:color="auto"/>
        <w:bottom w:val="none" w:sz="0" w:space="0" w:color="auto"/>
        <w:right w:val="none" w:sz="0" w:space="0" w:color="auto"/>
      </w:divBdr>
      <w:divsChild>
        <w:div w:id="66924546">
          <w:marLeft w:val="0"/>
          <w:marRight w:val="0"/>
          <w:marTop w:val="0"/>
          <w:marBottom w:val="0"/>
          <w:divBdr>
            <w:top w:val="none" w:sz="0" w:space="0" w:color="auto"/>
            <w:left w:val="none" w:sz="0" w:space="0" w:color="auto"/>
            <w:bottom w:val="none" w:sz="0" w:space="0" w:color="auto"/>
            <w:right w:val="none" w:sz="0" w:space="0" w:color="auto"/>
          </w:divBdr>
          <w:divsChild>
            <w:div w:id="1727337764">
              <w:marLeft w:val="0"/>
              <w:marRight w:val="0"/>
              <w:marTop w:val="0"/>
              <w:marBottom w:val="0"/>
              <w:divBdr>
                <w:top w:val="none" w:sz="0" w:space="0" w:color="auto"/>
                <w:left w:val="none" w:sz="0" w:space="0" w:color="auto"/>
                <w:bottom w:val="none" w:sz="0" w:space="0" w:color="auto"/>
                <w:right w:val="none" w:sz="0" w:space="0" w:color="auto"/>
              </w:divBdr>
              <w:divsChild>
                <w:div w:id="117990146">
                  <w:marLeft w:val="0"/>
                  <w:marRight w:val="0"/>
                  <w:marTop w:val="0"/>
                  <w:marBottom w:val="0"/>
                  <w:divBdr>
                    <w:top w:val="none" w:sz="0" w:space="0" w:color="auto"/>
                    <w:left w:val="none" w:sz="0" w:space="0" w:color="auto"/>
                    <w:bottom w:val="none" w:sz="0" w:space="0" w:color="auto"/>
                    <w:right w:val="none" w:sz="0" w:space="0" w:color="auto"/>
                  </w:divBdr>
                  <w:divsChild>
                    <w:div w:id="175813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969421">
          <w:marLeft w:val="0"/>
          <w:marRight w:val="0"/>
          <w:marTop w:val="0"/>
          <w:marBottom w:val="0"/>
          <w:divBdr>
            <w:top w:val="none" w:sz="0" w:space="0" w:color="auto"/>
            <w:left w:val="none" w:sz="0" w:space="0" w:color="auto"/>
            <w:bottom w:val="none" w:sz="0" w:space="0" w:color="auto"/>
            <w:right w:val="none" w:sz="0" w:space="0" w:color="auto"/>
          </w:divBdr>
          <w:divsChild>
            <w:div w:id="719137268">
              <w:marLeft w:val="0"/>
              <w:marRight w:val="0"/>
              <w:marTop w:val="0"/>
              <w:marBottom w:val="0"/>
              <w:divBdr>
                <w:top w:val="none" w:sz="0" w:space="0" w:color="auto"/>
                <w:left w:val="none" w:sz="0" w:space="0" w:color="auto"/>
                <w:bottom w:val="none" w:sz="0" w:space="0" w:color="auto"/>
                <w:right w:val="none" w:sz="0" w:space="0" w:color="auto"/>
              </w:divBdr>
              <w:divsChild>
                <w:div w:id="147476727">
                  <w:marLeft w:val="0"/>
                  <w:marRight w:val="0"/>
                  <w:marTop w:val="0"/>
                  <w:marBottom w:val="0"/>
                  <w:divBdr>
                    <w:top w:val="none" w:sz="0" w:space="0" w:color="auto"/>
                    <w:left w:val="none" w:sz="0" w:space="0" w:color="auto"/>
                    <w:bottom w:val="none" w:sz="0" w:space="0" w:color="auto"/>
                    <w:right w:val="none" w:sz="0" w:space="0" w:color="auto"/>
                  </w:divBdr>
                  <w:divsChild>
                    <w:div w:id="123839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047214">
      <w:bodyDiv w:val="1"/>
      <w:marLeft w:val="0"/>
      <w:marRight w:val="0"/>
      <w:marTop w:val="0"/>
      <w:marBottom w:val="0"/>
      <w:divBdr>
        <w:top w:val="none" w:sz="0" w:space="0" w:color="auto"/>
        <w:left w:val="none" w:sz="0" w:space="0" w:color="auto"/>
        <w:bottom w:val="none" w:sz="0" w:space="0" w:color="auto"/>
        <w:right w:val="none" w:sz="0" w:space="0" w:color="auto"/>
      </w:divBdr>
    </w:div>
    <w:div w:id="690299751">
      <w:bodyDiv w:val="1"/>
      <w:marLeft w:val="0"/>
      <w:marRight w:val="0"/>
      <w:marTop w:val="0"/>
      <w:marBottom w:val="0"/>
      <w:divBdr>
        <w:top w:val="none" w:sz="0" w:space="0" w:color="auto"/>
        <w:left w:val="none" w:sz="0" w:space="0" w:color="auto"/>
        <w:bottom w:val="none" w:sz="0" w:space="0" w:color="auto"/>
        <w:right w:val="none" w:sz="0" w:space="0" w:color="auto"/>
      </w:divBdr>
    </w:div>
    <w:div w:id="815412823">
      <w:bodyDiv w:val="1"/>
      <w:marLeft w:val="0"/>
      <w:marRight w:val="0"/>
      <w:marTop w:val="0"/>
      <w:marBottom w:val="0"/>
      <w:divBdr>
        <w:top w:val="none" w:sz="0" w:space="0" w:color="auto"/>
        <w:left w:val="none" w:sz="0" w:space="0" w:color="auto"/>
        <w:bottom w:val="none" w:sz="0" w:space="0" w:color="auto"/>
        <w:right w:val="none" w:sz="0" w:space="0" w:color="auto"/>
      </w:divBdr>
      <w:divsChild>
        <w:div w:id="1674724571">
          <w:marLeft w:val="0"/>
          <w:marRight w:val="0"/>
          <w:marTop w:val="0"/>
          <w:marBottom w:val="0"/>
          <w:divBdr>
            <w:top w:val="none" w:sz="0" w:space="0" w:color="auto"/>
            <w:left w:val="none" w:sz="0" w:space="0" w:color="auto"/>
            <w:bottom w:val="none" w:sz="0" w:space="0" w:color="auto"/>
            <w:right w:val="none" w:sz="0" w:space="0" w:color="auto"/>
          </w:divBdr>
        </w:div>
      </w:divsChild>
    </w:div>
    <w:div w:id="836656118">
      <w:bodyDiv w:val="1"/>
      <w:marLeft w:val="0"/>
      <w:marRight w:val="0"/>
      <w:marTop w:val="0"/>
      <w:marBottom w:val="0"/>
      <w:divBdr>
        <w:top w:val="none" w:sz="0" w:space="0" w:color="auto"/>
        <w:left w:val="none" w:sz="0" w:space="0" w:color="auto"/>
        <w:bottom w:val="none" w:sz="0" w:space="0" w:color="auto"/>
        <w:right w:val="none" w:sz="0" w:space="0" w:color="auto"/>
      </w:divBdr>
      <w:divsChild>
        <w:div w:id="2032876339">
          <w:marLeft w:val="0"/>
          <w:marRight w:val="0"/>
          <w:marTop w:val="0"/>
          <w:marBottom w:val="0"/>
          <w:divBdr>
            <w:top w:val="none" w:sz="0" w:space="0" w:color="auto"/>
            <w:left w:val="none" w:sz="0" w:space="0" w:color="auto"/>
            <w:bottom w:val="none" w:sz="0" w:space="0" w:color="auto"/>
            <w:right w:val="none" w:sz="0" w:space="0" w:color="auto"/>
          </w:divBdr>
          <w:divsChild>
            <w:div w:id="1671985687">
              <w:marLeft w:val="0"/>
              <w:marRight w:val="0"/>
              <w:marTop w:val="0"/>
              <w:marBottom w:val="0"/>
              <w:divBdr>
                <w:top w:val="none" w:sz="0" w:space="0" w:color="auto"/>
                <w:left w:val="none" w:sz="0" w:space="0" w:color="auto"/>
                <w:bottom w:val="none" w:sz="0" w:space="0" w:color="auto"/>
                <w:right w:val="none" w:sz="0" w:space="0" w:color="auto"/>
              </w:divBdr>
              <w:divsChild>
                <w:div w:id="819003454">
                  <w:marLeft w:val="0"/>
                  <w:marRight w:val="0"/>
                  <w:marTop w:val="0"/>
                  <w:marBottom w:val="0"/>
                  <w:divBdr>
                    <w:top w:val="none" w:sz="0" w:space="0" w:color="auto"/>
                    <w:left w:val="none" w:sz="0" w:space="0" w:color="auto"/>
                    <w:bottom w:val="none" w:sz="0" w:space="0" w:color="auto"/>
                    <w:right w:val="none" w:sz="0" w:space="0" w:color="auto"/>
                  </w:divBdr>
                  <w:divsChild>
                    <w:div w:id="105959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716656">
      <w:bodyDiv w:val="1"/>
      <w:marLeft w:val="0"/>
      <w:marRight w:val="0"/>
      <w:marTop w:val="0"/>
      <w:marBottom w:val="0"/>
      <w:divBdr>
        <w:top w:val="none" w:sz="0" w:space="0" w:color="auto"/>
        <w:left w:val="none" w:sz="0" w:space="0" w:color="auto"/>
        <w:bottom w:val="none" w:sz="0" w:space="0" w:color="auto"/>
        <w:right w:val="none" w:sz="0" w:space="0" w:color="auto"/>
      </w:divBdr>
    </w:div>
    <w:div w:id="1069426549">
      <w:bodyDiv w:val="1"/>
      <w:marLeft w:val="0"/>
      <w:marRight w:val="0"/>
      <w:marTop w:val="0"/>
      <w:marBottom w:val="0"/>
      <w:divBdr>
        <w:top w:val="none" w:sz="0" w:space="0" w:color="auto"/>
        <w:left w:val="none" w:sz="0" w:space="0" w:color="auto"/>
        <w:bottom w:val="none" w:sz="0" w:space="0" w:color="auto"/>
        <w:right w:val="none" w:sz="0" w:space="0" w:color="auto"/>
      </w:divBdr>
      <w:divsChild>
        <w:div w:id="1568761351">
          <w:marLeft w:val="-720"/>
          <w:marRight w:val="0"/>
          <w:marTop w:val="0"/>
          <w:marBottom w:val="0"/>
          <w:divBdr>
            <w:top w:val="none" w:sz="0" w:space="0" w:color="auto"/>
            <w:left w:val="none" w:sz="0" w:space="0" w:color="auto"/>
            <w:bottom w:val="none" w:sz="0" w:space="0" w:color="auto"/>
            <w:right w:val="none" w:sz="0" w:space="0" w:color="auto"/>
          </w:divBdr>
        </w:div>
      </w:divsChild>
    </w:div>
    <w:div w:id="1610702852">
      <w:bodyDiv w:val="1"/>
      <w:marLeft w:val="0"/>
      <w:marRight w:val="0"/>
      <w:marTop w:val="0"/>
      <w:marBottom w:val="0"/>
      <w:divBdr>
        <w:top w:val="none" w:sz="0" w:space="0" w:color="auto"/>
        <w:left w:val="none" w:sz="0" w:space="0" w:color="auto"/>
        <w:bottom w:val="none" w:sz="0" w:space="0" w:color="auto"/>
        <w:right w:val="none" w:sz="0" w:space="0" w:color="auto"/>
      </w:divBdr>
    </w:div>
    <w:div w:id="1813016725">
      <w:bodyDiv w:val="1"/>
      <w:marLeft w:val="0"/>
      <w:marRight w:val="0"/>
      <w:marTop w:val="0"/>
      <w:marBottom w:val="0"/>
      <w:divBdr>
        <w:top w:val="none" w:sz="0" w:space="0" w:color="auto"/>
        <w:left w:val="none" w:sz="0" w:space="0" w:color="auto"/>
        <w:bottom w:val="none" w:sz="0" w:space="0" w:color="auto"/>
        <w:right w:val="none" w:sz="0" w:space="0" w:color="auto"/>
      </w:divBdr>
      <w:divsChild>
        <w:div w:id="2141141606">
          <w:marLeft w:val="0"/>
          <w:marRight w:val="0"/>
          <w:marTop w:val="0"/>
          <w:marBottom w:val="0"/>
          <w:divBdr>
            <w:top w:val="none" w:sz="0" w:space="0" w:color="auto"/>
            <w:left w:val="none" w:sz="0" w:space="0" w:color="auto"/>
            <w:bottom w:val="none" w:sz="0" w:space="0" w:color="auto"/>
            <w:right w:val="none" w:sz="0" w:space="0" w:color="auto"/>
          </w:divBdr>
        </w:div>
      </w:divsChild>
    </w:div>
    <w:div w:id="1824007896">
      <w:bodyDiv w:val="1"/>
      <w:marLeft w:val="0"/>
      <w:marRight w:val="0"/>
      <w:marTop w:val="0"/>
      <w:marBottom w:val="0"/>
      <w:divBdr>
        <w:top w:val="none" w:sz="0" w:space="0" w:color="auto"/>
        <w:left w:val="none" w:sz="0" w:space="0" w:color="auto"/>
        <w:bottom w:val="none" w:sz="0" w:space="0" w:color="auto"/>
        <w:right w:val="none" w:sz="0" w:space="0" w:color="auto"/>
      </w:divBdr>
    </w:div>
    <w:div w:id="1922136442">
      <w:bodyDiv w:val="1"/>
      <w:marLeft w:val="0"/>
      <w:marRight w:val="0"/>
      <w:marTop w:val="0"/>
      <w:marBottom w:val="0"/>
      <w:divBdr>
        <w:top w:val="none" w:sz="0" w:space="0" w:color="auto"/>
        <w:left w:val="none" w:sz="0" w:space="0" w:color="auto"/>
        <w:bottom w:val="none" w:sz="0" w:space="0" w:color="auto"/>
        <w:right w:val="none" w:sz="0" w:space="0" w:color="auto"/>
      </w:divBdr>
    </w:div>
    <w:div w:id="1942882751">
      <w:bodyDiv w:val="1"/>
      <w:marLeft w:val="0"/>
      <w:marRight w:val="0"/>
      <w:marTop w:val="0"/>
      <w:marBottom w:val="0"/>
      <w:divBdr>
        <w:top w:val="none" w:sz="0" w:space="0" w:color="auto"/>
        <w:left w:val="none" w:sz="0" w:space="0" w:color="auto"/>
        <w:bottom w:val="none" w:sz="0" w:space="0" w:color="auto"/>
        <w:right w:val="none" w:sz="0" w:space="0" w:color="auto"/>
      </w:divBdr>
    </w:div>
    <w:div w:id="2086955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arriott.gcs-web.com/static-files/b82978a6-9d28-4e38-9855-fc4ae2cebe1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D5304-5945-4209-9F14-B169A24A2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2837</Words>
  <Characters>16176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Simona Patrascu</cp:lastModifiedBy>
  <cp:revision>6</cp:revision>
  <dcterms:created xsi:type="dcterms:W3CDTF">2024-11-04T16:46:00Z</dcterms:created>
  <dcterms:modified xsi:type="dcterms:W3CDTF">2024-11-04T17:58:00Z</dcterms:modified>
</cp:coreProperties>
</file>