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val="0"/>
        <w:spacing w:before="157" w:beforeLines="50" w:after="157" w:afterLines="50" w:line="300" w:lineRule="auto"/>
        <w:jc w:val="left"/>
        <w:textAlignment w:val="auto"/>
        <w:rPr>
          <w:rFonts w:hint="default" w:ascii="Times New Roman Bold" w:hAnsi="Times New Roman Bold" w:cs="Times New Roman Bold" w:eastAsiaTheme="minorEastAsia"/>
          <w:b/>
          <w:bCs w:val="0"/>
          <w:kern w:val="2"/>
          <w:sz w:val="30"/>
          <w:szCs w:val="30"/>
          <w:lang w:val="en-US" w:eastAsia="zh-CN" w:bidi="ar-SA"/>
        </w:rPr>
      </w:pPr>
      <w:r>
        <w:rPr>
          <w:rFonts w:hint="default" w:ascii="Arial Regular" w:hAnsi="Arial Regular" w:cs="Arial Regular"/>
          <w:sz w:val="28"/>
          <w:szCs w:val="28"/>
          <w:lang w:val="en-US" w:eastAsia="zh-CN"/>
        </w:rPr>
        <w:t xml:space="preserve">HPEN 7005 Assignment </w:t>
      </w:r>
      <w:r>
        <w:rPr>
          <w:rFonts w:hint="eastAsia" w:ascii="Arial Regular" w:hAnsi="Arial Regular" w:cs="Arial Regular"/>
          <w:sz w:val="28"/>
          <w:szCs w:val="28"/>
          <w:lang w:val="en-US" w:eastAsia="zh-CN"/>
        </w:rPr>
        <w:t>2</w:t>
      </w:r>
    </w:p>
    <w:p>
      <w:pPr>
        <w:ind w:left="720"/>
        <w:jc w:val="center"/>
        <w:rPr>
          <w:rFonts w:hint="default" w:ascii="Times New Roman Bold" w:hAnsi="Times New Roman Bold" w:cs="Times New Roman Bold" w:eastAsiaTheme="minorEastAsia"/>
          <w:b/>
          <w:bCs w:val="0"/>
          <w:kern w:val="2"/>
          <w:sz w:val="30"/>
          <w:szCs w:val="30"/>
          <w:lang w:val="en-US" w:eastAsia="zh-CN" w:bidi="ar-SA"/>
        </w:rPr>
      </w:pPr>
      <w:r>
        <w:rPr>
          <w:rFonts w:hint="default" w:ascii="Times New Roman Bold" w:hAnsi="Times New Roman Bold" w:cs="Times New Roman Bold" w:eastAsiaTheme="minorEastAsia"/>
          <w:b/>
          <w:bCs w:val="0"/>
          <w:kern w:val="2"/>
          <w:sz w:val="30"/>
          <w:szCs w:val="30"/>
          <w:lang w:val="en-US" w:eastAsia="zh-CN" w:bidi="ar-SA"/>
        </w:rPr>
        <w:t>Mini Research Project Proposal</w:t>
      </w:r>
    </w:p>
    <w:p>
      <w:pPr>
        <w:ind w:left="720"/>
        <w:jc w:val="center"/>
        <w:rPr>
          <w:rFonts w:hint="default" w:ascii="Times New Roman Regular" w:hAnsi="Times New Roman Regular" w:cs="Times New Roman Regular"/>
          <w:sz w:val="28"/>
          <w:szCs w:val="28"/>
        </w:rPr>
      </w:pPr>
      <w:r>
        <w:rPr>
          <w:rFonts w:hint="default" w:ascii="Times New Roman Regular" w:hAnsi="Times New Roman Regular" w:cs="Times New Roman Regular"/>
          <w:sz w:val="28"/>
          <w:szCs w:val="28"/>
        </w:rPr>
        <w:t>Qing He (</w:t>
      </w:r>
      <w:r>
        <w:rPr>
          <w:rFonts w:hint="default" w:ascii="Times New Roman Regular" w:hAnsi="Times New Roman Regular" w:cs="Times New Roman Regular"/>
          <w:sz w:val="28"/>
          <w:szCs w:val="28"/>
          <w:lang w:val="en-US"/>
        </w:rPr>
        <w:t xml:space="preserve">UWTSD </w:t>
      </w:r>
      <w:r>
        <w:rPr>
          <w:rFonts w:hint="default" w:ascii="Times New Roman Regular" w:hAnsi="Times New Roman Regular" w:cs="Times New Roman Regular"/>
          <w:sz w:val="28"/>
          <w:szCs w:val="28"/>
        </w:rPr>
        <w:t>Student ID: 2306690)</w:t>
      </w:r>
    </w:p>
    <w:p>
      <w:pPr>
        <w:ind w:left="720"/>
        <w:jc w:val="center"/>
        <w:rPr>
          <w:rFonts w:hint="default" w:ascii="Times New Roman Regular" w:hAnsi="Times New Roman Regular" w:cs="Times New Roman Regular"/>
          <w:sz w:val="28"/>
          <w:szCs w:val="28"/>
          <w:lang w:val="en-US" w:eastAsia="zh-CN"/>
        </w:rPr>
      </w:pPr>
    </w:p>
    <w:p>
      <w:pPr>
        <w:keepNext w:val="0"/>
        <w:keepLines w:val="0"/>
        <w:pageBreakBefore w:val="0"/>
        <w:numPr>
          <w:ilvl w:val="0"/>
          <w:numId w:val="1"/>
        </w:numPr>
        <w:kinsoku/>
        <w:wordWrap/>
        <w:overflowPunct/>
        <w:topLinePunct w:val="0"/>
        <w:autoSpaceDE/>
        <w:autoSpaceDN/>
        <w:bidi w:val="0"/>
        <w:adjustRightInd/>
        <w:snapToGrid/>
        <w:spacing w:before="157" w:beforeLines="50" w:after="157" w:afterLines="50"/>
        <w:jc w:val="both"/>
        <w:textAlignment w:val="auto"/>
        <w:rPr>
          <w:rFonts w:hint="default" w:ascii="Times New Roman Bold" w:hAnsi="Times New Roman Bold" w:cs="Times New Roman Bold" w:eastAsiaTheme="minorEastAsia"/>
          <w:b/>
          <w:bCs w:val="0"/>
          <w:kern w:val="2"/>
          <w:sz w:val="24"/>
          <w:szCs w:val="24"/>
          <w:lang w:val="en-US" w:eastAsia="zh-CN" w:bidi="ar-SA"/>
        </w:rPr>
      </w:pPr>
      <w:r>
        <w:rPr>
          <w:rFonts w:hint="default" w:ascii="Times New Roman Bold" w:hAnsi="Times New Roman Bold" w:cs="Times New Roman Bold" w:eastAsiaTheme="minorEastAsia"/>
          <w:b/>
          <w:bCs w:val="0"/>
          <w:kern w:val="2"/>
          <w:sz w:val="24"/>
          <w:szCs w:val="24"/>
          <w:lang w:val="en-US" w:eastAsia="zh-CN" w:bidi="ar-SA"/>
        </w:rPr>
        <w:t>Title:</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eastAsiaTheme="minorEastAsia"/>
          <w:bCs/>
          <w:kern w:val="2"/>
          <w:sz w:val="24"/>
          <w:szCs w:val="24"/>
          <w:lang w:val="en-US" w:eastAsia="zh-CN" w:bidi="ar-SA"/>
        </w:rPr>
      </w:pPr>
      <w:r>
        <w:rPr>
          <w:rFonts w:hint="default" w:ascii="Times New Roman Regular" w:hAnsi="Times New Roman Regular" w:cs="Times New Roman Regular" w:eastAsiaTheme="minorEastAsia"/>
          <w:bCs/>
          <w:kern w:val="2"/>
          <w:sz w:val="24"/>
          <w:szCs w:val="24"/>
          <w:lang w:val="en-US" w:eastAsia="zh-CN" w:bidi="ar-SA"/>
        </w:rPr>
        <w:t>Investigating College</w:t>
      </w:r>
      <w:r>
        <w:rPr>
          <w:rFonts w:hint="default" w:ascii="Times New Roman Regular" w:hAnsi="Times New Roman Regular" w:cs="Times New Roman Regular"/>
          <w:bCs/>
          <w:kern w:val="2"/>
          <w:sz w:val="24"/>
          <w:szCs w:val="24"/>
          <w:lang w:val="en-US" w:eastAsia="zh-CN" w:bidi="ar-SA"/>
        </w:rPr>
        <w:t xml:space="preserve"> </w:t>
      </w:r>
      <w:r>
        <w:rPr>
          <w:rFonts w:hint="default" w:ascii="Times New Roman Regular" w:hAnsi="Times New Roman Regular" w:cs="Times New Roman Regular" w:eastAsiaTheme="minorEastAsia"/>
          <w:bCs/>
          <w:kern w:val="2"/>
          <w:sz w:val="24"/>
          <w:szCs w:val="24"/>
          <w:lang w:val="en-US" w:eastAsia="zh-CN" w:bidi="ar-SA"/>
        </w:rPr>
        <w:t>Teachers’ Beliefs and Practices in Using English as a</w:t>
      </w:r>
      <w:r>
        <w:rPr>
          <w:rFonts w:hint="default" w:ascii="Times New Roman Regular" w:hAnsi="Times New Roman Regular" w:cs="Times New Roman Regular"/>
          <w:bCs/>
          <w:kern w:val="2"/>
          <w:sz w:val="24"/>
          <w:szCs w:val="24"/>
          <w:lang w:val="en-US" w:eastAsia="zh-CN" w:bidi="ar-SA"/>
        </w:rPr>
        <w:t xml:space="preserve">    </w:t>
      </w:r>
      <w:r>
        <w:rPr>
          <w:rFonts w:hint="default" w:ascii="Times New Roman Regular" w:hAnsi="Times New Roman Regular" w:cs="Times New Roman Regular" w:eastAsiaTheme="minorEastAsia"/>
          <w:bCs/>
          <w:kern w:val="2"/>
          <w:sz w:val="24"/>
          <w:szCs w:val="24"/>
          <w:lang w:val="en-US" w:eastAsia="zh-CN" w:bidi="ar-SA"/>
        </w:rPr>
        <w:t>Medium of Instruction in Chinese Tertiary Context</w:t>
      </w:r>
    </w:p>
    <w:p>
      <w:pPr>
        <w:keepNext w:val="0"/>
        <w:keepLines w:val="0"/>
        <w:pageBreakBefore w:val="0"/>
        <w:numPr>
          <w:ilvl w:val="0"/>
          <w:numId w:val="1"/>
        </w:numPr>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eastAsiaTheme="minorEastAsia"/>
          <w:bCs/>
          <w:kern w:val="2"/>
          <w:sz w:val="24"/>
          <w:szCs w:val="24"/>
          <w:lang w:val="en-US" w:eastAsia="zh-CN" w:bidi="ar-SA"/>
        </w:rPr>
      </w:pPr>
      <w:r>
        <w:rPr>
          <w:rFonts w:hint="default" w:ascii="Times New Roman Regular" w:hAnsi="Times New Roman Regular" w:cs="Times New Roman Regular" w:eastAsiaTheme="minorEastAsia"/>
          <w:b/>
          <w:bCs w:val="0"/>
          <w:kern w:val="2"/>
          <w:sz w:val="24"/>
          <w:szCs w:val="24"/>
          <w:lang w:val="en-US" w:eastAsia="zh-CN" w:bidi="ar-SA"/>
        </w:rPr>
        <w:t>Aims of the Investigation</w:t>
      </w:r>
      <w:r>
        <w:rPr>
          <w:rFonts w:hint="default" w:ascii="Times New Roman Regular" w:hAnsi="Times New Roman Regular" w:cs="Times New Roman Regular" w:eastAsiaTheme="minorEastAsia"/>
          <w:bCs/>
          <w:kern w:val="2"/>
          <w:sz w:val="24"/>
          <w:szCs w:val="24"/>
          <w:lang w:val="en-US" w:eastAsia="zh-CN" w:bidi="ar-SA"/>
        </w:rPr>
        <w:t xml:space="preserve"> </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eastAsiaTheme="minorEastAsia"/>
          <w:bCs/>
          <w:kern w:val="2"/>
          <w:sz w:val="24"/>
          <w:szCs w:val="24"/>
          <w:lang w:val="en-US" w:eastAsia="zh-CN" w:bidi="ar-SA"/>
        </w:rPr>
      </w:pPr>
      <w:r>
        <w:rPr>
          <w:rFonts w:hint="default" w:ascii="Times New Roman Regular" w:hAnsi="Times New Roman Regular" w:cs="Times New Roman Regular" w:eastAsiaTheme="minorEastAsia"/>
          <w:bCs/>
          <w:kern w:val="2"/>
          <w:sz w:val="24"/>
          <w:szCs w:val="24"/>
          <w:lang w:val="en-US" w:eastAsia="zh-CN" w:bidi="ar-SA"/>
        </w:rPr>
        <w:t xml:space="preserve">This mini-research project aims to investigate the </w:t>
      </w:r>
      <w:r>
        <w:rPr>
          <w:rFonts w:hint="default" w:ascii="Times New Roman Regular" w:hAnsi="Times New Roman Regular" w:cs="Times New Roman Regular"/>
          <w:bCs/>
          <w:kern w:val="2"/>
          <w:sz w:val="24"/>
          <w:szCs w:val="24"/>
          <w:lang w:val="en-US" w:eastAsia="zh-CN" w:bidi="ar-SA"/>
        </w:rPr>
        <w:t>university</w:t>
      </w:r>
      <w:r>
        <w:rPr>
          <w:rFonts w:hint="default" w:ascii="Times New Roman Regular" w:hAnsi="Times New Roman Regular" w:cs="Times New Roman Regular" w:eastAsiaTheme="minorEastAsia"/>
          <w:bCs/>
          <w:kern w:val="2"/>
          <w:sz w:val="24"/>
          <w:szCs w:val="24"/>
          <w:lang w:val="en-US" w:eastAsia="zh-CN" w:bidi="ar-SA"/>
        </w:rPr>
        <w:t xml:space="preserve"> teachers’ beliefs and practices in using English as a medium of instruction (EMI) in Chinese tertiary context. In short, there are three research questions to explore:</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eastAsiaTheme="minorEastAsia"/>
          <w:bCs/>
          <w:kern w:val="2"/>
          <w:sz w:val="24"/>
          <w:szCs w:val="24"/>
          <w:lang w:val="en-US" w:eastAsia="zh-CN" w:bidi="ar-SA"/>
        </w:rPr>
      </w:pPr>
      <w:r>
        <w:rPr>
          <w:rFonts w:hint="default" w:ascii="Times New Roman Regular" w:hAnsi="Times New Roman Regular" w:cs="Times New Roman Regular" w:eastAsiaTheme="minorEastAsia"/>
          <w:bCs/>
          <w:kern w:val="2"/>
          <w:sz w:val="24"/>
          <w:szCs w:val="24"/>
          <w:lang w:val="en-US" w:eastAsia="zh-CN" w:bidi="ar-SA"/>
        </w:rPr>
        <w:t xml:space="preserve">RQ1: What are the </w:t>
      </w:r>
      <w:r>
        <w:rPr>
          <w:rFonts w:hint="default" w:ascii="Times New Roman Regular" w:hAnsi="Times New Roman Regular" w:cs="Times New Roman Regular"/>
          <w:bCs/>
          <w:kern w:val="2"/>
          <w:sz w:val="24"/>
          <w:szCs w:val="24"/>
          <w:lang w:val="en-US" w:eastAsia="zh-CN" w:bidi="ar-SA"/>
        </w:rPr>
        <w:t>university</w:t>
      </w:r>
      <w:r>
        <w:rPr>
          <w:rFonts w:hint="default" w:ascii="Times New Roman Regular" w:hAnsi="Times New Roman Regular" w:cs="Times New Roman Regular" w:eastAsiaTheme="minorEastAsia"/>
          <w:bCs/>
          <w:kern w:val="2"/>
          <w:sz w:val="24"/>
          <w:szCs w:val="24"/>
          <w:lang w:val="en-US" w:eastAsia="zh-CN" w:bidi="ar-SA"/>
        </w:rPr>
        <w:t xml:space="preserve"> teachers’ beliefs </w:t>
      </w:r>
      <w:r>
        <w:rPr>
          <w:rFonts w:hint="default" w:ascii="Times New Roman Regular" w:hAnsi="Times New Roman Regular" w:cs="Times New Roman Regular"/>
          <w:bCs/>
          <w:kern w:val="2"/>
          <w:sz w:val="24"/>
          <w:szCs w:val="24"/>
          <w:lang w:val="en-US" w:eastAsia="zh-CN" w:bidi="ar-SA"/>
        </w:rPr>
        <w:t>on the role of</w:t>
      </w:r>
      <w:r>
        <w:rPr>
          <w:rFonts w:hint="default" w:ascii="Times New Roman Regular" w:hAnsi="Times New Roman Regular" w:cs="Times New Roman Regular" w:eastAsiaTheme="minorEastAsia"/>
          <w:bCs/>
          <w:kern w:val="2"/>
          <w:sz w:val="24"/>
          <w:szCs w:val="24"/>
          <w:lang w:val="en-US" w:eastAsia="zh-CN" w:bidi="ar-SA"/>
        </w:rPr>
        <w:t xml:space="preserve"> EMI?</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ind w:left="720" w:leftChars="0" w:hanging="720" w:hangingChars="300"/>
        <w:jc w:val="both"/>
        <w:textAlignment w:val="auto"/>
        <w:rPr>
          <w:rFonts w:hint="default" w:ascii="Times New Roman Regular" w:hAnsi="Times New Roman Regular" w:cs="Times New Roman Regular" w:eastAsiaTheme="minorEastAsia"/>
          <w:bCs/>
          <w:kern w:val="2"/>
          <w:sz w:val="24"/>
          <w:szCs w:val="24"/>
          <w:lang w:val="en-US" w:eastAsia="zh-CN" w:bidi="ar-SA"/>
        </w:rPr>
      </w:pPr>
      <w:r>
        <w:rPr>
          <w:rFonts w:hint="default" w:ascii="Times New Roman Regular" w:hAnsi="Times New Roman Regular" w:cs="Times New Roman Regular" w:eastAsiaTheme="minorEastAsia"/>
          <w:bCs/>
          <w:kern w:val="2"/>
          <w:sz w:val="24"/>
          <w:szCs w:val="24"/>
          <w:lang w:val="en-US" w:eastAsia="zh-CN" w:bidi="ar-SA"/>
        </w:rPr>
        <w:t>RQ2:</w:t>
      </w:r>
      <w:r>
        <w:rPr>
          <w:rFonts w:hint="eastAsia" w:ascii="Times New Roman Regular" w:hAnsi="Times New Roman Regular" w:cs="Times New Roman Regular"/>
          <w:bCs/>
          <w:kern w:val="2"/>
          <w:sz w:val="24"/>
          <w:szCs w:val="24"/>
          <w:lang w:val="en-US" w:eastAsia="zh-CN" w:bidi="ar-SA"/>
        </w:rPr>
        <w:t xml:space="preserve"> </w:t>
      </w:r>
      <w:r>
        <w:rPr>
          <w:rFonts w:hint="default" w:ascii="Times New Roman Regular" w:hAnsi="Times New Roman Regular" w:cs="Times New Roman Regular" w:eastAsiaTheme="minorEastAsia"/>
          <w:bCs/>
          <w:kern w:val="2"/>
          <w:sz w:val="24"/>
          <w:szCs w:val="24"/>
          <w:lang w:val="en-US" w:eastAsia="zh-CN" w:bidi="ar-SA"/>
        </w:rPr>
        <w:t xml:space="preserve">What are the </w:t>
      </w:r>
      <w:r>
        <w:rPr>
          <w:rFonts w:hint="default" w:ascii="Times New Roman Regular" w:hAnsi="Times New Roman Regular" w:cs="Times New Roman Regular"/>
          <w:bCs/>
          <w:kern w:val="2"/>
          <w:sz w:val="24"/>
          <w:szCs w:val="24"/>
          <w:lang w:val="en-US" w:eastAsia="zh-CN" w:bidi="ar-SA"/>
        </w:rPr>
        <w:t>university</w:t>
      </w:r>
      <w:r>
        <w:rPr>
          <w:rFonts w:hint="default" w:ascii="Times New Roman Regular" w:hAnsi="Times New Roman Regular" w:cs="Times New Roman Regular" w:eastAsiaTheme="minorEastAsia"/>
          <w:bCs/>
          <w:kern w:val="2"/>
          <w:sz w:val="24"/>
          <w:szCs w:val="24"/>
          <w:lang w:val="en-US" w:eastAsia="zh-CN" w:bidi="ar-SA"/>
        </w:rPr>
        <w:t xml:space="preserve"> teachers’</w:t>
      </w:r>
      <w:r>
        <w:rPr>
          <w:rFonts w:hint="default" w:ascii="Times New Roman Regular" w:hAnsi="Times New Roman Regular" w:cs="Times New Roman Regular"/>
          <w:bCs/>
          <w:kern w:val="2"/>
          <w:sz w:val="24"/>
          <w:szCs w:val="24"/>
          <w:lang w:val="en-US" w:eastAsia="zh-CN" w:bidi="ar-SA"/>
        </w:rPr>
        <w:t xml:space="preserve"> beliefs </w:t>
      </w:r>
      <w:r>
        <w:rPr>
          <w:rFonts w:hint="eastAsia" w:ascii="Times New Roman Regular" w:hAnsi="Times New Roman Regular" w:cs="Times New Roman Regular"/>
          <w:bCs/>
          <w:kern w:val="2"/>
          <w:sz w:val="24"/>
          <w:szCs w:val="24"/>
          <w:lang w:val="en-US" w:eastAsia="zh-CN" w:bidi="ar-SA"/>
        </w:rPr>
        <w:t xml:space="preserve">and practices </w:t>
      </w:r>
      <w:r>
        <w:rPr>
          <w:rFonts w:hint="default" w:ascii="Times New Roman Regular" w:hAnsi="Times New Roman Regular" w:cs="Times New Roman Regular"/>
          <w:bCs/>
          <w:kern w:val="2"/>
          <w:sz w:val="24"/>
          <w:szCs w:val="24"/>
          <w:lang w:val="en-US" w:eastAsia="zh-CN" w:bidi="ar-SA"/>
        </w:rPr>
        <w:t>on</w:t>
      </w:r>
      <w:r>
        <w:rPr>
          <w:rFonts w:hint="default" w:ascii="Times New Roman Regular" w:hAnsi="Times New Roman Regular" w:cs="Times New Roman Regular" w:eastAsiaTheme="minorEastAsia"/>
          <w:bCs/>
          <w:kern w:val="2"/>
          <w:sz w:val="24"/>
          <w:szCs w:val="24"/>
          <w:lang w:val="en-US" w:eastAsia="zh-CN" w:bidi="ar-SA"/>
        </w:rPr>
        <w:t xml:space="preserve"> </w:t>
      </w:r>
      <w:r>
        <w:rPr>
          <w:rFonts w:hint="default" w:ascii="Times New Roman Regular" w:hAnsi="Times New Roman Regular" w:cs="Times New Roman Regular"/>
          <w:bCs/>
          <w:kern w:val="2"/>
          <w:sz w:val="24"/>
          <w:szCs w:val="24"/>
          <w:lang w:val="en-US" w:eastAsia="zh-CN" w:bidi="ar-SA"/>
        </w:rPr>
        <w:t>EMI teaching methodology</w:t>
      </w:r>
      <w:r>
        <w:rPr>
          <w:rFonts w:hint="default" w:ascii="Times New Roman Regular" w:hAnsi="Times New Roman Regular" w:cs="Times New Roman Regular" w:eastAsiaTheme="minorEastAsia"/>
          <w:bCs/>
          <w:kern w:val="2"/>
          <w:sz w:val="24"/>
          <w:szCs w:val="24"/>
          <w:lang w:val="en-US" w:eastAsia="zh-CN" w:bidi="ar-SA"/>
        </w:rPr>
        <w:t>?</w:t>
      </w:r>
    </w:p>
    <w:p>
      <w:pPr>
        <w:keepNext w:val="0"/>
        <w:keepLines w:val="0"/>
        <w:pageBreakBefore w:val="0"/>
        <w:numPr>
          <w:ilvl w:val="0"/>
          <w:numId w:val="0"/>
        </w:numPr>
        <w:kinsoku/>
        <w:wordWrap/>
        <w:overflowPunct/>
        <w:topLinePunct w:val="0"/>
        <w:autoSpaceDE/>
        <w:autoSpaceDN/>
        <w:bidi w:val="0"/>
        <w:adjustRightInd/>
        <w:snapToGrid/>
        <w:spacing w:before="157" w:beforeLines="50" w:after="157" w:afterLines="50"/>
        <w:ind w:left="720" w:leftChars="0" w:hanging="720" w:hangingChars="300"/>
        <w:jc w:val="both"/>
        <w:textAlignment w:val="auto"/>
        <w:rPr>
          <w:rFonts w:hint="default" w:ascii="Times New Roman Regular" w:hAnsi="Times New Roman Regular" w:cs="Times New Roman Regular" w:eastAsiaTheme="minorEastAsia"/>
          <w:bCs/>
          <w:kern w:val="2"/>
          <w:sz w:val="24"/>
          <w:szCs w:val="24"/>
          <w:lang w:val="en-US" w:eastAsia="zh-CN" w:bidi="ar-SA"/>
        </w:rPr>
      </w:pPr>
      <w:r>
        <w:rPr>
          <w:rFonts w:hint="default" w:ascii="Times New Roman Regular" w:hAnsi="Times New Roman Regular" w:cs="Times New Roman Regular" w:eastAsiaTheme="minorEastAsia"/>
          <w:bCs/>
          <w:kern w:val="2"/>
          <w:sz w:val="24"/>
          <w:szCs w:val="24"/>
          <w:lang w:val="en-US" w:eastAsia="zh-CN" w:bidi="ar-SA"/>
        </w:rPr>
        <w:t xml:space="preserve">RQ3: What are the </w:t>
      </w:r>
      <w:r>
        <w:rPr>
          <w:rFonts w:hint="default" w:ascii="Times New Roman Regular" w:hAnsi="Times New Roman Regular" w:cs="Times New Roman Regular"/>
          <w:bCs/>
          <w:kern w:val="2"/>
          <w:sz w:val="24"/>
          <w:szCs w:val="24"/>
          <w:lang w:val="en-US" w:eastAsia="zh-CN" w:bidi="ar-SA"/>
        </w:rPr>
        <w:t>university teachers’ beliefs on university support in terms of EMI teacher development</w:t>
      </w:r>
      <w:r>
        <w:rPr>
          <w:rFonts w:hint="default" w:ascii="Times New Roman Regular" w:hAnsi="Times New Roman Regular" w:cs="Times New Roman Regular" w:eastAsiaTheme="minorEastAsia"/>
          <w:bCs/>
          <w:kern w:val="2"/>
          <w:sz w:val="24"/>
          <w:szCs w:val="24"/>
          <w:lang w:val="en-US" w:eastAsia="zh-CN" w:bidi="ar-SA"/>
        </w:rPr>
        <w:t xml:space="preserve">? </w:t>
      </w:r>
    </w:p>
    <w:p>
      <w:pPr>
        <w:pStyle w:val="8"/>
        <w:keepNext w:val="0"/>
        <w:keepLines w:val="0"/>
        <w:pageBreakBefore w:val="0"/>
        <w:numPr>
          <w:ilvl w:val="0"/>
          <w:numId w:val="1"/>
        </w:numPr>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eastAsiaTheme="minorEastAsia"/>
          <w:b/>
          <w:bCs w:val="0"/>
          <w:kern w:val="2"/>
          <w:sz w:val="24"/>
          <w:szCs w:val="24"/>
          <w:lang w:val="en-US" w:eastAsia="zh-CN" w:bidi="ar-SA"/>
        </w:rPr>
      </w:pPr>
      <w:r>
        <w:rPr>
          <w:rFonts w:hint="default" w:ascii="Times New Roman Regular" w:hAnsi="Times New Roman Regular" w:cs="Times New Roman Regular" w:eastAsiaTheme="minorEastAsia"/>
          <w:b/>
          <w:bCs w:val="0"/>
          <w:kern w:val="2"/>
          <w:sz w:val="24"/>
          <w:szCs w:val="24"/>
          <w:lang w:val="en-US" w:eastAsia="zh-CN" w:bidi="ar-SA"/>
        </w:rPr>
        <w:t>The rationale and main conceptual themes for the investigation</w:t>
      </w:r>
    </w:p>
    <w:p>
      <w:pPr>
        <w:keepNext w:val="0"/>
        <w:keepLines w:val="0"/>
        <w:pageBreakBefore w:val="0"/>
        <w:numPr>
          <w:ilvl w:val="1"/>
          <w:numId w:val="1"/>
        </w:numPr>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The rationale</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Driven by the trend of internationalization of higher education, universities worldwide are increasingly </w:t>
      </w:r>
      <w:r>
        <w:rPr>
          <w:rFonts w:hint="default" w:ascii="Times New Roman Regular" w:hAnsi="Times New Roman Regular" w:cs="Times New Roman Regular"/>
          <w:bCs/>
          <w:kern w:val="2"/>
          <w:sz w:val="24"/>
          <w:szCs w:val="24"/>
          <w:lang w:val="en-US" w:eastAsia="zh-CN" w:bidi="ar-SA"/>
        </w:rPr>
        <w:t xml:space="preserve">adopting English as a medium of instruction (EMI) in their curriculum and teaching in </w:t>
      </w:r>
      <w:r>
        <w:rPr>
          <w:rFonts w:hint="default" w:ascii="Times New Roman Regular" w:hAnsi="Times New Roman Regular" w:cs="Times New Roman Regular"/>
          <w:bCs/>
          <w:kern w:val="2"/>
          <w:sz w:val="24"/>
          <w:szCs w:val="24"/>
          <w:lang w:val="en-US" w:eastAsia="zh-CN" w:bidi="ar-SA"/>
        </w:rPr>
        <w:t>different types of disciplines</w:t>
      </w:r>
      <w:r>
        <w:rPr>
          <w:rFonts w:hint="default" w:ascii="Times New Roman Regular" w:hAnsi="Times New Roman Regular" w:cs="Times New Roman Regular"/>
          <w:bCs/>
          <w:kern w:val="2"/>
          <w:sz w:val="24"/>
          <w:szCs w:val="24"/>
          <w:lang w:val="en-US" w:eastAsia="zh-CN" w:bidi="ar-SA"/>
        </w:rPr>
        <w:t>, serving mainly as a means to remove language obstacles for the enrolment of foreign students and for the improvement of international competences of domestic students (Arnó-Macià and Aguilar-Pérez, 2018). In China, the degree of internationalization is an integral factor or indicator in evaluating the quality and competitiveness of a university by the Education Department. Therefore, Chinese universities especially state-owned ones take efforts to promote EMI and an increasing number of teachers are involved into the EMI courses. However, the EMI teachers</w:t>
      </w:r>
      <w:r>
        <w:rPr>
          <w:rFonts w:hint="eastAsia" w:ascii="Times New Roman Regular" w:hAnsi="Times New Roman Regular" w:cs="Times New Roman Regular"/>
          <w:bCs/>
          <w:kern w:val="2"/>
          <w:sz w:val="24"/>
          <w:szCs w:val="24"/>
          <w:lang w:val="en-US" w:eastAsia="zh-CN" w:bidi="ar-SA"/>
        </w:rPr>
        <w:t xml:space="preserve">, </w:t>
      </w:r>
      <w:r>
        <w:rPr>
          <w:rFonts w:hint="default" w:ascii="Times New Roman Regular" w:hAnsi="Times New Roman Regular" w:cs="Times New Roman Regular"/>
          <w:bCs/>
          <w:kern w:val="2"/>
          <w:sz w:val="24"/>
          <w:szCs w:val="24"/>
          <w:lang w:val="en-US" w:eastAsia="zh-CN" w:bidi="ar-SA"/>
        </w:rPr>
        <w:t>mostly non-native speakers and non English major, are found to be not fully prepared in EMI teaching due to a shortage of English linguistic and pedagogical competence (Dearden and Macaro, 2016). Moreover, the reality of emphasizing researching productivity in most Higher Education (HE) institutions leads to insufficient concern or support to equipping EMI teachers with adequate competence (Macaro and Han, 2020). Therefore, it is of significance to arouse the awareness of EMI teacher development through the exploration of teachers’ beliefs and practices.</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The study is relevant to this module because of two reasons. First, since EMI is a newly emergent approach in EFL setting with the background of internationalization, this study is supposed to shed light on EMI teacher training and development; Second, teacher beliefs influence the teacher practices in the classroom and beyond, it is significant to unveil what’s behind the scene of EMI class.    </w:t>
      </w:r>
    </w:p>
    <w:p>
      <w:pPr>
        <w:keepNext w:val="0"/>
        <w:keepLines w:val="0"/>
        <w:pageBreakBefore w:val="0"/>
        <w:widowControl/>
        <w:numPr>
          <w:ilvl w:val="1"/>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Main Conceptual Themes</w:t>
      </w:r>
    </w:p>
    <w:p>
      <w:pPr>
        <w:keepNext w:val="0"/>
        <w:keepLines w:val="0"/>
        <w:pageBreakBefore w:val="0"/>
        <w:widowControl/>
        <w:numPr>
          <w:ilvl w:val="2"/>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EMI Teaching</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Gaining increasing attention, EMI is defined as ‘the use of the English language to teach academic subjects (other than English itself) in countries or jurisdictions where the first language of the majority of the population is not English’ (Macaro et al., 2018, p. 37). Although EMI is content-oriented, the role of English as medium in teaching can not be underestimated, since ‘content learning is deeply embedded in the acquisition and use of language’(Yuan, Chen and Peng, 2022, p.234). Some research found that the importance in language in EMI teaching. Heron et al. (2024) argues that practice around language support can provide a way forward in explicating good practice in EMI. However, the reality is that EMI teachers, who are mostly either non-English major or non-native speakers, often use the lecturing mode of complete knowledge transmission in classroom teaching without or almost</w:t>
      </w:r>
      <w:r>
        <w:rPr>
          <w:rFonts w:hint="eastAsia" w:ascii="Times New Roman Regular" w:hAnsi="Times New Roman Regular" w:cs="Times New Roman Regular"/>
          <w:bCs/>
          <w:kern w:val="2"/>
          <w:sz w:val="24"/>
          <w:szCs w:val="24"/>
          <w:lang w:val="en-US" w:eastAsia="zh-CN" w:bidi="ar-SA"/>
        </w:rPr>
        <w:t xml:space="preserve"> without </w:t>
      </w:r>
      <w:r>
        <w:rPr>
          <w:rFonts w:hint="default" w:ascii="Times New Roman Regular" w:hAnsi="Times New Roman Regular" w:cs="Times New Roman Regular"/>
          <w:bCs/>
          <w:kern w:val="2"/>
          <w:sz w:val="24"/>
          <w:szCs w:val="24"/>
          <w:lang w:val="en-US" w:eastAsia="zh-CN" w:bidi="ar-SA"/>
        </w:rPr>
        <w:t xml:space="preserve">meta-linguistic awareness, worrying about exposing their lack of English proficiency (e.g. in terms of speaking, listening and grammar) in front of students (Yuan, Chen and Peng, 2022). This problem of unpreparedness or </w:t>
      </w:r>
      <w:r>
        <w:rPr>
          <w:rFonts w:hint="eastAsia" w:ascii="Times New Roman Regular" w:hAnsi="Times New Roman Regular" w:cs="Times New Roman Regular"/>
          <w:bCs/>
          <w:kern w:val="2"/>
          <w:sz w:val="24"/>
          <w:szCs w:val="24"/>
          <w:lang w:val="en-US" w:eastAsia="zh-CN" w:bidi="ar-SA"/>
        </w:rPr>
        <w:t>in</w:t>
      </w:r>
      <w:r>
        <w:rPr>
          <w:rFonts w:hint="default" w:ascii="Times New Roman Regular" w:hAnsi="Times New Roman Regular" w:cs="Times New Roman Regular"/>
          <w:bCs/>
          <w:kern w:val="2"/>
          <w:sz w:val="24"/>
          <w:szCs w:val="24"/>
          <w:lang w:val="en-US" w:eastAsia="zh-CN" w:bidi="ar-SA"/>
        </w:rPr>
        <w:t>competence will have negative impact on both students and teachers themselves (Macaro et al., 2018).</w:t>
      </w:r>
      <w:r>
        <w:rPr>
          <w:rFonts w:hint="eastAsia" w:ascii="Times New Roman Regular" w:hAnsi="Times New Roman Regular" w:cs="Times New Roman Regular"/>
          <w:bCs/>
          <w:kern w:val="2"/>
          <w:sz w:val="24"/>
          <w:szCs w:val="24"/>
          <w:lang w:val="en-US" w:eastAsia="zh-CN" w:bidi="ar-SA"/>
        </w:rPr>
        <w:t xml:space="preserve"> </w:t>
      </w:r>
      <w:r>
        <w:rPr>
          <w:rFonts w:hint="default" w:ascii="Times New Roman Regular" w:hAnsi="Times New Roman Regular" w:cs="Times New Roman Regular"/>
          <w:bCs/>
          <w:kern w:val="2"/>
          <w:sz w:val="24"/>
          <w:szCs w:val="24"/>
          <w:lang w:val="en-US" w:eastAsia="zh-CN" w:bidi="ar-SA"/>
        </w:rPr>
        <w:t xml:space="preserve">However, while recent years have witnessed the increasing </w:t>
      </w:r>
      <w:r>
        <w:rPr>
          <w:rFonts w:hint="eastAsia" w:ascii="Times New Roman Regular" w:hAnsi="Times New Roman Regular" w:cs="Times New Roman Regular"/>
          <w:bCs/>
          <w:kern w:val="2"/>
          <w:sz w:val="24"/>
          <w:szCs w:val="24"/>
          <w:lang w:val="en-US" w:eastAsia="zh-CN" w:bidi="ar-SA"/>
        </w:rPr>
        <w:t>focus</w:t>
      </w:r>
      <w:r>
        <w:rPr>
          <w:rFonts w:hint="default" w:ascii="Times New Roman Regular" w:hAnsi="Times New Roman Regular" w:cs="Times New Roman Regular"/>
          <w:bCs/>
          <w:kern w:val="2"/>
          <w:sz w:val="24"/>
          <w:szCs w:val="24"/>
          <w:lang w:val="en-US" w:eastAsia="zh-CN" w:bidi="ar-SA"/>
        </w:rPr>
        <w:t xml:space="preserve"> </w:t>
      </w:r>
      <w:r>
        <w:rPr>
          <w:rFonts w:hint="eastAsia" w:ascii="Times New Roman Regular" w:hAnsi="Times New Roman Regular" w:cs="Times New Roman Regular"/>
          <w:bCs/>
          <w:kern w:val="2"/>
          <w:sz w:val="24"/>
          <w:szCs w:val="24"/>
          <w:lang w:val="en-US" w:eastAsia="zh-CN" w:bidi="ar-SA"/>
        </w:rPr>
        <w:t>on</w:t>
      </w:r>
      <w:r>
        <w:rPr>
          <w:rFonts w:hint="default" w:ascii="Times New Roman Regular" w:hAnsi="Times New Roman Regular" w:cs="Times New Roman Regular"/>
          <w:bCs/>
          <w:kern w:val="2"/>
          <w:sz w:val="24"/>
          <w:szCs w:val="24"/>
          <w:lang w:val="en-US" w:eastAsia="zh-CN" w:bidi="ar-SA"/>
        </w:rPr>
        <w:t xml:space="preserve"> EMI related researching, which mainly focus on teaching approaches, interaction modes, and learning outcomes (Macaro et al. 2018), there is found to be a lack of attention to EMI teachers, who play an key role in (re)shaping students’ EMI learning experience and results (Yuan, Chen and Peng, 2022), which calls for more studies on EMI teachers.</w:t>
      </w:r>
      <w:bookmarkStart w:id="1" w:name="_GoBack"/>
      <w:bookmarkEnd w:id="1"/>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3.2.2 Teacher Beliefs</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Teacher beliefs, is </w:t>
      </w:r>
      <w:r>
        <w:rPr>
          <w:rFonts w:hint="eastAsia" w:ascii="Times New Roman Regular" w:hAnsi="Times New Roman Regular" w:cs="Times New Roman Regular"/>
          <w:bCs/>
          <w:kern w:val="2"/>
          <w:sz w:val="24"/>
          <w:szCs w:val="24"/>
          <w:lang w:val="en-US" w:eastAsia="zh-CN" w:bidi="ar-SA"/>
        </w:rPr>
        <w:t>defi</w:t>
      </w:r>
      <w:r>
        <w:rPr>
          <w:rFonts w:hint="default" w:ascii="Times New Roman Regular" w:hAnsi="Times New Roman Regular" w:cs="Times New Roman Regular"/>
          <w:bCs/>
          <w:kern w:val="2"/>
          <w:sz w:val="24"/>
          <w:szCs w:val="24"/>
          <w:lang w:val="en-US" w:eastAsia="zh-CN" w:bidi="ar-SA"/>
        </w:rPr>
        <w:t>ned by Kagan (1992, p. 66) as ‘the implicit assumptions about students, learning, classroom, and the subject matter to be taught’ held by teachers. As for the conceptualization of teachers’ beliefs, previous research in both language education and teacher education has depicted teachers’ beliefs as complex, situated and dynamic, which are (re)shaped by their personal histories and situated socio-cultural contexts (Borg, 2003, 2015). In other words, teachers’ beliefs are formed by multi-</w:t>
      </w:r>
      <w:r>
        <w:rPr>
          <w:rFonts w:hint="eastAsia" w:ascii="Times New Roman Regular" w:hAnsi="Times New Roman Regular" w:cs="Times New Roman Regular"/>
          <w:bCs/>
          <w:kern w:val="2"/>
          <w:sz w:val="24"/>
          <w:szCs w:val="24"/>
          <w:lang w:val="en-US" w:eastAsia="zh-CN" w:bidi="ar-SA"/>
        </w:rPr>
        <w:t>face</w:t>
      </w:r>
      <w:r>
        <w:rPr>
          <w:rFonts w:hint="default" w:ascii="Times New Roman Regular" w:hAnsi="Times New Roman Regular" w:cs="Times New Roman Regular"/>
          <w:bCs/>
          <w:kern w:val="2"/>
          <w:sz w:val="24"/>
          <w:szCs w:val="24"/>
          <w:lang w:val="en-US" w:eastAsia="zh-CN" w:bidi="ar-SA"/>
        </w:rPr>
        <w:t>ted</w:t>
      </w:r>
      <w:r>
        <w:rPr>
          <w:rFonts w:hint="eastAsia" w:ascii="Times New Roman Regular" w:hAnsi="Times New Roman Regular" w:cs="Times New Roman Regular"/>
          <w:bCs/>
          <w:kern w:val="2"/>
          <w:sz w:val="24"/>
          <w:szCs w:val="24"/>
          <w:lang w:val="en-US" w:eastAsia="zh-CN" w:bidi="ar-SA"/>
        </w:rPr>
        <w:t xml:space="preserve"> </w:t>
      </w:r>
      <w:r>
        <w:rPr>
          <w:rFonts w:hint="default" w:ascii="Times New Roman Regular" w:hAnsi="Times New Roman Regular" w:cs="Times New Roman Regular"/>
          <w:bCs/>
          <w:kern w:val="2"/>
          <w:sz w:val="24"/>
          <w:szCs w:val="24"/>
          <w:lang w:val="en-US" w:eastAsia="zh-CN" w:bidi="ar-SA"/>
        </w:rPr>
        <w:t xml:space="preserve">factors. </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In terms of the correlation between teachers’ beliefs and practices, the former is believed to serve as a filter with a powerful impact on teachers’ classroom thinking and practice (Borg, 2003) as well as the students’ academic outcomes (Sabarwal, Abu-Jawdeh and Kapoor, 2022). However, teachers’ practices do not always accord with their beliefs. Borg (2003) found a potential gap between teachers’ beliefs and practice, which have a negative impact on their classroom teaching and con</w:t>
      </w:r>
      <w:r>
        <w:rPr>
          <w:rFonts w:hint="eastAsia" w:ascii="Times New Roman Regular" w:hAnsi="Times New Roman Regular" w:cs="Times New Roman Regular"/>
          <w:bCs/>
          <w:kern w:val="2"/>
          <w:sz w:val="24"/>
          <w:szCs w:val="24"/>
          <w:lang w:val="en-US" w:eastAsia="zh-CN" w:bidi="ar-SA"/>
        </w:rPr>
        <w:t>stant</w:t>
      </w:r>
      <w:r>
        <w:rPr>
          <w:rFonts w:hint="default" w:ascii="Times New Roman Regular" w:hAnsi="Times New Roman Regular" w:cs="Times New Roman Regular"/>
          <w:bCs/>
          <w:kern w:val="2"/>
          <w:sz w:val="24"/>
          <w:szCs w:val="24"/>
          <w:lang w:val="en-US" w:eastAsia="zh-CN" w:bidi="ar-SA"/>
        </w:rPr>
        <w:t xml:space="preserve"> development. Such a gap may be caused by various factors in their working contexts, such as a rigid curriculum, exam-oriented system, information technology anxiety, and limited institutional support (Bai, Wang, and Chai 2019; Borg 2015). The potential problem caused by this gap is that when teachers’</w:t>
      </w:r>
      <w:r>
        <w:rPr>
          <w:rFonts w:hint="eastAsia" w:ascii="Times New Roman Regular" w:hAnsi="Times New Roman Regular" w:cs="Times New Roman Regular"/>
          <w:bCs/>
          <w:kern w:val="2"/>
          <w:sz w:val="24"/>
          <w:szCs w:val="24"/>
          <w:lang w:val="en-US" w:eastAsia="zh-CN" w:bidi="ar-SA"/>
        </w:rPr>
        <w:t xml:space="preserve"> pra</w:t>
      </w:r>
      <w:r>
        <w:rPr>
          <w:rFonts w:hint="default" w:ascii="Times New Roman Regular" w:hAnsi="Times New Roman Regular" w:cs="Times New Roman Regular"/>
          <w:bCs/>
          <w:kern w:val="2"/>
          <w:sz w:val="24"/>
          <w:szCs w:val="24"/>
          <w:lang w:val="en-US" w:eastAsia="zh-CN" w:bidi="ar-SA"/>
        </w:rPr>
        <w:t>ctices are contradictory with their beliefs, they are likely to suffer frustration and depression, which may make them less-motivated and committed, resulting in negative professional development, especially within the HE context of ‘publish-or-perish’ (Yuan, 2017).</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While recent years have witnessed the increasing attention to EMI researching, which mainly focus on teaching approaches, interaction modes, and learning outcomes (Macaro et al. 2018), there is a lack of attention to EMI teachers who play an key role in (re)shaping students’ EMI learning experiences and results (Yuan, Chen and Peng, 2022). To conclude, it is worthwhile to study the focus on EMI teachers’ beliefs to unveil what’s behind the EMI teaching and sheds light on EMI teacher developments.</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Research Methodology</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There are two components in terms of approaches to research: philosophical assumptions and distant methods and procedures (Creswell, J.W. and Creswell, J.D., 2023). Since this study is to understand and interpret the EMI teaching through teachers’ beliefs and practices, the paradigm of the present research is interpretivism and therefore qualitative research methods will be used. </w:t>
      </w:r>
    </w:p>
    <w:p>
      <w:pPr>
        <w:keepNext w:val="0"/>
        <w:keepLines w:val="0"/>
        <w:pageBreakBefore w:val="0"/>
        <w:widowControl/>
        <w:numPr>
          <w:ilvl w:val="1"/>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Research Setting and Participants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4.1.1 Settings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This research is based in L University (LU) in the Northwest of China. As one of the top Chinese universities within the framework of the State 211 Project, 985 Project. LU is highly prestigious and recognized in the international science and engineering fields. For decades, LU has made constant efforts in promoting its internationalization and enhancing its competitiveness. Not only did it make great efforts to recruit high-quality overseas researchers, but it also offered scholarships to attract an increasing number of international students and encourage domestic students to study abroad. For the past three decades, there were over 4,000 international students recruited and currently there are more than 700 registered international students. To cater to the learning needs from both international and domestic students, LU has promoted EMI in different programs at both undergraduate and postgraduate levels over the past years. While it tried to recruit international staff to offer EMI courses, it also encouraged Chinese staff to teach through EMI. Thus, LU can serve as an right </w:t>
      </w:r>
      <w:r>
        <w:rPr>
          <w:rFonts w:hint="eastAsia" w:ascii="Times New Roman Regular" w:hAnsi="Times New Roman Regular" w:cs="Times New Roman Regular"/>
          <w:bCs/>
          <w:kern w:val="2"/>
          <w:sz w:val="24"/>
          <w:szCs w:val="24"/>
          <w:lang w:val="en-US" w:eastAsia="zh-CN" w:bidi="ar-SA"/>
        </w:rPr>
        <w:t>sample</w:t>
      </w:r>
      <w:r>
        <w:rPr>
          <w:rFonts w:hint="default" w:ascii="Times New Roman Regular" w:hAnsi="Times New Roman Regular" w:cs="Times New Roman Regular"/>
          <w:bCs/>
          <w:kern w:val="2"/>
          <w:sz w:val="24"/>
          <w:szCs w:val="24"/>
          <w:lang w:val="en-US" w:eastAsia="zh-CN" w:bidi="ar-SA"/>
        </w:rPr>
        <w:t xml:space="preserve"> to investigate EMI teachers’ beliefs within the context of internationalization of higher education.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4.1.2 The Participants</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Approximately 10 research participants will be recruited by purposive sampling through the support of the Teacher Development Center of LU, which is responsible for organizing teaching training and researching for its staff. According to Campbell et al.(2020, p.653), purposive sampling is widely used for its ‘better matching of the sample to the aims and objectives of the research, thus improving the rigour of the study and trustworthiness of the data and results. ’ This will be achieved by emailing to invite the EMI teachers, differing in disciplines, professional titles, faculties, work experience, EMI teaching experience and English language background, to join the study on a fully voluntary basis. The purposes and whole procedure of the study will be informed to all the participants through email.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Bold" w:hAnsi="Times New Roman Bold" w:cs="Times New Roman Bold"/>
          <w:b/>
          <w:bCs w:val="0"/>
          <w:kern w:val="2"/>
          <w:sz w:val="24"/>
          <w:szCs w:val="24"/>
          <w:lang w:val="en-US" w:eastAsia="zh-CN" w:bidi="ar-SA"/>
        </w:rPr>
        <w:t>Table for Participants Information</w:t>
      </w:r>
    </w:p>
    <w:tbl>
      <w:tblPr>
        <w:tblStyle w:val="5"/>
        <w:tblW w:w="92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9"/>
        <w:gridCol w:w="973"/>
        <w:gridCol w:w="1454"/>
        <w:gridCol w:w="2064"/>
        <w:gridCol w:w="1572"/>
        <w:gridCol w:w="1982"/>
      </w:tblGrid>
      <w:tr>
        <w:tc>
          <w:tcPr>
            <w:tcW w:w="121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r>
              <w:rPr>
                <w:rFonts w:hint="default" w:ascii="Times New Roman Regular" w:hAnsi="Times New Roman Regular" w:cs="Times New Roman Regular"/>
                <w:bCs/>
                <w:kern w:val="2"/>
                <w:sz w:val="24"/>
                <w:szCs w:val="24"/>
                <w:vertAlign w:val="baseline"/>
                <w:lang w:val="en-US" w:eastAsia="zh-CN" w:bidi="ar-SA"/>
              </w:rPr>
              <w:t>Discipline</w:t>
            </w:r>
          </w:p>
        </w:tc>
        <w:tc>
          <w:tcPr>
            <w:tcW w:w="973"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r>
              <w:rPr>
                <w:rFonts w:hint="default" w:ascii="Times New Roman Regular" w:hAnsi="Times New Roman Regular" w:cs="Times New Roman Regular"/>
                <w:bCs/>
                <w:kern w:val="2"/>
                <w:sz w:val="24"/>
                <w:szCs w:val="24"/>
                <w:vertAlign w:val="baseline"/>
                <w:lang w:val="en-US" w:eastAsia="zh-CN" w:bidi="ar-SA"/>
              </w:rPr>
              <w:t>Gender</w:t>
            </w:r>
          </w:p>
        </w:tc>
        <w:tc>
          <w:tcPr>
            <w:tcW w:w="1454"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r>
              <w:rPr>
                <w:rFonts w:hint="default" w:ascii="Times New Roman Regular" w:hAnsi="Times New Roman Regular" w:cs="Times New Roman Regular"/>
                <w:bCs/>
                <w:kern w:val="2"/>
                <w:sz w:val="24"/>
                <w:szCs w:val="24"/>
                <w:vertAlign w:val="baseline"/>
                <w:lang w:val="en-US" w:eastAsia="zh-CN" w:bidi="ar-SA"/>
              </w:rPr>
              <w:t>Professional Titles</w:t>
            </w:r>
          </w:p>
        </w:tc>
        <w:tc>
          <w:tcPr>
            <w:tcW w:w="2064"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r>
              <w:rPr>
                <w:rFonts w:hint="default" w:ascii="Times New Roman Regular" w:hAnsi="Times New Roman Regular" w:cs="Times New Roman Regular"/>
                <w:bCs/>
                <w:kern w:val="2"/>
                <w:sz w:val="24"/>
                <w:szCs w:val="24"/>
                <w:vertAlign w:val="baseline"/>
                <w:lang w:val="en-US" w:eastAsia="zh-CN" w:bidi="ar-SA"/>
              </w:rPr>
              <w:t>Experience of EMI Teaching (years)</w:t>
            </w:r>
          </w:p>
        </w:tc>
        <w:tc>
          <w:tcPr>
            <w:tcW w:w="1572"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r>
              <w:rPr>
                <w:rFonts w:hint="default" w:ascii="Times New Roman Regular" w:hAnsi="Times New Roman Regular" w:cs="Times New Roman Regular"/>
                <w:bCs/>
                <w:kern w:val="2"/>
                <w:sz w:val="24"/>
                <w:szCs w:val="24"/>
                <w:vertAlign w:val="baseline"/>
                <w:lang w:val="en-US" w:eastAsia="zh-CN" w:bidi="ar-SA"/>
              </w:rPr>
              <w:t>Experience of Work (years)</w:t>
            </w:r>
          </w:p>
        </w:tc>
        <w:tc>
          <w:tcPr>
            <w:tcW w:w="1982"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r>
              <w:rPr>
                <w:rFonts w:hint="default" w:ascii="Times New Roman Regular" w:hAnsi="Times New Roman Regular" w:cs="Times New Roman Regular"/>
                <w:bCs/>
                <w:kern w:val="2"/>
                <w:sz w:val="24"/>
                <w:szCs w:val="24"/>
                <w:vertAlign w:val="baseline"/>
                <w:lang w:val="en-US" w:eastAsia="zh-CN" w:bidi="ar-SA"/>
              </w:rPr>
              <w:t>English Language Background</w:t>
            </w:r>
          </w:p>
        </w:tc>
      </w:tr>
      <w:tr>
        <w:tc>
          <w:tcPr>
            <w:tcW w:w="1219"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p>
        </w:tc>
        <w:tc>
          <w:tcPr>
            <w:tcW w:w="973"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p>
        </w:tc>
        <w:tc>
          <w:tcPr>
            <w:tcW w:w="1454"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p>
        </w:tc>
        <w:tc>
          <w:tcPr>
            <w:tcW w:w="2064"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p>
        </w:tc>
        <w:tc>
          <w:tcPr>
            <w:tcW w:w="1572"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p>
        </w:tc>
        <w:tc>
          <w:tcPr>
            <w:tcW w:w="1982" w:type="dxa"/>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vertAlign w:val="baseline"/>
                <w:lang w:val="en-US" w:eastAsia="zh-CN" w:bidi="ar-SA"/>
              </w:rPr>
            </w:pPr>
          </w:p>
        </w:tc>
      </w:tr>
    </w:tbl>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p>
    <w:p>
      <w:pPr>
        <w:keepNext w:val="0"/>
        <w:keepLines w:val="0"/>
        <w:pageBreakBefore w:val="0"/>
        <w:widowControl/>
        <w:numPr>
          <w:ilvl w:val="1"/>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Data Collection and Analysis</w:t>
      </w:r>
    </w:p>
    <w:p>
      <w:pPr>
        <w:keepNext w:val="0"/>
        <w:keepLines w:val="0"/>
        <w:pageBreakBefore w:val="0"/>
        <w:widowControl/>
        <w:numPr>
          <w:ilvl w:val="2"/>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Data Collection</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There are two phases to collect the data: the first is the reflective writing and the second is follow-up interviews.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Phase 1: All the participants will be sent an instruction for reflective writing by email. They are asked to write about the following five aspects: 1) their personal understanding of EMI and 2) its possible roles and effects in students’ academic learning</w:t>
      </w:r>
      <w:r>
        <w:rPr>
          <w:rFonts w:hint="eastAsia" w:ascii="Times New Roman Regular" w:hAnsi="Times New Roman Regular" w:cs="Times New Roman Regular"/>
          <w:bCs/>
          <w:kern w:val="2"/>
          <w:sz w:val="24"/>
          <w:szCs w:val="24"/>
          <w:lang w:val="en-US" w:eastAsia="zh-CN" w:bidi="ar-SA"/>
        </w:rPr>
        <w:t xml:space="preserve"> and English learning</w:t>
      </w:r>
      <w:r>
        <w:rPr>
          <w:rFonts w:hint="default" w:ascii="Times New Roman Regular" w:hAnsi="Times New Roman Regular" w:cs="Times New Roman Regular"/>
          <w:bCs/>
          <w:kern w:val="2"/>
          <w:sz w:val="24"/>
          <w:szCs w:val="24"/>
          <w:lang w:val="en-US" w:eastAsia="zh-CN" w:bidi="ar-SA"/>
        </w:rPr>
        <w:t xml:space="preserve">, 3) introduction to their course curriculum, 4) description of their regular practices in an EMI lesson, and 5) reflection on the challenges and the support they might need for improving their EMI teaching. This phase will last three weeks so all the participants are expected to reflect in a deeper and calmer way. Both the instructions and reflective writing are written in Chinese.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Phase 2: Based on the initial reflective writing data, four or five participants will be selected for the follow-up face-to-face conversational interviews. These semi-structured interviews will ask the interviewees to further explain and clarify their reflections, and also collect the extra answers of 1) their motivations of EMI teaching, 2) their EMI teaching philosophy and featured classroom teaching strategies and practices as well as the 3) their expectations from their stakeholders (e.g. faculty</w:t>
      </w:r>
      <w:r>
        <w:rPr>
          <w:rFonts w:hint="eastAsia" w:ascii="Times New Roman Regular" w:hAnsi="Times New Roman Regular" w:cs="Times New Roman Regular"/>
          <w:bCs/>
          <w:kern w:val="2"/>
          <w:sz w:val="24"/>
          <w:szCs w:val="24"/>
          <w:lang w:val="en-US" w:eastAsia="zh-CN" w:bidi="ar-SA"/>
        </w:rPr>
        <w:t xml:space="preserve"> or university</w:t>
      </w:r>
      <w:r>
        <w:rPr>
          <w:rFonts w:hint="default" w:ascii="Times New Roman Regular" w:hAnsi="Times New Roman Regular" w:cs="Times New Roman Regular"/>
          <w:bCs/>
          <w:kern w:val="2"/>
          <w:sz w:val="24"/>
          <w:szCs w:val="24"/>
          <w:lang w:val="en-US" w:eastAsia="zh-CN" w:bidi="ar-SA"/>
        </w:rPr>
        <w:t xml:space="preserve">). The </w:t>
      </w:r>
      <w:r>
        <w:rPr>
          <w:rFonts w:hint="eastAsia" w:ascii="Times New Roman Regular" w:hAnsi="Times New Roman Regular" w:cs="Times New Roman Regular"/>
          <w:bCs/>
          <w:kern w:val="2"/>
          <w:sz w:val="24"/>
          <w:szCs w:val="24"/>
          <w:lang w:val="en-US" w:eastAsia="zh-CN" w:bidi="ar-SA"/>
        </w:rPr>
        <w:t>approximately one-hour-</w:t>
      </w:r>
      <w:r>
        <w:rPr>
          <w:rFonts w:hint="default" w:ascii="Times New Roman Regular" w:hAnsi="Times New Roman Regular" w:cs="Times New Roman Regular"/>
          <w:bCs/>
          <w:kern w:val="2"/>
          <w:sz w:val="24"/>
          <w:szCs w:val="24"/>
          <w:lang w:val="en-US" w:eastAsia="zh-CN" w:bidi="ar-SA"/>
        </w:rPr>
        <w:t xml:space="preserve">interviews will be conducted at public settings, in mandarin Chinese and audio-recorded with the permission of the participants. All the interviews will be </w:t>
      </w:r>
      <w:r>
        <w:rPr>
          <w:rFonts w:hint="eastAsia" w:ascii="Times New Roman Regular" w:hAnsi="Times New Roman Regular" w:cs="Times New Roman Regular"/>
          <w:bCs/>
          <w:kern w:val="2"/>
          <w:sz w:val="24"/>
          <w:szCs w:val="24"/>
          <w:lang w:val="en-US" w:eastAsia="zh-CN" w:bidi="ar-SA"/>
        </w:rPr>
        <w:t xml:space="preserve">carefully </w:t>
      </w:r>
      <w:r>
        <w:rPr>
          <w:rFonts w:hint="default" w:ascii="Times New Roman Regular" w:hAnsi="Times New Roman Regular" w:cs="Times New Roman Regular"/>
          <w:bCs/>
          <w:kern w:val="2"/>
          <w:sz w:val="24"/>
          <w:szCs w:val="24"/>
          <w:lang w:val="en-US" w:eastAsia="zh-CN" w:bidi="ar-SA"/>
        </w:rPr>
        <w:t xml:space="preserve">transcribed.  </w:t>
      </w:r>
    </w:p>
    <w:p>
      <w:pPr>
        <w:keepNext w:val="0"/>
        <w:keepLines w:val="0"/>
        <w:pageBreakBefore w:val="0"/>
        <w:widowControl/>
        <w:numPr>
          <w:ilvl w:val="2"/>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Data Analysis</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 xml:space="preserve">Due to the nature of qualitative study, all the data will be reviewed, categorized and coded, in response to the above-mentioned three Research Questions. To ensure the validity of the research, two coders (the present researcher and possibly another colleague specialized in qualitative research) will conduct data analysis. Before and during coding the data, a consensus on data interpretation will be reached through the discussions of the two coders (Yuan, Chen and Peng, 2022).   </w:t>
      </w:r>
    </w:p>
    <w:p>
      <w:pPr>
        <w:keepNext w:val="0"/>
        <w:keepLines w:val="0"/>
        <w:pageBreakBefore w:val="0"/>
        <w:widowControl/>
        <w:numPr>
          <w:ilvl w:val="1"/>
          <w:numId w:val="1"/>
        </w:numPr>
        <w:suppressLineNumbers w:val="0"/>
        <w:kinsoku/>
        <w:wordWrap/>
        <w:overflowPunct/>
        <w:topLinePunct w:val="0"/>
        <w:autoSpaceDE/>
        <w:autoSpaceDN/>
        <w:bidi w:val="0"/>
        <w:adjustRightInd/>
        <w:snapToGrid/>
        <w:spacing w:before="157" w:beforeLines="50" w:after="157" w:afterLines="50"/>
        <w:ind w:left="0" w:leftChars="0" w:firstLine="0" w:firstLineChars="0"/>
        <w:jc w:val="both"/>
        <w:textAlignment w:val="auto"/>
      </w:pPr>
      <w:r>
        <w:rPr>
          <w:rFonts w:hint="default" w:ascii="Times New Roman Regular" w:hAnsi="Times New Roman Regular" w:cs="Times New Roman Regular"/>
          <w:bCs/>
          <w:kern w:val="2"/>
          <w:sz w:val="24"/>
          <w:szCs w:val="24"/>
          <w:lang w:val="en-US" w:eastAsia="zh-CN" w:bidi="ar-SA"/>
        </w:rPr>
        <w:t xml:space="preserve">Ethical Issues Consideration </w:t>
      </w:r>
    </w:p>
    <w:p>
      <w:pPr>
        <w:keepNext w:val="0"/>
        <w:keepLines w:val="0"/>
        <w:pageBreakBefore w:val="0"/>
        <w:widowControl/>
        <w:suppressLineNumbers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The research will be conducted under the ethical guidelines of both British Education Research Association (BERA) and L University. Before the study, an ethical approval from the L University</w:t>
      </w:r>
      <w:r>
        <w:rPr>
          <w:rFonts w:hint="eastAsia" w:ascii="Times New Roman Regular" w:hAnsi="Times New Roman Regular" w:cs="Times New Roman Regular"/>
          <w:bCs/>
          <w:kern w:val="2"/>
          <w:sz w:val="24"/>
          <w:szCs w:val="24"/>
          <w:lang w:val="en-US" w:eastAsia="zh-CN" w:bidi="ar-SA"/>
        </w:rPr>
        <w:t xml:space="preserve"> auth</w:t>
      </w:r>
      <w:r>
        <w:rPr>
          <w:rFonts w:hint="default" w:ascii="Times New Roman Regular" w:hAnsi="Times New Roman Regular" w:cs="Times New Roman Regular"/>
          <w:bCs/>
          <w:kern w:val="2"/>
          <w:sz w:val="24"/>
          <w:szCs w:val="24"/>
          <w:lang w:val="en-US" w:eastAsia="zh-CN" w:bidi="ar-SA"/>
        </w:rPr>
        <w:t>ority, all the participants and their faculties involved will be sought.</w:t>
      </w:r>
      <w:r>
        <w:rPr>
          <w:rFonts w:hint="eastAsia" w:ascii="Times New Roman Regular" w:hAnsi="Times New Roman Regular" w:cs="Times New Roman Regular"/>
          <w:bCs/>
          <w:kern w:val="2"/>
          <w:sz w:val="24"/>
          <w:szCs w:val="24"/>
          <w:lang w:val="en-US" w:eastAsia="zh-CN" w:bidi="ar-SA"/>
        </w:rPr>
        <w:t xml:space="preserve"> </w:t>
      </w:r>
      <w:r>
        <w:rPr>
          <w:rFonts w:hint="default" w:ascii="Times New Roman Regular" w:hAnsi="Times New Roman Regular" w:cs="Times New Roman Regular"/>
          <w:bCs/>
          <w:kern w:val="2"/>
          <w:sz w:val="24"/>
          <w:szCs w:val="24"/>
          <w:lang w:val="en-US" w:eastAsia="zh-CN" w:bidi="ar-SA"/>
        </w:rPr>
        <w:t xml:space="preserve">All the participants are fully voluntary to attend and have the right to end at any time. The personal information of participants and research data (either reflective writing materials or audio-recording files) will be maintained confidentially. Their anonymity will be ensured.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Bold" w:hAnsi="Times New Roman Bold" w:cs="Times New Roman Bold"/>
          <w:b/>
          <w:bCs w:val="0"/>
          <w:kern w:val="2"/>
          <w:sz w:val="24"/>
          <w:szCs w:val="24"/>
          <w:lang w:val="en-US" w:eastAsia="zh-CN" w:bidi="ar-SA"/>
        </w:rPr>
      </w:pPr>
      <w:r>
        <w:rPr>
          <w:rFonts w:hint="default" w:ascii="Times New Roman Bold" w:hAnsi="Times New Roman Bold" w:cs="Times New Roman Bold"/>
          <w:b/>
          <w:bCs w:val="0"/>
          <w:kern w:val="2"/>
          <w:sz w:val="24"/>
          <w:szCs w:val="24"/>
          <w:lang w:val="en-US" w:eastAsia="zh-CN" w:bidi="ar-SA"/>
        </w:rPr>
        <w:t xml:space="preserve">5 Proposed Timetable of the Project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157" w:beforeLines="50" w:after="157" w:afterLines="50"/>
        <w:ind w:leftChars="0"/>
        <w:jc w:val="both"/>
        <w:textAlignment w:val="auto"/>
        <w:rPr>
          <w:rFonts w:hint="default" w:ascii="Times New Roman Regular" w:hAnsi="Times New Roman Regular" w:cs="Times New Roman Regular"/>
          <w:bCs/>
          <w:kern w:val="2"/>
          <w:sz w:val="24"/>
          <w:szCs w:val="24"/>
          <w:lang w:val="en-US" w:eastAsia="zh-CN" w:bidi="ar-SA"/>
        </w:rPr>
      </w:pPr>
      <w:r>
        <w:rPr>
          <w:rFonts w:hint="default" w:ascii="Times New Roman Regular" w:hAnsi="Times New Roman Regular" w:cs="Times New Roman Regular"/>
          <w:bCs/>
          <w:kern w:val="2"/>
          <w:sz w:val="24"/>
          <w:szCs w:val="24"/>
          <w:lang w:val="en-US" w:eastAsia="zh-CN" w:bidi="ar-SA"/>
        </w:rPr>
        <w:t>The whole project is planned to complete within 12 months, which is showed as the following table:</w:t>
      </w:r>
    </w:p>
    <w:tbl>
      <w:tblPr>
        <w:tblStyle w:val="5"/>
        <w:tblpPr w:leftFromText="180" w:rightFromText="180" w:vertAnchor="text" w:horzAnchor="page" w:tblpXSpec="center" w:tblpY="248"/>
        <w:tblOverlap w:val="never"/>
        <w:tblW w:w="43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1"/>
        <w:gridCol w:w="2970"/>
      </w:tblGrid>
      <w:tr>
        <w:trPr>
          <w:trHeight w:val="300" w:hRule="atLeast"/>
          <w:jc w:val="center"/>
        </w:trPr>
        <w:tc>
          <w:tcPr>
            <w:tcW w:w="2996" w:type="pct"/>
            <w:vAlign w:val="center"/>
          </w:tcPr>
          <w:p>
            <w:pPr>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Planned </w:t>
            </w:r>
            <w:r>
              <w:rPr>
                <w:rFonts w:hint="default" w:ascii="Times New Roman Regular" w:hAnsi="Times New Roman Regular" w:cs="Times New Roman Regular"/>
                <w:sz w:val="24"/>
                <w:szCs w:val="24"/>
                <w:lang w:val="en-US"/>
              </w:rPr>
              <w:t>Phases</w:t>
            </w:r>
            <w:r>
              <w:rPr>
                <w:rFonts w:hint="default" w:ascii="Times New Roman Regular" w:hAnsi="Times New Roman Regular" w:cs="Times New Roman Regular"/>
                <w:sz w:val="24"/>
                <w:szCs w:val="24"/>
              </w:rPr>
              <w:t xml:space="preserve"> </w:t>
            </w:r>
          </w:p>
        </w:tc>
        <w:tc>
          <w:tcPr>
            <w:tcW w:w="2003" w:type="pct"/>
            <w:vAlign w:val="center"/>
          </w:tcPr>
          <w:p>
            <w:pPr>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sz w:val="24"/>
                <w:szCs w:val="24"/>
                <w:lang w:val="en-US"/>
              </w:rPr>
            </w:pPr>
            <w:r>
              <w:rPr>
                <w:rFonts w:hint="default" w:ascii="Times New Roman Regular" w:hAnsi="Times New Roman Regular" w:cs="Times New Roman Regular"/>
                <w:sz w:val="24"/>
                <w:szCs w:val="24"/>
                <w:lang w:val="en-US"/>
              </w:rPr>
              <w:t>Planned</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Length (months)</w:t>
            </w:r>
          </w:p>
        </w:tc>
      </w:tr>
      <w:tr>
        <w:trPr>
          <w:trHeight w:val="300" w:hRule="atLeast"/>
          <w:jc w:val="center"/>
        </w:trPr>
        <w:tc>
          <w:tcPr>
            <w:tcW w:w="2996"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rPr>
            </w:pPr>
          </w:p>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rPr>
              <w:t>Literature Review</w:t>
            </w:r>
            <w:r>
              <w:rPr>
                <w:rFonts w:hint="default" w:ascii="Times New Roman Regular" w:hAnsi="Times New Roman Regular" w:cs="Times New Roman Regular"/>
                <w:b w:val="0"/>
                <w:sz w:val="24"/>
                <w:szCs w:val="24"/>
                <w:lang w:val="en-US"/>
              </w:rPr>
              <w:t>/Research Design</w:t>
            </w:r>
            <w:r>
              <w:rPr>
                <w:rFonts w:hint="default" w:ascii="Times New Roman Regular" w:hAnsi="Times New Roman Regular" w:cs="Times New Roman Regular"/>
                <w:b w:val="0"/>
                <w:sz w:val="24"/>
                <w:szCs w:val="24"/>
              </w:rPr>
              <w:t> </w:t>
            </w:r>
          </w:p>
        </w:tc>
        <w:tc>
          <w:tcPr>
            <w:tcW w:w="2003"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rPr>
            </w:pPr>
          </w:p>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1 month</w:t>
            </w:r>
          </w:p>
        </w:tc>
      </w:tr>
      <w:tr>
        <w:trPr>
          <w:trHeight w:val="300" w:hRule="atLeast"/>
          <w:jc w:val="center"/>
        </w:trPr>
        <w:tc>
          <w:tcPr>
            <w:tcW w:w="2996"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rPr>
            </w:pPr>
          </w:p>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rPr>
              <w:t>Research Consent Application</w:t>
            </w:r>
            <w:r>
              <w:rPr>
                <w:rFonts w:hint="default" w:ascii="Times New Roman Regular" w:hAnsi="Times New Roman Regular" w:cs="Times New Roman Regular"/>
                <w:b w:val="0"/>
                <w:sz w:val="24"/>
                <w:szCs w:val="24"/>
                <w:lang w:val="en-US"/>
              </w:rPr>
              <w:t xml:space="preserve">/Participants Selection  </w:t>
            </w:r>
          </w:p>
        </w:tc>
        <w:tc>
          <w:tcPr>
            <w:tcW w:w="2003"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1 month</w:t>
            </w:r>
          </w:p>
        </w:tc>
      </w:tr>
      <w:tr>
        <w:trPr>
          <w:trHeight w:val="300" w:hRule="atLeast"/>
          <w:jc w:val="center"/>
        </w:trPr>
        <w:tc>
          <w:tcPr>
            <w:tcW w:w="2996"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Reflective Writing and Reflective Data Collection and Analysis</w:t>
            </w:r>
          </w:p>
        </w:tc>
        <w:tc>
          <w:tcPr>
            <w:tcW w:w="2003"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2 month</w:t>
            </w:r>
          </w:p>
        </w:tc>
      </w:tr>
      <w:tr>
        <w:trPr>
          <w:trHeight w:val="300" w:hRule="atLeast"/>
          <w:jc w:val="center"/>
        </w:trPr>
        <w:tc>
          <w:tcPr>
            <w:tcW w:w="2996"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lang w:val="en-US"/>
              </w:rPr>
              <w:t>Interviews and Interviewing Data Transcribing</w:t>
            </w:r>
          </w:p>
        </w:tc>
        <w:tc>
          <w:tcPr>
            <w:tcW w:w="2003"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rPr>
            </w:pPr>
          </w:p>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2 month</w:t>
            </w:r>
          </w:p>
        </w:tc>
      </w:tr>
      <w:tr>
        <w:trPr>
          <w:trHeight w:val="300" w:hRule="atLeast"/>
          <w:jc w:val="center"/>
        </w:trPr>
        <w:tc>
          <w:tcPr>
            <w:tcW w:w="2996"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Data Coding and Analysis</w:t>
            </w:r>
          </w:p>
        </w:tc>
        <w:tc>
          <w:tcPr>
            <w:tcW w:w="2003"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2 months</w:t>
            </w:r>
          </w:p>
        </w:tc>
      </w:tr>
      <w:tr>
        <w:trPr>
          <w:trHeight w:val="300" w:hRule="atLeast"/>
          <w:jc w:val="center"/>
        </w:trPr>
        <w:tc>
          <w:tcPr>
            <w:tcW w:w="2996"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 xml:space="preserve">Writing up Draft </w:t>
            </w:r>
          </w:p>
        </w:tc>
        <w:tc>
          <w:tcPr>
            <w:tcW w:w="2003"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2 months</w:t>
            </w:r>
          </w:p>
        </w:tc>
      </w:tr>
      <w:tr>
        <w:trPr>
          <w:trHeight w:val="300" w:hRule="atLeast"/>
          <w:jc w:val="center"/>
        </w:trPr>
        <w:tc>
          <w:tcPr>
            <w:tcW w:w="2996"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lang w:val="en-US"/>
              </w:rPr>
            </w:pPr>
            <w:r>
              <w:rPr>
                <w:rFonts w:hint="default" w:ascii="Times New Roman Regular" w:hAnsi="Times New Roman Regular" w:cs="Times New Roman Regular"/>
                <w:b w:val="0"/>
                <w:sz w:val="24"/>
                <w:szCs w:val="24"/>
                <w:lang w:val="en-US"/>
              </w:rPr>
              <w:t xml:space="preserve">Draft </w:t>
            </w:r>
            <w:r>
              <w:rPr>
                <w:rFonts w:hint="default" w:ascii="Times New Roman Regular" w:hAnsi="Times New Roman Regular" w:cs="Times New Roman Regular"/>
                <w:b w:val="0"/>
                <w:sz w:val="24"/>
                <w:szCs w:val="24"/>
              </w:rPr>
              <w:t>Revision </w:t>
            </w:r>
            <w:r>
              <w:rPr>
                <w:rFonts w:hint="default" w:ascii="Times New Roman Regular" w:hAnsi="Times New Roman Regular" w:cs="Times New Roman Regular"/>
                <w:b w:val="0"/>
                <w:sz w:val="24"/>
                <w:szCs w:val="24"/>
                <w:lang w:val="en-US"/>
              </w:rPr>
              <w:t>and finalization</w:t>
            </w:r>
          </w:p>
        </w:tc>
        <w:tc>
          <w:tcPr>
            <w:tcW w:w="2003" w:type="pct"/>
            <w:vAlign w:val="center"/>
          </w:tcPr>
          <w:p>
            <w:pPr>
              <w:pStyle w:val="2"/>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Regular" w:hAnsi="Times New Roman Regular" w:cs="Times New Roman Regular"/>
                <w:b w:val="0"/>
                <w:sz w:val="24"/>
                <w:szCs w:val="24"/>
              </w:rPr>
            </w:pPr>
            <w:r>
              <w:rPr>
                <w:rFonts w:hint="default" w:ascii="Times New Roman Regular" w:hAnsi="Times New Roman Regular" w:cs="Times New Roman Regular"/>
                <w:b w:val="0"/>
                <w:sz w:val="24"/>
                <w:szCs w:val="24"/>
                <w:lang w:val="en-US"/>
              </w:rPr>
              <w:t>2 months</w:t>
            </w:r>
            <w:r>
              <w:rPr>
                <w:rFonts w:hint="default" w:ascii="Times New Roman Regular" w:hAnsi="Times New Roman Regular" w:cs="Times New Roman Regular"/>
                <w:b w:val="0"/>
                <w:sz w:val="24"/>
                <w:szCs w:val="24"/>
              </w:rPr>
              <w:t> </w:t>
            </w:r>
          </w:p>
        </w:tc>
      </w:tr>
    </w:tbl>
    <w:p>
      <w:pPr>
        <w:keepNext w:val="0"/>
        <w:keepLines w:val="0"/>
        <w:pageBreakBefore w:val="0"/>
        <w:kinsoku/>
        <w:wordWrap/>
        <w:overflowPunct/>
        <w:topLinePunct w:val="0"/>
        <w:autoSpaceDE/>
        <w:autoSpaceDN/>
        <w:bidi w:val="0"/>
        <w:adjustRightInd/>
        <w:snapToGrid/>
        <w:spacing w:before="157" w:beforeLines="50" w:after="157" w:afterLines="5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timetable of the project</w:t>
      </w:r>
    </w:p>
    <w:p>
      <w:pPr>
        <w:numPr>
          <w:ilvl w:val="0"/>
          <w:numId w:val="0"/>
        </w:numPr>
        <w:ind w:leftChars="0"/>
        <w:jc w:val="both"/>
        <w:rPr>
          <w:rFonts w:hint="default" w:ascii="Times New Roman" w:hAnsi="Times New Roman" w:cs="Times New Roman"/>
          <w:b w:val="0"/>
          <w:bCs w:val="0"/>
          <w:sz w:val="24"/>
          <w:szCs w:val="24"/>
          <w:lang w:val="en-US" w:eastAsia="zh-CN"/>
        </w:rPr>
      </w:pPr>
    </w:p>
    <w:p>
      <w:pPr>
        <w:jc w:val="both"/>
        <w:rPr>
          <w:rFonts w:hint="default" w:ascii="Times New Roman Regular" w:hAnsi="Times New Roman Regular" w:cs="Times New Roman Regular"/>
          <w:sz w:val="24"/>
          <w:szCs w:val="24"/>
          <w:lang w:val="en-US" w:eastAsia="zh-CN"/>
        </w:rPr>
      </w:pPr>
    </w:p>
    <w:p>
      <w:pPr>
        <w:jc w:val="both"/>
        <w:rPr>
          <w:rFonts w:hint="default" w:ascii="Times New Roman Bold" w:hAnsi="Times New Roman Bold" w:cs="Times New Roman Bold"/>
          <w:b/>
          <w:bCs/>
          <w:sz w:val="24"/>
          <w:szCs w:val="24"/>
          <w:lang w:val="en-US" w:eastAsia="zh-CN"/>
        </w:rPr>
      </w:pPr>
      <w:r>
        <w:rPr>
          <w:rFonts w:hint="default" w:ascii="Times New Roman Bold" w:hAnsi="Times New Roman Bold" w:cs="Times New Roman Bold"/>
          <w:b/>
          <w:bCs/>
          <w:sz w:val="24"/>
          <w:szCs w:val="24"/>
          <w:lang w:val="en-US" w:eastAsia="zh-CN"/>
        </w:rPr>
        <w:t>Reference:</w:t>
      </w:r>
    </w:p>
    <w:p>
      <w:pPr>
        <w:keepNext w:val="0"/>
        <w:keepLines w:val="0"/>
        <w:widowControl/>
        <w:suppressLineNumbers w:val="0"/>
        <w:spacing w:line="27" w:lineRule="atLeast"/>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Arnó-Macià, E. and Aguilar-Pérez, M. (2018) ‘ESP, EMI and interculturality: How internationalised are university curricula in Catalonia?’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"http://hdl.handle.net/20.500.12424/4046211"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sz w:val="24"/>
          <w:szCs w:val="24"/>
        </w:rPr>
        <w:t>http://hdl.handle.net/20.500.12424/4046211</w:t>
      </w:r>
      <w:r>
        <w:rPr>
          <w:rFonts w:hint="default" w:ascii="Times New Roman Regular" w:hAnsi="Times New Roman Regular" w:eastAsia="宋体" w:cs="Times New Roman Regular"/>
          <w:kern w:val="0"/>
          <w:sz w:val="24"/>
          <w:szCs w:val="24"/>
          <w:lang w:val="en-US" w:eastAsia="zh-CN" w:bidi="ar"/>
        </w:rPr>
        <w:fldChar w:fldCharType="end"/>
      </w:r>
      <w:r>
        <w:rPr>
          <w:rFonts w:hint="default" w:ascii="Times New Roman Regular" w:hAnsi="Times New Roman Regular" w:eastAsia="宋体" w:cs="Times New Roman Regular"/>
          <w:kern w:val="0"/>
          <w:sz w:val="24"/>
          <w:szCs w:val="24"/>
          <w:lang w:val="en-US" w:eastAsia="zh-CN" w:bidi="ar"/>
        </w:rPr>
        <w:t>.</w:t>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Bai, B., Wang, J. and Chai, C.-S. (2021) “Understanding Hong Kong primary school English teachers’ continuance intention to teach with ICT,” </w:t>
      </w:r>
      <w:r>
        <w:rPr>
          <w:rFonts w:hint="default" w:ascii="Times New Roman Regular" w:hAnsi="Times New Roman Regular" w:eastAsia="宋体" w:cs="Times New Roman Regular"/>
          <w:i/>
          <w:iCs/>
          <w:kern w:val="0"/>
          <w:sz w:val="24"/>
          <w:szCs w:val="24"/>
          <w:lang w:val="en-US" w:eastAsia="zh-CN" w:bidi="ar"/>
        </w:rPr>
        <w:t>Computer assisted language learning</w:t>
      </w:r>
      <w:r>
        <w:rPr>
          <w:rFonts w:hint="default" w:ascii="Times New Roman Regular" w:hAnsi="Times New Roman Regular" w:eastAsia="宋体" w:cs="Times New Roman Regular"/>
          <w:kern w:val="0"/>
          <w:sz w:val="24"/>
          <w:szCs w:val="24"/>
          <w:lang w:val="en-US" w:eastAsia="zh-CN" w:bidi="ar"/>
        </w:rPr>
        <w:t xml:space="preserve">, 34(4), pp. 528–551.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"https://doi.org/10.1080/09588221.2019.1627459."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https://doi.org/10.1080/09588221.2019.1627459.</w:t>
      </w:r>
      <w:r>
        <w:rPr>
          <w:rFonts w:hint="default" w:ascii="Times New Roman Regular" w:hAnsi="Times New Roman Regular" w:eastAsia="宋体" w:cs="Times New Roman Regular"/>
          <w:kern w:val="0"/>
          <w:sz w:val="24"/>
          <w:szCs w:val="24"/>
          <w:lang w:val="en-US" w:eastAsia="zh-CN" w:bidi="ar"/>
        </w:rPr>
        <w:fldChar w:fldCharType="end"/>
      </w:r>
    </w:p>
    <w:p>
      <w:pPr>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"https://www.bera.ac.uk/wp-content/uploads/2018/06/BERA-Ethical-Guidelines-for-Educational-Research_4thEdn_2018.pdf" \o "Download BERA Ethical Guidelines for Educational Research, fourth edition (2018)" \t "/Users/heqing/Documents\\x/_blank" </w:instrText>
      </w:r>
      <w:r>
        <w:rPr>
          <w:rFonts w:hint="default" w:ascii="Times New Roman Regular" w:hAnsi="Times New Roman Regular" w:cs="Times New Roman Regular"/>
          <w:sz w:val="24"/>
          <w:szCs w:val="24"/>
          <w:lang w:val="en-US" w:eastAsia="zh-CN"/>
        </w:rPr>
        <w:fldChar w:fldCharType="separate"/>
      </w:r>
      <w:r>
        <w:rPr>
          <w:rFonts w:hint="default" w:ascii="Times New Roman Regular" w:hAnsi="Times New Roman Regular" w:cs="Times New Roman Regular"/>
          <w:sz w:val="24"/>
          <w:szCs w:val="24"/>
        </w:rPr>
        <w:t>BERA Ethical Guidelines for Educational Research, fourth edition (2018)</w:t>
      </w:r>
      <w:r>
        <w:rPr>
          <w:rFonts w:hint="default" w:ascii="Times New Roman Regular" w:hAnsi="Times New Roman Regular" w:cs="Times New Roman Regular"/>
          <w:sz w:val="24"/>
          <w:szCs w:val="24"/>
          <w:lang w:val="en-US" w:eastAsia="zh-CN"/>
        </w:rPr>
        <w:fldChar w:fldCharType="end"/>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Borg, S. (2003) “Teacher Cognition in Grammar Teaching: A Literature Review,” </w:t>
      </w:r>
      <w:r>
        <w:rPr>
          <w:rFonts w:hint="default" w:ascii="Times New Roman Regular" w:hAnsi="Times New Roman Regular" w:eastAsia="宋体" w:cs="Times New Roman Regular"/>
          <w:i/>
          <w:iCs/>
          <w:kern w:val="0"/>
          <w:sz w:val="24"/>
          <w:szCs w:val="24"/>
          <w:lang w:val="en-US" w:eastAsia="zh-CN" w:bidi="ar"/>
        </w:rPr>
        <w:t>Language awareness</w:t>
      </w:r>
      <w:r>
        <w:rPr>
          <w:rFonts w:hint="default" w:ascii="Times New Roman Regular" w:hAnsi="Times New Roman Regular" w:eastAsia="宋体" w:cs="Times New Roman Regular"/>
          <w:kern w:val="0"/>
          <w:sz w:val="24"/>
          <w:szCs w:val="24"/>
          <w:lang w:val="en-US" w:eastAsia="zh-CN" w:bidi="ar"/>
        </w:rPr>
        <w:t xml:space="preserve">, 12(2), pp. 96–108.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"https://doi.org/10.1080/09658410308667069."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https://doi.org/10.1080/09658410308667069.</w:t>
      </w:r>
      <w:r>
        <w:rPr>
          <w:rFonts w:hint="default" w:ascii="Times New Roman Regular" w:hAnsi="Times New Roman Regular" w:eastAsia="宋体" w:cs="Times New Roman Regular"/>
          <w:kern w:val="0"/>
          <w:sz w:val="24"/>
          <w:szCs w:val="24"/>
          <w:lang w:val="en-US" w:eastAsia="zh-CN" w:bidi="ar"/>
        </w:rPr>
        <w:fldChar w:fldCharType="end"/>
      </w:r>
    </w:p>
    <w:p>
      <w:pPr>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Borg, S. (2015). Researching teachers’s beliefs. In B. Paltridge &amp; A. Phakiti (Eds.), The Continuum companion to research methods in applied linguistics (Second ed., pp. 487-504). London: Bloomsbury.</w:t>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Campbell, S. </w:t>
      </w:r>
      <w:r>
        <w:rPr>
          <w:rFonts w:hint="default" w:ascii="Times New Roman Regular" w:hAnsi="Times New Roman Regular" w:eastAsia="宋体" w:cs="Times New Roman Regular"/>
          <w:i/>
          <w:iCs/>
          <w:kern w:val="0"/>
          <w:sz w:val="24"/>
          <w:szCs w:val="24"/>
          <w:lang w:val="en-US" w:eastAsia="zh-CN" w:bidi="ar"/>
        </w:rPr>
        <w:t>et al.</w:t>
      </w:r>
      <w:r>
        <w:rPr>
          <w:rFonts w:hint="default" w:ascii="Times New Roman Regular" w:hAnsi="Times New Roman Regular" w:eastAsia="宋体" w:cs="Times New Roman Regular"/>
          <w:kern w:val="0"/>
          <w:sz w:val="24"/>
          <w:szCs w:val="24"/>
          <w:lang w:val="en-US" w:eastAsia="zh-CN" w:bidi="ar"/>
        </w:rPr>
        <w:t xml:space="preserve"> (2020) “Purposive sampling: complex or simple? Research case examples,” </w:t>
      </w:r>
      <w:r>
        <w:rPr>
          <w:rFonts w:hint="default" w:ascii="Times New Roman Regular" w:hAnsi="Times New Roman Regular" w:eastAsia="宋体" w:cs="Times New Roman Regular"/>
          <w:i/>
          <w:iCs/>
          <w:kern w:val="0"/>
          <w:sz w:val="24"/>
          <w:szCs w:val="24"/>
          <w:lang w:val="en-US" w:eastAsia="zh-CN" w:bidi="ar"/>
        </w:rPr>
        <w:t>Journal of research in nursing</w:t>
      </w:r>
      <w:r>
        <w:rPr>
          <w:rFonts w:hint="default" w:ascii="Times New Roman Regular" w:hAnsi="Times New Roman Regular" w:eastAsia="宋体" w:cs="Times New Roman Regular"/>
          <w:kern w:val="0"/>
          <w:sz w:val="24"/>
          <w:szCs w:val="24"/>
          <w:lang w:val="en-US" w:eastAsia="zh-CN" w:bidi="ar"/>
        </w:rPr>
        <w:t xml:space="preserve">, 25(8), pp. 652–661.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"https://doi.org/10.1177/1744987120927206."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https://doi.org/10.1177/1744987120927206.</w:t>
      </w:r>
      <w:r>
        <w:rPr>
          <w:rFonts w:hint="default" w:ascii="Times New Roman Regular" w:hAnsi="Times New Roman Regular" w:eastAsia="宋体" w:cs="Times New Roman Regular"/>
          <w:kern w:val="0"/>
          <w:sz w:val="24"/>
          <w:szCs w:val="24"/>
          <w:lang w:val="en-US" w:eastAsia="zh-CN" w:bidi="ar"/>
        </w:rPr>
        <w:fldChar w:fldCharType="end"/>
      </w:r>
    </w:p>
    <w:p>
      <w:pPr>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eastAsia="宋体" w:cs="Times New Roman Regular"/>
          <w:kern w:val="0"/>
          <w:sz w:val="24"/>
          <w:szCs w:val="24"/>
          <w:lang w:val="en-US" w:eastAsia="zh-CN" w:bidi="ar"/>
        </w:rPr>
        <w:t>Creswell, J.W. and Creswell, J.D. (2023) Research design : qualitative, quantitative, and mixed methods approaches. Sixth edition. Thousand Oaks, California: SAGE Publications, Inc.</w:t>
      </w:r>
    </w:p>
    <w:p>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Dearden, J. (2014). English as a Medium of Instruction—A Growing Global Phenomenon: Phase 1. Going Global 2014, Interim Report, Oxford: Department of Education, University of Oxford.</w:t>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Dearden, J. and Macaro, E. (2016) “Higher education teachers’ attitudes towards English medium instruction: A three-country comparison,” </w:t>
      </w:r>
      <w:r>
        <w:rPr>
          <w:rFonts w:hint="default" w:ascii="Times New Roman Regular" w:hAnsi="Times New Roman Regular" w:eastAsia="宋体" w:cs="Times New Roman Regular"/>
          <w:i/>
          <w:iCs/>
          <w:kern w:val="0"/>
          <w:sz w:val="24"/>
          <w:szCs w:val="24"/>
          <w:lang w:val="en-US" w:eastAsia="zh-CN" w:bidi="ar"/>
        </w:rPr>
        <w:t>Studies in second language learning and teaching</w:t>
      </w:r>
      <w:r>
        <w:rPr>
          <w:rFonts w:hint="default" w:ascii="Times New Roman Regular" w:hAnsi="Times New Roman Regular" w:eastAsia="宋体" w:cs="Times New Roman Regular"/>
          <w:kern w:val="0"/>
          <w:sz w:val="24"/>
          <w:szCs w:val="24"/>
          <w:lang w:val="en-US" w:eastAsia="zh-CN" w:bidi="ar"/>
        </w:rPr>
        <w:t xml:space="preserve">, 6(3), pp. 455–486.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"https://doi.org/10.14746/sllt.2016.6.3.5."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https://doi.org/10.14746/sllt.2016.6.3.5.</w:t>
      </w:r>
      <w:r>
        <w:rPr>
          <w:rFonts w:hint="default" w:ascii="Times New Roman Regular" w:hAnsi="Times New Roman Regular" w:eastAsia="宋体" w:cs="Times New Roman Regular"/>
          <w:kern w:val="0"/>
          <w:sz w:val="24"/>
          <w:szCs w:val="24"/>
          <w:lang w:val="en-US" w:eastAsia="zh-CN" w:bidi="ar"/>
        </w:rPr>
        <w:fldChar w:fldCharType="end"/>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Heron, M. </w:t>
      </w:r>
      <w:r>
        <w:rPr>
          <w:rFonts w:hint="default" w:ascii="Times New Roman Regular" w:hAnsi="Times New Roman Regular" w:eastAsia="宋体" w:cs="Times New Roman Regular"/>
          <w:i/>
          <w:iCs/>
          <w:kern w:val="0"/>
          <w:sz w:val="24"/>
          <w:szCs w:val="24"/>
          <w:lang w:val="en-US" w:eastAsia="zh-CN" w:bidi="ar"/>
        </w:rPr>
        <w:t>et al.</w:t>
      </w:r>
      <w:r>
        <w:rPr>
          <w:rFonts w:hint="default" w:ascii="Times New Roman Regular" w:hAnsi="Times New Roman Regular" w:eastAsia="宋体" w:cs="Times New Roman Regular"/>
          <w:kern w:val="0"/>
          <w:sz w:val="24"/>
          <w:szCs w:val="24"/>
          <w:lang w:val="en-US" w:eastAsia="zh-CN" w:bidi="ar"/>
        </w:rPr>
        <w:t xml:space="preserve"> (2024) “Tutors’ beliefs about language and roles: practice as language policy in EMI contexts,” </w:t>
      </w:r>
      <w:r>
        <w:rPr>
          <w:rFonts w:hint="default" w:ascii="Times New Roman Regular" w:hAnsi="Times New Roman Regular" w:eastAsia="宋体" w:cs="Times New Roman Regular"/>
          <w:i/>
          <w:iCs/>
          <w:kern w:val="0"/>
          <w:sz w:val="24"/>
          <w:szCs w:val="24"/>
          <w:lang w:val="en-US" w:eastAsia="zh-CN" w:bidi="ar"/>
        </w:rPr>
        <w:t>Teaching in higher education</w:t>
      </w:r>
      <w:r>
        <w:rPr>
          <w:rFonts w:hint="default" w:ascii="Times New Roman Regular" w:hAnsi="Times New Roman Regular" w:eastAsia="宋体" w:cs="Times New Roman Regular"/>
          <w:kern w:val="0"/>
          <w:sz w:val="24"/>
          <w:szCs w:val="24"/>
          <w:lang w:val="en-US" w:eastAsia="zh-CN" w:bidi="ar"/>
        </w:rPr>
        <w:t xml:space="preserve">, 29(1), pp. 251–265.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"https://doi.org/10.1080/13562517.2021.1973410."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https://doi.org/10.1080/13562517.2021.1973410.</w:t>
      </w:r>
      <w:r>
        <w:rPr>
          <w:rFonts w:hint="default" w:ascii="Times New Roman Regular" w:hAnsi="Times New Roman Regular" w:eastAsia="宋体" w:cs="Times New Roman Regular"/>
          <w:kern w:val="0"/>
          <w:sz w:val="24"/>
          <w:szCs w:val="24"/>
          <w:lang w:val="en-US" w:eastAsia="zh-CN" w:bidi="ar"/>
        </w:rPr>
        <w:fldChar w:fldCharType="end"/>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Kagan, D.M. (1992) “Implication of Research on Teacher Belief,” </w:t>
      </w:r>
      <w:r>
        <w:rPr>
          <w:rFonts w:hint="default" w:ascii="Times New Roman Regular" w:hAnsi="Times New Roman Regular" w:eastAsia="宋体" w:cs="Times New Roman Regular"/>
          <w:i/>
          <w:iCs/>
          <w:kern w:val="0"/>
          <w:sz w:val="24"/>
          <w:szCs w:val="24"/>
          <w:lang w:val="en-US" w:eastAsia="zh-CN" w:bidi="ar"/>
        </w:rPr>
        <w:t>Educational psychologist</w:t>
      </w:r>
      <w:r>
        <w:rPr>
          <w:rFonts w:hint="default" w:ascii="Times New Roman Regular" w:hAnsi="Times New Roman Regular" w:eastAsia="宋体" w:cs="Times New Roman Regular"/>
          <w:kern w:val="0"/>
          <w:sz w:val="24"/>
          <w:szCs w:val="24"/>
          <w:lang w:val="en-US" w:eastAsia="zh-CN" w:bidi="ar"/>
        </w:rPr>
        <w:t xml:space="preserve">, 27(1), pp. 65–90.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"https://doi.org/10.1207/s15326985ep2701_6."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https://doi.org/10.1207/s15326985ep2701_6.</w:t>
      </w:r>
      <w:r>
        <w:rPr>
          <w:rFonts w:hint="default" w:ascii="Times New Roman Regular" w:hAnsi="Times New Roman Regular" w:eastAsia="宋体" w:cs="Times New Roman Regular"/>
          <w:kern w:val="0"/>
          <w:sz w:val="24"/>
          <w:szCs w:val="24"/>
          <w:lang w:val="en-US" w:eastAsia="zh-CN" w:bidi="ar"/>
        </w:rPr>
        <w:fldChar w:fldCharType="end"/>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Macaro, E. </w:t>
      </w:r>
      <w:r>
        <w:rPr>
          <w:rFonts w:hint="default" w:ascii="Times New Roman Regular" w:hAnsi="Times New Roman Regular" w:eastAsia="宋体" w:cs="Times New Roman Regular"/>
          <w:i/>
          <w:iCs/>
          <w:kern w:val="0"/>
          <w:sz w:val="24"/>
          <w:szCs w:val="24"/>
          <w:lang w:val="en-US" w:eastAsia="zh-CN" w:bidi="ar"/>
        </w:rPr>
        <w:t>et al.</w:t>
      </w:r>
      <w:r>
        <w:rPr>
          <w:rFonts w:hint="default" w:ascii="Times New Roman Regular" w:hAnsi="Times New Roman Regular" w:eastAsia="宋体" w:cs="Times New Roman Regular"/>
          <w:kern w:val="0"/>
          <w:sz w:val="24"/>
          <w:szCs w:val="24"/>
          <w:lang w:val="en-US" w:eastAsia="zh-CN" w:bidi="ar"/>
        </w:rPr>
        <w:t xml:space="preserve"> (2018) “A systematic review of English medium instruction in higher education,” </w:t>
      </w:r>
      <w:r>
        <w:rPr>
          <w:rFonts w:hint="default" w:ascii="Times New Roman Regular" w:hAnsi="Times New Roman Regular" w:eastAsia="宋体" w:cs="Times New Roman Regular"/>
          <w:i/>
          <w:iCs/>
          <w:kern w:val="0"/>
          <w:sz w:val="24"/>
          <w:szCs w:val="24"/>
          <w:lang w:val="en-US" w:eastAsia="zh-CN" w:bidi="ar"/>
        </w:rPr>
        <w:t>Language teaching</w:t>
      </w:r>
      <w:r>
        <w:rPr>
          <w:rFonts w:hint="default" w:ascii="Times New Roman Regular" w:hAnsi="Times New Roman Regular" w:eastAsia="宋体" w:cs="Times New Roman Regular"/>
          <w:kern w:val="0"/>
          <w:sz w:val="24"/>
          <w:szCs w:val="24"/>
          <w:lang w:val="en-US" w:eastAsia="zh-CN" w:bidi="ar"/>
        </w:rPr>
        <w:t xml:space="preserve">, 51(1), pp. 36–76.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"https://doi.org/10.1017/S0261444817000350."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https://doi.org/10.1017/S0261444817000350.</w:t>
      </w:r>
      <w:r>
        <w:rPr>
          <w:rFonts w:hint="default" w:ascii="Times New Roman Regular" w:hAnsi="Times New Roman Regular" w:eastAsia="宋体" w:cs="Times New Roman Regular"/>
          <w:kern w:val="0"/>
          <w:sz w:val="24"/>
          <w:szCs w:val="24"/>
          <w:lang w:val="en-US" w:eastAsia="zh-CN" w:bidi="ar"/>
        </w:rPr>
        <w:fldChar w:fldCharType="end"/>
      </w:r>
    </w:p>
    <w:p>
      <w:pPr>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eastAsia="宋体" w:cs="Times New Roman Regular"/>
          <w:kern w:val="0"/>
          <w:sz w:val="24"/>
          <w:szCs w:val="24"/>
          <w:lang w:val="en-US" w:eastAsia="zh-CN" w:bidi="ar"/>
        </w:rPr>
        <w:t xml:space="preserve">Macaro, E. and Han, S. (2020) “English medium instruction in China’s higher education: teachers’ perspectives of competencies, certification and professional </w:t>
      </w:r>
      <w:r>
        <w:rPr>
          <w:rFonts w:hint="default" w:ascii="Times New Roman Regular" w:hAnsi="Times New Roman Regular" w:cs="Times New Roman Regular"/>
          <w:sz w:val="24"/>
          <w:szCs w:val="24"/>
          <w:lang w:val="en-US" w:eastAsia="zh-CN"/>
        </w:rPr>
        <w:t xml:space="preserve">development,” Journal of multilingual and multicultural development, 41(3), pp. 219–231. Available at: </w:t>
      </w:r>
      <w:r>
        <w:rPr>
          <w:rFonts w:hint="default" w:ascii="Times New Roman Regular" w:hAnsi="Times New Roman Regular" w:cs="Times New Roman Regular"/>
          <w:sz w:val="24"/>
          <w:szCs w:val="24"/>
          <w:lang w:val="en-US" w:eastAsia="zh-CN"/>
        </w:rPr>
        <w:fldChar w:fldCharType="begin"/>
      </w:r>
      <w:r>
        <w:rPr>
          <w:rFonts w:hint="default" w:ascii="Times New Roman Regular" w:hAnsi="Times New Roman Regular" w:cs="Times New Roman Regular"/>
          <w:sz w:val="24"/>
          <w:szCs w:val="24"/>
          <w:lang w:val="en-US" w:eastAsia="zh-CN"/>
        </w:rPr>
        <w:instrText xml:space="preserve"> HYPERLINK "https://doi.org/10.1080/01434632.2019.1611838." </w:instrText>
      </w:r>
      <w:r>
        <w:rPr>
          <w:rFonts w:hint="default" w:ascii="Times New Roman Regular" w:hAnsi="Times New Roman Regular" w:cs="Times New Roman Regular"/>
          <w:sz w:val="24"/>
          <w:szCs w:val="24"/>
          <w:lang w:val="en-US" w:eastAsia="zh-CN"/>
        </w:rPr>
        <w:fldChar w:fldCharType="separate"/>
      </w:r>
      <w:r>
        <w:rPr>
          <w:rFonts w:hint="default" w:ascii="Times New Roman Regular" w:hAnsi="Times New Roman Regular" w:cs="Times New Roman Regular"/>
          <w:sz w:val="24"/>
          <w:szCs w:val="24"/>
          <w:lang w:val="en-US" w:eastAsia="zh-CN"/>
        </w:rPr>
        <w:t>https://doi.org/10.1080/01434632.2019.1611838.</w:t>
      </w:r>
      <w:r>
        <w:rPr>
          <w:rFonts w:hint="default" w:ascii="Times New Roman Regular" w:hAnsi="Times New Roman Regular" w:cs="Times New Roman Regular"/>
          <w:sz w:val="24"/>
          <w:szCs w:val="24"/>
          <w:lang w:val="en-US" w:eastAsia="zh-CN"/>
        </w:rPr>
        <w:fldChar w:fldCharType="end"/>
      </w:r>
    </w:p>
    <w:p>
      <w:pPr>
        <w:jc w:val="both"/>
        <w:rPr>
          <w:rFonts w:hint="default" w:ascii="Times New Roman Regular" w:hAnsi="Times New Roman Regular" w:cs="Times New Roman Regular"/>
          <w:sz w:val="24"/>
          <w:szCs w:val="24"/>
          <w:lang w:val="en-US" w:eastAsia="zh-CN"/>
        </w:rPr>
      </w:pPr>
      <w:r>
        <w:rPr>
          <w:rFonts w:hint="default" w:ascii="Times New Roman Regular" w:hAnsi="Times New Roman Regular" w:cs="Times New Roman Regular"/>
          <w:sz w:val="24"/>
          <w:szCs w:val="24"/>
          <w:lang w:val="en-US" w:eastAsia="zh-CN"/>
        </w:rPr>
        <w:t>Pears, R. and Shields, G.J. (2022) Cite them right : the essential referencing guide. 12th edition. New York: Bloomsbury Academic.</w:t>
      </w:r>
    </w:p>
    <w:p>
      <w:pPr>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cs="Times New Roman Regular"/>
          <w:sz w:val="24"/>
          <w:szCs w:val="24"/>
          <w:lang w:val="en-US" w:eastAsia="zh-CN"/>
        </w:rPr>
        <w:t xml:space="preserve">Richards, K. (2003) Qualitative Inquiry in </w:t>
      </w:r>
      <w:bookmarkStart w:id="0" w:name="_Int_Ji3Ts4YL"/>
      <w:r>
        <w:rPr>
          <w:rFonts w:hint="default" w:ascii="Times New Roman Regular" w:hAnsi="Times New Roman Regular" w:cs="Times New Roman Regular"/>
          <w:sz w:val="24"/>
          <w:szCs w:val="24"/>
          <w:lang w:val="en-US" w:eastAsia="zh-CN"/>
        </w:rPr>
        <w:t>TESOL</w:t>
      </w:r>
      <w:bookmarkEnd w:id="0"/>
      <w:r>
        <w:rPr>
          <w:rFonts w:hint="default" w:ascii="Times New Roman Regular" w:hAnsi="Times New Roman Regular" w:cs="Times New Roman Regular"/>
          <w:sz w:val="24"/>
          <w:szCs w:val="24"/>
          <w:lang w:val="en-US" w:eastAsia="zh-CN"/>
        </w:rPr>
        <w:t>. Basingstoke: Palgrave Macmillan.</w:t>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Sabarwal, S., Abu-Jawdeh, M. and Kapoor, R. (2022) “Teacher Beliefs: Why They Matter and What They Are,” </w:t>
      </w:r>
      <w:r>
        <w:rPr>
          <w:rFonts w:hint="default" w:ascii="Times New Roman Regular" w:hAnsi="Times New Roman Regular" w:eastAsia="宋体" w:cs="Times New Roman Regular"/>
          <w:i/>
          <w:iCs/>
          <w:kern w:val="0"/>
          <w:sz w:val="24"/>
          <w:szCs w:val="24"/>
          <w:lang w:val="en-US" w:eastAsia="zh-CN" w:bidi="ar"/>
        </w:rPr>
        <w:t>The World Bank research observer</w:t>
      </w:r>
      <w:r>
        <w:rPr>
          <w:rFonts w:hint="default" w:ascii="Times New Roman Regular" w:hAnsi="Times New Roman Regular" w:eastAsia="宋体" w:cs="Times New Roman Regular"/>
          <w:kern w:val="0"/>
          <w:sz w:val="24"/>
          <w:szCs w:val="24"/>
          <w:lang w:val="en-US" w:eastAsia="zh-CN" w:bidi="ar"/>
        </w:rPr>
        <w:t xml:space="preserve">, 37(1), pp. 73–106.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"https://doi.org/10.1093/wbro/lkab008."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https://doi.org/10.1093/wbro/lkab008.</w:t>
      </w:r>
      <w:r>
        <w:rPr>
          <w:rFonts w:hint="default" w:ascii="Times New Roman Regular" w:hAnsi="Times New Roman Regular" w:eastAsia="宋体" w:cs="Times New Roman Regular"/>
          <w:kern w:val="0"/>
          <w:sz w:val="24"/>
          <w:szCs w:val="24"/>
          <w:lang w:val="en-US" w:eastAsia="zh-CN" w:bidi="ar"/>
        </w:rPr>
        <w:fldChar w:fldCharType="end"/>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Cambria" w:cs="Times New Roman Regular"/>
          <w:color w:val="000000"/>
          <w:kern w:val="0"/>
          <w:sz w:val="24"/>
          <w:szCs w:val="24"/>
          <w:lang w:val="en-US" w:eastAsia="zh-CN" w:bidi="ar"/>
        </w:rPr>
        <w:t xml:space="preserve">Wächter, B., &amp; Maiworm, F. (Eds.) (2014). </w:t>
      </w:r>
      <w:r>
        <w:rPr>
          <w:rFonts w:hint="default" w:ascii="Times New Roman Regular" w:hAnsi="Times New Roman Regular" w:eastAsia="Cambria" w:cs="Times New Roman Regular"/>
          <w:i/>
          <w:iCs/>
          <w:color w:val="000000"/>
          <w:kern w:val="0"/>
          <w:sz w:val="24"/>
          <w:szCs w:val="24"/>
          <w:lang w:val="en-US" w:eastAsia="zh-CN" w:bidi="ar"/>
        </w:rPr>
        <w:t>English-taught programmes in European higher education</w:t>
      </w:r>
      <w:r>
        <w:rPr>
          <w:rFonts w:hint="default" w:ascii="Times New Roman Regular" w:hAnsi="Times New Roman Regular" w:eastAsia="Cambria" w:cs="Times New Roman Regular"/>
          <w:color w:val="000000"/>
          <w:kern w:val="0"/>
          <w:sz w:val="24"/>
          <w:szCs w:val="24"/>
          <w:lang w:val="en-US" w:eastAsia="zh-CN" w:bidi="ar"/>
        </w:rPr>
        <w:t xml:space="preserve">. Bonn: Lemmens. </w:t>
      </w:r>
    </w:p>
    <w:p>
      <w:pPr>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lang w:val="en-US" w:eastAsia="zh-CN"/>
        </w:rPr>
        <w:t>Wisker, G. (2008) The postgraduate research handbook : succeed with your MA, MPhil, EdD and PhD. 2nd ed. Basingstoke: Palgrave Macmillan.</w:t>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Yuan, R. (2017) “‘This game is not easy to play’: a narrative inquiry into a novice EFL teacher educator’s research and publishing experiences,” </w:t>
      </w:r>
      <w:r>
        <w:rPr>
          <w:rFonts w:hint="default" w:ascii="Times New Roman Regular" w:hAnsi="Times New Roman Regular" w:eastAsia="宋体" w:cs="Times New Roman Regular"/>
          <w:i/>
          <w:iCs/>
          <w:kern w:val="0"/>
          <w:sz w:val="24"/>
          <w:szCs w:val="24"/>
          <w:lang w:val="en-US" w:eastAsia="zh-CN" w:bidi="ar"/>
        </w:rPr>
        <w:t>Professional development in education</w:t>
      </w:r>
      <w:r>
        <w:rPr>
          <w:rFonts w:hint="default" w:ascii="Times New Roman Regular" w:hAnsi="Times New Roman Regular" w:eastAsia="宋体" w:cs="Times New Roman Regular"/>
          <w:kern w:val="0"/>
          <w:sz w:val="24"/>
          <w:szCs w:val="24"/>
          <w:lang w:val="en-US" w:eastAsia="zh-CN" w:bidi="ar"/>
        </w:rPr>
        <w:t xml:space="preserve">, 43(3), pp. 474–491.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"https://doi.org/10.1080/19415257.2016.1182936."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https://doi.org/10.1080/19415257.2016.1182936.</w:t>
      </w:r>
      <w:r>
        <w:rPr>
          <w:rFonts w:hint="default" w:ascii="Times New Roman Regular" w:hAnsi="Times New Roman Regular" w:eastAsia="宋体" w:cs="Times New Roman Regular"/>
          <w:kern w:val="0"/>
          <w:sz w:val="24"/>
          <w:szCs w:val="24"/>
          <w:lang w:val="en-US" w:eastAsia="zh-CN" w:bidi="ar"/>
        </w:rPr>
        <w:fldChar w:fldCharType="end"/>
      </w:r>
    </w:p>
    <w:p>
      <w:pPr>
        <w:keepNext w:val="0"/>
        <w:keepLines w:val="0"/>
        <w:widowControl/>
        <w:numPr>
          <w:ilvl w:val="0"/>
          <w:numId w:val="0"/>
        </w:numPr>
        <w:suppressLineNumbers w:val="0"/>
        <w:jc w:val="both"/>
        <w:rPr>
          <w:rFonts w:hint="default" w:ascii="Times New Roman Regular" w:hAnsi="Times New Roman Regular" w:eastAsia="宋体" w:cs="Times New Roman Regular"/>
          <w:kern w:val="0"/>
          <w:sz w:val="24"/>
          <w:szCs w:val="24"/>
          <w:lang w:val="en-US" w:eastAsia="zh-CN" w:bidi="ar"/>
        </w:rPr>
      </w:pPr>
      <w:r>
        <w:rPr>
          <w:rFonts w:hint="default" w:ascii="Times New Roman Regular" w:hAnsi="Times New Roman Regular" w:eastAsia="宋体" w:cs="Times New Roman Regular"/>
          <w:kern w:val="0"/>
          <w:sz w:val="24"/>
          <w:szCs w:val="24"/>
          <w:lang w:val="en-US" w:eastAsia="zh-CN" w:bidi="ar"/>
        </w:rPr>
        <w:t xml:space="preserve">Yuan, R., Chen, Y. and Peng, J. (2022) “Understanding university teachers’ beliefs and practice in using English as a medium of instruction,” </w:t>
      </w:r>
      <w:r>
        <w:rPr>
          <w:rFonts w:hint="default" w:ascii="Times New Roman Regular" w:hAnsi="Times New Roman Regular" w:eastAsia="宋体" w:cs="Times New Roman Regular"/>
          <w:i/>
          <w:iCs/>
          <w:kern w:val="0"/>
          <w:sz w:val="24"/>
          <w:szCs w:val="24"/>
          <w:lang w:val="en-US" w:eastAsia="zh-CN" w:bidi="ar"/>
        </w:rPr>
        <w:t>Teaching in higher education</w:t>
      </w:r>
      <w:r>
        <w:rPr>
          <w:rFonts w:hint="default" w:ascii="Times New Roman Regular" w:hAnsi="Times New Roman Regular" w:eastAsia="宋体" w:cs="Times New Roman Regular"/>
          <w:kern w:val="0"/>
          <w:sz w:val="24"/>
          <w:szCs w:val="24"/>
          <w:lang w:val="en-US" w:eastAsia="zh-CN" w:bidi="ar"/>
        </w:rPr>
        <w:t xml:space="preserve">, 27(2), pp. 233–248. Available at: </w:t>
      </w:r>
      <w:r>
        <w:rPr>
          <w:rFonts w:hint="default" w:ascii="Times New Roman Regular" w:hAnsi="Times New Roman Regular" w:eastAsia="宋体" w:cs="Times New Roman Regular"/>
          <w:kern w:val="0"/>
          <w:sz w:val="24"/>
          <w:szCs w:val="24"/>
          <w:lang w:val="en-US" w:eastAsia="zh-CN" w:bidi="ar"/>
        </w:rPr>
        <w:fldChar w:fldCharType="begin"/>
      </w:r>
      <w:r>
        <w:rPr>
          <w:rFonts w:hint="default" w:ascii="Times New Roman Regular" w:hAnsi="Times New Roman Regular" w:eastAsia="宋体" w:cs="Times New Roman Regular"/>
          <w:kern w:val="0"/>
          <w:sz w:val="24"/>
          <w:szCs w:val="24"/>
          <w:lang w:val="en-US" w:eastAsia="zh-CN" w:bidi="ar"/>
        </w:rPr>
        <w:instrText xml:space="preserve"> HYPERLINK "https://doi.org/10.1080/13562517.2020.1715936." </w:instrText>
      </w:r>
      <w:r>
        <w:rPr>
          <w:rFonts w:hint="default" w:ascii="Times New Roman Regular" w:hAnsi="Times New Roman Regular" w:eastAsia="宋体" w:cs="Times New Roman Regular"/>
          <w:kern w:val="0"/>
          <w:sz w:val="24"/>
          <w:szCs w:val="24"/>
          <w:lang w:val="en-US" w:eastAsia="zh-CN" w:bidi="ar"/>
        </w:rPr>
        <w:fldChar w:fldCharType="separate"/>
      </w:r>
      <w:r>
        <w:rPr>
          <w:rStyle w:val="7"/>
          <w:rFonts w:hint="default" w:ascii="Times New Roman Regular" w:hAnsi="Times New Roman Regular" w:eastAsia="宋体" w:cs="Times New Roman Regular"/>
          <w:kern w:val="0"/>
          <w:sz w:val="24"/>
          <w:szCs w:val="24"/>
          <w:lang w:val="en-US" w:eastAsia="zh-CN" w:bidi="ar"/>
        </w:rPr>
        <w:t>https://doi.org/10.1080/13562517.2020.1715936.</w:t>
      </w:r>
      <w:r>
        <w:rPr>
          <w:rFonts w:hint="default" w:ascii="Times New Roman Regular" w:hAnsi="Times New Roman Regular" w:eastAsia="宋体" w:cs="Times New Roman Regular"/>
          <w:kern w:val="0"/>
          <w:sz w:val="24"/>
          <w:szCs w:val="24"/>
          <w:lang w:val="en-US" w:eastAsia="zh-CN" w:bidi="ar"/>
        </w:rPr>
        <w:fldChar w:fldCharType="end"/>
      </w: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spacing w:line="27" w:lineRule="atLeast"/>
        <w:jc w:val="both"/>
        <w:rPr>
          <w:rFonts w:hint="default" w:ascii="Times New Roman Regular" w:hAnsi="Times New Roman Regular" w:eastAsia="宋体" w:cs="Times New Roman Regular"/>
          <w:kern w:val="0"/>
          <w:sz w:val="24"/>
          <w:szCs w:val="24"/>
          <w:lang w:val="en-US" w:eastAsia="zh-CN" w:bidi="ar"/>
        </w:rPr>
      </w:pPr>
    </w:p>
    <w:p>
      <w:pPr>
        <w:keepNext w:val="0"/>
        <w:keepLines w:val="0"/>
        <w:widowControl/>
        <w:suppressLineNumbers w:val="0"/>
        <w:jc w:val="both"/>
        <w:rPr>
          <w:rFonts w:hint="default" w:ascii="Times New Roman Regular" w:hAnsi="Times New Roman Regular" w:eastAsia="Cambria" w:cs="Times New Roman Regular"/>
          <w:color w:val="000000"/>
          <w:kern w:val="0"/>
          <w:sz w:val="24"/>
          <w:szCs w:val="24"/>
          <w:lang w:val="en-US" w:eastAsia="zh-CN" w:bidi="ar"/>
        </w:rPr>
      </w:pPr>
    </w:p>
    <w:p>
      <w:pPr>
        <w:jc w:val="both"/>
        <w:rPr>
          <w:rFonts w:hint="default" w:ascii="Times New Roman Regular" w:hAnsi="Times New Roman Regular" w:cs="Times New Roman Regular"/>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Cambria">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Arial Regular">
    <w:panose1 w:val="020B06040202020902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FC3F01"/>
    <w:multiLevelType w:val="multilevel"/>
    <w:tmpl w:val="35FC3F01"/>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EE6B9675"/>
    <w:rsid w:val="0BFF2FAD"/>
    <w:rsid w:val="143D473D"/>
    <w:rsid w:val="1CEB33A3"/>
    <w:rsid w:val="1D6786D5"/>
    <w:rsid w:val="2DEAAE7B"/>
    <w:rsid w:val="39F323A1"/>
    <w:rsid w:val="4FC53206"/>
    <w:rsid w:val="4FDD7662"/>
    <w:rsid w:val="52E7CF61"/>
    <w:rsid w:val="56AC8A8C"/>
    <w:rsid w:val="576D143F"/>
    <w:rsid w:val="57FEE3A7"/>
    <w:rsid w:val="5DFD3E13"/>
    <w:rsid w:val="5ECF6A47"/>
    <w:rsid w:val="5EE6B5A4"/>
    <w:rsid w:val="65EF15E8"/>
    <w:rsid w:val="67A7727F"/>
    <w:rsid w:val="6BFFFAB0"/>
    <w:rsid w:val="6D79BBB1"/>
    <w:rsid w:val="6DC71B67"/>
    <w:rsid w:val="6E7FF1B8"/>
    <w:rsid w:val="6F96AF37"/>
    <w:rsid w:val="754BAC2A"/>
    <w:rsid w:val="77F7C93A"/>
    <w:rsid w:val="7BEDEC8E"/>
    <w:rsid w:val="7C5FC91E"/>
    <w:rsid w:val="7DFF2571"/>
    <w:rsid w:val="7DFF8065"/>
    <w:rsid w:val="7F5A872C"/>
    <w:rsid w:val="7F7B7B9B"/>
    <w:rsid w:val="7F7F78E6"/>
    <w:rsid w:val="7FF42377"/>
    <w:rsid w:val="7FF685C7"/>
    <w:rsid w:val="7FFAE823"/>
    <w:rsid w:val="92F14332"/>
    <w:rsid w:val="97BC9D56"/>
    <w:rsid w:val="9D74B7B8"/>
    <w:rsid w:val="9EFAF094"/>
    <w:rsid w:val="AB4457B6"/>
    <w:rsid w:val="ADDDDEC6"/>
    <w:rsid w:val="B0BF005C"/>
    <w:rsid w:val="B77D6721"/>
    <w:rsid w:val="B96B74DE"/>
    <w:rsid w:val="BFFF83F2"/>
    <w:rsid w:val="BFFF90E8"/>
    <w:rsid w:val="DB716C01"/>
    <w:rsid w:val="DDFFF284"/>
    <w:rsid w:val="DF7FCCCD"/>
    <w:rsid w:val="DFDFB927"/>
    <w:rsid w:val="E55DC5FB"/>
    <w:rsid w:val="ED3EB3CE"/>
    <w:rsid w:val="EE6B9675"/>
    <w:rsid w:val="EEB657E5"/>
    <w:rsid w:val="EF35EAE1"/>
    <w:rsid w:val="EFEE0FF5"/>
    <w:rsid w:val="EFF72345"/>
    <w:rsid w:val="F4764EA6"/>
    <w:rsid w:val="F68B2360"/>
    <w:rsid w:val="F6AF7D26"/>
    <w:rsid w:val="F7FD9526"/>
    <w:rsid w:val="F7FE7965"/>
    <w:rsid w:val="FBCFD2F4"/>
    <w:rsid w:val="FDFFF6FD"/>
    <w:rsid w:val="FEF174AC"/>
    <w:rsid w:val="FEFD6F1C"/>
    <w:rsid w:val="FF45060F"/>
    <w:rsid w:val="FFBD7CB3"/>
    <w:rsid w:val="FFFAB8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uiPriority w:val="0"/>
    <w:pPr>
      <w:jc w:val="both"/>
    </w:pPr>
    <w:rPr>
      <w:b/>
    </w:rPr>
  </w:style>
  <w:style w:type="paragraph" w:styleId="3">
    <w:name w:val="Normal (Web)"/>
    <w:basedOn w:val="1"/>
    <w:semiHidden/>
    <w:unhideWhenUsed/>
    <w:uiPriority w:val="99"/>
    <w:pPr>
      <w:spacing w:before="100" w:beforeAutospacing="1" w:after="100" w:afterAutospacing="1"/>
    </w:pPr>
    <w:rPr>
      <w:rFonts w:ascii="Times New Roman" w:hAnsi="Times New Roman"/>
      <w:sz w:val="24"/>
      <w:szCs w:val="24"/>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uiPriority w:val="0"/>
    <w:rPr>
      <w:color w:val="0000FF"/>
      <w:u w:val="single"/>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Office_6.1.0.8274_F1E327BC-269C-435d-A152-05C5408002CA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2024-04-08T02:11:00Z</dcterms:created>
  <dc:creator>Oshqing</dc:creator>
  <cp:lastModifiedBy>Oshqing</cp:lastModifiedBy>
  <dcterms:modified xsi:type="dcterms:W3CDTF">2024-04-11T23:35:06Z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2052-6.1.0.8274</vt:lpwstr>
  </property>
  <property fmtid="{D5CDD505-2E9C-101B-9397-08002B2CF9AE}" pid="3" name="ICV">
    <vt:lpwstr>52185C4EC5ACB853F00B13666856EBD9_41</vt:lpwstr>
  </property>
</Properties>
</file>