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04A62" w14:textId="77777777" w:rsidR="001915A2" w:rsidRPr="00941142" w:rsidRDefault="001915A2" w:rsidP="001915A2">
      <w:pPr>
        <w:spacing w:after="0" w:line="480" w:lineRule="auto"/>
        <w:rPr>
          <w:rFonts w:asciiTheme="majorHAnsi" w:hAnsiTheme="majorHAnsi" w:cstheme="majorHAnsi"/>
          <w:b/>
          <w:sz w:val="24"/>
          <w:szCs w:val="24"/>
        </w:rPr>
      </w:pPr>
    </w:p>
    <w:p w14:paraId="07124AC7"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Critical Incidents</w:t>
      </w:r>
    </w:p>
    <w:p w14:paraId="63CB581B"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Introduction</w:t>
      </w:r>
    </w:p>
    <w:p w14:paraId="0AFFFD45"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The essence of teaching is grounded on the student's understanding. Teachers evaluating and identifying the teaching steps they need to ensure that their students grasp the knowledge is essential. Students have different performance levels, and teachers should find better methods to favour everyone. According to Correa et al. (2014), teachers should be acquainted with the ethical responsibilities of their professionals to build a teaching identity. Learning how to conduct proper teaching steps is crucial to students as, at the end of their courses, they will be able to understand the subject.</w:t>
      </w:r>
    </w:p>
    <w:p w14:paraId="19A40467"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Different subjects have different teaching styles as they contain different content. Therefore, identifying a standard teaching style, so students comprehend the teachings better should be evaluated. It has been acknowledged that teachers' learning to teach involves an identity process as it incorporates professionalism in Teaching (</w:t>
      </w:r>
      <w:proofErr w:type="spellStart"/>
      <w:r w:rsidRPr="00941142">
        <w:rPr>
          <w:rFonts w:asciiTheme="majorHAnsi" w:hAnsiTheme="majorHAnsi" w:cstheme="majorHAnsi"/>
          <w:sz w:val="24"/>
          <w:szCs w:val="24"/>
        </w:rPr>
        <w:t>Beijaard</w:t>
      </w:r>
      <w:proofErr w:type="spellEnd"/>
      <w:r w:rsidRPr="00941142">
        <w:rPr>
          <w:rFonts w:asciiTheme="majorHAnsi" w:hAnsiTheme="majorHAnsi" w:cstheme="majorHAnsi"/>
          <w:sz w:val="24"/>
          <w:szCs w:val="24"/>
        </w:rPr>
        <w:t>, pp.2). Having a professional as a teacher does not mean that you can execute knowledge and being understood. Understanding students' level of understanding is vital as a teacher can draft proper teaching steps for their students. They are evaluating the appropriate teaching steps that require skills. Understanding the psychological nature of individual student teachers is substantial as through that, they will be able to collect a common teaching habit that will favour each student (Lawrence, 2005). Execution of critical incidents by teachers in reflective practice is highly recommended as it advances self-awareness and skills used to solve problems. Furthermore, teachers can learn what can and does not work using the teaching method.</w:t>
      </w:r>
    </w:p>
    <w:p w14:paraId="4449B012" w14:textId="77777777" w:rsidR="001915A2" w:rsidRPr="00941142" w:rsidRDefault="001915A2" w:rsidP="001915A2">
      <w:pPr>
        <w:spacing w:after="0" w:line="480" w:lineRule="auto"/>
        <w:rPr>
          <w:rFonts w:asciiTheme="majorHAnsi" w:hAnsiTheme="majorHAnsi" w:cstheme="majorHAnsi"/>
          <w:b/>
          <w:sz w:val="24"/>
          <w:szCs w:val="24"/>
        </w:rPr>
      </w:pPr>
    </w:p>
    <w:p w14:paraId="59F47569"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The Role of Critical Reflection</w:t>
      </w:r>
    </w:p>
    <w:p w14:paraId="124912F1"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Critical reflection in teaching refers to carefully examining events' aspects from a different perspective. Critical reflection is essential as it enables teachers to establish reasonable goals, strengthen their professional practice and create a learning environment. Essential enrolment of reflection in teaching practice is accommodating as it facilitates reflective learning (</w:t>
      </w:r>
      <w:proofErr w:type="spellStart"/>
      <w:r w:rsidRPr="00941142">
        <w:rPr>
          <w:rFonts w:asciiTheme="majorHAnsi" w:hAnsiTheme="majorHAnsi" w:cstheme="majorHAnsi"/>
          <w:sz w:val="24"/>
          <w:szCs w:val="24"/>
        </w:rPr>
        <w:t>Shandomo</w:t>
      </w:r>
      <w:proofErr w:type="spellEnd"/>
      <w:r w:rsidRPr="00941142">
        <w:rPr>
          <w:rFonts w:asciiTheme="majorHAnsi" w:hAnsiTheme="majorHAnsi" w:cstheme="majorHAnsi"/>
          <w:sz w:val="24"/>
          <w:szCs w:val="24"/>
        </w:rPr>
        <w:t>, pp.112). Furthermore, teachers can create new knowledge from their experiences through critical reflection. Also, they blend learning through experiences with theoretical and technical learning to form new concepts (</w:t>
      </w:r>
      <w:proofErr w:type="spellStart"/>
      <w:r w:rsidRPr="00941142">
        <w:rPr>
          <w:rFonts w:asciiTheme="majorHAnsi" w:hAnsiTheme="majorHAnsi" w:cstheme="majorHAnsi"/>
          <w:sz w:val="24"/>
          <w:szCs w:val="24"/>
        </w:rPr>
        <w:t>Shandomo</w:t>
      </w:r>
      <w:proofErr w:type="spellEnd"/>
      <w:r w:rsidRPr="00941142">
        <w:rPr>
          <w:rFonts w:asciiTheme="majorHAnsi" w:hAnsiTheme="majorHAnsi" w:cstheme="majorHAnsi"/>
          <w:sz w:val="24"/>
          <w:szCs w:val="24"/>
        </w:rPr>
        <w:t>, pp.101). Teachers emphasize using critical reflection as it allows them to review the comprehension of their students and re-strategize better methods to be enforced. Additionally, through critical reflection, teachers can understand the teacher-student differences and form a standard solution to solve the problem.</w:t>
      </w:r>
    </w:p>
    <w:p w14:paraId="18685A34"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Reflective teaching by teachers is crucial as they can self-evaluate and self-examine their teaching steps, improving their teaching practice. Teachers are expected to have continuous reflection thinking as classroom events change frequently. Through critical reflection, teachers develop their professional skills to solve their students' problems better. Moreover, they will be able to boost student outcomes since they are more skilled. According to Branch (2010), critical reflection on teachers' professional development has developed massive attention as it has dramatically impacted the quality of teaching. Besides imposing better quality, critical reflection has contributed to knowledge reframing as teachers reintroduce concepts that support students to get a better understanding.</w:t>
      </w:r>
    </w:p>
    <w:p w14:paraId="76594EA2"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lastRenderedPageBreak/>
        <w:t>Most educators approve that reflective teaching benefits both teachers and students as it brings their thoughts together in teaching hence better performances. Another role of critical reflection on the professional development of teachers is that it enables instructors to be aware of the beliefs and assumptions associated with learning and teaching (Branch, 2010). Through this, teachers can promote a conducive environment where learners can have a positive attitude towards learning.</w:t>
      </w:r>
    </w:p>
    <w:p w14:paraId="5B2AA392"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Evans and Nation (2013) stated that school reforms had been initiated as the old systems failed to recognize the reputation of reflective practice. A critical perspective on school reforms must be introduced to understand the essential concept of reflection. Educational reforms have been persuaded by the vast impact critical reflection has on student outcomes. The old curriculum did not overlook the essential essence of reflection on teaching as they disvalued the outcome of students. They only considered the magnitude of the students getting an education. Therefore, reforms ensuring teachers execute critical reflection exhibited a better value on Education.</w:t>
      </w:r>
    </w:p>
    <w:p w14:paraId="0DD208A9"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Hence through critical reflection, students can perform excellently since teachers will be exposed to multiple perspectives on handling teaching. Furthermore, the critical reflection will enable teachers to be attentive to students' opinions as they will understand them more when they open a forum where both the teacher and the students interact freely. At the same time, critical reflection support students to engage in a reflective process of making them track their course thoughtfully and giving teachers an easy time to solve problems concerning their academics (</w:t>
      </w:r>
      <w:proofErr w:type="spellStart"/>
      <w:r w:rsidRPr="00941142">
        <w:rPr>
          <w:rFonts w:asciiTheme="majorHAnsi" w:hAnsiTheme="majorHAnsi" w:cstheme="majorHAnsi"/>
          <w:sz w:val="24"/>
          <w:szCs w:val="24"/>
        </w:rPr>
        <w:t>Beijaard</w:t>
      </w:r>
      <w:proofErr w:type="spellEnd"/>
      <w:r w:rsidRPr="00941142">
        <w:rPr>
          <w:rFonts w:asciiTheme="majorHAnsi" w:hAnsiTheme="majorHAnsi" w:cstheme="majorHAnsi"/>
          <w:sz w:val="24"/>
          <w:szCs w:val="24"/>
        </w:rPr>
        <w:t>, pp. 5). Through this, teachers can develop their teaching practice.</w:t>
      </w:r>
    </w:p>
    <w:p w14:paraId="4DA2EF18"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Observation School and Class Context</w:t>
      </w:r>
    </w:p>
    <w:p w14:paraId="7EBB524B"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lastRenderedPageBreak/>
        <w:t xml:space="preserve">Observing a year two class in foundation learning, I focused my critical incident on a student who initially was reluctant to attempt an assignment issued by the teacher, stating that the task was too difficult. The teacher excused the child and allowed them to engage in other activities in the class. However, </w:t>
      </w:r>
      <w:proofErr w:type="gramStart"/>
      <w:r w:rsidRPr="00941142">
        <w:rPr>
          <w:rFonts w:asciiTheme="majorHAnsi" w:hAnsiTheme="majorHAnsi" w:cstheme="majorHAnsi"/>
          <w:sz w:val="24"/>
          <w:szCs w:val="24"/>
        </w:rPr>
        <w:t>during</w:t>
      </w:r>
      <w:proofErr w:type="gramEnd"/>
      <w:r w:rsidRPr="00941142">
        <w:rPr>
          <w:rFonts w:asciiTheme="majorHAnsi" w:hAnsiTheme="majorHAnsi" w:cstheme="majorHAnsi"/>
          <w:sz w:val="24"/>
          <w:szCs w:val="24"/>
        </w:rPr>
        <w:t xml:space="preserve"> two hours, the teacher critically brought the child back momentarily into the assignment for rising increments utilizing Vygotsky's scaffolding principle. The teacher is responsible for permitting the student to handle the assignment using their method and not limiting their time, allowing them to learn successfully. The critical incident linked with Donaldson's purpose, where the teacher allowed the child to be creative and develop their mindset to expand. Also, the incident is associated with being ambitious as the teacher allowed the child to desire to accomplish the task by implementing different methods.</w:t>
      </w:r>
    </w:p>
    <w:p w14:paraId="7350FAA2"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Furthermore, the teacher made the child interested in crafting different methods they would use to solve the task. The teacher presented standardized pedagogy as the child was not forced to complete the task immediately when they stated that it was challenging but allowed them to participate in other activities. Additionally, Vygotsky's scaffolding principle showed the teacher's ways of teaching as the teacher helped by giving directions on how to handle the task before allowing the child to handle it by themselves.</w:t>
      </w:r>
    </w:p>
    <w:p w14:paraId="04AC0E91"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Literature Review</w:t>
      </w:r>
    </w:p>
    <w:p w14:paraId="57B791F0"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The impact of critical evaluation and identification in teaching practice is substantial as it boosts teachers’ abilities to handle tutoring in numerous ways. The effect that critical reflection on teaching has embraced and has been conferred by various studies, which are discussed below.</w:t>
      </w:r>
    </w:p>
    <w:p w14:paraId="3866860B"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 xml:space="preserve">According to Crick (2022), the new school curriculum for Wales is meant to give children access to developmentally appropriate relationships and learn sexual Education. The curriculum for </w:t>
      </w:r>
      <w:r w:rsidRPr="00941142">
        <w:rPr>
          <w:rFonts w:asciiTheme="majorHAnsi" w:hAnsiTheme="majorHAnsi" w:cstheme="majorHAnsi"/>
          <w:sz w:val="24"/>
          <w:szCs w:val="24"/>
        </w:rPr>
        <w:lastRenderedPageBreak/>
        <w:t xml:space="preserve">Wales has been identified to contain two hierarchies; one is the national-level curriculum which is described by the Welsh government, and the school-level curriculum, which is established and prearranged by teachers in different schools and groups (Worrall, 2022). Through the new curriculum, students are taught about healthy relationships, staying safe both in physical locations and online and learning to be courageous to raise matters with responsible adults (Crick, pp. 635). Through this, the curriculum clearly delivers a comprehensive and balanced education system (Aasen and </w:t>
      </w:r>
      <w:proofErr w:type="spellStart"/>
      <w:r w:rsidRPr="00941142">
        <w:rPr>
          <w:rFonts w:asciiTheme="majorHAnsi" w:hAnsiTheme="majorHAnsi" w:cstheme="majorHAnsi"/>
          <w:sz w:val="24"/>
          <w:szCs w:val="24"/>
        </w:rPr>
        <w:t>Wenche</w:t>
      </w:r>
      <w:proofErr w:type="spellEnd"/>
      <w:r w:rsidRPr="00941142">
        <w:rPr>
          <w:rFonts w:asciiTheme="majorHAnsi" w:hAnsiTheme="majorHAnsi" w:cstheme="majorHAnsi"/>
          <w:sz w:val="24"/>
          <w:szCs w:val="24"/>
        </w:rPr>
        <w:t>, 2006). Teachers adopting the new curriculum is essential as it makes the young children develop advanced standards of literateness and skills, enabling them to become more digitally confident and capable (Jenkins, 2000). The new curriculum for Wales is helpful to teachers as it enables them to develop a more integrated approach to learning (Worrall,2022).</w:t>
      </w:r>
    </w:p>
    <w:p w14:paraId="50313660"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 xml:space="preserve">The new curriculum has been proven to be in line with the four purposes of the curriculum: enabling each child to be a successful student, being courageous, being accountable and being an operative contributor (Freedman, 2018). Furthermore, the new curriculum has been stated to be impactful in Teaching young learners aged three to sixteen who are given similar core learning in the </w:t>
      </w:r>
      <w:proofErr w:type="spellStart"/>
      <w:proofErr w:type="gramStart"/>
      <w:r w:rsidRPr="00941142">
        <w:rPr>
          <w:rFonts w:asciiTheme="majorHAnsi" w:hAnsiTheme="majorHAnsi" w:cstheme="majorHAnsi"/>
          <w:sz w:val="24"/>
          <w:szCs w:val="24"/>
        </w:rPr>
        <w:t>wales</w:t>
      </w:r>
      <w:proofErr w:type="spellEnd"/>
      <w:proofErr w:type="gramEnd"/>
      <w:r w:rsidRPr="00941142">
        <w:rPr>
          <w:rFonts w:asciiTheme="majorHAnsi" w:hAnsiTheme="majorHAnsi" w:cstheme="majorHAnsi"/>
          <w:sz w:val="24"/>
          <w:szCs w:val="24"/>
        </w:rPr>
        <w:t xml:space="preserve"> curriculum where a consistent approach for students is achieved (Freedman, 2018). Additionally, the new curriculum promotes critical reflection for teachers and learners as it ensures that they reflect on their teachings and understanding (Freedman, 2018). The new curriculum leads to reforms in students as it develops creativity, enables learners to have a cultural identity, and promotes social aspects. Teachers are identified to be aligned with the new curriculum as they can connect with fellow teachers where they can reinforce better plans of Teaching (Moller and Crick, 2018).</w:t>
      </w:r>
    </w:p>
    <w:p w14:paraId="0AFFEDAD"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Researchers have recogni</w:t>
      </w:r>
      <w:r>
        <w:rPr>
          <w:rFonts w:asciiTheme="majorHAnsi" w:hAnsiTheme="majorHAnsi" w:cstheme="majorHAnsi"/>
          <w:sz w:val="24"/>
          <w:szCs w:val="24"/>
        </w:rPr>
        <w:t>s</w:t>
      </w:r>
      <w:r w:rsidRPr="00941142">
        <w:rPr>
          <w:rFonts w:asciiTheme="majorHAnsi" w:hAnsiTheme="majorHAnsi" w:cstheme="majorHAnsi"/>
          <w:sz w:val="24"/>
          <w:szCs w:val="24"/>
        </w:rPr>
        <w:t>ed the need for a new curriculum as it certifies the prerequisite of practical Education for students, enabling them to be creative. According to Li and Ni (2011), education reforms are essential as the old curriculum did not necessitate students' creativity but promoted memorization. The impact of the new curriculum ensures that students grasp the content as they major in practical Education than theoretical. A new curriculum also assists teachers in evaluating their teaching techniques so that they can transform a positive classroom teaching that engages all the students.</w:t>
      </w:r>
    </w:p>
    <w:p w14:paraId="174DAF70"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 xml:space="preserve">According to Sachs (2003), professional standards for teaching have engendered massive attention as uniformity in teaching as a profession is desired in all teaching institutions. The author illustrates that education institutes insinuate that professional teaching standards are essential as it improves teachers' performances. The imposition of professional standardization on leadership can be achieved by ensuring that honesty and effective communication is utilized (Mayer, 2005). Educational leaders should advocate for critical reflection as it shows the direction to the juniors. They will also reach the level of excellence that will enable professional standards in teaching to be maintained (Sachs, 2003). Teachers' performances are achieved by engaging in critical reflection; they will be able to advance their skills. Also, through professional standards for teaching, teachers can continue learning and develop better methods of handling their professionalism. They will be able to analyse their teaching techniques and identify solutions to problems concerning their teachings. Additionally, introducing teaching standards is essential as it improves teachers' reputations as they can execute better skills due to critical reflection. Mayer et al. (2005) state that for teachers to develop quality, professional standards of teaching should be actualized. The imposition of a standard tool for teaching enables teachers </w:t>
      </w:r>
      <w:r w:rsidRPr="00941142">
        <w:rPr>
          <w:rFonts w:asciiTheme="majorHAnsi" w:hAnsiTheme="majorHAnsi" w:cstheme="majorHAnsi"/>
          <w:sz w:val="24"/>
          <w:szCs w:val="24"/>
        </w:rPr>
        <w:lastRenderedPageBreak/>
        <w:t>to practice critical reflection in their teaching to advance their skills to match professional standards. Teachers' input in exercising professional standards enables them to elevate their quality, increasing student outcomes (Call, pp. 102). Critical reflection is needed to maintain a professional standard for teaching as teachers will evaluate and analyse their growth in teaching by the outcomes of students' results (Call, pp. 102). Despite the growth that professional standard conveys, critical reflection challenges the professional development of teachers as it contributes to knowledge reframing, which may not go in hand with professional teaching standards (Smith, pp.220).</w:t>
      </w:r>
    </w:p>
    <w:p w14:paraId="1A5007E6" w14:textId="77777777" w:rsidR="001915A2" w:rsidRPr="00941142" w:rsidRDefault="001915A2" w:rsidP="001915A2">
      <w:pPr>
        <w:spacing w:after="0" w:line="480" w:lineRule="auto"/>
        <w:rPr>
          <w:rFonts w:asciiTheme="majorHAnsi" w:hAnsiTheme="majorHAnsi" w:cstheme="majorHAnsi"/>
          <w:sz w:val="24"/>
          <w:szCs w:val="24"/>
        </w:rPr>
      </w:pPr>
      <w:proofErr w:type="spellStart"/>
      <w:r w:rsidRPr="00941142">
        <w:rPr>
          <w:rFonts w:asciiTheme="majorHAnsi" w:hAnsiTheme="majorHAnsi" w:cstheme="majorHAnsi"/>
          <w:sz w:val="24"/>
          <w:szCs w:val="24"/>
        </w:rPr>
        <w:t>Glasswell</w:t>
      </w:r>
      <w:proofErr w:type="spellEnd"/>
      <w:r w:rsidRPr="00941142">
        <w:rPr>
          <w:rFonts w:asciiTheme="majorHAnsi" w:hAnsiTheme="majorHAnsi" w:cstheme="majorHAnsi"/>
          <w:sz w:val="24"/>
          <w:szCs w:val="24"/>
        </w:rPr>
        <w:t xml:space="preserve"> and Ryan (2017) express that through professional standards in teaching, reflective practice is quickly initiated as teachers can reflect on their experiences of teaching students. Furthermore, it ensures that teachers are critically aware of the teaching practices they give to students hence ensuring that teachers critically analyse their professionalism. Developing course in teachers through critical reflection enables teachers to compare the teaching and learning situations they impose if they match the professional standards of Teaching (</w:t>
      </w:r>
      <w:proofErr w:type="spellStart"/>
      <w:r w:rsidRPr="00941142">
        <w:rPr>
          <w:rFonts w:asciiTheme="majorHAnsi" w:hAnsiTheme="majorHAnsi" w:cstheme="majorHAnsi"/>
          <w:sz w:val="24"/>
          <w:szCs w:val="24"/>
        </w:rPr>
        <w:t>Glasswell</w:t>
      </w:r>
      <w:proofErr w:type="spellEnd"/>
      <w:r w:rsidRPr="00941142">
        <w:rPr>
          <w:rFonts w:asciiTheme="majorHAnsi" w:hAnsiTheme="majorHAnsi" w:cstheme="majorHAnsi"/>
          <w:sz w:val="24"/>
          <w:szCs w:val="24"/>
        </w:rPr>
        <w:t>, pp. 20). Professionalism in Education makes teachers perform a self-critical examination of their teaching methods to see if they conform to professional standards (Mayer et al., 2005). Therefore, for teachers to practice professionalism, they must engage in critical reflection, which will help them enhance their careers and transform learning into a better form.</w:t>
      </w:r>
    </w:p>
    <w:p w14:paraId="0B4BBC7A"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 xml:space="preserve">For teachers to learn and better their experiences, persistent and deliberate efforts are required. According to </w:t>
      </w:r>
      <w:proofErr w:type="spellStart"/>
      <w:r w:rsidRPr="00941142">
        <w:rPr>
          <w:rFonts w:asciiTheme="majorHAnsi" w:hAnsiTheme="majorHAnsi" w:cstheme="majorHAnsi"/>
          <w:sz w:val="24"/>
          <w:szCs w:val="24"/>
        </w:rPr>
        <w:t>Sequeira</w:t>
      </w:r>
      <w:proofErr w:type="spellEnd"/>
      <w:r w:rsidRPr="00941142">
        <w:rPr>
          <w:rFonts w:asciiTheme="majorHAnsi" w:hAnsiTheme="majorHAnsi" w:cstheme="majorHAnsi"/>
          <w:sz w:val="24"/>
          <w:szCs w:val="24"/>
        </w:rPr>
        <w:t xml:space="preserve"> (2012), for a teacher to excel in their teaching career, it is crucial to understand the importance of learning and teaching in depth. This is important as reflecting on teaching enables teachers to improve more as they can amend mistakes. Furthermore, the </w:t>
      </w:r>
      <w:r w:rsidRPr="00941142">
        <w:rPr>
          <w:rFonts w:asciiTheme="majorHAnsi" w:hAnsiTheme="majorHAnsi" w:cstheme="majorHAnsi"/>
          <w:sz w:val="24"/>
          <w:szCs w:val="24"/>
        </w:rPr>
        <w:lastRenderedPageBreak/>
        <w:t>teacher will identify areas in which they need more learning, allowing them to grow in their skills and knowledge. Teachers' learning areas can also be initiated in classrooms through interaction with students, as teachers may find challenging questions that they lack a more profound understanding of, requiring further investigation (</w:t>
      </w:r>
      <w:proofErr w:type="spellStart"/>
      <w:r w:rsidRPr="00941142">
        <w:rPr>
          <w:rFonts w:asciiTheme="majorHAnsi" w:hAnsiTheme="majorHAnsi" w:cstheme="majorHAnsi"/>
          <w:sz w:val="24"/>
          <w:szCs w:val="24"/>
        </w:rPr>
        <w:t>Sequeira</w:t>
      </w:r>
      <w:proofErr w:type="spellEnd"/>
      <w:r w:rsidRPr="00941142">
        <w:rPr>
          <w:rFonts w:asciiTheme="majorHAnsi" w:hAnsiTheme="majorHAnsi" w:cstheme="majorHAnsi"/>
          <w:sz w:val="24"/>
          <w:szCs w:val="24"/>
        </w:rPr>
        <w:t>, 2012).</w:t>
      </w:r>
    </w:p>
    <w:p w14:paraId="738A5774"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Critical reflection has been identified to contribute mainly to enhancing teachers' experiences as it challenges teachers' thinking abilities, enabling them to grow massively and enhance their experiences as their skills and knowledge advance (</w:t>
      </w:r>
      <w:proofErr w:type="spellStart"/>
      <w:r w:rsidRPr="00941142">
        <w:rPr>
          <w:rFonts w:asciiTheme="majorHAnsi" w:hAnsiTheme="majorHAnsi" w:cstheme="majorHAnsi"/>
          <w:sz w:val="24"/>
          <w:szCs w:val="24"/>
        </w:rPr>
        <w:t>Shandomo</w:t>
      </w:r>
      <w:proofErr w:type="spellEnd"/>
      <w:r w:rsidRPr="00941142">
        <w:rPr>
          <w:rFonts w:asciiTheme="majorHAnsi" w:hAnsiTheme="majorHAnsi" w:cstheme="majorHAnsi"/>
          <w:sz w:val="24"/>
          <w:szCs w:val="24"/>
        </w:rPr>
        <w:t xml:space="preserve">, 2010). Furthermore, teachers implement critical reflection to understand which areas they require learning </w:t>
      </w:r>
      <w:proofErr w:type="gramStart"/>
      <w:r w:rsidRPr="00941142">
        <w:rPr>
          <w:rFonts w:asciiTheme="majorHAnsi" w:hAnsiTheme="majorHAnsi" w:cstheme="majorHAnsi"/>
          <w:sz w:val="24"/>
          <w:szCs w:val="24"/>
        </w:rPr>
        <w:t>and also</w:t>
      </w:r>
      <w:proofErr w:type="gramEnd"/>
      <w:r w:rsidRPr="00941142">
        <w:rPr>
          <w:rFonts w:asciiTheme="majorHAnsi" w:hAnsiTheme="majorHAnsi" w:cstheme="majorHAnsi"/>
          <w:sz w:val="24"/>
          <w:szCs w:val="24"/>
        </w:rPr>
        <w:t xml:space="preserve"> see the level of skills they have acquired during a period. This enables them not to stagnate in their career and grow professionally. </w:t>
      </w:r>
      <w:proofErr w:type="spellStart"/>
      <w:r w:rsidRPr="00941142">
        <w:rPr>
          <w:rFonts w:asciiTheme="majorHAnsi" w:hAnsiTheme="majorHAnsi" w:cstheme="majorHAnsi"/>
          <w:sz w:val="24"/>
          <w:szCs w:val="24"/>
        </w:rPr>
        <w:t>Boud</w:t>
      </w:r>
      <w:proofErr w:type="spellEnd"/>
      <w:r w:rsidRPr="00941142">
        <w:rPr>
          <w:rFonts w:asciiTheme="majorHAnsi" w:hAnsiTheme="majorHAnsi" w:cstheme="majorHAnsi"/>
          <w:sz w:val="24"/>
          <w:szCs w:val="24"/>
        </w:rPr>
        <w:t xml:space="preserve"> et al. (2013) state that reflection is essential in learning as without reflecting, identifying if you have grasped the concept is challenging. Therefore, teachers must apply critical reflection in learning as it enables them to track down their level of experience and comprehend more about their teaching experiences. Through this, they know and have more experience, contributing to better performances.</w:t>
      </w:r>
    </w:p>
    <w:p w14:paraId="1D49F3C1"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According to Knight and Crick (2022), introducing reforms to school curriculum has ensured that students are initiated to new areas of learning such as arts, health and wellbeing, and science and technology. The areas ensure that both teachers and students learn extensively as they can develop critical evaluations of their social and educational life. Furthermore, instructors can get more skills in teaching students as they will understand their mentality and know ways of making them comprehend. Experiences in teaching with the new curriculum increase activeness by learners resulting in thoughtful questions that helps teachers learn as they teach (</w:t>
      </w:r>
      <w:proofErr w:type="spellStart"/>
      <w:r w:rsidRPr="00941142">
        <w:rPr>
          <w:rFonts w:asciiTheme="majorHAnsi" w:hAnsiTheme="majorHAnsi" w:cstheme="majorHAnsi"/>
          <w:sz w:val="24"/>
          <w:szCs w:val="24"/>
        </w:rPr>
        <w:t>Hizli</w:t>
      </w:r>
      <w:proofErr w:type="spellEnd"/>
      <w:r w:rsidRPr="00941142">
        <w:rPr>
          <w:rFonts w:asciiTheme="majorHAnsi" w:hAnsiTheme="majorHAnsi" w:cstheme="majorHAnsi"/>
          <w:sz w:val="24"/>
          <w:szCs w:val="24"/>
        </w:rPr>
        <w:t xml:space="preserve"> </w:t>
      </w:r>
      <w:proofErr w:type="spellStart"/>
      <w:r w:rsidRPr="00941142">
        <w:rPr>
          <w:rFonts w:asciiTheme="majorHAnsi" w:hAnsiTheme="majorHAnsi" w:cstheme="majorHAnsi"/>
          <w:sz w:val="24"/>
          <w:szCs w:val="24"/>
        </w:rPr>
        <w:t>Alkan</w:t>
      </w:r>
      <w:proofErr w:type="spellEnd"/>
      <w:r w:rsidRPr="00941142">
        <w:rPr>
          <w:rFonts w:asciiTheme="majorHAnsi" w:hAnsiTheme="majorHAnsi" w:cstheme="majorHAnsi"/>
          <w:sz w:val="24"/>
          <w:szCs w:val="24"/>
        </w:rPr>
        <w:t xml:space="preserve"> and Priestley, 2019).</w:t>
      </w:r>
    </w:p>
    <w:p w14:paraId="3918FB45"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 xml:space="preserve">Pedagogical theory refers to a conceptualization method of edification and human development in both the individual and communal life scope (Howard, pp. 198). Critical pedagogy allows teachers to consider students' identities and how they impact their experiences (Howard, pp. 201). According to </w:t>
      </w:r>
      <w:proofErr w:type="spellStart"/>
      <w:r w:rsidRPr="00941142">
        <w:rPr>
          <w:rFonts w:asciiTheme="majorHAnsi" w:hAnsiTheme="majorHAnsi" w:cstheme="majorHAnsi"/>
          <w:sz w:val="24"/>
          <w:szCs w:val="24"/>
        </w:rPr>
        <w:t>Dimova</w:t>
      </w:r>
      <w:proofErr w:type="spellEnd"/>
      <w:r w:rsidRPr="00941142">
        <w:rPr>
          <w:rFonts w:asciiTheme="majorHAnsi" w:hAnsiTheme="majorHAnsi" w:cstheme="majorHAnsi"/>
          <w:sz w:val="24"/>
          <w:szCs w:val="24"/>
        </w:rPr>
        <w:t xml:space="preserve"> and Loughran (2009), reflection in pedagogy ensures teachers carefully examine their teaching during and after class, where they link their tutoring to effective teaching. Also, with pedagogical theory, teachers deeply understand their teaching styles and know where to change. Educational reforms can highly be achieved with critical pedagogy as teachers examining their teaching styles enables them to reconsider reframing the education system that supports better classroom settings (</w:t>
      </w:r>
      <w:proofErr w:type="spellStart"/>
      <w:r w:rsidRPr="00941142">
        <w:rPr>
          <w:rFonts w:asciiTheme="majorHAnsi" w:hAnsiTheme="majorHAnsi" w:cstheme="majorHAnsi"/>
          <w:sz w:val="24"/>
          <w:szCs w:val="24"/>
        </w:rPr>
        <w:t>Kirylo</w:t>
      </w:r>
      <w:proofErr w:type="spellEnd"/>
      <w:r w:rsidRPr="00941142">
        <w:rPr>
          <w:rFonts w:asciiTheme="majorHAnsi" w:hAnsiTheme="majorHAnsi" w:cstheme="majorHAnsi"/>
          <w:sz w:val="24"/>
          <w:szCs w:val="24"/>
        </w:rPr>
        <w:t xml:space="preserve"> et al., pp. 332). Standard teaching is highly achieved with a pedagogy approach as teachers critically reflecting on their teachings swiftly encourages them to develop their knowledge and skills in teaching. This ensures that standard teaching is maintained in schools, as both teachers and students will evaluate their understanding in class (</w:t>
      </w:r>
      <w:proofErr w:type="spellStart"/>
      <w:r w:rsidRPr="00941142">
        <w:rPr>
          <w:rFonts w:asciiTheme="majorHAnsi" w:hAnsiTheme="majorHAnsi" w:cstheme="majorHAnsi"/>
          <w:sz w:val="24"/>
          <w:szCs w:val="24"/>
        </w:rPr>
        <w:t>Kirylo</w:t>
      </w:r>
      <w:proofErr w:type="spellEnd"/>
      <w:r w:rsidRPr="00941142">
        <w:rPr>
          <w:rFonts w:asciiTheme="majorHAnsi" w:hAnsiTheme="majorHAnsi" w:cstheme="majorHAnsi"/>
          <w:sz w:val="24"/>
          <w:szCs w:val="24"/>
        </w:rPr>
        <w:t xml:space="preserve"> et al., pp. 334).</w:t>
      </w:r>
    </w:p>
    <w:p w14:paraId="0E6C5CD6"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Critical reflection using the pedagogy approach is essential as teachers can learn from their experiences and solve problems that arise to upgrade their teaching abilities (</w:t>
      </w:r>
      <w:proofErr w:type="spellStart"/>
      <w:r w:rsidRPr="00941142">
        <w:rPr>
          <w:rFonts w:asciiTheme="majorHAnsi" w:hAnsiTheme="majorHAnsi" w:cstheme="majorHAnsi"/>
          <w:sz w:val="24"/>
          <w:szCs w:val="24"/>
        </w:rPr>
        <w:t>Bercaw</w:t>
      </w:r>
      <w:proofErr w:type="spellEnd"/>
      <w:r w:rsidRPr="00941142">
        <w:rPr>
          <w:rFonts w:asciiTheme="majorHAnsi" w:hAnsiTheme="majorHAnsi" w:cstheme="majorHAnsi"/>
          <w:sz w:val="24"/>
          <w:szCs w:val="24"/>
        </w:rPr>
        <w:t xml:space="preserve"> and </w:t>
      </w:r>
      <w:proofErr w:type="spellStart"/>
      <w:r w:rsidRPr="00941142">
        <w:rPr>
          <w:rFonts w:asciiTheme="majorHAnsi" w:hAnsiTheme="majorHAnsi" w:cstheme="majorHAnsi"/>
          <w:sz w:val="24"/>
          <w:szCs w:val="24"/>
        </w:rPr>
        <w:t>Stooksberry</w:t>
      </w:r>
      <w:proofErr w:type="spellEnd"/>
      <w:r w:rsidRPr="00941142">
        <w:rPr>
          <w:rFonts w:asciiTheme="majorHAnsi" w:hAnsiTheme="majorHAnsi" w:cstheme="majorHAnsi"/>
          <w:sz w:val="24"/>
          <w:szCs w:val="24"/>
        </w:rPr>
        <w:t>, pp.2). Teachers using critical pedagogy show the level of freedom they partake in as it does not focus on Education but also social aspects. Therefore, teachers applying critical pedagogy analyse the academic characteristics in their teaching and social aspect as they are linked together (</w:t>
      </w:r>
      <w:proofErr w:type="spellStart"/>
      <w:r w:rsidRPr="00941142">
        <w:rPr>
          <w:rFonts w:asciiTheme="majorHAnsi" w:hAnsiTheme="majorHAnsi" w:cstheme="majorHAnsi"/>
          <w:sz w:val="24"/>
          <w:szCs w:val="24"/>
        </w:rPr>
        <w:t>Bercaw</w:t>
      </w:r>
      <w:proofErr w:type="spellEnd"/>
      <w:r w:rsidRPr="00941142">
        <w:rPr>
          <w:rFonts w:asciiTheme="majorHAnsi" w:hAnsiTheme="majorHAnsi" w:cstheme="majorHAnsi"/>
          <w:sz w:val="24"/>
          <w:szCs w:val="24"/>
        </w:rPr>
        <w:t xml:space="preserve"> and </w:t>
      </w:r>
      <w:proofErr w:type="spellStart"/>
      <w:r w:rsidRPr="00941142">
        <w:rPr>
          <w:rFonts w:asciiTheme="majorHAnsi" w:hAnsiTheme="majorHAnsi" w:cstheme="majorHAnsi"/>
          <w:sz w:val="24"/>
          <w:szCs w:val="24"/>
        </w:rPr>
        <w:t>Stooksberry</w:t>
      </w:r>
      <w:proofErr w:type="spellEnd"/>
      <w:r w:rsidRPr="00941142">
        <w:rPr>
          <w:rFonts w:asciiTheme="majorHAnsi" w:hAnsiTheme="majorHAnsi" w:cstheme="majorHAnsi"/>
          <w:sz w:val="24"/>
          <w:szCs w:val="24"/>
        </w:rPr>
        <w:t>, pp.2). Hence pedagogy theory promotes a positive environment for teachers where they can widely analyse students' behaviours both in the classroom and outside so that they can know what to change.</w:t>
      </w:r>
    </w:p>
    <w:p w14:paraId="6E323E41"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Reflection</w:t>
      </w:r>
    </w:p>
    <w:p w14:paraId="188B2C84"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lastRenderedPageBreak/>
        <w:t>Reflecting on the critical incident, the teacher allowing the child to feel comfortable not being able to solve the difficult task and not condemning the child or comparing them to other children showed the teacher's level of experience as the teacher understood that different child has a different understanding level. The teacher emphasized patience with the child and allowed the child to undertake under activities before systematically bringing the child to undertake the task. Furthermore, the teacher got the four purposes of Donaldson's as the child was given the space to exercise creativity by trying to perform the task independently without assistance. Through that, the teacher was helping the child to develop problem-solving skills when challenged; even if a task is problematic, they can always figure it out by themselves.</w:t>
      </w:r>
    </w:p>
    <w:p w14:paraId="2E3782D2"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 xml:space="preserve">Evaluating the critical incident, the teacher aimed to give the child a starting point for developing and learning through their own experiences. Through that, the child would develop mentally and become open-minded in solving problems. The teacher giving the child the task to work on their own was not focused on the child giving the correct answer but on trying to figure it out on themselves. Furthermore, when they are corrected, the child may be able to reflect on where they went wrong. This teaches the child the importance of practising self-reflection to advance in their course, contributing to better performances. The next step the teacher may undertake is </w:t>
      </w:r>
      <w:proofErr w:type="spellStart"/>
      <w:r w:rsidRPr="00941142">
        <w:rPr>
          <w:rFonts w:asciiTheme="majorHAnsi" w:hAnsiTheme="majorHAnsi" w:cstheme="majorHAnsi"/>
          <w:sz w:val="24"/>
          <w:szCs w:val="24"/>
        </w:rPr>
        <w:t>analyzing</w:t>
      </w:r>
      <w:proofErr w:type="spellEnd"/>
      <w:r w:rsidRPr="00941142">
        <w:rPr>
          <w:rFonts w:asciiTheme="majorHAnsi" w:hAnsiTheme="majorHAnsi" w:cstheme="majorHAnsi"/>
          <w:sz w:val="24"/>
          <w:szCs w:val="24"/>
        </w:rPr>
        <w:t xml:space="preserve"> how the child has undertaken the task. If the child did not accomplish the desired result, the teacher might analyse and identify where they went astray. Furthermore, the teacher may not dismiss the child's answer but ask them why they thought that was the answer. This may help the teacher correct the child appropriately and understand their viewpoint.</w:t>
      </w:r>
    </w:p>
    <w:p w14:paraId="22A274FA" w14:textId="77777777" w:rsidR="001915A2" w:rsidRPr="00941142" w:rsidRDefault="001915A2" w:rsidP="001915A2">
      <w:pPr>
        <w:spacing w:after="0" w:line="480" w:lineRule="auto"/>
        <w:rPr>
          <w:rFonts w:asciiTheme="majorHAnsi" w:hAnsiTheme="majorHAnsi" w:cstheme="majorHAnsi"/>
          <w:sz w:val="24"/>
          <w:szCs w:val="24"/>
        </w:rPr>
      </w:pPr>
      <w:r w:rsidRPr="00941142">
        <w:rPr>
          <w:rFonts w:asciiTheme="majorHAnsi" w:hAnsiTheme="majorHAnsi" w:cstheme="majorHAnsi"/>
          <w:sz w:val="24"/>
          <w:szCs w:val="24"/>
        </w:rPr>
        <w:t xml:space="preserve">The role of critical reflection is to allow individuals to appreciate their experiences as </w:t>
      </w:r>
      <w:proofErr w:type="gramStart"/>
      <w:r w:rsidRPr="00941142">
        <w:rPr>
          <w:rFonts w:asciiTheme="majorHAnsi" w:hAnsiTheme="majorHAnsi" w:cstheme="majorHAnsi"/>
          <w:sz w:val="24"/>
          <w:szCs w:val="24"/>
        </w:rPr>
        <w:t>they</w:t>
      </w:r>
      <w:proofErr w:type="gramEnd"/>
      <w:r w:rsidRPr="00941142">
        <w:rPr>
          <w:rFonts w:asciiTheme="majorHAnsi" w:hAnsiTheme="majorHAnsi" w:cstheme="majorHAnsi"/>
          <w:sz w:val="24"/>
          <w:szCs w:val="24"/>
        </w:rPr>
        <w:t xml:space="preserve"> better themselves. Furthermore, through critical reflection, individuals can recognize the challenges </w:t>
      </w:r>
      <w:r w:rsidRPr="00941142">
        <w:rPr>
          <w:rFonts w:asciiTheme="majorHAnsi" w:hAnsiTheme="majorHAnsi" w:cstheme="majorHAnsi"/>
          <w:sz w:val="24"/>
          <w:szCs w:val="24"/>
        </w:rPr>
        <w:lastRenderedPageBreak/>
        <w:t>and weak areas they need to work on, promoting their growth. Critical reflection is essential as it consents individuals to process and learn from themselves as they will be able to understand themselves more. Through the critical incident, the teacher might be able to analyse their tutoring skills through the assignment that the child drafted, as it will show what the child grasps and what the teacher might need to enhance more on the teaching. Moreover, the child would be able to impose critical reflection on the task they do as they will analyse their understanding and comprehend the difficult task if they can get the solution.</w:t>
      </w:r>
    </w:p>
    <w:p w14:paraId="4D6E679F"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The child would be able to execute the models of reflection as they will think about how to solve the task, learn how to solve it, and analyse it from a different perspective. The approach will benefit my professional and personal development as it improves my metacognition, as I can reflect on my cognitive development. Furthermore, the approach stimulates my self-motivation as I will grow professionally and personally. Additionally, it assists me in identifying obstacles that are in my personal and professional life and learning how to construct realistic goals. This is evident in my career as I have received numerous credits and have been improving my performance since I started critically reflecting on my daily occupation; learning to understand where I need adjustment and seeing doing better than before motivates me to continue.</w:t>
      </w:r>
    </w:p>
    <w:p w14:paraId="1F8A1F92"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Conclusion</w:t>
      </w:r>
    </w:p>
    <w:p w14:paraId="10E9F198"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 xml:space="preserve">In conclusion, through critical reflection, teachers can advance their experiences and enable students to grow as they demonstrate better teaching methods. Furthermore, through the critical incident, I have recognized that teachers have been applying critical reflection on their teaching styles as they have strayed away from traditional curriculum teaching. Hence, teachers can reframe their teaching styles and analyse better ways to ensure that they impact </w:t>
      </w:r>
      <w:r w:rsidRPr="00941142">
        <w:rPr>
          <w:rFonts w:asciiTheme="majorHAnsi" w:hAnsiTheme="majorHAnsi" w:cstheme="majorHAnsi"/>
          <w:sz w:val="24"/>
          <w:szCs w:val="24"/>
        </w:rPr>
        <w:lastRenderedPageBreak/>
        <w:t xml:space="preserve">students by making them creative and helping them learn from their own experiences. The critical incident is linked with new professional standards for teaching and leadership as teachers have drawn back from spoon-feeding children into allowing them to exercise creativity on </w:t>
      </w:r>
      <w:proofErr w:type="gramStart"/>
      <w:r w:rsidRPr="00941142">
        <w:rPr>
          <w:rFonts w:asciiTheme="majorHAnsi" w:hAnsiTheme="majorHAnsi" w:cstheme="majorHAnsi"/>
          <w:sz w:val="24"/>
          <w:szCs w:val="24"/>
        </w:rPr>
        <w:t>themselves</w:t>
      </w:r>
      <w:proofErr w:type="gramEnd"/>
      <w:r w:rsidRPr="00941142">
        <w:rPr>
          <w:rFonts w:asciiTheme="majorHAnsi" w:hAnsiTheme="majorHAnsi" w:cstheme="majorHAnsi"/>
          <w:sz w:val="24"/>
          <w:szCs w:val="24"/>
        </w:rPr>
        <w:t xml:space="preserve"> hence expanding their minds. Furthermore, through the observation, the teacher showed educational leadership as she allowed the child to learn independently and did not harshly respond to the child when they stated that they found the task challenging.</w:t>
      </w:r>
    </w:p>
    <w:p w14:paraId="79E6079E" w14:textId="77777777" w:rsidR="001915A2" w:rsidRPr="00941142" w:rsidRDefault="001915A2" w:rsidP="001915A2">
      <w:pPr>
        <w:spacing w:after="0" w:line="480" w:lineRule="auto"/>
        <w:ind w:firstLine="720"/>
        <w:rPr>
          <w:rFonts w:asciiTheme="majorHAnsi" w:hAnsiTheme="majorHAnsi" w:cstheme="majorHAnsi"/>
          <w:sz w:val="24"/>
          <w:szCs w:val="24"/>
        </w:rPr>
      </w:pPr>
      <w:r w:rsidRPr="00941142">
        <w:rPr>
          <w:rFonts w:asciiTheme="majorHAnsi" w:hAnsiTheme="majorHAnsi" w:cstheme="majorHAnsi"/>
          <w:sz w:val="24"/>
          <w:szCs w:val="24"/>
        </w:rPr>
        <w:t xml:space="preserve">Additionally, the teacher allowed leadership traits when they allowed the child to do the difficult task on their own without minding if they would execute the right or wrong solution. This shows that the teacher intended to make the child grow from their experiences. The critical incident is also connected to the role of reflective practitioners in Wales as reflective practitioners comprehend the </w:t>
      </w:r>
      <w:proofErr w:type="gramStart"/>
      <w:r w:rsidRPr="00941142">
        <w:rPr>
          <w:rFonts w:asciiTheme="majorHAnsi" w:hAnsiTheme="majorHAnsi" w:cstheme="majorHAnsi"/>
          <w:sz w:val="24"/>
          <w:szCs w:val="24"/>
        </w:rPr>
        <w:t>efforts</w:t>
      </w:r>
      <w:proofErr w:type="gramEnd"/>
      <w:r w:rsidRPr="00941142">
        <w:rPr>
          <w:rFonts w:asciiTheme="majorHAnsi" w:hAnsiTheme="majorHAnsi" w:cstheme="majorHAnsi"/>
          <w:sz w:val="24"/>
          <w:szCs w:val="24"/>
        </w:rPr>
        <w:t xml:space="preserve"> they impose on skills can continuously be improved and use the tool to learn to increase insights and concede their accomplishments and blunders. Hence the teacher allowing the child to execute the difficult task was meant to aid them in gaining insight into their difficulties and learning from them.</w:t>
      </w:r>
    </w:p>
    <w:p w14:paraId="08BF2978"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Appendices</w:t>
      </w:r>
    </w:p>
    <w:p w14:paraId="28A697D1" w14:textId="77777777" w:rsidR="001915A2" w:rsidRPr="00941142" w:rsidRDefault="001915A2" w:rsidP="001915A2">
      <w:pPr>
        <w:spacing w:after="0" w:line="480" w:lineRule="auto"/>
        <w:rPr>
          <w:rFonts w:asciiTheme="majorHAnsi" w:hAnsiTheme="majorHAnsi" w:cstheme="majorHAnsi"/>
          <w:b/>
          <w:sz w:val="24"/>
          <w:szCs w:val="24"/>
        </w:rPr>
      </w:pPr>
      <w:r w:rsidRPr="00941142">
        <w:rPr>
          <w:rFonts w:asciiTheme="majorHAnsi" w:hAnsiTheme="majorHAnsi" w:cstheme="majorHAnsi"/>
          <w:b/>
          <w:sz w:val="24"/>
          <w:szCs w:val="24"/>
        </w:rPr>
        <w:t>Lesson Observation sheet</w:t>
      </w:r>
    </w:p>
    <w:tbl>
      <w:tblPr>
        <w:tblStyle w:val="TableGrid"/>
        <w:tblW w:w="0" w:type="auto"/>
        <w:tblLook w:val="04A0" w:firstRow="1" w:lastRow="0" w:firstColumn="1" w:lastColumn="0" w:noHBand="0" w:noVBand="1"/>
      </w:tblPr>
      <w:tblGrid>
        <w:gridCol w:w="2337"/>
        <w:gridCol w:w="2337"/>
        <w:gridCol w:w="2338"/>
        <w:gridCol w:w="2338"/>
      </w:tblGrid>
      <w:tr w:rsidR="001915A2" w:rsidRPr="00941142" w14:paraId="2E8552FE" w14:textId="77777777" w:rsidTr="00156C04">
        <w:trPr>
          <w:trHeight w:val="309"/>
        </w:trPr>
        <w:tc>
          <w:tcPr>
            <w:tcW w:w="2337" w:type="dxa"/>
          </w:tcPr>
          <w:p w14:paraId="1A1B01BF" w14:textId="77777777" w:rsidR="001915A2" w:rsidRPr="00941142" w:rsidRDefault="001915A2" w:rsidP="00156C04">
            <w:pPr>
              <w:spacing w:line="480" w:lineRule="auto"/>
              <w:rPr>
                <w:rFonts w:asciiTheme="majorHAnsi" w:hAnsiTheme="majorHAnsi" w:cstheme="majorHAnsi"/>
                <w:b/>
                <w:sz w:val="24"/>
                <w:szCs w:val="24"/>
              </w:rPr>
            </w:pPr>
            <w:r w:rsidRPr="00941142">
              <w:rPr>
                <w:rFonts w:asciiTheme="majorHAnsi" w:hAnsiTheme="majorHAnsi" w:cstheme="majorHAnsi"/>
                <w:b/>
                <w:sz w:val="24"/>
                <w:szCs w:val="24"/>
              </w:rPr>
              <w:t>Objective</w:t>
            </w:r>
          </w:p>
        </w:tc>
        <w:tc>
          <w:tcPr>
            <w:tcW w:w="2337" w:type="dxa"/>
          </w:tcPr>
          <w:p w14:paraId="191EC78B" w14:textId="77777777" w:rsidR="001915A2" w:rsidRPr="00941142" w:rsidRDefault="001915A2" w:rsidP="00156C04">
            <w:pPr>
              <w:spacing w:line="480" w:lineRule="auto"/>
              <w:rPr>
                <w:rFonts w:asciiTheme="majorHAnsi" w:hAnsiTheme="majorHAnsi" w:cstheme="majorHAnsi"/>
                <w:b/>
                <w:sz w:val="24"/>
                <w:szCs w:val="24"/>
              </w:rPr>
            </w:pPr>
          </w:p>
        </w:tc>
        <w:tc>
          <w:tcPr>
            <w:tcW w:w="2338" w:type="dxa"/>
          </w:tcPr>
          <w:p w14:paraId="4CD9DA17" w14:textId="77777777" w:rsidR="001915A2" w:rsidRPr="00941142" w:rsidRDefault="001915A2" w:rsidP="00156C04">
            <w:pPr>
              <w:spacing w:line="480" w:lineRule="auto"/>
              <w:rPr>
                <w:rFonts w:asciiTheme="majorHAnsi" w:hAnsiTheme="majorHAnsi" w:cstheme="majorHAnsi"/>
                <w:b/>
                <w:sz w:val="24"/>
                <w:szCs w:val="24"/>
              </w:rPr>
            </w:pPr>
          </w:p>
        </w:tc>
        <w:tc>
          <w:tcPr>
            <w:tcW w:w="2338" w:type="dxa"/>
          </w:tcPr>
          <w:p w14:paraId="5C907FD7" w14:textId="77777777" w:rsidR="001915A2" w:rsidRPr="00941142" w:rsidRDefault="001915A2" w:rsidP="00156C04">
            <w:pPr>
              <w:spacing w:line="480" w:lineRule="auto"/>
              <w:rPr>
                <w:rFonts w:asciiTheme="majorHAnsi" w:hAnsiTheme="majorHAnsi" w:cstheme="majorHAnsi"/>
                <w:b/>
                <w:sz w:val="24"/>
                <w:szCs w:val="24"/>
              </w:rPr>
            </w:pPr>
            <w:r w:rsidRPr="00941142">
              <w:rPr>
                <w:rFonts w:asciiTheme="majorHAnsi" w:hAnsiTheme="majorHAnsi" w:cstheme="majorHAnsi"/>
                <w:b/>
                <w:sz w:val="24"/>
                <w:szCs w:val="24"/>
              </w:rPr>
              <w:t>Observations</w:t>
            </w:r>
          </w:p>
        </w:tc>
      </w:tr>
      <w:tr w:rsidR="001915A2" w:rsidRPr="00941142" w14:paraId="1714D1D2" w14:textId="77777777" w:rsidTr="00156C04">
        <w:tc>
          <w:tcPr>
            <w:tcW w:w="2337" w:type="dxa"/>
          </w:tcPr>
          <w:p w14:paraId="4BCDA5BA" w14:textId="77777777" w:rsidR="001915A2" w:rsidRPr="00941142" w:rsidRDefault="001915A2" w:rsidP="00156C04">
            <w:pPr>
              <w:pStyle w:val="ListParagraph"/>
              <w:numPr>
                <w:ilvl w:val="0"/>
                <w:numId w:val="1"/>
              </w:numPr>
              <w:spacing w:line="480" w:lineRule="auto"/>
              <w:rPr>
                <w:rFonts w:asciiTheme="majorHAnsi" w:hAnsiTheme="majorHAnsi" w:cstheme="majorHAnsi"/>
                <w:sz w:val="24"/>
                <w:szCs w:val="24"/>
              </w:rPr>
            </w:pPr>
            <w:r w:rsidRPr="00941142">
              <w:rPr>
                <w:rFonts w:asciiTheme="majorHAnsi" w:hAnsiTheme="majorHAnsi" w:cstheme="majorHAnsi"/>
                <w:sz w:val="24"/>
                <w:szCs w:val="24"/>
              </w:rPr>
              <w:t>Aspect and impact of the new curriculum.</w:t>
            </w:r>
          </w:p>
        </w:tc>
        <w:tc>
          <w:tcPr>
            <w:tcW w:w="2337" w:type="dxa"/>
          </w:tcPr>
          <w:p w14:paraId="2B5BA70A" w14:textId="77777777" w:rsidR="001915A2" w:rsidRPr="00941142" w:rsidRDefault="001915A2" w:rsidP="00156C04">
            <w:pPr>
              <w:spacing w:line="480" w:lineRule="auto"/>
              <w:ind w:left="360"/>
              <w:rPr>
                <w:rFonts w:asciiTheme="majorHAnsi" w:hAnsiTheme="majorHAnsi" w:cstheme="majorHAnsi"/>
                <w:sz w:val="24"/>
                <w:szCs w:val="24"/>
              </w:rPr>
            </w:pPr>
            <w:r w:rsidRPr="00941142">
              <w:rPr>
                <w:rFonts w:asciiTheme="majorHAnsi" w:hAnsiTheme="majorHAnsi" w:cstheme="majorHAnsi"/>
                <w:sz w:val="24"/>
                <w:szCs w:val="24"/>
              </w:rPr>
              <w:t xml:space="preserve">Classroom observation tool rating sheet to monitor the </w:t>
            </w:r>
            <w:r w:rsidRPr="00941142">
              <w:rPr>
                <w:rFonts w:asciiTheme="majorHAnsi" w:hAnsiTheme="majorHAnsi" w:cstheme="majorHAnsi"/>
                <w:sz w:val="24"/>
                <w:szCs w:val="24"/>
              </w:rPr>
              <w:lastRenderedPageBreak/>
              <w:t>impact of a new curriculum for Wales on students and rate the aspects of the curriculum.</w:t>
            </w:r>
          </w:p>
        </w:tc>
        <w:tc>
          <w:tcPr>
            <w:tcW w:w="2338" w:type="dxa"/>
          </w:tcPr>
          <w:p w14:paraId="7623F5A2"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 xml:space="preserve">Presented the classroom observation sheet rating the </w:t>
            </w:r>
            <w:r w:rsidRPr="00941142">
              <w:rPr>
                <w:rFonts w:asciiTheme="majorHAnsi" w:hAnsiTheme="majorHAnsi" w:cstheme="majorHAnsi"/>
                <w:sz w:val="24"/>
                <w:szCs w:val="24"/>
              </w:rPr>
              <w:lastRenderedPageBreak/>
              <w:t>introduction of the new lessons and their impact on the students and teachers.</w:t>
            </w:r>
          </w:p>
        </w:tc>
        <w:tc>
          <w:tcPr>
            <w:tcW w:w="2338" w:type="dxa"/>
          </w:tcPr>
          <w:p w14:paraId="5C93413C"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 xml:space="preserve">During the test of the new curriculum for Wales, I detected the student being </w:t>
            </w:r>
            <w:r w:rsidRPr="00941142">
              <w:rPr>
                <w:rFonts w:asciiTheme="majorHAnsi" w:hAnsiTheme="majorHAnsi" w:cstheme="majorHAnsi"/>
                <w:sz w:val="24"/>
                <w:szCs w:val="24"/>
              </w:rPr>
              <w:lastRenderedPageBreak/>
              <w:t>allowed to be creative through lessons such as arts. Furthermore, through the new curriculum, I saw the teacher being able to exercise critical reflection in their teachings; hence they reframed their teaching styles better.</w:t>
            </w:r>
          </w:p>
          <w:p w14:paraId="183A7E87"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 xml:space="preserve">Additionally, I witnessed the new curriculum allowing the student to use critical reflection as they were able to consider their mental wellbeing and get to </w:t>
            </w:r>
            <w:r w:rsidRPr="00941142">
              <w:rPr>
                <w:rFonts w:asciiTheme="majorHAnsi" w:hAnsiTheme="majorHAnsi" w:cstheme="majorHAnsi"/>
                <w:sz w:val="24"/>
                <w:szCs w:val="24"/>
              </w:rPr>
              <w:lastRenderedPageBreak/>
              <w:t>understand themselves. I got to observe the teacher developing more integral teaching through the new curriculum by allowing the child to practice other activities in class when they state that the task they have been assigned is challenging.</w:t>
            </w:r>
          </w:p>
        </w:tc>
      </w:tr>
      <w:tr w:rsidR="001915A2" w:rsidRPr="00941142" w14:paraId="7BB1D06B" w14:textId="77777777" w:rsidTr="00156C04">
        <w:tc>
          <w:tcPr>
            <w:tcW w:w="2337" w:type="dxa"/>
          </w:tcPr>
          <w:p w14:paraId="14C2116D" w14:textId="77777777" w:rsidR="001915A2" w:rsidRPr="00941142" w:rsidRDefault="001915A2" w:rsidP="00156C04">
            <w:pPr>
              <w:pStyle w:val="ListParagraph"/>
              <w:numPr>
                <w:ilvl w:val="0"/>
                <w:numId w:val="1"/>
              </w:numPr>
              <w:spacing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The areas of learning and experiences</w:t>
            </w:r>
          </w:p>
        </w:tc>
        <w:tc>
          <w:tcPr>
            <w:tcW w:w="2337" w:type="dxa"/>
          </w:tcPr>
          <w:p w14:paraId="7423358C"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Classroom observation tool rating sheet containing the experiences and areas teachers get to learn.</w:t>
            </w:r>
          </w:p>
        </w:tc>
        <w:tc>
          <w:tcPr>
            <w:tcW w:w="2338" w:type="dxa"/>
          </w:tcPr>
          <w:p w14:paraId="05CA297C"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The classroom observation sheet rates the experiences teachers have been getting and the areas where they have been learning.</w:t>
            </w:r>
          </w:p>
        </w:tc>
        <w:tc>
          <w:tcPr>
            <w:tcW w:w="2338" w:type="dxa"/>
          </w:tcPr>
          <w:p w14:paraId="37A623A2"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 xml:space="preserve">To increase teachers’ experiences, imposition I observed the application of critical reflection being implemented by the teacher as the </w:t>
            </w:r>
            <w:r w:rsidRPr="00941142">
              <w:rPr>
                <w:rFonts w:asciiTheme="majorHAnsi" w:hAnsiTheme="majorHAnsi" w:cstheme="majorHAnsi"/>
                <w:sz w:val="24"/>
                <w:szCs w:val="24"/>
              </w:rPr>
              <w:lastRenderedPageBreak/>
              <w:t xml:space="preserve">teacher wanted to recognize the weak areas of the student hence helping the child to work on the task so that the teacher can identify the </w:t>
            </w:r>
            <w:proofErr w:type="gramStart"/>
            <w:r w:rsidRPr="00941142">
              <w:rPr>
                <w:rFonts w:asciiTheme="majorHAnsi" w:hAnsiTheme="majorHAnsi" w:cstheme="majorHAnsi"/>
                <w:sz w:val="24"/>
                <w:szCs w:val="24"/>
              </w:rPr>
              <w:t>area</w:t>
            </w:r>
            <w:proofErr w:type="gramEnd"/>
            <w:r w:rsidRPr="00941142">
              <w:rPr>
                <w:rFonts w:asciiTheme="majorHAnsi" w:hAnsiTheme="majorHAnsi" w:cstheme="majorHAnsi"/>
                <w:sz w:val="24"/>
                <w:szCs w:val="24"/>
              </w:rPr>
              <w:t xml:space="preserve"> they need to advance to ensure that the child grasps the content. Furthermore, observing the teacher giving the child an opportunity to learn together also helps the teacher learn as the teacher can get new concepts from the child that they may fail to </w:t>
            </w:r>
            <w:proofErr w:type="spellStart"/>
            <w:r w:rsidRPr="00941142">
              <w:rPr>
                <w:rFonts w:asciiTheme="majorHAnsi" w:hAnsiTheme="majorHAnsi" w:cstheme="majorHAnsi"/>
                <w:sz w:val="24"/>
                <w:szCs w:val="24"/>
              </w:rPr>
              <w:t>realise</w:t>
            </w:r>
            <w:proofErr w:type="spellEnd"/>
            <w:r w:rsidRPr="00941142">
              <w:rPr>
                <w:rFonts w:asciiTheme="majorHAnsi" w:hAnsiTheme="majorHAnsi" w:cstheme="majorHAnsi"/>
                <w:sz w:val="24"/>
                <w:szCs w:val="24"/>
              </w:rPr>
              <w:t xml:space="preserve"> as </w:t>
            </w:r>
            <w:r w:rsidRPr="00941142">
              <w:rPr>
                <w:rFonts w:asciiTheme="majorHAnsi" w:hAnsiTheme="majorHAnsi" w:cstheme="majorHAnsi"/>
                <w:sz w:val="24"/>
                <w:szCs w:val="24"/>
              </w:rPr>
              <w:lastRenderedPageBreak/>
              <w:t>the child gets the opportunity to ask different questions. Also, if the child fails to get the correct answer, the teacher guiding the child will help the teacher to learn as the teacher will realize the area, they need to put more effort into. Hence the teacher is seen growing in terms of knowledge and skills.</w:t>
            </w:r>
          </w:p>
        </w:tc>
      </w:tr>
      <w:tr w:rsidR="001915A2" w:rsidRPr="00941142" w14:paraId="41764132" w14:textId="77777777" w:rsidTr="00156C04">
        <w:tc>
          <w:tcPr>
            <w:tcW w:w="2337" w:type="dxa"/>
          </w:tcPr>
          <w:p w14:paraId="6F959F84" w14:textId="77777777" w:rsidR="001915A2" w:rsidRPr="00941142" w:rsidRDefault="001915A2" w:rsidP="00156C04">
            <w:pPr>
              <w:pStyle w:val="ListParagraph"/>
              <w:numPr>
                <w:ilvl w:val="0"/>
                <w:numId w:val="1"/>
              </w:numPr>
              <w:spacing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Pedagogical theory.</w:t>
            </w:r>
          </w:p>
        </w:tc>
        <w:tc>
          <w:tcPr>
            <w:tcW w:w="2337" w:type="dxa"/>
          </w:tcPr>
          <w:p w14:paraId="5A157487"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Classroom observation tool rating the impact of pedagogical theory.</w:t>
            </w:r>
          </w:p>
        </w:tc>
        <w:tc>
          <w:tcPr>
            <w:tcW w:w="2338" w:type="dxa"/>
          </w:tcPr>
          <w:p w14:paraId="04243657"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 xml:space="preserve">Presented the classroom observation sheet ratings showing how the pedagogical </w:t>
            </w:r>
            <w:r w:rsidRPr="00941142">
              <w:rPr>
                <w:rFonts w:asciiTheme="majorHAnsi" w:hAnsiTheme="majorHAnsi" w:cstheme="majorHAnsi"/>
                <w:sz w:val="24"/>
                <w:szCs w:val="24"/>
              </w:rPr>
              <w:lastRenderedPageBreak/>
              <w:t>theory impacts teaching.</w:t>
            </w:r>
          </w:p>
        </w:tc>
        <w:tc>
          <w:tcPr>
            <w:tcW w:w="2338" w:type="dxa"/>
          </w:tcPr>
          <w:p w14:paraId="7C454C2B"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 xml:space="preserve">I observed that the teacher applied pedagogical theory as it allowed the child to undertake the other </w:t>
            </w:r>
            <w:r w:rsidRPr="00941142">
              <w:rPr>
                <w:rFonts w:asciiTheme="majorHAnsi" w:hAnsiTheme="majorHAnsi" w:cstheme="majorHAnsi"/>
                <w:sz w:val="24"/>
                <w:szCs w:val="24"/>
              </w:rPr>
              <w:lastRenderedPageBreak/>
              <w:t>activities that they felt were interesting. Also, the child facing the task on their own assisted in developing their critical thinking ability, which will help them both in their academic and social life.</w:t>
            </w:r>
          </w:p>
          <w:p w14:paraId="0988000A"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 xml:space="preserve">The teacher also exercised pedagogical theory by creating a connection between the child and allowing them to communicate freely when they find the task hard and not shutting them but allowing them to </w:t>
            </w:r>
            <w:r w:rsidRPr="00941142">
              <w:rPr>
                <w:rFonts w:asciiTheme="majorHAnsi" w:hAnsiTheme="majorHAnsi" w:cstheme="majorHAnsi"/>
                <w:sz w:val="24"/>
                <w:szCs w:val="24"/>
              </w:rPr>
              <w:lastRenderedPageBreak/>
              <w:t>solve using their methods.</w:t>
            </w:r>
          </w:p>
        </w:tc>
      </w:tr>
      <w:tr w:rsidR="001915A2" w:rsidRPr="00941142" w14:paraId="37B9623B" w14:textId="77777777" w:rsidTr="00156C04">
        <w:tc>
          <w:tcPr>
            <w:tcW w:w="2337" w:type="dxa"/>
          </w:tcPr>
          <w:p w14:paraId="70AFF287" w14:textId="77777777" w:rsidR="001915A2" w:rsidRPr="00941142" w:rsidRDefault="001915A2" w:rsidP="00156C04">
            <w:pPr>
              <w:pStyle w:val="ListParagraph"/>
              <w:numPr>
                <w:ilvl w:val="0"/>
                <w:numId w:val="1"/>
              </w:numPr>
              <w:spacing w:line="480" w:lineRule="auto"/>
              <w:rPr>
                <w:rFonts w:asciiTheme="majorHAnsi" w:hAnsiTheme="majorHAnsi" w:cstheme="majorHAnsi"/>
                <w:sz w:val="24"/>
                <w:szCs w:val="24"/>
              </w:rPr>
            </w:pPr>
            <w:r w:rsidRPr="00941142">
              <w:rPr>
                <w:rFonts w:asciiTheme="majorHAnsi" w:hAnsiTheme="majorHAnsi" w:cstheme="majorHAnsi"/>
                <w:sz w:val="24"/>
                <w:szCs w:val="24"/>
              </w:rPr>
              <w:lastRenderedPageBreak/>
              <w:t>The professional standards for teaching and leadership.</w:t>
            </w:r>
          </w:p>
        </w:tc>
        <w:tc>
          <w:tcPr>
            <w:tcW w:w="2337" w:type="dxa"/>
          </w:tcPr>
          <w:p w14:paraId="28F81D4E"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 xml:space="preserve">The classroom observation tool rating sheet was cast-off to </w:t>
            </w:r>
            <w:proofErr w:type="spellStart"/>
            <w:r w:rsidRPr="00941142">
              <w:rPr>
                <w:rFonts w:asciiTheme="majorHAnsi" w:hAnsiTheme="majorHAnsi" w:cstheme="majorHAnsi"/>
                <w:sz w:val="24"/>
                <w:szCs w:val="24"/>
              </w:rPr>
              <w:t>analyse</w:t>
            </w:r>
            <w:proofErr w:type="spellEnd"/>
            <w:r w:rsidRPr="00941142">
              <w:rPr>
                <w:rFonts w:asciiTheme="majorHAnsi" w:hAnsiTheme="majorHAnsi" w:cstheme="majorHAnsi"/>
                <w:sz w:val="24"/>
                <w:szCs w:val="24"/>
              </w:rPr>
              <w:t xml:space="preserve"> the level of professional standards in teaching and leadership.</w:t>
            </w:r>
          </w:p>
        </w:tc>
        <w:tc>
          <w:tcPr>
            <w:tcW w:w="2338" w:type="dxa"/>
          </w:tcPr>
          <w:p w14:paraId="51890157"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Presented the classroom observation sheet rating the professional standards that teachers implemented and professional standards on leadership by teachers.</w:t>
            </w:r>
          </w:p>
        </w:tc>
        <w:tc>
          <w:tcPr>
            <w:tcW w:w="2338" w:type="dxa"/>
          </w:tcPr>
          <w:p w14:paraId="100555CD"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 xml:space="preserve">I observed that the teacher had professionalism in teaching how the teacher handled the child. When the child claimed that the task was difficult for them, the teacher did not force the child but allowed them to undertake other classroom activities in which they felt interested. However, I also detected that the teacher had professional educational </w:t>
            </w:r>
            <w:r w:rsidRPr="00941142">
              <w:rPr>
                <w:rFonts w:asciiTheme="majorHAnsi" w:hAnsiTheme="majorHAnsi" w:cstheme="majorHAnsi"/>
                <w:sz w:val="24"/>
                <w:szCs w:val="24"/>
              </w:rPr>
              <w:lastRenderedPageBreak/>
              <w:t>leadership when the teacher critically brought the child to help in handling the task and allowed them to perform the methods that they thought were right so that they could correct them. This showed the leadership trait of valuing the child and allowing them to attempt the assignment.</w:t>
            </w:r>
          </w:p>
        </w:tc>
      </w:tr>
    </w:tbl>
    <w:p w14:paraId="5DFA3338" w14:textId="77777777" w:rsidR="001915A2" w:rsidRPr="00941142" w:rsidRDefault="001915A2" w:rsidP="001915A2">
      <w:pPr>
        <w:spacing w:after="0" w:line="480" w:lineRule="auto"/>
        <w:rPr>
          <w:rFonts w:asciiTheme="majorHAnsi" w:hAnsiTheme="majorHAnsi" w:cstheme="majorHAnsi"/>
          <w:b/>
          <w:sz w:val="24"/>
          <w:szCs w:val="24"/>
        </w:rPr>
      </w:pPr>
    </w:p>
    <w:p w14:paraId="628BD79D" w14:textId="77777777" w:rsidR="001915A2" w:rsidRPr="00941142" w:rsidRDefault="001915A2" w:rsidP="001915A2">
      <w:pPr>
        <w:spacing w:after="0" w:line="480" w:lineRule="auto"/>
        <w:rPr>
          <w:rFonts w:asciiTheme="majorHAnsi" w:hAnsiTheme="majorHAnsi" w:cstheme="majorHAnsi"/>
          <w:b/>
          <w:sz w:val="24"/>
          <w:szCs w:val="24"/>
        </w:rPr>
      </w:pPr>
    </w:p>
    <w:p w14:paraId="29DB8DEF" w14:textId="77777777" w:rsidR="001915A2" w:rsidRPr="00941142" w:rsidRDefault="001915A2" w:rsidP="001915A2">
      <w:pPr>
        <w:spacing w:after="0" w:line="480" w:lineRule="auto"/>
        <w:rPr>
          <w:rFonts w:asciiTheme="majorHAnsi" w:hAnsiTheme="majorHAnsi" w:cstheme="majorHAnsi"/>
          <w:b/>
          <w:sz w:val="24"/>
          <w:szCs w:val="24"/>
        </w:rPr>
      </w:pPr>
    </w:p>
    <w:p w14:paraId="66E0D2E1" w14:textId="77777777" w:rsidR="001915A2" w:rsidRPr="00941142" w:rsidRDefault="001915A2" w:rsidP="001915A2">
      <w:pPr>
        <w:spacing w:after="0" w:line="480" w:lineRule="auto"/>
        <w:rPr>
          <w:rFonts w:asciiTheme="majorHAnsi" w:hAnsiTheme="majorHAnsi" w:cstheme="majorHAnsi"/>
          <w:b/>
          <w:sz w:val="24"/>
          <w:szCs w:val="24"/>
        </w:rPr>
      </w:pPr>
    </w:p>
    <w:p w14:paraId="5A06DF66" w14:textId="77777777" w:rsidR="001915A2" w:rsidRPr="00941142" w:rsidRDefault="001915A2" w:rsidP="001915A2">
      <w:pPr>
        <w:spacing w:after="0" w:line="480" w:lineRule="auto"/>
        <w:rPr>
          <w:rFonts w:asciiTheme="majorHAnsi" w:hAnsiTheme="majorHAnsi" w:cstheme="majorHAnsi"/>
          <w:b/>
          <w:sz w:val="24"/>
          <w:szCs w:val="24"/>
        </w:rPr>
      </w:pPr>
    </w:p>
    <w:tbl>
      <w:tblPr>
        <w:tblStyle w:val="TableGrid"/>
        <w:tblW w:w="10201" w:type="dxa"/>
        <w:tblLook w:val="04A0" w:firstRow="1" w:lastRow="0" w:firstColumn="1" w:lastColumn="0" w:noHBand="0" w:noVBand="1"/>
      </w:tblPr>
      <w:tblGrid>
        <w:gridCol w:w="5098"/>
        <w:gridCol w:w="5103"/>
      </w:tblGrid>
      <w:tr w:rsidR="001915A2" w:rsidRPr="00941142" w14:paraId="070B1FD6" w14:textId="77777777" w:rsidTr="00156C04">
        <w:tc>
          <w:tcPr>
            <w:tcW w:w="5098" w:type="dxa"/>
          </w:tcPr>
          <w:p w14:paraId="54B527D7" w14:textId="77777777" w:rsidR="001915A2" w:rsidRPr="00941142" w:rsidRDefault="001915A2" w:rsidP="00156C04">
            <w:pPr>
              <w:spacing w:line="480" w:lineRule="auto"/>
              <w:rPr>
                <w:rFonts w:asciiTheme="majorHAnsi" w:hAnsiTheme="majorHAnsi" w:cstheme="majorHAnsi"/>
                <w:b/>
                <w:sz w:val="24"/>
                <w:szCs w:val="24"/>
              </w:rPr>
            </w:pPr>
            <w:r w:rsidRPr="00941142">
              <w:rPr>
                <w:rFonts w:asciiTheme="majorHAnsi" w:hAnsiTheme="majorHAnsi" w:cstheme="majorHAnsi"/>
                <w:b/>
                <w:sz w:val="24"/>
                <w:szCs w:val="24"/>
              </w:rPr>
              <w:lastRenderedPageBreak/>
              <w:t>Critical incident</w:t>
            </w:r>
          </w:p>
        </w:tc>
        <w:tc>
          <w:tcPr>
            <w:tcW w:w="5103" w:type="dxa"/>
          </w:tcPr>
          <w:p w14:paraId="44C65080" w14:textId="77777777" w:rsidR="001915A2" w:rsidRPr="00941142" w:rsidRDefault="001915A2" w:rsidP="00156C04">
            <w:pPr>
              <w:spacing w:line="480" w:lineRule="auto"/>
              <w:rPr>
                <w:rFonts w:asciiTheme="majorHAnsi" w:hAnsiTheme="majorHAnsi" w:cstheme="majorHAnsi"/>
                <w:b/>
                <w:sz w:val="24"/>
                <w:szCs w:val="24"/>
              </w:rPr>
            </w:pPr>
            <w:r w:rsidRPr="00941142">
              <w:rPr>
                <w:rFonts w:asciiTheme="majorHAnsi" w:hAnsiTheme="majorHAnsi" w:cstheme="majorHAnsi"/>
                <w:b/>
                <w:sz w:val="24"/>
                <w:szCs w:val="24"/>
              </w:rPr>
              <w:t>Explanation</w:t>
            </w:r>
          </w:p>
        </w:tc>
      </w:tr>
      <w:tr w:rsidR="001915A2" w:rsidRPr="00941142" w14:paraId="11ED0194" w14:textId="77777777" w:rsidTr="00156C04">
        <w:tc>
          <w:tcPr>
            <w:tcW w:w="5098" w:type="dxa"/>
          </w:tcPr>
          <w:p w14:paraId="50D10658"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A child was unwilling to handle a task by the teacher, claiming it was too hard. The teacher allowed the child to exercise free will, and the child was excused from undertaking other activities in the classroom. However, for two hours, the teacher systematically brought the child back briefly into the task for increasing increments employing Vygotsky's scaffolding principle. This refined approach allowed the child to face the task in their technique and stride, allowing a successful learning experience.</w:t>
            </w:r>
          </w:p>
        </w:tc>
        <w:tc>
          <w:tcPr>
            <w:tcW w:w="5103" w:type="dxa"/>
          </w:tcPr>
          <w:p w14:paraId="7DED413F" w14:textId="77777777" w:rsidR="001915A2" w:rsidRPr="00941142" w:rsidRDefault="001915A2" w:rsidP="00156C04">
            <w:pPr>
              <w:spacing w:line="480" w:lineRule="auto"/>
              <w:rPr>
                <w:rFonts w:asciiTheme="majorHAnsi" w:hAnsiTheme="majorHAnsi" w:cstheme="majorHAnsi"/>
                <w:sz w:val="24"/>
                <w:szCs w:val="24"/>
              </w:rPr>
            </w:pPr>
            <w:r w:rsidRPr="00941142">
              <w:rPr>
                <w:rFonts w:asciiTheme="majorHAnsi" w:hAnsiTheme="majorHAnsi" w:cstheme="majorHAnsi"/>
                <w:sz w:val="24"/>
                <w:szCs w:val="24"/>
              </w:rPr>
              <w:t>The critical incident occurred due to the failure of the child to be incapable of handling the task. The teacher not implementing force on the child and allowing the child to undertake other activities showed the teacher's professionalism as they never wanted to force the child to do what they were incapable of. Later the teacher is seen improvising Vygotsky's scaffolding principle, which implies a student learning information from a well-informed person. The more informed teacher allowed assisted the child in undertaking the task. The teacher showing the child the way forward in handling the task enables the child to think critically about how to handle other similar tasks and find directions when handling the tasks.</w:t>
            </w:r>
          </w:p>
        </w:tc>
      </w:tr>
    </w:tbl>
    <w:p w14:paraId="4C624FA0" w14:textId="77777777" w:rsidR="001915A2" w:rsidRPr="00941142" w:rsidRDefault="001915A2" w:rsidP="001915A2">
      <w:pPr>
        <w:spacing w:after="0" w:line="480" w:lineRule="auto"/>
        <w:rPr>
          <w:rFonts w:asciiTheme="majorHAnsi" w:hAnsiTheme="majorHAnsi" w:cstheme="majorHAnsi"/>
          <w:b/>
          <w:sz w:val="24"/>
          <w:szCs w:val="24"/>
        </w:rPr>
      </w:pPr>
    </w:p>
    <w:p w14:paraId="72958430" w14:textId="77777777" w:rsidR="001915A2" w:rsidRPr="00941142" w:rsidRDefault="001915A2" w:rsidP="001915A2">
      <w:pPr>
        <w:spacing w:after="0" w:line="480" w:lineRule="auto"/>
        <w:rPr>
          <w:rFonts w:asciiTheme="majorHAnsi" w:hAnsiTheme="majorHAnsi" w:cstheme="majorHAnsi"/>
          <w:b/>
          <w:sz w:val="24"/>
          <w:szCs w:val="24"/>
        </w:rPr>
      </w:pPr>
    </w:p>
    <w:p w14:paraId="6CFD282F" w14:textId="77777777" w:rsidR="001915A2" w:rsidRPr="00941142" w:rsidRDefault="001915A2" w:rsidP="001915A2">
      <w:pPr>
        <w:spacing w:after="0" w:line="480" w:lineRule="auto"/>
        <w:rPr>
          <w:rFonts w:asciiTheme="majorHAnsi" w:hAnsiTheme="majorHAnsi" w:cstheme="majorHAnsi"/>
          <w:b/>
          <w:sz w:val="24"/>
          <w:szCs w:val="24"/>
        </w:rPr>
      </w:pPr>
    </w:p>
    <w:p w14:paraId="46FB91ED" w14:textId="77777777" w:rsidR="001915A2" w:rsidRPr="00941142" w:rsidRDefault="001915A2" w:rsidP="001915A2">
      <w:pPr>
        <w:spacing w:after="0" w:line="480" w:lineRule="auto"/>
        <w:rPr>
          <w:rFonts w:asciiTheme="majorHAnsi" w:hAnsiTheme="majorHAnsi" w:cstheme="majorHAnsi"/>
          <w:b/>
          <w:sz w:val="24"/>
          <w:szCs w:val="24"/>
        </w:rPr>
      </w:pPr>
    </w:p>
    <w:p w14:paraId="3C1A1EDE" w14:textId="77777777" w:rsidR="001915A2" w:rsidRPr="00941142" w:rsidRDefault="001915A2" w:rsidP="001915A2">
      <w:pPr>
        <w:spacing w:after="0" w:line="480" w:lineRule="auto"/>
        <w:rPr>
          <w:rFonts w:asciiTheme="majorHAnsi" w:hAnsiTheme="majorHAnsi" w:cstheme="majorHAnsi"/>
          <w:b/>
          <w:sz w:val="24"/>
          <w:szCs w:val="24"/>
        </w:rPr>
      </w:pPr>
    </w:p>
    <w:p w14:paraId="511F0875" w14:textId="77777777" w:rsidR="001915A2" w:rsidRPr="00941142" w:rsidRDefault="001915A2" w:rsidP="001915A2">
      <w:pPr>
        <w:spacing w:after="0" w:line="480" w:lineRule="auto"/>
        <w:rPr>
          <w:rFonts w:asciiTheme="majorHAnsi" w:hAnsiTheme="majorHAnsi" w:cstheme="majorHAnsi"/>
          <w:b/>
          <w:sz w:val="24"/>
          <w:szCs w:val="24"/>
        </w:rPr>
      </w:pPr>
    </w:p>
    <w:p w14:paraId="2E945A3B" w14:textId="77777777" w:rsidR="001915A2" w:rsidRPr="00941142" w:rsidRDefault="001915A2" w:rsidP="001915A2">
      <w:pPr>
        <w:spacing w:after="0" w:line="480" w:lineRule="auto"/>
        <w:rPr>
          <w:rFonts w:asciiTheme="majorHAnsi" w:hAnsiTheme="majorHAnsi" w:cstheme="majorHAnsi"/>
          <w:b/>
          <w:sz w:val="24"/>
          <w:szCs w:val="24"/>
          <w:u w:val="single"/>
        </w:rPr>
      </w:pPr>
      <w:r w:rsidRPr="00941142">
        <w:rPr>
          <w:rFonts w:asciiTheme="majorHAnsi" w:hAnsiTheme="majorHAnsi" w:cstheme="majorHAnsi"/>
          <w:b/>
          <w:sz w:val="24"/>
          <w:szCs w:val="24"/>
          <w:u w:val="single"/>
        </w:rPr>
        <w:t>Reference List</w:t>
      </w:r>
    </w:p>
    <w:p w14:paraId="0C56483A"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 xml:space="preserve">Aasen, W. and Waters, J., 2006. The new curriculum in Wales: A new view of the </w:t>
      </w:r>
      <w:proofErr w:type="gramStart"/>
      <w:r w:rsidRPr="00941142">
        <w:rPr>
          <w:rFonts w:asciiTheme="majorHAnsi" w:hAnsiTheme="majorHAnsi" w:cstheme="majorHAnsi"/>
          <w:sz w:val="24"/>
          <w:szCs w:val="24"/>
        </w:rPr>
        <w:t>child?.</w:t>
      </w:r>
      <w:proofErr w:type="gramEnd"/>
      <w:r w:rsidRPr="00941142">
        <w:rPr>
          <w:rFonts w:asciiTheme="majorHAnsi" w:hAnsiTheme="majorHAnsi" w:cstheme="majorHAnsi"/>
          <w:sz w:val="24"/>
          <w:szCs w:val="24"/>
        </w:rPr>
        <w:t> </w:t>
      </w:r>
      <w:r w:rsidRPr="00941142">
        <w:rPr>
          <w:rFonts w:asciiTheme="majorHAnsi" w:hAnsiTheme="majorHAnsi" w:cstheme="majorHAnsi"/>
          <w:i/>
          <w:iCs/>
          <w:sz w:val="24"/>
          <w:szCs w:val="24"/>
        </w:rPr>
        <w:t>Education 3ndash; 13</w:t>
      </w:r>
      <w:r w:rsidRPr="00941142">
        <w:rPr>
          <w:rFonts w:asciiTheme="majorHAnsi" w:hAnsiTheme="majorHAnsi" w:cstheme="majorHAnsi"/>
          <w:sz w:val="24"/>
          <w:szCs w:val="24"/>
        </w:rPr>
        <w:t>, </w:t>
      </w:r>
      <w:r w:rsidRPr="00941142">
        <w:rPr>
          <w:rFonts w:asciiTheme="majorHAnsi" w:hAnsiTheme="majorHAnsi" w:cstheme="majorHAnsi"/>
          <w:i/>
          <w:iCs/>
          <w:sz w:val="24"/>
          <w:szCs w:val="24"/>
        </w:rPr>
        <w:t>34</w:t>
      </w:r>
      <w:r w:rsidRPr="00941142">
        <w:rPr>
          <w:rFonts w:asciiTheme="majorHAnsi" w:hAnsiTheme="majorHAnsi" w:cstheme="majorHAnsi"/>
          <w:sz w:val="24"/>
          <w:szCs w:val="24"/>
        </w:rPr>
        <w:t>(2), pp.123-129.</w:t>
      </w:r>
    </w:p>
    <w:p w14:paraId="651D94C9" w14:textId="77777777" w:rsidR="001915A2" w:rsidRPr="00941142" w:rsidRDefault="001915A2" w:rsidP="001915A2">
      <w:pPr>
        <w:spacing w:after="0" w:line="480" w:lineRule="auto"/>
        <w:ind w:left="720" w:hanging="720"/>
        <w:rPr>
          <w:rFonts w:asciiTheme="majorHAnsi" w:hAnsiTheme="majorHAnsi" w:cstheme="majorHAnsi"/>
          <w:sz w:val="24"/>
          <w:szCs w:val="24"/>
        </w:rPr>
      </w:pPr>
      <w:proofErr w:type="spellStart"/>
      <w:r w:rsidRPr="00941142">
        <w:rPr>
          <w:rFonts w:asciiTheme="majorHAnsi" w:hAnsiTheme="majorHAnsi" w:cstheme="majorHAnsi"/>
          <w:sz w:val="24"/>
          <w:szCs w:val="24"/>
        </w:rPr>
        <w:t>Beijaard</w:t>
      </w:r>
      <w:proofErr w:type="spellEnd"/>
      <w:r w:rsidRPr="00941142">
        <w:rPr>
          <w:rFonts w:asciiTheme="majorHAnsi" w:hAnsiTheme="majorHAnsi" w:cstheme="majorHAnsi"/>
          <w:sz w:val="24"/>
          <w:szCs w:val="24"/>
        </w:rPr>
        <w:t>, D., 2019. Teacher learning as identity learning: models, practices, and topics. </w:t>
      </w:r>
      <w:r w:rsidRPr="00941142">
        <w:rPr>
          <w:rFonts w:asciiTheme="majorHAnsi" w:hAnsiTheme="majorHAnsi" w:cstheme="majorHAnsi"/>
          <w:i/>
          <w:iCs/>
          <w:sz w:val="24"/>
          <w:szCs w:val="24"/>
        </w:rPr>
        <w:t>Teachers and teaching</w:t>
      </w:r>
      <w:r w:rsidRPr="00941142">
        <w:rPr>
          <w:rFonts w:asciiTheme="majorHAnsi" w:hAnsiTheme="majorHAnsi" w:cstheme="majorHAnsi"/>
          <w:sz w:val="24"/>
          <w:szCs w:val="24"/>
        </w:rPr>
        <w:t>, </w:t>
      </w:r>
      <w:r w:rsidRPr="00941142">
        <w:rPr>
          <w:rFonts w:asciiTheme="majorHAnsi" w:hAnsiTheme="majorHAnsi" w:cstheme="majorHAnsi"/>
          <w:i/>
          <w:iCs/>
          <w:sz w:val="24"/>
          <w:szCs w:val="24"/>
        </w:rPr>
        <w:t>25</w:t>
      </w:r>
      <w:r w:rsidRPr="00941142">
        <w:rPr>
          <w:rFonts w:asciiTheme="majorHAnsi" w:hAnsiTheme="majorHAnsi" w:cstheme="majorHAnsi"/>
          <w:sz w:val="24"/>
          <w:szCs w:val="24"/>
        </w:rPr>
        <w:t>(1), pp.1-6.</w:t>
      </w:r>
    </w:p>
    <w:p w14:paraId="3AE1DA4E"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0" w:name="_Hlk118934067"/>
      <w:proofErr w:type="spellStart"/>
      <w:r w:rsidRPr="00941142">
        <w:rPr>
          <w:rFonts w:asciiTheme="majorHAnsi" w:hAnsiTheme="majorHAnsi" w:cstheme="majorHAnsi"/>
          <w:sz w:val="24"/>
          <w:szCs w:val="24"/>
        </w:rPr>
        <w:t>Bercaw</w:t>
      </w:r>
      <w:bookmarkEnd w:id="0"/>
      <w:proofErr w:type="spellEnd"/>
      <w:r w:rsidRPr="00941142">
        <w:rPr>
          <w:rFonts w:asciiTheme="majorHAnsi" w:hAnsiTheme="majorHAnsi" w:cstheme="majorHAnsi"/>
          <w:sz w:val="24"/>
          <w:szCs w:val="24"/>
        </w:rPr>
        <w:t xml:space="preserve">, </w:t>
      </w:r>
      <w:proofErr w:type="gramStart"/>
      <w:r w:rsidRPr="00941142">
        <w:rPr>
          <w:rFonts w:asciiTheme="majorHAnsi" w:hAnsiTheme="majorHAnsi" w:cstheme="majorHAnsi"/>
          <w:sz w:val="24"/>
          <w:szCs w:val="24"/>
        </w:rPr>
        <w:t>L.A.</w:t>
      </w:r>
      <w:proofErr w:type="gramEnd"/>
      <w:r w:rsidRPr="00941142">
        <w:rPr>
          <w:rFonts w:asciiTheme="majorHAnsi" w:hAnsiTheme="majorHAnsi" w:cstheme="majorHAnsi"/>
          <w:sz w:val="24"/>
          <w:szCs w:val="24"/>
        </w:rPr>
        <w:t xml:space="preserve"> and </w:t>
      </w:r>
      <w:bookmarkStart w:id="1" w:name="_Hlk118934093"/>
      <w:proofErr w:type="spellStart"/>
      <w:r w:rsidRPr="00941142">
        <w:rPr>
          <w:rFonts w:asciiTheme="majorHAnsi" w:hAnsiTheme="majorHAnsi" w:cstheme="majorHAnsi"/>
          <w:sz w:val="24"/>
          <w:szCs w:val="24"/>
        </w:rPr>
        <w:t>Stooksberry</w:t>
      </w:r>
      <w:proofErr w:type="spellEnd"/>
      <w:r w:rsidRPr="00941142">
        <w:rPr>
          <w:rFonts w:asciiTheme="majorHAnsi" w:hAnsiTheme="majorHAnsi" w:cstheme="majorHAnsi"/>
          <w:sz w:val="24"/>
          <w:szCs w:val="24"/>
        </w:rPr>
        <w:t xml:space="preserve">, </w:t>
      </w:r>
      <w:bookmarkEnd w:id="1"/>
      <w:r w:rsidRPr="00941142">
        <w:rPr>
          <w:rFonts w:asciiTheme="majorHAnsi" w:hAnsiTheme="majorHAnsi" w:cstheme="majorHAnsi"/>
          <w:sz w:val="24"/>
          <w:szCs w:val="24"/>
        </w:rPr>
        <w:t>L.M., 2005. Teacher education, critical pedagogy, and standards: An exploration of theory and practice. </w:t>
      </w:r>
      <w:r w:rsidRPr="00941142">
        <w:rPr>
          <w:rFonts w:asciiTheme="majorHAnsi" w:hAnsiTheme="majorHAnsi" w:cstheme="majorHAnsi"/>
          <w:i/>
          <w:iCs/>
          <w:sz w:val="24"/>
          <w:szCs w:val="24"/>
        </w:rPr>
        <w:t>Essays in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12</w:t>
      </w:r>
      <w:r w:rsidRPr="00941142">
        <w:rPr>
          <w:rFonts w:asciiTheme="majorHAnsi" w:hAnsiTheme="majorHAnsi" w:cstheme="majorHAnsi"/>
          <w:sz w:val="24"/>
          <w:szCs w:val="24"/>
        </w:rPr>
        <w:t>(1), p.2.</w:t>
      </w:r>
    </w:p>
    <w:p w14:paraId="0580C2C6"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2" w:name="_Hlk118896985"/>
      <w:proofErr w:type="spellStart"/>
      <w:r w:rsidRPr="00941142">
        <w:rPr>
          <w:rFonts w:asciiTheme="majorHAnsi" w:hAnsiTheme="majorHAnsi" w:cstheme="majorHAnsi"/>
          <w:sz w:val="24"/>
          <w:szCs w:val="24"/>
        </w:rPr>
        <w:t>Boud</w:t>
      </w:r>
      <w:proofErr w:type="spellEnd"/>
      <w:r w:rsidRPr="00941142">
        <w:rPr>
          <w:rFonts w:asciiTheme="majorHAnsi" w:hAnsiTheme="majorHAnsi" w:cstheme="majorHAnsi"/>
          <w:sz w:val="24"/>
          <w:szCs w:val="24"/>
        </w:rPr>
        <w:t xml:space="preserve">, </w:t>
      </w:r>
      <w:bookmarkEnd w:id="2"/>
      <w:r w:rsidRPr="00941142">
        <w:rPr>
          <w:rFonts w:asciiTheme="majorHAnsi" w:hAnsiTheme="majorHAnsi" w:cstheme="majorHAnsi"/>
          <w:sz w:val="24"/>
          <w:szCs w:val="24"/>
        </w:rPr>
        <w:t xml:space="preserve">D., Keogh, R. and Walker, D., 2013. Introduction: What is Reflection in </w:t>
      </w:r>
      <w:proofErr w:type="gramStart"/>
      <w:r w:rsidRPr="00941142">
        <w:rPr>
          <w:rFonts w:asciiTheme="majorHAnsi" w:hAnsiTheme="majorHAnsi" w:cstheme="majorHAnsi"/>
          <w:sz w:val="24"/>
          <w:szCs w:val="24"/>
        </w:rPr>
        <w:t>Learning?.</w:t>
      </w:r>
      <w:proofErr w:type="gramEnd"/>
      <w:r w:rsidRPr="00941142">
        <w:rPr>
          <w:rFonts w:asciiTheme="majorHAnsi" w:hAnsiTheme="majorHAnsi" w:cstheme="majorHAnsi"/>
          <w:sz w:val="24"/>
          <w:szCs w:val="24"/>
        </w:rPr>
        <w:t xml:space="preserve"> In </w:t>
      </w:r>
      <w:r w:rsidRPr="00941142">
        <w:rPr>
          <w:rFonts w:asciiTheme="majorHAnsi" w:hAnsiTheme="majorHAnsi" w:cstheme="majorHAnsi"/>
          <w:i/>
          <w:iCs/>
          <w:sz w:val="24"/>
          <w:szCs w:val="24"/>
        </w:rPr>
        <w:t>Reflection: Turning experience into learning</w:t>
      </w:r>
      <w:r w:rsidRPr="00941142">
        <w:rPr>
          <w:rFonts w:asciiTheme="majorHAnsi" w:hAnsiTheme="majorHAnsi" w:cstheme="majorHAnsi"/>
          <w:sz w:val="24"/>
          <w:szCs w:val="24"/>
        </w:rPr>
        <w:t> (pp. 7-17). Routledge.</w:t>
      </w:r>
    </w:p>
    <w:p w14:paraId="37BCD0A4"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Branch Jr, W.T., 2010. The road to professionalism: reflective practice and reflective learning. </w:t>
      </w:r>
      <w:r w:rsidRPr="00941142">
        <w:rPr>
          <w:rFonts w:asciiTheme="majorHAnsi" w:hAnsiTheme="majorHAnsi" w:cstheme="majorHAnsi"/>
          <w:i/>
          <w:iCs/>
          <w:sz w:val="24"/>
          <w:szCs w:val="24"/>
        </w:rPr>
        <w:t xml:space="preserve">Patient Education and </w:t>
      </w:r>
      <w:proofErr w:type="spellStart"/>
      <w:r w:rsidRPr="00941142">
        <w:rPr>
          <w:rFonts w:asciiTheme="majorHAnsi" w:hAnsiTheme="majorHAnsi" w:cstheme="majorHAnsi"/>
          <w:i/>
          <w:iCs/>
          <w:sz w:val="24"/>
          <w:szCs w:val="24"/>
        </w:rPr>
        <w:t>Counseling</w:t>
      </w:r>
      <w:proofErr w:type="spellEnd"/>
      <w:r w:rsidRPr="00941142">
        <w:rPr>
          <w:rFonts w:asciiTheme="majorHAnsi" w:hAnsiTheme="majorHAnsi" w:cstheme="majorHAnsi"/>
          <w:sz w:val="24"/>
          <w:szCs w:val="24"/>
        </w:rPr>
        <w:t>, </w:t>
      </w:r>
      <w:r w:rsidRPr="00941142">
        <w:rPr>
          <w:rFonts w:asciiTheme="majorHAnsi" w:hAnsiTheme="majorHAnsi" w:cstheme="majorHAnsi"/>
          <w:i/>
          <w:iCs/>
          <w:sz w:val="24"/>
          <w:szCs w:val="24"/>
        </w:rPr>
        <w:t>80</w:t>
      </w:r>
      <w:r w:rsidRPr="00941142">
        <w:rPr>
          <w:rFonts w:asciiTheme="majorHAnsi" w:hAnsiTheme="majorHAnsi" w:cstheme="majorHAnsi"/>
          <w:sz w:val="24"/>
          <w:szCs w:val="24"/>
        </w:rPr>
        <w:t>(3), pp.327-332.</w:t>
      </w:r>
    </w:p>
    <w:p w14:paraId="619CEB95"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3" w:name="_Hlk118887581"/>
      <w:r w:rsidRPr="00941142">
        <w:rPr>
          <w:rFonts w:asciiTheme="majorHAnsi" w:hAnsiTheme="majorHAnsi" w:cstheme="majorHAnsi"/>
          <w:sz w:val="24"/>
          <w:szCs w:val="24"/>
        </w:rPr>
        <w:t>Call</w:t>
      </w:r>
      <w:bookmarkEnd w:id="3"/>
      <w:r w:rsidRPr="00941142">
        <w:rPr>
          <w:rFonts w:asciiTheme="majorHAnsi" w:hAnsiTheme="majorHAnsi" w:cstheme="majorHAnsi"/>
          <w:sz w:val="24"/>
          <w:szCs w:val="24"/>
        </w:rPr>
        <w:t xml:space="preserve">, K., 2018. Professional teaching standards: A comparative analysis of their history, </w:t>
      </w:r>
      <w:proofErr w:type="gramStart"/>
      <w:r w:rsidRPr="00941142">
        <w:rPr>
          <w:rFonts w:asciiTheme="majorHAnsi" w:hAnsiTheme="majorHAnsi" w:cstheme="majorHAnsi"/>
          <w:sz w:val="24"/>
          <w:szCs w:val="24"/>
        </w:rPr>
        <w:t>implementation</w:t>
      </w:r>
      <w:proofErr w:type="gramEnd"/>
      <w:r w:rsidRPr="00941142">
        <w:rPr>
          <w:rFonts w:asciiTheme="majorHAnsi" w:hAnsiTheme="majorHAnsi" w:cstheme="majorHAnsi"/>
          <w:sz w:val="24"/>
          <w:szCs w:val="24"/>
        </w:rPr>
        <w:t xml:space="preserve"> and efficacy. </w:t>
      </w:r>
      <w:r w:rsidRPr="00941142">
        <w:rPr>
          <w:rFonts w:asciiTheme="majorHAnsi" w:hAnsiTheme="majorHAnsi" w:cstheme="majorHAnsi"/>
          <w:i/>
          <w:iCs/>
          <w:sz w:val="24"/>
          <w:szCs w:val="24"/>
        </w:rPr>
        <w:t>Australian Journal of Teacher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43</w:t>
      </w:r>
      <w:r w:rsidRPr="00941142">
        <w:rPr>
          <w:rFonts w:asciiTheme="majorHAnsi" w:hAnsiTheme="majorHAnsi" w:cstheme="majorHAnsi"/>
          <w:sz w:val="24"/>
          <w:szCs w:val="24"/>
        </w:rPr>
        <w:t>(3), pp.93-108.</w:t>
      </w:r>
    </w:p>
    <w:p w14:paraId="5C06A252"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Correa, J.M., Martínez-</w:t>
      </w:r>
      <w:proofErr w:type="spellStart"/>
      <w:r w:rsidRPr="00941142">
        <w:rPr>
          <w:rFonts w:asciiTheme="majorHAnsi" w:hAnsiTheme="majorHAnsi" w:cstheme="majorHAnsi"/>
          <w:sz w:val="24"/>
          <w:szCs w:val="24"/>
        </w:rPr>
        <w:t>Arbelaiz</w:t>
      </w:r>
      <w:proofErr w:type="spellEnd"/>
      <w:r w:rsidRPr="00941142">
        <w:rPr>
          <w:rFonts w:asciiTheme="majorHAnsi" w:hAnsiTheme="majorHAnsi" w:cstheme="majorHAnsi"/>
          <w:sz w:val="24"/>
          <w:szCs w:val="24"/>
        </w:rPr>
        <w:t>, A. and Gutierrez, L.P., 2014. Between the real school and the ideal school: another step in building a teaching identity. </w:t>
      </w:r>
      <w:r w:rsidRPr="00941142">
        <w:rPr>
          <w:rFonts w:asciiTheme="majorHAnsi" w:hAnsiTheme="majorHAnsi" w:cstheme="majorHAnsi"/>
          <w:i/>
          <w:iCs/>
          <w:sz w:val="24"/>
          <w:szCs w:val="24"/>
        </w:rPr>
        <w:t>Educational Review</w:t>
      </w:r>
      <w:r w:rsidRPr="00941142">
        <w:rPr>
          <w:rFonts w:asciiTheme="majorHAnsi" w:hAnsiTheme="majorHAnsi" w:cstheme="majorHAnsi"/>
          <w:sz w:val="24"/>
          <w:szCs w:val="24"/>
        </w:rPr>
        <w:t>, </w:t>
      </w:r>
      <w:r w:rsidRPr="00941142">
        <w:rPr>
          <w:rFonts w:asciiTheme="majorHAnsi" w:hAnsiTheme="majorHAnsi" w:cstheme="majorHAnsi"/>
          <w:i/>
          <w:iCs/>
          <w:sz w:val="24"/>
          <w:szCs w:val="24"/>
        </w:rPr>
        <w:t>66</w:t>
      </w:r>
      <w:r w:rsidRPr="00941142">
        <w:rPr>
          <w:rFonts w:asciiTheme="majorHAnsi" w:hAnsiTheme="majorHAnsi" w:cstheme="majorHAnsi"/>
          <w:sz w:val="24"/>
          <w:szCs w:val="24"/>
        </w:rPr>
        <w:t>(4), pp.447-464.</w:t>
      </w:r>
    </w:p>
    <w:p w14:paraId="058E12E9"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Crick, T., 2022, July. Rethinking Digital Competencies in the New Curriculum for Wales. In </w:t>
      </w:r>
      <w:r w:rsidRPr="00941142">
        <w:rPr>
          <w:rFonts w:asciiTheme="majorHAnsi" w:hAnsiTheme="majorHAnsi" w:cstheme="majorHAnsi"/>
          <w:i/>
          <w:iCs/>
          <w:sz w:val="24"/>
          <w:szCs w:val="24"/>
        </w:rPr>
        <w:t xml:space="preserve">Proceedings of the 27th ACM Conference on </w:t>
      </w:r>
      <w:proofErr w:type="spellStart"/>
      <w:r w:rsidRPr="00941142">
        <w:rPr>
          <w:rFonts w:asciiTheme="majorHAnsi" w:hAnsiTheme="majorHAnsi" w:cstheme="majorHAnsi"/>
          <w:i/>
          <w:iCs/>
          <w:sz w:val="24"/>
          <w:szCs w:val="24"/>
        </w:rPr>
        <w:t>on</w:t>
      </w:r>
      <w:proofErr w:type="spellEnd"/>
      <w:r w:rsidRPr="00941142">
        <w:rPr>
          <w:rFonts w:asciiTheme="majorHAnsi" w:hAnsiTheme="majorHAnsi" w:cstheme="majorHAnsi"/>
          <w:i/>
          <w:iCs/>
          <w:sz w:val="24"/>
          <w:szCs w:val="24"/>
        </w:rPr>
        <w:t xml:space="preserve"> Innovation and Technology in Computer Science Education Vol. 2</w:t>
      </w:r>
      <w:r w:rsidRPr="00941142">
        <w:rPr>
          <w:rFonts w:asciiTheme="majorHAnsi" w:hAnsiTheme="majorHAnsi" w:cstheme="majorHAnsi"/>
          <w:sz w:val="24"/>
          <w:szCs w:val="24"/>
        </w:rPr>
        <w:t> (pp. 635-635).</w:t>
      </w:r>
    </w:p>
    <w:p w14:paraId="3678366F"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4" w:name="_Hlk118931577"/>
      <w:proofErr w:type="spellStart"/>
      <w:r w:rsidRPr="00941142">
        <w:rPr>
          <w:rFonts w:asciiTheme="majorHAnsi" w:hAnsiTheme="majorHAnsi" w:cstheme="majorHAnsi"/>
          <w:sz w:val="24"/>
          <w:szCs w:val="24"/>
        </w:rPr>
        <w:t>Dimova</w:t>
      </w:r>
      <w:bookmarkEnd w:id="4"/>
      <w:proofErr w:type="spellEnd"/>
      <w:r w:rsidRPr="00941142">
        <w:rPr>
          <w:rFonts w:asciiTheme="majorHAnsi" w:hAnsiTheme="majorHAnsi" w:cstheme="majorHAnsi"/>
          <w:sz w:val="24"/>
          <w:szCs w:val="24"/>
        </w:rPr>
        <w:t>, Y. and Loughran, J., 2009. Developing a big picture understanding of reflection in pedagogical practice. </w:t>
      </w:r>
      <w:r w:rsidRPr="00941142">
        <w:rPr>
          <w:rFonts w:asciiTheme="majorHAnsi" w:hAnsiTheme="majorHAnsi" w:cstheme="majorHAnsi"/>
          <w:i/>
          <w:iCs/>
          <w:sz w:val="24"/>
          <w:szCs w:val="24"/>
        </w:rPr>
        <w:t>Reflective practice</w:t>
      </w:r>
      <w:r w:rsidRPr="00941142">
        <w:rPr>
          <w:rFonts w:asciiTheme="majorHAnsi" w:hAnsiTheme="majorHAnsi" w:cstheme="majorHAnsi"/>
          <w:sz w:val="24"/>
          <w:szCs w:val="24"/>
        </w:rPr>
        <w:t>, </w:t>
      </w:r>
      <w:r w:rsidRPr="00941142">
        <w:rPr>
          <w:rFonts w:asciiTheme="majorHAnsi" w:hAnsiTheme="majorHAnsi" w:cstheme="majorHAnsi"/>
          <w:i/>
          <w:iCs/>
          <w:sz w:val="24"/>
          <w:szCs w:val="24"/>
        </w:rPr>
        <w:t>10</w:t>
      </w:r>
      <w:r w:rsidRPr="00941142">
        <w:rPr>
          <w:rFonts w:asciiTheme="majorHAnsi" w:hAnsiTheme="majorHAnsi" w:cstheme="majorHAnsi"/>
          <w:sz w:val="24"/>
          <w:szCs w:val="24"/>
        </w:rPr>
        <w:t>(2), pp.205-217.</w:t>
      </w:r>
    </w:p>
    <w:p w14:paraId="3CCD063C"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lastRenderedPageBreak/>
        <w:t>Evans, T. and Nation, D., 2013. </w:t>
      </w:r>
      <w:r w:rsidRPr="00941142">
        <w:rPr>
          <w:rFonts w:asciiTheme="majorHAnsi" w:hAnsiTheme="majorHAnsi" w:cstheme="majorHAnsi"/>
          <w:i/>
          <w:iCs/>
          <w:sz w:val="24"/>
          <w:szCs w:val="24"/>
        </w:rPr>
        <w:t>Reforming open and distance education: Critical reflections from practice</w:t>
      </w:r>
      <w:r w:rsidRPr="00941142">
        <w:rPr>
          <w:rFonts w:asciiTheme="majorHAnsi" w:hAnsiTheme="majorHAnsi" w:cstheme="majorHAnsi"/>
          <w:sz w:val="24"/>
          <w:szCs w:val="24"/>
        </w:rPr>
        <w:t>. Routledge.</w:t>
      </w:r>
    </w:p>
    <w:p w14:paraId="2074F155"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Freedman, K., 2018. Art education as social production: Culture, society, and politics in the formation of curriculum. In </w:t>
      </w:r>
      <w:r w:rsidRPr="00941142">
        <w:rPr>
          <w:rFonts w:asciiTheme="majorHAnsi" w:hAnsiTheme="majorHAnsi" w:cstheme="majorHAnsi"/>
          <w:i/>
          <w:iCs/>
          <w:sz w:val="24"/>
          <w:szCs w:val="24"/>
        </w:rPr>
        <w:t>The formation of school subjects</w:t>
      </w:r>
      <w:r w:rsidRPr="00941142">
        <w:rPr>
          <w:rFonts w:asciiTheme="majorHAnsi" w:hAnsiTheme="majorHAnsi" w:cstheme="majorHAnsi"/>
          <w:sz w:val="24"/>
          <w:szCs w:val="24"/>
        </w:rPr>
        <w:t> (pp. 63-84). Routledge.</w:t>
      </w:r>
    </w:p>
    <w:p w14:paraId="415B12EF"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5" w:name="_Hlk118888725"/>
      <w:proofErr w:type="spellStart"/>
      <w:r w:rsidRPr="00941142">
        <w:rPr>
          <w:rFonts w:asciiTheme="majorHAnsi" w:hAnsiTheme="majorHAnsi" w:cstheme="majorHAnsi"/>
          <w:sz w:val="24"/>
          <w:szCs w:val="24"/>
        </w:rPr>
        <w:t>Glasswell</w:t>
      </w:r>
      <w:bookmarkEnd w:id="5"/>
      <w:proofErr w:type="spellEnd"/>
      <w:r w:rsidRPr="00941142">
        <w:rPr>
          <w:rFonts w:asciiTheme="majorHAnsi" w:hAnsiTheme="majorHAnsi" w:cstheme="majorHAnsi"/>
          <w:sz w:val="24"/>
          <w:szCs w:val="24"/>
        </w:rPr>
        <w:t>, K. and Ryan, J., 2017. Reflective practice in teacher professional standards: Reflection as mandatory practice. In </w:t>
      </w:r>
      <w:r w:rsidRPr="00941142">
        <w:rPr>
          <w:rFonts w:asciiTheme="majorHAnsi" w:hAnsiTheme="majorHAnsi" w:cstheme="majorHAnsi"/>
          <w:i/>
          <w:iCs/>
          <w:sz w:val="24"/>
          <w:szCs w:val="24"/>
        </w:rPr>
        <w:t xml:space="preserve">Reflective theory and practice in teacher </w:t>
      </w:r>
      <w:proofErr w:type="gramStart"/>
      <w:r w:rsidRPr="00941142">
        <w:rPr>
          <w:rFonts w:asciiTheme="majorHAnsi" w:hAnsiTheme="majorHAnsi" w:cstheme="majorHAnsi"/>
          <w:i/>
          <w:iCs/>
          <w:sz w:val="24"/>
          <w:szCs w:val="24"/>
        </w:rPr>
        <w:t>education</w:t>
      </w:r>
      <w:r w:rsidRPr="00941142">
        <w:rPr>
          <w:rFonts w:asciiTheme="majorHAnsi" w:hAnsiTheme="majorHAnsi" w:cstheme="majorHAnsi"/>
          <w:sz w:val="24"/>
          <w:szCs w:val="24"/>
        </w:rPr>
        <w:t>(</w:t>
      </w:r>
      <w:proofErr w:type="gramEnd"/>
      <w:r w:rsidRPr="00941142">
        <w:rPr>
          <w:rFonts w:asciiTheme="majorHAnsi" w:hAnsiTheme="majorHAnsi" w:cstheme="majorHAnsi"/>
          <w:sz w:val="24"/>
          <w:szCs w:val="24"/>
        </w:rPr>
        <w:t>pp. 3-26). Springer.</w:t>
      </w:r>
    </w:p>
    <w:p w14:paraId="5DF2387C" w14:textId="77777777" w:rsidR="001915A2" w:rsidRPr="00941142" w:rsidRDefault="001915A2" w:rsidP="001915A2">
      <w:pPr>
        <w:spacing w:after="0" w:line="480" w:lineRule="auto"/>
        <w:ind w:left="720" w:hanging="720"/>
        <w:rPr>
          <w:rFonts w:asciiTheme="majorHAnsi" w:hAnsiTheme="majorHAnsi" w:cstheme="majorHAnsi"/>
          <w:sz w:val="24"/>
          <w:szCs w:val="24"/>
        </w:rPr>
      </w:pPr>
      <w:proofErr w:type="spellStart"/>
      <w:r w:rsidRPr="00941142">
        <w:rPr>
          <w:rFonts w:asciiTheme="majorHAnsi" w:hAnsiTheme="majorHAnsi" w:cstheme="majorHAnsi"/>
          <w:sz w:val="24"/>
          <w:szCs w:val="24"/>
        </w:rPr>
        <w:t>Hizli</w:t>
      </w:r>
      <w:proofErr w:type="spellEnd"/>
      <w:r w:rsidRPr="00941142">
        <w:rPr>
          <w:rFonts w:asciiTheme="majorHAnsi" w:hAnsiTheme="majorHAnsi" w:cstheme="majorHAnsi"/>
          <w:sz w:val="24"/>
          <w:szCs w:val="24"/>
        </w:rPr>
        <w:t xml:space="preserve"> </w:t>
      </w:r>
      <w:proofErr w:type="spellStart"/>
      <w:r w:rsidRPr="00941142">
        <w:rPr>
          <w:rFonts w:asciiTheme="majorHAnsi" w:hAnsiTheme="majorHAnsi" w:cstheme="majorHAnsi"/>
          <w:sz w:val="24"/>
          <w:szCs w:val="24"/>
        </w:rPr>
        <w:t>Alkan</w:t>
      </w:r>
      <w:proofErr w:type="spellEnd"/>
      <w:r w:rsidRPr="00941142">
        <w:rPr>
          <w:rFonts w:asciiTheme="majorHAnsi" w:hAnsiTheme="majorHAnsi" w:cstheme="majorHAnsi"/>
          <w:sz w:val="24"/>
          <w:szCs w:val="24"/>
        </w:rPr>
        <w:t>, S. and Priestley, M., 2019. Teacher mediation of curriculum making: the role of reflexivity. </w:t>
      </w:r>
      <w:r w:rsidRPr="00941142">
        <w:rPr>
          <w:rFonts w:asciiTheme="majorHAnsi" w:hAnsiTheme="majorHAnsi" w:cstheme="majorHAnsi"/>
          <w:i/>
          <w:iCs/>
          <w:sz w:val="24"/>
          <w:szCs w:val="24"/>
        </w:rPr>
        <w:t>Journal of Curriculum Studies</w:t>
      </w:r>
      <w:r w:rsidRPr="00941142">
        <w:rPr>
          <w:rFonts w:asciiTheme="majorHAnsi" w:hAnsiTheme="majorHAnsi" w:cstheme="majorHAnsi"/>
          <w:sz w:val="24"/>
          <w:szCs w:val="24"/>
        </w:rPr>
        <w:t>, </w:t>
      </w:r>
      <w:r w:rsidRPr="00941142">
        <w:rPr>
          <w:rFonts w:asciiTheme="majorHAnsi" w:hAnsiTheme="majorHAnsi" w:cstheme="majorHAnsi"/>
          <w:i/>
          <w:iCs/>
          <w:sz w:val="24"/>
          <w:szCs w:val="24"/>
        </w:rPr>
        <w:t>51</w:t>
      </w:r>
      <w:r w:rsidRPr="00941142">
        <w:rPr>
          <w:rFonts w:asciiTheme="majorHAnsi" w:hAnsiTheme="majorHAnsi" w:cstheme="majorHAnsi"/>
          <w:sz w:val="24"/>
          <w:szCs w:val="24"/>
        </w:rPr>
        <w:t>(5), pp.737-754.</w:t>
      </w:r>
    </w:p>
    <w:p w14:paraId="306DC8D6"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6" w:name="_Hlk118897917"/>
      <w:r w:rsidRPr="00941142">
        <w:rPr>
          <w:rFonts w:asciiTheme="majorHAnsi" w:hAnsiTheme="majorHAnsi" w:cstheme="majorHAnsi"/>
          <w:sz w:val="24"/>
          <w:szCs w:val="24"/>
        </w:rPr>
        <w:t>Howard</w:t>
      </w:r>
      <w:bookmarkEnd w:id="6"/>
      <w:r w:rsidRPr="00941142">
        <w:rPr>
          <w:rFonts w:asciiTheme="majorHAnsi" w:hAnsiTheme="majorHAnsi" w:cstheme="majorHAnsi"/>
          <w:sz w:val="24"/>
          <w:szCs w:val="24"/>
        </w:rPr>
        <w:t>, T.C., 2003. Culturally relevant pedagogy: Ingredients for critical teacher reflection. </w:t>
      </w:r>
      <w:r w:rsidRPr="00941142">
        <w:rPr>
          <w:rFonts w:asciiTheme="majorHAnsi" w:hAnsiTheme="majorHAnsi" w:cstheme="majorHAnsi"/>
          <w:i/>
          <w:iCs/>
          <w:sz w:val="24"/>
          <w:szCs w:val="24"/>
        </w:rPr>
        <w:t>Theory into practice</w:t>
      </w:r>
      <w:r w:rsidRPr="00941142">
        <w:rPr>
          <w:rFonts w:asciiTheme="majorHAnsi" w:hAnsiTheme="majorHAnsi" w:cstheme="majorHAnsi"/>
          <w:sz w:val="24"/>
          <w:szCs w:val="24"/>
        </w:rPr>
        <w:t>, </w:t>
      </w:r>
      <w:r w:rsidRPr="00941142">
        <w:rPr>
          <w:rFonts w:asciiTheme="majorHAnsi" w:hAnsiTheme="majorHAnsi" w:cstheme="majorHAnsi"/>
          <w:i/>
          <w:iCs/>
          <w:sz w:val="24"/>
          <w:szCs w:val="24"/>
        </w:rPr>
        <w:t>42</w:t>
      </w:r>
      <w:r w:rsidRPr="00941142">
        <w:rPr>
          <w:rFonts w:asciiTheme="majorHAnsi" w:hAnsiTheme="majorHAnsi" w:cstheme="majorHAnsi"/>
          <w:sz w:val="24"/>
          <w:szCs w:val="24"/>
        </w:rPr>
        <w:t>(3), pp.195-202.</w:t>
      </w:r>
    </w:p>
    <w:p w14:paraId="7EBE80C5"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Jenkins, E.W., 2000. The impact of the national curriculum on secondary school science teaching in England and Wales. </w:t>
      </w:r>
      <w:r w:rsidRPr="00941142">
        <w:rPr>
          <w:rFonts w:asciiTheme="majorHAnsi" w:hAnsiTheme="majorHAnsi" w:cstheme="majorHAnsi"/>
          <w:i/>
          <w:iCs/>
          <w:sz w:val="24"/>
          <w:szCs w:val="24"/>
        </w:rPr>
        <w:t>International Journal of Science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22</w:t>
      </w:r>
      <w:r w:rsidRPr="00941142">
        <w:rPr>
          <w:rFonts w:asciiTheme="majorHAnsi" w:hAnsiTheme="majorHAnsi" w:cstheme="majorHAnsi"/>
          <w:sz w:val="24"/>
          <w:szCs w:val="24"/>
        </w:rPr>
        <w:t>(3), pp.325-336.</w:t>
      </w:r>
    </w:p>
    <w:p w14:paraId="6D5F0D42"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7" w:name="_Hlk118932936"/>
      <w:proofErr w:type="spellStart"/>
      <w:r w:rsidRPr="00941142">
        <w:rPr>
          <w:rFonts w:asciiTheme="majorHAnsi" w:hAnsiTheme="majorHAnsi" w:cstheme="majorHAnsi"/>
          <w:sz w:val="24"/>
          <w:szCs w:val="24"/>
        </w:rPr>
        <w:t>Kirylo</w:t>
      </w:r>
      <w:bookmarkEnd w:id="7"/>
      <w:proofErr w:type="spellEnd"/>
      <w:r w:rsidRPr="00941142">
        <w:rPr>
          <w:rFonts w:asciiTheme="majorHAnsi" w:hAnsiTheme="majorHAnsi" w:cstheme="majorHAnsi"/>
          <w:sz w:val="24"/>
          <w:szCs w:val="24"/>
        </w:rPr>
        <w:t xml:space="preserve">, J.D., </w:t>
      </w:r>
      <w:proofErr w:type="spellStart"/>
      <w:r w:rsidRPr="00941142">
        <w:rPr>
          <w:rFonts w:asciiTheme="majorHAnsi" w:hAnsiTheme="majorHAnsi" w:cstheme="majorHAnsi"/>
          <w:sz w:val="24"/>
          <w:szCs w:val="24"/>
        </w:rPr>
        <w:t>Thirumurthy</w:t>
      </w:r>
      <w:proofErr w:type="spellEnd"/>
      <w:r w:rsidRPr="00941142">
        <w:rPr>
          <w:rFonts w:asciiTheme="majorHAnsi" w:hAnsiTheme="majorHAnsi" w:cstheme="majorHAnsi"/>
          <w:sz w:val="24"/>
          <w:szCs w:val="24"/>
        </w:rPr>
        <w:t xml:space="preserve">, V., Smith, M. and McLaren, P., 2010. Issues in Education: Critical pedagogy: An overview. </w:t>
      </w:r>
      <w:r w:rsidRPr="00941142">
        <w:rPr>
          <w:rFonts w:asciiTheme="majorHAnsi" w:hAnsiTheme="majorHAnsi" w:cstheme="majorHAnsi"/>
          <w:i/>
          <w:iCs/>
          <w:sz w:val="24"/>
          <w:szCs w:val="24"/>
        </w:rPr>
        <w:t>Childhood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86</w:t>
      </w:r>
      <w:r w:rsidRPr="00941142">
        <w:rPr>
          <w:rFonts w:asciiTheme="majorHAnsi" w:hAnsiTheme="majorHAnsi" w:cstheme="majorHAnsi"/>
          <w:sz w:val="24"/>
          <w:szCs w:val="24"/>
        </w:rPr>
        <w:t>(5), pp.332-334.</w:t>
      </w:r>
    </w:p>
    <w:p w14:paraId="728C9B61"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Knight, C. and Crick, T., 2022. Inclusive Education in Wales: Interpreting discourses of values and practice using critical policy analysis. </w:t>
      </w:r>
      <w:r w:rsidRPr="00941142">
        <w:rPr>
          <w:rFonts w:asciiTheme="majorHAnsi" w:hAnsiTheme="majorHAnsi" w:cstheme="majorHAnsi"/>
          <w:i/>
          <w:iCs/>
          <w:sz w:val="24"/>
          <w:szCs w:val="24"/>
        </w:rPr>
        <w:t>ECNU Review of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5</w:t>
      </w:r>
      <w:r w:rsidRPr="00941142">
        <w:rPr>
          <w:rFonts w:asciiTheme="majorHAnsi" w:hAnsiTheme="majorHAnsi" w:cstheme="majorHAnsi"/>
          <w:sz w:val="24"/>
          <w:szCs w:val="24"/>
        </w:rPr>
        <w:t>(2), pp.258-283.</w:t>
      </w:r>
    </w:p>
    <w:p w14:paraId="1731C290"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Lawrence, C.E., 2005. </w:t>
      </w:r>
      <w:r w:rsidRPr="00941142">
        <w:rPr>
          <w:rFonts w:asciiTheme="majorHAnsi" w:hAnsiTheme="majorHAnsi" w:cstheme="majorHAnsi"/>
          <w:i/>
          <w:iCs/>
          <w:sz w:val="24"/>
          <w:szCs w:val="24"/>
        </w:rPr>
        <w:t>The marginal teacher: A step-by-step guide to fair procedures for identification and dismissal</w:t>
      </w:r>
      <w:r w:rsidRPr="00941142">
        <w:rPr>
          <w:rFonts w:asciiTheme="majorHAnsi" w:hAnsiTheme="majorHAnsi" w:cstheme="majorHAnsi"/>
          <w:sz w:val="24"/>
          <w:szCs w:val="24"/>
        </w:rPr>
        <w:t>. Corwin Press.</w:t>
      </w:r>
    </w:p>
    <w:p w14:paraId="6B01DE8F"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Li, Q. and Ni, Y., 2011. Impact of curriculum reform: Evidence of change in classroom practice in mainland China. </w:t>
      </w:r>
      <w:r w:rsidRPr="00941142">
        <w:rPr>
          <w:rFonts w:asciiTheme="majorHAnsi" w:hAnsiTheme="majorHAnsi" w:cstheme="majorHAnsi"/>
          <w:i/>
          <w:iCs/>
          <w:sz w:val="24"/>
          <w:szCs w:val="24"/>
        </w:rPr>
        <w:t>International Journal of Educational Research</w:t>
      </w:r>
      <w:r w:rsidRPr="00941142">
        <w:rPr>
          <w:rFonts w:asciiTheme="majorHAnsi" w:hAnsiTheme="majorHAnsi" w:cstheme="majorHAnsi"/>
          <w:sz w:val="24"/>
          <w:szCs w:val="24"/>
        </w:rPr>
        <w:t>, </w:t>
      </w:r>
      <w:r w:rsidRPr="00941142">
        <w:rPr>
          <w:rFonts w:asciiTheme="majorHAnsi" w:hAnsiTheme="majorHAnsi" w:cstheme="majorHAnsi"/>
          <w:i/>
          <w:iCs/>
          <w:sz w:val="24"/>
          <w:szCs w:val="24"/>
        </w:rPr>
        <w:t>50</w:t>
      </w:r>
      <w:r w:rsidRPr="00941142">
        <w:rPr>
          <w:rFonts w:asciiTheme="majorHAnsi" w:hAnsiTheme="majorHAnsi" w:cstheme="majorHAnsi"/>
          <w:sz w:val="24"/>
          <w:szCs w:val="24"/>
        </w:rPr>
        <w:t>(2), pp.71-86.</w:t>
      </w:r>
    </w:p>
    <w:p w14:paraId="41C40265"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8" w:name="_Hlk118886647"/>
      <w:r w:rsidRPr="00941142">
        <w:rPr>
          <w:rFonts w:asciiTheme="majorHAnsi" w:hAnsiTheme="majorHAnsi" w:cstheme="majorHAnsi"/>
          <w:sz w:val="24"/>
          <w:szCs w:val="24"/>
        </w:rPr>
        <w:lastRenderedPageBreak/>
        <w:t>Mayer</w:t>
      </w:r>
      <w:bookmarkEnd w:id="8"/>
      <w:r w:rsidRPr="00941142">
        <w:rPr>
          <w:rFonts w:asciiTheme="majorHAnsi" w:hAnsiTheme="majorHAnsi" w:cstheme="majorHAnsi"/>
          <w:sz w:val="24"/>
          <w:szCs w:val="24"/>
        </w:rPr>
        <w:t>, D., Mitchell, J., MacDonald, D. and Bell, R., 2005. Professional standards for teachers: A case study of professional learning. </w:t>
      </w:r>
      <w:r w:rsidRPr="00941142">
        <w:rPr>
          <w:rFonts w:asciiTheme="majorHAnsi" w:hAnsiTheme="majorHAnsi" w:cstheme="majorHAnsi"/>
          <w:i/>
          <w:iCs/>
          <w:sz w:val="24"/>
          <w:szCs w:val="24"/>
        </w:rPr>
        <w:t>Asia‐Pacific Journal of Teacher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33</w:t>
      </w:r>
      <w:r w:rsidRPr="00941142">
        <w:rPr>
          <w:rFonts w:asciiTheme="majorHAnsi" w:hAnsiTheme="majorHAnsi" w:cstheme="majorHAnsi"/>
          <w:sz w:val="24"/>
          <w:szCs w:val="24"/>
        </w:rPr>
        <w:t>(2), pp.159-179.</w:t>
      </w:r>
    </w:p>
    <w:p w14:paraId="179CACA5"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Moller, F. and Crick, T., 2018. A university-based model for supporting computer science curriculum reform. </w:t>
      </w:r>
      <w:r w:rsidRPr="00941142">
        <w:rPr>
          <w:rFonts w:asciiTheme="majorHAnsi" w:hAnsiTheme="majorHAnsi" w:cstheme="majorHAnsi"/>
          <w:i/>
          <w:iCs/>
          <w:sz w:val="24"/>
          <w:szCs w:val="24"/>
        </w:rPr>
        <w:t>Journal of Computers in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5</w:t>
      </w:r>
      <w:r w:rsidRPr="00941142">
        <w:rPr>
          <w:rFonts w:asciiTheme="majorHAnsi" w:hAnsiTheme="majorHAnsi" w:cstheme="majorHAnsi"/>
          <w:sz w:val="24"/>
          <w:szCs w:val="24"/>
        </w:rPr>
        <w:t>(4), pp.415-434.</w:t>
      </w:r>
    </w:p>
    <w:p w14:paraId="7097E225"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 xml:space="preserve">Sachs, J., 2003. Teacher professional standards: controlling or developing </w:t>
      </w:r>
      <w:proofErr w:type="gramStart"/>
      <w:r w:rsidRPr="00941142">
        <w:rPr>
          <w:rFonts w:asciiTheme="majorHAnsi" w:hAnsiTheme="majorHAnsi" w:cstheme="majorHAnsi"/>
          <w:sz w:val="24"/>
          <w:szCs w:val="24"/>
        </w:rPr>
        <w:t>teaching?.</w:t>
      </w:r>
      <w:proofErr w:type="gramEnd"/>
      <w:r w:rsidRPr="00941142">
        <w:rPr>
          <w:rFonts w:asciiTheme="majorHAnsi" w:hAnsiTheme="majorHAnsi" w:cstheme="majorHAnsi"/>
          <w:sz w:val="24"/>
          <w:szCs w:val="24"/>
        </w:rPr>
        <w:t> </w:t>
      </w:r>
      <w:r w:rsidRPr="00941142">
        <w:rPr>
          <w:rFonts w:asciiTheme="majorHAnsi" w:hAnsiTheme="majorHAnsi" w:cstheme="majorHAnsi"/>
          <w:i/>
          <w:iCs/>
          <w:sz w:val="24"/>
          <w:szCs w:val="24"/>
        </w:rPr>
        <w:t>Teachers and teaching</w:t>
      </w:r>
      <w:r w:rsidRPr="00941142">
        <w:rPr>
          <w:rFonts w:asciiTheme="majorHAnsi" w:hAnsiTheme="majorHAnsi" w:cstheme="majorHAnsi"/>
          <w:sz w:val="24"/>
          <w:szCs w:val="24"/>
        </w:rPr>
        <w:t>, </w:t>
      </w:r>
      <w:r w:rsidRPr="00941142">
        <w:rPr>
          <w:rFonts w:asciiTheme="majorHAnsi" w:hAnsiTheme="majorHAnsi" w:cstheme="majorHAnsi"/>
          <w:i/>
          <w:iCs/>
          <w:sz w:val="24"/>
          <w:szCs w:val="24"/>
        </w:rPr>
        <w:t>9</w:t>
      </w:r>
      <w:r w:rsidRPr="00941142">
        <w:rPr>
          <w:rFonts w:asciiTheme="majorHAnsi" w:hAnsiTheme="majorHAnsi" w:cstheme="majorHAnsi"/>
          <w:sz w:val="24"/>
          <w:szCs w:val="24"/>
        </w:rPr>
        <w:t>(2), pp.175-186.</w:t>
      </w:r>
    </w:p>
    <w:p w14:paraId="0DCBAC17"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9" w:name="_Hlk118891422"/>
      <w:proofErr w:type="spellStart"/>
      <w:r w:rsidRPr="00941142">
        <w:rPr>
          <w:rFonts w:asciiTheme="majorHAnsi" w:hAnsiTheme="majorHAnsi" w:cstheme="majorHAnsi"/>
          <w:sz w:val="24"/>
          <w:szCs w:val="24"/>
        </w:rPr>
        <w:t>Sequeira</w:t>
      </w:r>
      <w:bookmarkEnd w:id="9"/>
      <w:proofErr w:type="spellEnd"/>
      <w:r w:rsidRPr="00941142">
        <w:rPr>
          <w:rFonts w:asciiTheme="majorHAnsi" w:hAnsiTheme="majorHAnsi" w:cstheme="majorHAnsi"/>
          <w:sz w:val="24"/>
          <w:szCs w:val="24"/>
        </w:rPr>
        <w:t>, A.H., 2012. Introduction to concepts of teaching and learning. </w:t>
      </w:r>
      <w:r w:rsidRPr="00941142">
        <w:rPr>
          <w:rFonts w:asciiTheme="majorHAnsi" w:hAnsiTheme="majorHAnsi" w:cstheme="majorHAnsi"/>
          <w:i/>
          <w:iCs/>
          <w:sz w:val="24"/>
          <w:szCs w:val="24"/>
        </w:rPr>
        <w:t>Available at SSRN 2150166</w:t>
      </w:r>
      <w:r w:rsidRPr="00941142">
        <w:rPr>
          <w:rFonts w:asciiTheme="majorHAnsi" w:hAnsiTheme="majorHAnsi" w:cstheme="majorHAnsi"/>
          <w:sz w:val="24"/>
          <w:szCs w:val="24"/>
        </w:rPr>
        <w:t>.</w:t>
      </w:r>
    </w:p>
    <w:p w14:paraId="5995B191" w14:textId="77777777" w:rsidR="001915A2" w:rsidRPr="00941142" w:rsidRDefault="001915A2" w:rsidP="001915A2">
      <w:pPr>
        <w:spacing w:after="0" w:line="480" w:lineRule="auto"/>
        <w:ind w:left="720" w:hanging="720"/>
        <w:rPr>
          <w:rFonts w:asciiTheme="majorHAnsi" w:hAnsiTheme="majorHAnsi" w:cstheme="majorHAnsi"/>
          <w:sz w:val="24"/>
          <w:szCs w:val="24"/>
        </w:rPr>
      </w:pPr>
      <w:proofErr w:type="spellStart"/>
      <w:r w:rsidRPr="00941142">
        <w:rPr>
          <w:rFonts w:asciiTheme="majorHAnsi" w:hAnsiTheme="majorHAnsi" w:cstheme="majorHAnsi"/>
          <w:sz w:val="24"/>
          <w:szCs w:val="24"/>
        </w:rPr>
        <w:t>Shandomo</w:t>
      </w:r>
      <w:proofErr w:type="spellEnd"/>
      <w:r w:rsidRPr="00941142">
        <w:rPr>
          <w:rFonts w:asciiTheme="majorHAnsi" w:hAnsiTheme="majorHAnsi" w:cstheme="majorHAnsi"/>
          <w:sz w:val="24"/>
          <w:szCs w:val="24"/>
        </w:rPr>
        <w:t>, H.M., 2010. The role of critical reflection in teacher education. </w:t>
      </w:r>
      <w:r w:rsidRPr="00941142">
        <w:rPr>
          <w:rFonts w:asciiTheme="majorHAnsi" w:hAnsiTheme="majorHAnsi" w:cstheme="majorHAnsi"/>
          <w:i/>
          <w:iCs/>
          <w:sz w:val="24"/>
          <w:szCs w:val="24"/>
        </w:rPr>
        <w:t>School-University Partnerships</w:t>
      </w:r>
      <w:r w:rsidRPr="00941142">
        <w:rPr>
          <w:rFonts w:asciiTheme="majorHAnsi" w:hAnsiTheme="majorHAnsi" w:cstheme="majorHAnsi"/>
          <w:sz w:val="24"/>
          <w:szCs w:val="24"/>
        </w:rPr>
        <w:t>, </w:t>
      </w:r>
      <w:r w:rsidRPr="00941142">
        <w:rPr>
          <w:rFonts w:asciiTheme="majorHAnsi" w:hAnsiTheme="majorHAnsi" w:cstheme="majorHAnsi"/>
          <w:i/>
          <w:iCs/>
          <w:sz w:val="24"/>
          <w:szCs w:val="24"/>
        </w:rPr>
        <w:t>4</w:t>
      </w:r>
      <w:r w:rsidRPr="00941142">
        <w:rPr>
          <w:rFonts w:asciiTheme="majorHAnsi" w:hAnsiTheme="majorHAnsi" w:cstheme="majorHAnsi"/>
          <w:sz w:val="24"/>
          <w:szCs w:val="24"/>
        </w:rPr>
        <w:t>(1), pp.101-113.</w:t>
      </w:r>
    </w:p>
    <w:p w14:paraId="5EC9DEE4"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10" w:name="_Hlk118893562"/>
      <w:proofErr w:type="spellStart"/>
      <w:r w:rsidRPr="00941142">
        <w:rPr>
          <w:rFonts w:asciiTheme="majorHAnsi" w:hAnsiTheme="majorHAnsi" w:cstheme="majorHAnsi"/>
          <w:sz w:val="24"/>
          <w:szCs w:val="24"/>
        </w:rPr>
        <w:t>Shandomo</w:t>
      </w:r>
      <w:proofErr w:type="spellEnd"/>
      <w:r w:rsidRPr="00941142">
        <w:rPr>
          <w:rFonts w:asciiTheme="majorHAnsi" w:hAnsiTheme="majorHAnsi" w:cstheme="majorHAnsi"/>
          <w:sz w:val="24"/>
          <w:szCs w:val="24"/>
        </w:rPr>
        <w:t xml:space="preserve">, </w:t>
      </w:r>
      <w:bookmarkEnd w:id="10"/>
      <w:r w:rsidRPr="00941142">
        <w:rPr>
          <w:rFonts w:asciiTheme="majorHAnsi" w:hAnsiTheme="majorHAnsi" w:cstheme="majorHAnsi"/>
          <w:sz w:val="24"/>
          <w:szCs w:val="24"/>
        </w:rPr>
        <w:t>H.M., 2010. The role of critical reflection in teacher education. </w:t>
      </w:r>
      <w:r w:rsidRPr="00941142">
        <w:rPr>
          <w:rFonts w:asciiTheme="majorHAnsi" w:hAnsiTheme="majorHAnsi" w:cstheme="majorHAnsi"/>
          <w:i/>
          <w:iCs/>
          <w:sz w:val="24"/>
          <w:szCs w:val="24"/>
        </w:rPr>
        <w:t>School-University Partnerships</w:t>
      </w:r>
      <w:r w:rsidRPr="00941142">
        <w:rPr>
          <w:rFonts w:asciiTheme="majorHAnsi" w:hAnsiTheme="majorHAnsi" w:cstheme="majorHAnsi"/>
          <w:sz w:val="24"/>
          <w:szCs w:val="24"/>
        </w:rPr>
        <w:t>, </w:t>
      </w:r>
      <w:r w:rsidRPr="00941142">
        <w:rPr>
          <w:rFonts w:asciiTheme="majorHAnsi" w:hAnsiTheme="majorHAnsi" w:cstheme="majorHAnsi"/>
          <w:i/>
          <w:iCs/>
          <w:sz w:val="24"/>
          <w:szCs w:val="24"/>
        </w:rPr>
        <w:t>4</w:t>
      </w:r>
      <w:r w:rsidRPr="00941142">
        <w:rPr>
          <w:rFonts w:asciiTheme="majorHAnsi" w:hAnsiTheme="majorHAnsi" w:cstheme="majorHAnsi"/>
          <w:sz w:val="24"/>
          <w:szCs w:val="24"/>
        </w:rPr>
        <w:t>(1), pp.101-113.</w:t>
      </w:r>
    </w:p>
    <w:p w14:paraId="0178BB28" w14:textId="77777777" w:rsidR="001915A2" w:rsidRPr="00941142" w:rsidRDefault="001915A2" w:rsidP="001915A2">
      <w:pPr>
        <w:spacing w:after="0" w:line="480" w:lineRule="auto"/>
        <w:ind w:left="720" w:hanging="720"/>
        <w:rPr>
          <w:rFonts w:asciiTheme="majorHAnsi" w:hAnsiTheme="majorHAnsi" w:cstheme="majorHAnsi"/>
          <w:sz w:val="24"/>
          <w:szCs w:val="24"/>
        </w:rPr>
      </w:pPr>
      <w:bookmarkStart w:id="11" w:name="_Hlk118888588"/>
      <w:r w:rsidRPr="00941142">
        <w:rPr>
          <w:rFonts w:asciiTheme="majorHAnsi" w:hAnsiTheme="majorHAnsi" w:cstheme="majorHAnsi"/>
          <w:sz w:val="24"/>
          <w:szCs w:val="24"/>
        </w:rPr>
        <w:t>Smith</w:t>
      </w:r>
      <w:bookmarkEnd w:id="11"/>
      <w:r w:rsidRPr="00941142">
        <w:rPr>
          <w:rFonts w:asciiTheme="majorHAnsi" w:hAnsiTheme="majorHAnsi" w:cstheme="majorHAnsi"/>
          <w:sz w:val="24"/>
          <w:szCs w:val="24"/>
        </w:rPr>
        <w:t>, E., 2011. Teaching critical reflection. </w:t>
      </w:r>
      <w:r w:rsidRPr="00941142">
        <w:rPr>
          <w:rFonts w:asciiTheme="majorHAnsi" w:hAnsiTheme="majorHAnsi" w:cstheme="majorHAnsi"/>
          <w:i/>
          <w:iCs/>
          <w:sz w:val="24"/>
          <w:szCs w:val="24"/>
        </w:rPr>
        <w:t>Teaching in higher Education</w:t>
      </w:r>
      <w:r w:rsidRPr="00941142">
        <w:rPr>
          <w:rFonts w:asciiTheme="majorHAnsi" w:hAnsiTheme="majorHAnsi" w:cstheme="majorHAnsi"/>
          <w:sz w:val="24"/>
          <w:szCs w:val="24"/>
        </w:rPr>
        <w:t>, </w:t>
      </w:r>
      <w:r w:rsidRPr="00941142">
        <w:rPr>
          <w:rFonts w:asciiTheme="majorHAnsi" w:hAnsiTheme="majorHAnsi" w:cstheme="majorHAnsi"/>
          <w:i/>
          <w:iCs/>
          <w:sz w:val="24"/>
          <w:szCs w:val="24"/>
        </w:rPr>
        <w:t>16</w:t>
      </w:r>
      <w:r w:rsidRPr="00941142">
        <w:rPr>
          <w:rFonts w:asciiTheme="majorHAnsi" w:hAnsiTheme="majorHAnsi" w:cstheme="majorHAnsi"/>
          <w:sz w:val="24"/>
          <w:szCs w:val="24"/>
        </w:rPr>
        <w:t>(2), pp.211-223.</w:t>
      </w:r>
    </w:p>
    <w:p w14:paraId="0FB09758" w14:textId="77777777" w:rsidR="001915A2" w:rsidRPr="00941142" w:rsidRDefault="001915A2" w:rsidP="001915A2">
      <w:pPr>
        <w:spacing w:after="0" w:line="480" w:lineRule="auto"/>
        <w:ind w:left="720" w:hanging="720"/>
        <w:rPr>
          <w:rFonts w:asciiTheme="majorHAnsi" w:hAnsiTheme="majorHAnsi" w:cstheme="majorHAnsi"/>
          <w:sz w:val="24"/>
          <w:szCs w:val="24"/>
        </w:rPr>
      </w:pPr>
      <w:r w:rsidRPr="00941142">
        <w:rPr>
          <w:rFonts w:asciiTheme="majorHAnsi" w:hAnsiTheme="majorHAnsi" w:cstheme="majorHAnsi"/>
          <w:sz w:val="24"/>
          <w:szCs w:val="24"/>
        </w:rPr>
        <w:t>Worrall, L., 2022. What matters? The impact of learning to teach within a period of curriculum reform in Wales.</w:t>
      </w:r>
    </w:p>
    <w:p w14:paraId="04AACC16" w14:textId="77777777" w:rsidR="001915A2" w:rsidRPr="00941142" w:rsidRDefault="001915A2" w:rsidP="001915A2">
      <w:pPr>
        <w:spacing w:after="0" w:line="480" w:lineRule="auto"/>
        <w:ind w:left="720" w:hanging="720"/>
        <w:rPr>
          <w:rFonts w:asciiTheme="majorHAnsi" w:hAnsiTheme="majorHAnsi" w:cstheme="majorHAnsi"/>
          <w:sz w:val="24"/>
          <w:szCs w:val="24"/>
        </w:rPr>
      </w:pPr>
    </w:p>
    <w:p w14:paraId="56E05848" w14:textId="06270ABC" w:rsidR="00B07012" w:rsidRDefault="00B07012"/>
    <w:sectPr w:rsidR="00B0701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CCAB6" w14:textId="77777777" w:rsidR="001915A2" w:rsidRDefault="001915A2" w:rsidP="001915A2">
      <w:pPr>
        <w:spacing w:after="0" w:line="240" w:lineRule="auto"/>
      </w:pPr>
      <w:r>
        <w:separator/>
      </w:r>
    </w:p>
  </w:endnote>
  <w:endnote w:type="continuationSeparator" w:id="0">
    <w:p w14:paraId="2E110CF2" w14:textId="77777777" w:rsidR="001915A2" w:rsidRDefault="001915A2" w:rsidP="00191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65DE2" w14:textId="77777777" w:rsidR="001915A2" w:rsidRDefault="00191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9DF21" w14:textId="77777777" w:rsidR="001915A2" w:rsidRDefault="001915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8FE67" w14:textId="77777777" w:rsidR="001915A2" w:rsidRDefault="00191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75154" w14:textId="77777777" w:rsidR="001915A2" w:rsidRDefault="001915A2" w:rsidP="001915A2">
      <w:pPr>
        <w:spacing w:after="0" w:line="240" w:lineRule="auto"/>
      </w:pPr>
      <w:r>
        <w:separator/>
      </w:r>
    </w:p>
  </w:footnote>
  <w:footnote w:type="continuationSeparator" w:id="0">
    <w:p w14:paraId="0EEECB94" w14:textId="77777777" w:rsidR="001915A2" w:rsidRDefault="001915A2" w:rsidP="00191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55FCA" w14:textId="77777777" w:rsidR="001915A2" w:rsidRDefault="00191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4210D" w14:textId="77777777" w:rsidR="00164120" w:rsidRDefault="001915A2">
    <w:pPr>
      <w:pStyle w:val="Header"/>
    </w:pPr>
    <w:r>
      <w:t>Megan Genevieve Pearson.</w:t>
    </w:r>
  </w:p>
  <w:p w14:paraId="4754C2A1" w14:textId="0014BD44" w:rsidR="00164120" w:rsidRDefault="001915A2">
    <w:pPr>
      <w:pStyle w:val="Header"/>
    </w:pPr>
    <w:r>
      <w:t>1900634.</w:t>
    </w:r>
  </w:p>
  <w:p w14:paraId="36AD9951" w14:textId="1EA1E9E2" w:rsidR="001915A2" w:rsidRDefault="001915A2">
    <w:pPr>
      <w:pStyle w:val="Header"/>
    </w:pPr>
    <w:r>
      <w:t>ECAD6007</w:t>
    </w:r>
  </w:p>
  <w:p w14:paraId="19BB86F3" w14:textId="77777777" w:rsidR="00F8471B" w:rsidRDefault="001915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07F85" w14:textId="77777777" w:rsidR="001915A2" w:rsidRDefault="00191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2D046D"/>
    <w:multiLevelType w:val="hybridMultilevel"/>
    <w:tmpl w:val="402C3482"/>
    <w:lvl w:ilvl="0" w:tplc="C458EE48">
      <w:start w:val="1"/>
      <w:numFmt w:val="decimal"/>
      <w:lvlText w:val="%1."/>
      <w:lvlJc w:val="left"/>
      <w:pPr>
        <w:ind w:left="720" w:hanging="360"/>
      </w:pPr>
      <w:rPr>
        <w:rFonts w:hint="default"/>
      </w:rPr>
    </w:lvl>
    <w:lvl w:ilvl="1" w:tplc="DA380E78" w:tentative="1">
      <w:start w:val="1"/>
      <w:numFmt w:val="lowerLetter"/>
      <w:lvlText w:val="%2."/>
      <w:lvlJc w:val="left"/>
      <w:pPr>
        <w:ind w:left="1440" w:hanging="360"/>
      </w:pPr>
    </w:lvl>
    <w:lvl w:ilvl="2" w:tplc="79088D54" w:tentative="1">
      <w:start w:val="1"/>
      <w:numFmt w:val="lowerRoman"/>
      <w:lvlText w:val="%3."/>
      <w:lvlJc w:val="right"/>
      <w:pPr>
        <w:ind w:left="2160" w:hanging="180"/>
      </w:pPr>
    </w:lvl>
    <w:lvl w:ilvl="3" w:tplc="49BC0264" w:tentative="1">
      <w:start w:val="1"/>
      <w:numFmt w:val="decimal"/>
      <w:lvlText w:val="%4."/>
      <w:lvlJc w:val="left"/>
      <w:pPr>
        <w:ind w:left="2880" w:hanging="360"/>
      </w:pPr>
    </w:lvl>
    <w:lvl w:ilvl="4" w:tplc="29FE418E" w:tentative="1">
      <w:start w:val="1"/>
      <w:numFmt w:val="lowerLetter"/>
      <w:lvlText w:val="%5."/>
      <w:lvlJc w:val="left"/>
      <w:pPr>
        <w:ind w:left="3600" w:hanging="360"/>
      </w:pPr>
    </w:lvl>
    <w:lvl w:ilvl="5" w:tplc="55D2AA60" w:tentative="1">
      <w:start w:val="1"/>
      <w:numFmt w:val="lowerRoman"/>
      <w:lvlText w:val="%6."/>
      <w:lvlJc w:val="right"/>
      <w:pPr>
        <w:ind w:left="4320" w:hanging="180"/>
      </w:pPr>
    </w:lvl>
    <w:lvl w:ilvl="6" w:tplc="CECAB99A" w:tentative="1">
      <w:start w:val="1"/>
      <w:numFmt w:val="decimal"/>
      <w:lvlText w:val="%7."/>
      <w:lvlJc w:val="left"/>
      <w:pPr>
        <w:ind w:left="5040" w:hanging="360"/>
      </w:pPr>
    </w:lvl>
    <w:lvl w:ilvl="7" w:tplc="C64A9E60" w:tentative="1">
      <w:start w:val="1"/>
      <w:numFmt w:val="lowerLetter"/>
      <w:lvlText w:val="%8."/>
      <w:lvlJc w:val="left"/>
      <w:pPr>
        <w:ind w:left="5760" w:hanging="360"/>
      </w:pPr>
    </w:lvl>
    <w:lvl w:ilvl="8" w:tplc="3A7C0654" w:tentative="1">
      <w:start w:val="1"/>
      <w:numFmt w:val="lowerRoman"/>
      <w:lvlText w:val="%9."/>
      <w:lvlJc w:val="right"/>
      <w:pPr>
        <w:ind w:left="6480" w:hanging="180"/>
      </w:pPr>
    </w:lvl>
  </w:abstractNum>
  <w:num w:numId="1" w16cid:durableId="1760057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5A2"/>
    <w:rsid w:val="001915A2"/>
    <w:rsid w:val="00B0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34EA81"/>
  <w15:chartTrackingRefBased/>
  <w15:docId w15:val="{8BE5713D-A7F6-4942-A681-F0D7F567D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5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15A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15A2"/>
    <w:pPr>
      <w:ind w:left="720"/>
      <w:contextualSpacing/>
    </w:pPr>
  </w:style>
  <w:style w:type="paragraph" w:styleId="Header">
    <w:name w:val="header"/>
    <w:basedOn w:val="Normal"/>
    <w:link w:val="HeaderChar"/>
    <w:uiPriority w:val="99"/>
    <w:unhideWhenUsed/>
    <w:rsid w:val="001915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15A2"/>
  </w:style>
  <w:style w:type="paragraph" w:styleId="Footer">
    <w:name w:val="footer"/>
    <w:basedOn w:val="Normal"/>
    <w:link w:val="FooterChar"/>
    <w:uiPriority w:val="99"/>
    <w:unhideWhenUsed/>
    <w:rsid w:val="00191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4735</Words>
  <Characters>26993</Characters>
  <Application>Microsoft Office Word</Application>
  <DocSecurity>0</DocSecurity>
  <Lines>224</Lines>
  <Paragraphs>63</Paragraphs>
  <ScaleCrop>false</ScaleCrop>
  <Company/>
  <LinksUpToDate>false</LinksUpToDate>
  <CharactersWithSpaces>31665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1</cp:revision>
  <dcterms:created xsi:type="dcterms:W3CDTF">2022-11-14T17:22:00Z</dcterms:created>
  <dcterms:modified xsi:type="dcterms:W3CDTF">2022-11-14T17:23:00Z</dcterms:modified>
</cp:coreProperties>
</file>