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36110" w14:textId="37AA4552" w:rsidR="00CB23A5" w:rsidRDefault="00E628CF" w:rsidP="00E628CF">
      <w:r>
        <w:t>Were all enemies of the Crusades seen in the same light?         Grace Moreton</w:t>
      </w:r>
    </w:p>
    <w:p w14:paraId="1A322B31" w14:textId="11AFA675" w:rsidR="00E628CF" w:rsidRDefault="00E628CF" w:rsidP="00E628CF"/>
    <w:p w14:paraId="1A919E10" w14:textId="2E551F01" w:rsidR="00E628CF" w:rsidRDefault="00E628CF" w:rsidP="00E628CF">
      <w:pPr>
        <w:spacing w:line="480" w:lineRule="auto"/>
      </w:pPr>
      <w:r>
        <w:t>Comprising of major and minor Crusades across the 11</w:t>
      </w:r>
      <w:r w:rsidRPr="00E628CF">
        <w:rPr>
          <w:vertAlign w:val="superscript"/>
        </w:rPr>
        <w:t>th</w:t>
      </w:r>
      <w:r>
        <w:t xml:space="preserve"> and 13</w:t>
      </w:r>
      <w:r w:rsidRPr="00E628CF">
        <w:rPr>
          <w:vertAlign w:val="superscript"/>
        </w:rPr>
        <w:t>th</w:t>
      </w:r>
      <w:r>
        <w:t xml:space="preserve"> centuries, the crusading movement had many enemies; the original</w:t>
      </w:r>
      <w:r w:rsidR="0036726D">
        <w:t>,</w:t>
      </w:r>
      <w:r>
        <w:t xml:space="preserve"> being the Muslim forces that had taken Jerusalem</w:t>
      </w:r>
      <w:r w:rsidR="0036726D">
        <w:t>.</w:t>
      </w:r>
      <w:r>
        <w:t xml:space="preserve"> </w:t>
      </w:r>
      <w:r w:rsidR="0036726D">
        <w:t>H</w:t>
      </w:r>
      <w:r>
        <w:t>owever, the Jewish communities, the non—Catholic communities, non-Christian communities and allies also came under fire</w:t>
      </w:r>
      <w:r w:rsidR="00AD68E0">
        <w:t xml:space="preserve"> (in this essay when I refer to Christians I refer to Catholicism)</w:t>
      </w:r>
      <w:r>
        <w:t>. Whilst they were all seen as “enemies” of the Crusades</w:t>
      </w:r>
      <w:r w:rsidR="0036726D">
        <w:t>,</w:t>
      </w:r>
      <w:r>
        <w:t xml:space="preserve"> the way they were treated varied massively depending on public views and agendas of the contributing parties</w:t>
      </w:r>
      <w:r w:rsidR="0036726D">
        <w:t xml:space="preserve"> that were on crusade.</w:t>
      </w:r>
      <w:r>
        <w:t xml:space="preserve"> As a group, the Muslim populous had the most extensive range of treatments from being declared war against, ransomed, exchanged en masse and occasionally surrendered to when the need arose. On the other hand, the Jewish and pagan communities were massacred by people such as Emico in the first Crusade</w:t>
      </w:r>
      <w:r>
        <w:rPr>
          <w:rStyle w:val="FootnoteReference"/>
        </w:rPr>
        <w:footnoteReference w:id="1"/>
      </w:r>
      <w:r>
        <w:t xml:space="preserve"> , even though they were not the original enemies that were initially targeted. In this essay I will illustrate how the assorted treatments and their effect on the Crusaders</w:t>
      </w:r>
      <w:r w:rsidR="00865933">
        <w:t>’</w:t>
      </w:r>
      <w:r>
        <w:t xml:space="preserve"> views of their enemies changed how these enemies were seen.</w:t>
      </w:r>
      <w:r w:rsidR="0052099E">
        <w:t xml:space="preserve"> </w:t>
      </w:r>
    </w:p>
    <w:p w14:paraId="3ED5DE88" w14:textId="2DC6EE6F" w:rsidR="0052099E" w:rsidRDefault="0052099E" w:rsidP="00E628CF">
      <w:pPr>
        <w:spacing w:line="480" w:lineRule="auto"/>
      </w:pPr>
    </w:p>
    <w:p w14:paraId="7DFC173B" w14:textId="0146B8DA" w:rsidR="0052099E" w:rsidRDefault="0052099E" w:rsidP="00E628CF">
      <w:pPr>
        <w:spacing w:line="480" w:lineRule="auto"/>
      </w:pPr>
      <w:r>
        <w:t>Swiftly following the Muslim invasion of the Byzantine Empire, Pope Urban II gave a speech to rally people to fight them off as “heralds of Christ”. Despite the invading “Turks” being the primary target the ambiguities of the rhetoric left it open to exploitation especially from an audience that was ignorant, for lack of a better word, of who the invaders were. Information on different cultures was scarce and misleading in the mediaeval world, even with</w:t>
      </w:r>
      <w:r w:rsidR="00AD68E0">
        <w:t>in</w:t>
      </w:r>
      <w:r>
        <w:t xml:space="preserve"> the different parts and cultures of Britain as can be seen in the works of Gerald of Wales.</w:t>
      </w:r>
      <w:r>
        <w:rPr>
          <w:rStyle w:val="FootnoteReference"/>
        </w:rPr>
        <w:footnoteReference w:id="2"/>
      </w:r>
      <w:r>
        <w:t xml:space="preserve"> </w:t>
      </w:r>
      <w:r w:rsidR="00AD68E0">
        <w:t>A</w:t>
      </w:r>
      <w:r>
        <w:t xml:space="preserve">mbiguous terms such as “vile race”, “pagans” and “infidels” could therefore be applied to any non-Christian people or anyone or thing the Crusaders  </w:t>
      </w:r>
      <w:r>
        <w:lastRenderedPageBreak/>
        <w:t xml:space="preserve">did not recognise as fundamentally Christian; </w:t>
      </w:r>
      <w:r>
        <w:rPr>
          <w:rStyle w:val="FootnoteReference"/>
        </w:rPr>
        <w:footnoteReference w:id="3"/>
      </w:r>
      <w:r>
        <w:t xml:space="preserve"> all of these at some point during the nine Crusades that occurred have been used to describe the various enemies they created or made, in this manner they </w:t>
      </w:r>
      <w:r w:rsidR="00AD68E0">
        <w:t>were</w:t>
      </w:r>
      <w:r>
        <w:t xml:space="preserve"> all viewed in the same light.</w:t>
      </w:r>
    </w:p>
    <w:p w14:paraId="002F78E8" w14:textId="383E00FF" w:rsidR="00E73FF0" w:rsidRDefault="00E73FF0" w:rsidP="00E628CF">
      <w:pPr>
        <w:spacing w:line="480" w:lineRule="auto"/>
      </w:pPr>
    </w:p>
    <w:p w14:paraId="3DB910A1" w14:textId="04765824" w:rsidR="00E73FF0" w:rsidRDefault="00B2262C" w:rsidP="00E628CF">
      <w:pPr>
        <w:spacing w:line="480" w:lineRule="auto"/>
      </w:pPr>
      <w:r>
        <w:t>Whilst this papal speech may have been the driving force behind the first Crusade and some of the resulting attacks against non-Christian communities, prejudice had a larger part play more specifically anti-Semitism.</w:t>
      </w:r>
      <w:r w:rsidR="00574F42">
        <w:t xml:space="preserve"> Throughout the Middle Ages, Jewish communities have repeatedly come under attack for a variety of reasons; for their wealth, as an origin of the plague,</w:t>
      </w:r>
      <w:r w:rsidR="00574F42">
        <w:rPr>
          <w:rStyle w:val="FootnoteReference"/>
        </w:rPr>
        <w:footnoteReference w:id="4"/>
      </w:r>
      <w:r w:rsidR="00574F42">
        <w:t xml:space="preserve"> due to racial hatred and religious fervour. This last point is what was used to justify these attacks during the Crusades, even amongst the sources that portray the victims of the Crusaders point of view. According to sources such as Albert of Aix and Ekkehard of Aura it was the Crusaders being “zealously devoted to the Christian religion” that led to the mass slaughter or enforced conversion of the Jewish communities</w:t>
      </w:r>
      <w:r w:rsidR="00AD68E0">
        <w:t>,</w:t>
      </w:r>
      <w:r w:rsidR="00574F42">
        <w:t xml:space="preserve"> predominantly through the first Crusade. It was a common belief throughout mediaeval Europe that because the Jews crucif</w:t>
      </w:r>
      <w:r w:rsidR="00AD68E0">
        <w:t>ied</w:t>
      </w:r>
      <w:r w:rsidR="00574F42">
        <w:t xml:space="preserve"> Christ, it was a Christian’s right to persecute them.</w:t>
      </w:r>
      <w:r w:rsidR="00574F42">
        <w:rPr>
          <w:rStyle w:val="FootnoteReference"/>
        </w:rPr>
        <w:footnoteReference w:id="5"/>
      </w:r>
      <w:r w:rsidR="004C13C1">
        <w:t xml:space="preserve"> </w:t>
      </w:r>
      <w:r w:rsidR="00AD68E0">
        <w:t>I</w:t>
      </w:r>
      <w:r w:rsidR="004C13C1">
        <w:t xml:space="preserve">n this sense any crime against them would be seen as a </w:t>
      </w:r>
      <w:r w:rsidR="00AD68E0">
        <w:t>“</w:t>
      </w:r>
      <w:r w:rsidR="004C13C1">
        <w:t>just crime</w:t>
      </w:r>
      <w:r w:rsidR="00AD68E0">
        <w:t>”</w:t>
      </w:r>
      <w:r w:rsidR="004C13C1">
        <w:t xml:space="preserve"> exactly the same way as the Crusades was seen as </w:t>
      </w:r>
      <w:r w:rsidR="00AD68E0">
        <w:t>“</w:t>
      </w:r>
      <w:r w:rsidR="004C13C1">
        <w:t>just wars</w:t>
      </w:r>
      <w:r w:rsidR="00AD68E0">
        <w:t>”</w:t>
      </w:r>
      <w:r w:rsidR="004C13C1">
        <w:t xml:space="preserve"> against the Muslims. With regards to the traditionalist retrospective of the Crusades where the main objective </w:t>
      </w:r>
      <w:r w:rsidR="00AD68E0">
        <w:t>was</w:t>
      </w:r>
      <w:r w:rsidR="004C13C1">
        <w:t xml:space="preserve"> to retake or defend Jerusalem and the Christian faith, persecuting both Jewish and pagan communities were one in the same with declaring war against the Muslims for invading Jerusalem; both committed crimes against Christendom.</w:t>
      </w:r>
      <w:r w:rsidR="003122EA">
        <w:rPr>
          <w:rStyle w:val="FootnoteReference"/>
        </w:rPr>
        <w:footnoteReference w:id="6"/>
      </w:r>
    </w:p>
    <w:p w14:paraId="4B1FFF22" w14:textId="3DB02942" w:rsidR="0043299E" w:rsidRDefault="0043299E" w:rsidP="00E628CF">
      <w:pPr>
        <w:spacing w:line="480" w:lineRule="auto"/>
      </w:pPr>
    </w:p>
    <w:p w14:paraId="60CD727F" w14:textId="1D9C2E8E" w:rsidR="0052099E" w:rsidRDefault="0043299E" w:rsidP="00E628CF">
      <w:pPr>
        <w:spacing w:line="480" w:lineRule="auto"/>
      </w:pPr>
      <w:r>
        <w:lastRenderedPageBreak/>
        <w:t>This would imply that the treatment and language used to refer to these enemies would be of a similar vein- they were “vile” and need to be wiped out. However, in the case of Saladin during the third Crusade, they appear to show the same amount of respect and admiration that they showed their own leaders. Recent archaeological evidence has shown on a manuscript a deal between Richard the Lionheart and Saladin stating that in exchange for Richard’s sister marrying Saladin’s brother there would be peace as long as the crusaders returned west.</w:t>
      </w:r>
      <w:r w:rsidR="00135BF8">
        <w:t xml:space="preserve"> Even though the deal. Room, the contents of the manuscript paints both monarchs in a favourable light, both are shown to be intelligent and insightful rulers who understood each other. All our favourite qualities in the concept of a “mediaeval hero” king or a monarch.</w:t>
      </w:r>
      <w:r w:rsidR="00135BF8">
        <w:rPr>
          <w:rStyle w:val="FootnoteReference"/>
        </w:rPr>
        <w:footnoteReference w:id="7"/>
      </w:r>
      <w:r w:rsidR="00135BF8">
        <w:t xml:space="preserve"> </w:t>
      </w:r>
      <w:r w:rsidR="00D0181F">
        <w:t>W</w:t>
      </w:r>
      <w:r w:rsidR="00135BF8">
        <w:t>hilst the Crusader propaganda betrayed the Muslims as infidels and Saladin is a tyrant, the actual records of negotiations and interactions between the two forces are positive on both sides. Baha ad-Din Ibn Shaddad was a writer in Saladin’s court and made similar comments to the manuscript regarding both rulers – “Saladin was well mannered and entertaining […] He always stuck to his word and was loyal.”, “A very powerful man, of great courage and spirit […] Excitable, brave and clever.” Such traits have been repeatedly used in literature in the Chanson de Jeste genre, in romances that cropped up around the Crusades and in every legend surrounding its heroes e.g. Charlemagne.</w:t>
      </w:r>
      <w:r w:rsidR="00135BF8">
        <w:rPr>
          <w:rStyle w:val="FootnoteReference"/>
        </w:rPr>
        <w:footnoteReference w:id="8"/>
      </w:r>
      <w:r w:rsidR="00135BF8">
        <w:t xml:space="preserve">  This </w:t>
      </w:r>
      <w:r w:rsidR="001C50C1">
        <w:t>created</w:t>
      </w:r>
      <w:r w:rsidR="00135BF8">
        <w:t xml:space="preserve"> an issue as if an enemy of the Crusades was being given the same traits Charlemagne, they </w:t>
      </w:r>
      <w:r w:rsidR="001C50C1">
        <w:t>could not</w:t>
      </w:r>
      <w:r w:rsidR="00135BF8">
        <w:t xml:space="preserve"> come under the same category as the people they persecuted,  </w:t>
      </w:r>
      <w:r w:rsidR="001C50C1">
        <w:t>it</w:t>
      </w:r>
      <w:r w:rsidR="00135BF8">
        <w:t xml:space="preserve"> implies that only an enemy that was powerful as they were  could be declared war again</w:t>
      </w:r>
      <w:r w:rsidR="001C50C1">
        <w:t>st.</w:t>
      </w:r>
      <w:r w:rsidR="00CC7553">
        <w:t xml:space="preserve"> Given there was this differentiation between the treatment of their enemies, it means by extension they were not all seen in the same light. </w:t>
      </w:r>
    </w:p>
    <w:p w14:paraId="0BB2BFAD" w14:textId="25DB2B34" w:rsidR="001E53CF" w:rsidRDefault="001E53CF" w:rsidP="00E628CF">
      <w:pPr>
        <w:spacing w:line="480" w:lineRule="auto"/>
      </w:pPr>
    </w:p>
    <w:p w14:paraId="641526CE" w14:textId="3769612B" w:rsidR="001E53CF" w:rsidRDefault="001E53CF" w:rsidP="00E628CF">
      <w:pPr>
        <w:spacing w:line="480" w:lineRule="auto"/>
      </w:pPr>
      <w:r>
        <w:lastRenderedPageBreak/>
        <w:t>Whilst it may appear to be a common flaw that all the enemy share, as I discussed in my introduction other Christian groups including the factions the papacy and align themselves with previously became enemies of the crusades as agendas changed over the course of the nine crusades. One of these was the declaration of the sixth crusade against Frederick II after Pope Innocent IV had asked and been refused help for the fifth crusade. Having previously been excommunicated by Pope Gregory VIII technically speaking Frederick could not go on crusade because he did not have the churches backing. Which is why, even though his was the only crusade since the first take Jerusalem, it was not official from both the Church’s and traditionalists viewpoint. This gave the church ample excuse to label him the Antichrist and attack especially given the attitudes Frederick had publicly given against the church’s power.</w:t>
      </w:r>
      <w:r>
        <w:rPr>
          <w:rStyle w:val="FootnoteReference"/>
        </w:rPr>
        <w:footnoteReference w:id="9"/>
      </w:r>
      <w:r w:rsidR="00AF39EB">
        <w:t xml:space="preserve"> another reason for could have been because of Frederick’s amicable interactions with the Muslim forces that occupied Jerusalem, including his marrying Isabella who was the daughter of the King of Jerusalem. These dealings </w:t>
      </w:r>
      <w:proofErr w:type="gramStart"/>
      <w:r w:rsidR="00AF39EB">
        <w:t>was</w:t>
      </w:r>
      <w:proofErr w:type="gramEnd"/>
      <w:r w:rsidR="00AF39EB">
        <w:t xml:space="preserve"> what allowed him to become the self-crowned holy Roman Emperor without raising a sword or army. For all that the papacy disavowed him as the Emperor and fought him for the rest of his life he did have supporters who gave him the moniker “Stupor Mundi” or the “wonder of the world”.</w:t>
      </w:r>
      <w:r w:rsidR="00AF39EB">
        <w:rPr>
          <w:rStyle w:val="FootnoteReference"/>
        </w:rPr>
        <w:footnoteReference w:id="10"/>
      </w:r>
      <w:r w:rsidR="00AF39EB">
        <w:t xml:space="preserve"> Respect may have been one-sided, primarily from his supporters alone, the treatment of Frederick II as an enemy was not dissimilar to the treatment of Saladin, the same names were given to justify the war is declared against them for instance. They were both fought off a deal is and in Frederick II’s case asked for help from, while Saladin had respect from both sides as I have illustrated previously. They were treated differently but they were viewed as the same, as an enemy of the Church.</w:t>
      </w:r>
    </w:p>
    <w:p w14:paraId="60C171FB" w14:textId="783E8F55" w:rsidR="001C7825" w:rsidRDefault="001C7825" w:rsidP="00E628CF">
      <w:pPr>
        <w:spacing w:line="480" w:lineRule="auto"/>
      </w:pPr>
    </w:p>
    <w:p w14:paraId="130DB854" w14:textId="5B0B1693" w:rsidR="001C7825" w:rsidRDefault="008F3389" w:rsidP="00E628CF">
      <w:pPr>
        <w:spacing w:line="480" w:lineRule="auto"/>
      </w:pPr>
      <w:r>
        <w:lastRenderedPageBreak/>
        <w:t xml:space="preserve">It stands to reason that treatment and actions demonstrate how enemies are seen and in what light – Jewish people and pagans were killed on the way to Jerusalem because they were seen as “vile”. Powerful and well supported enemy such as Frederick and Saladin were declared war against because they were seen as were the religious enemies. However, the Albigensian Crusade must therefore be an anomaly because the action taken against them was a just war due to religious crimes, but the treatment was extermination exactly the same as other “vile races” had been killed in prior crusades. It was an act of prejudice and the papacy’s need for total control as other purges had </w:t>
      </w:r>
      <w:proofErr w:type="gramStart"/>
      <w:r>
        <w:t>been</w:t>
      </w:r>
      <w:proofErr w:type="gramEnd"/>
      <w:r>
        <w:t xml:space="preserve"> but the soldiers were given indulgences by the Lateran Council and Pope Innocent in a letter to Philip II of France saying “heresy, […] Must be dealt with as a doctor knifes a wound,”.</w:t>
      </w:r>
      <w:r>
        <w:rPr>
          <w:rStyle w:val="FootnoteReference"/>
        </w:rPr>
        <w:footnoteReference w:id="11"/>
      </w:r>
      <w:r>
        <w:t xml:space="preserve"> An aspect that differs from the other Crusades is that both the papacy and the monarchy responsible for the crusade benefited – the Church gained total control and establish the catholic faith security in France and the ruler of France gained control over his country and any money they had gathered, as did the soldiers killed the Cathars. Everyone gained except the religious faction that was killed en masse even though it was a war, both Saladin and Frederick benefited from the wards declared against them at least in the short term. The treatment and actions did not match the light they were seen in. It does on the other hand suggest the common flaw that had been previously apparent.</w:t>
      </w:r>
    </w:p>
    <w:p w14:paraId="536DFCB1" w14:textId="3D83E360" w:rsidR="008F3389" w:rsidRDefault="008F3389" w:rsidP="00E628CF">
      <w:pPr>
        <w:spacing w:line="480" w:lineRule="auto"/>
      </w:pPr>
    </w:p>
    <w:p w14:paraId="07B6A1E3" w14:textId="62E02DEC" w:rsidR="003F4CE1" w:rsidRDefault="008F3389" w:rsidP="00E628CF">
      <w:pPr>
        <w:spacing w:line="480" w:lineRule="auto"/>
      </w:pPr>
      <w:r>
        <w:t>This uniting feature is how I will conclude this essay. Initially as I propose to my introduction that it was the treatment that influence the light in which the enemies were seen, it was in fact completely unrelated. They were all seen as enemies because they “menaced not […] The papal patrimony as they threaten the Church” the treatment of the enemies in its wide variety was licensed by this fact in many of the speeches given by various popes, but it was caused by public opinions of minority groups in some cases and lack of knowledge of other cultures in others.</w:t>
      </w:r>
      <w:r>
        <w:rPr>
          <w:rStyle w:val="FootnoteReference"/>
        </w:rPr>
        <w:footnoteReference w:id="12"/>
      </w:r>
      <w:r>
        <w:t xml:space="preserve"> all enemies were seen in </w:t>
      </w:r>
      <w:r>
        <w:lastRenderedPageBreak/>
        <w:t>the same light throughout all of the crusades because they opposed the will or beliefs of the church, whether that Jerusalem should have been there holy place or whether their facet of Christianity was correct preferable to a Catholicism</w:t>
      </w:r>
      <w:r w:rsidR="003F4CE1">
        <w:t xml:space="preserve"> or just because they believed something else entirely and were in the way of the political standpoints between the two ruling forces.</w:t>
      </w:r>
    </w:p>
    <w:p w14:paraId="4D4EAA6C" w14:textId="77777777" w:rsidR="003F4CE1" w:rsidRDefault="003F4CE1">
      <w:r>
        <w:br w:type="page"/>
      </w:r>
    </w:p>
    <w:p w14:paraId="5DECDC75" w14:textId="77777777" w:rsidR="003F4CE1" w:rsidRPr="005D76EB" w:rsidRDefault="003F4CE1" w:rsidP="003F4CE1">
      <w:pPr>
        <w:spacing w:after="264"/>
        <w:rPr>
          <w:rFonts w:cstheme="minorHAnsi"/>
        </w:rPr>
      </w:pPr>
      <w:r w:rsidRPr="005D76EB">
        <w:rPr>
          <w:rFonts w:cstheme="minorHAnsi"/>
          <w:sz w:val="36"/>
          <w:szCs w:val="36"/>
        </w:rPr>
        <w:lastRenderedPageBreak/>
        <w:t>Bibliography</w:t>
      </w:r>
    </w:p>
    <w:p w14:paraId="62D24B92" w14:textId="77777777" w:rsidR="003F4CE1" w:rsidRPr="005D76EB" w:rsidRDefault="003F4CE1" w:rsidP="003F4CE1">
      <w:pPr>
        <w:spacing w:after="336" w:line="360" w:lineRule="auto"/>
        <w:rPr>
          <w:rFonts w:cstheme="minorHAnsi"/>
        </w:rPr>
      </w:pPr>
      <w:r w:rsidRPr="005D76EB">
        <w:rPr>
          <w:rFonts w:cstheme="minorHAnsi"/>
          <w:sz w:val="24"/>
          <w:szCs w:val="24"/>
        </w:rPr>
        <w:t xml:space="preserve">Armstrong, K. (1992). </w:t>
      </w:r>
      <w:r w:rsidRPr="005D76EB">
        <w:rPr>
          <w:rFonts w:cstheme="minorHAnsi"/>
          <w:i/>
          <w:sz w:val="24"/>
          <w:szCs w:val="24"/>
        </w:rPr>
        <w:t>Holy war</w:t>
      </w:r>
      <w:r w:rsidRPr="005D76EB">
        <w:rPr>
          <w:rFonts w:cstheme="minorHAnsi"/>
          <w:sz w:val="24"/>
          <w:szCs w:val="24"/>
        </w:rPr>
        <w:t>. London: Papermac.</w:t>
      </w:r>
    </w:p>
    <w:p w14:paraId="38A9FC6D" w14:textId="77777777" w:rsidR="003F4CE1" w:rsidRPr="005D76EB" w:rsidRDefault="003F4CE1" w:rsidP="003F4CE1">
      <w:pPr>
        <w:spacing w:after="336" w:line="360" w:lineRule="auto"/>
        <w:rPr>
          <w:rFonts w:cstheme="minorHAnsi"/>
        </w:rPr>
      </w:pPr>
      <w:r w:rsidRPr="005D76EB">
        <w:rPr>
          <w:rFonts w:cstheme="minorHAnsi"/>
          <w:sz w:val="24"/>
          <w:szCs w:val="24"/>
        </w:rPr>
        <w:t xml:space="preserve">Batchelor, S. (2010). </w:t>
      </w:r>
      <w:r w:rsidRPr="005D76EB">
        <w:rPr>
          <w:rFonts w:cstheme="minorHAnsi"/>
          <w:i/>
          <w:sz w:val="24"/>
          <w:szCs w:val="24"/>
        </w:rPr>
        <w:t>Medieval history for dummies</w:t>
      </w:r>
      <w:r w:rsidRPr="005D76EB">
        <w:rPr>
          <w:rFonts w:cstheme="minorHAnsi"/>
          <w:sz w:val="24"/>
          <w:szCs w:val="24"/>
        </w:rPr>
        <w:t>. Hoboken, N.J.: Wiley, p.278.</w:t>
      </w:r>
    </w:p>
    <w:p w14:paraId="6C45BA03" w14:textId="77777777" w:rsidR="003F4CE1" w:rsidRPr="005D76EB" w:rsidRDefault="003F4CE1" w:rsidP="003F4CE1">
      <w:pPr>
        <w:spacing w:after="336" w:line="360" w:lineRule="auto"/>
        <w:rPr>
          <w:rFonts w:cstheme="minorHAnsi"/>
        </w:rPr>
      </w:pPr>
      <w:r w:rsidRPr="005D76EB">
        <w:rPr>
          <w:rFonts w:cstheme="minorHAnsi"/>
          <w:sz w:val="24"/>
          <w:szCs w:val="24"/>
        </w:rPr>
        <w:t xml:space="preserve">Bbc.co.uk. (2018). </w:t>
      </w:r>
      <w:r w:rsidRPr="005D76EB">
        <w:rPr>
          <w:rFonts w:cstheme="minorHAnsi"/>
          <w:i/>
          <w:sz w:val="24"/>
          <w:szCs w:val="24"/>
        </w:rPr>
        <w:t>BBC - BBC TV blog: The Crusades: the thrill of a priceless manuscript</w:t>
      </w:r>
      <w:r w:rsidRPr="005D76EB">
        <w:rPr>
          <w:rFonts w:cstheme="minorHAnsi"/>
          <w:sz w:val="24"/>
          <w:szCs w:val="24"/>
        </w:rPr>
        <w:t>. [online] Available at: http://www.bbc.co.uk/blogs/tv/2012/01/the-crusades.shtml [Accessed 19 Mar. 2018].</w:t>
      </w:r>
    </w:p>
    <w:p w14:paraId="49FDEBD1" w14:textId="77777777" w:rsidR="003F4CE1" w:rsidRPr="005D76EB" w:rsidRDefault="003F4CE1" w:rsidP="003F4CE1">
      <w:pPr>
        <w:spacing w:after="336" w:line="360" w:lineRule="auto"/>
        <w:rPr>
          <w:rFonts w:cstheme="minorHAnsi"/>
        </w:rPr>
      </w:pPr>
      <w:r w:rsidRPr="005D76EB">
        <w:rPr>
          <w:rFonts w:cstheme="minorHAnsi"/>
          <w:sz w:val="24"/>
          <w:szCs w:val="24"/>
        </w:rPr>
        <w:t xml:space="preserve">Brundage, t. and Stevenson, e. (1962). </w:t>
      </w:r>
      <w:r w:rsidRPr="005D76EB">
        <w:rPr>
          <w:rFonts w:cstheme="minorHAnsi"/>
          <w:i/>
          <w:sz w:val="24"/>
          <w:szCs w:val="24"/>
        </w:rPr>
        <w:t>The Capture of the Holy Land by Saladin, The Crusades: A Documentary History</w:t>
      </w:r>
      <w:r w:rsidRPr="005D76EB">
        <w:rPr>
          <w:rFonts w:cstheme="minorHAnsi"/>
          <w:sz w:val="24"/>
          <w:szCs w:val="24"/>
        </w:rPr>
        <w:t>. Milwaukee, WI: Marquette University Press, pp.159-63.</w:t>
      </w:r>
    </w:p>
    <w:p w14:paraId="2D4C8BF7" w14:textId="77777777" w:rsidR="003F4CE1" w:rsidRPr="005D76EB" w:rsidRDefault="003F4CE1" w:rsidP="003F4CE1">
      <w:pPr>
        <w:spacing w:after="336" w:line="360" w:lineRule="auto"/>
        <w:rPr>
          <w:rFonts w:cstheme="minorHAnsi"/>
        </w:rPr>
      </w:pPr>
      <w:r w:rsidRPr="005D76EB">
        <w:rPr>
          <w:rFonts w:cstheme="minorHAnsi"/>
          <w:sz w:val="24"/>
          <w:szCs w:val="24"/>
        </w:rPr>
        <w:t xml:space="preserve">Geary, P. (1997). </w:t>
      </w:r>
      <w:r w:rsidRPr="005D76EB">
        <w:rPr>
          <w:rFonts w:cstheme="minorHAnsi"/>
          <w:i/>
          <w:sz w:val="24"/>
          <w:szCs w:val="24"/>
        </w:rPr>
        <w:t>Readings in medieval history</w:t>
      </w:r>
      <w:r w:rsidRPr="005D76EB">
        <w:rPr>
          <w:rFonts w:cstheme="minorHAnsi"/>
          <w:sz w:val="24"/>
          <w:szCs w:val="24"/>
        </w:rPr>
        <w:t>. Peterborough, Ont.: Broadview Press.</w:t>
      </w:r>
    </w:p>
    <w:p w14:paraId="6CA250CE" w14:textId="77777777" w:rsidR="003F4CE1" w:rsidRPr="005D76EB" w:rsidRDefault="003F4CE1" w:rsidP="003F4CE1">
      <w:pPr>
        <w:spacing w:after="336" w:line="360" w:lineRule="auto"/>
        <w:rPr>
          <w:rFonts w:cstheme="minorHAnsi"/>
        </w:rPr>
      </w:pPr>
      <w:r w:rsidRPr="005D76EB">
        <w:rPr>
          <w:rFonts w:cstheme="minorHAnsi"/>
          <w:sz w:val="24"/>
          <w:szCs w:val="24"/>
        </w:rPr>
        <w:t xml:space="preserve">Moodle.uwtsd.ac.uk. (2018). </w:t>
      </w:r>
      <w:r w:rsidRPr="005D76EB">
        <w:rPr>
          <w:rFonts w:cstheme="minorHAnsi"/>
          <w:i/>
          <w:sz w:val="24"/>
          <w:szCs w:val="24"/>
        </w:rPr>
        <w:t>UWTSD Moodle 17/18: Log in to the site</w:t>
      </w:r>
      <w:r w:rsidRPr="005D76EB">
        <w:rPr>
          <w:rFonts w:cstheme="minorHAnsi"/>
          <w:sz w:val="24"/>
          <w:szCs w:val="24"/>
        </w:rPr>
        <w:t>. [online] Available at: https://moodle.uwtsd.ac.uk/pluginfile.php/74316/mod_folder/content/0/Richard%20and%20Saladin.pptx?forcedownload=1 [Accessed 19 Mar. 2018].</w:t>
      </w:r>
    </w:p>
    <w:p w14:paraId="2A02D304" w14:textId="77777777" w:rsidR="003F4CE1" w:rsidRPr="005D76EB" w:rsidRDefault="003F4CE1" w:rsidP="003F4CE1">
      <w:pPr>
        <w:spacing w:after="336" w:line="360" w:lineRule="auto"/>
        <w:rPr>
          <w:rFonts w:cstheme="minorHAnsi"/>
        </w:rPr>
      </w:pPr>
      <w:r w:rsidRPr="005D76EB">
        <w:rPr>
          <w:rFonts w:cstheme="minorHAnsi"/>
          <w:sz w:val="24"/>
          <w:szCs w:val="24"/>
        </w:rPr>
        <w:t xml:space="preserve">Nicholson, H. (2005). </w:t>
      </w:r>
      <w:r w:rsidRPr="005D76EB">
        <w:rPr>
          <w:rFonts w:cstheme="minorHAnsi"/>
          <w:i/>
          <w:sz w:val="24"/>
          <w:szCs w:val="24"/>
        </w:rPr>
        <w:t>The Crusades</w:t>
      </w:r>
      <w:r w:rsidRPr="005D76EB">
        <w:rPr>
          <w:rFonts w:cstheme="minorHAnsi"/>
          <w:sz w:val="24"/>
          <w:szCs w:val="24"/>
        </w:rPr>
        <w:t>. Basingstoke: Palgrave Macmillan.</w:t>
      </w:r>
    </w:p>
    <w:p w14:paraId="496614BF" w14:textId="286C4E58" w:rsidR="003F4CE1" w:rsidRPr="005D76EB" w:rsidRDefault="003F4CE1" w:rsidP="003F4CE1">
      <w:pPr>
        <w:spacing w:after="336" w:line="360" w:lineRule="auto"/>
        <w:rPr>
          <w:rFonts w:cstheme="minorHAnsi"/>
        </w:rPr>
      </w:pPr>
      <w:r w:rsidRPr="005D76EB">
        <w:rPr>
          <w:rFonts w:cstheme="minorHAnsi"/>
          <w:sz w:val="24"/>
          <w:szCs w:val="24"/>
        </w:rPr>
        <w:t xml:space="preserve">Riley-Smith, J. (2006). </w:t>
      </w:r>
      <w:r w:rsidRPr="005D76EB">
        <w:rPr>
          <w:rFonts w:cstheme="minorHAnsi"/>
          <w:i/>
          <w:sz w:val="24"/>
          <w:szCs w:val="24"/>
        </w:rPr>
        <w:t xml:space="preserve">What were the </w:t>
      </w:r>
      <w:r w:rsidRPr="005D76EB">
        <w:rPr>
          <w:rFonts w:cstheme="minorHAnsi"/>
          <w:i/>
          <w:sz w:val="24"/>
          <w:szCs w:val="24"/>
        </w:rPr>
        <w:t>crusades?</w:t>
      </w:r>
      <w:bookmarkStart w:id="1" w:name="_GoBack"/>
      <w:bookmarkEnd w:id="1"/>
      <w:r w:rsidRPr="005D76EB">
        <w:rPr>
          <w:rFonts w:cstheme="minorHAnsi"/>
          <w:sz w:val="24"/>
          <w:szCs w:val="24"/>
        </w:rPr>
        <w:t xml:space="preserve"> Basingstoke: Palgrave Macmillan.</w:t>
      </w:r>
    </w:p>
    <w:p w14:paraId="6C36CA7C" w14:textId="77777777" w:rsidR="003F4CE1" w:rsidRPr="005D76EB" w:rsidRDefault="003F4CE1" w:rsidP="003F4CE1">
      <w:pPr>
        <w:spacing w:after="336" w:line="360" w:lineRule="auto"/>
        <w:rPr>
          <w:rFonts w:cstheme="minorHAnsi"/>
        </w:rPr>
      </w:pPr>
      <w:r w:rsidRPr="005D76EB">
        <w:rPr>
          <w:rFonts w:cstheme="minorHAnsi"/>
          <w:sz w:val="24"/>
          <w:szCs w:val="24"/>
        </w:rPr>
        <w:t xml:space="preserve">Sourcebooks.fordham.edu. (2018). </w:t>
      </w:r>
      <w:r w:rsidRPr="005D76EB">
        <w:rPr>
          <w:rFonts w:cstheme="minorHAnsi"/>
          <w:i/>
          <w:sz w:val="24"/>
          <w:szCs w:val="24"/>
        </w:rPr>
        <w:t>Internet History Sourcebooks Project</w:t>
      </w:r>
      <w:r w:rsidRPr="005D76EB">
        <w:rPr>
          <w:rFonts w:cstheme="minorHAnsi"/>
          <w:sz w:val="24"/>
          <w:szCs w:val="24"/>
        </w:rPr>
        <w:t>. [online] Available at: https://sourcebooks.fordham.edu/Halsall/source/geraldwales1.asp [Accessed 14 Mar. 2018].</w:t>
      </w:r>
    </w:p>
    <w:p w14:paraId="0D02F4DB" w14:textId="77777777" w:rsidR="003F4CE1" w:rsidRPr="005D76EB" w:rsidRDefault="003F4CE1" w:rsidP="003F4CE1">
      <w:pPr>
        <w:spacing w:after="336" w:line="360" w:lineRule="auto"/>
        <w:rPr>
          <w:rFonts w:cstheme="minorHAnsi"/>
        </w:rPr>
      </w:pPr>
      <w:r w:rsidRPr="005D76EB">
        <w:rPr>
          <w:rFonts w:cstheme="minorHAnsi"/>
          <w:sz w:val="24"/>
          <w:szCs w:val="24"/>
        </w:rPr>
        <w:t xml:space="preserve">Thelatinlibrary.com. (2018). </w:t>
      </w:r>
      <w:r w:rsidRPr="005D76EB">
        <w:rPr>
          <w:rFonts w:cstheme="minorHAnsi"/>
          <w:i/>
          <w:sz w:val="24"/>
          <w:szCs w:val="24"/>
        </w:rPr>
        <w:t>Albert of Aix: Historia Hierosolymitanae expeditionis</w:t>
      </w:r>
      <w:r w:rsidRPr="005D76EB">
        <w:rPr>
          <w:rFonts w:cstheme="minorHAnsi"/>
          <w:sz w:val="24"/>
          <w:szCs w:val="24"/>
        </w:rPr>
        <w:t>. [online] Available at: http://www.thelatinlibrary.com/albertofaix/hist1.shtml [Accessed 14 Mar. 2018].</w:t>
      </w:r>
    </w:p>
    <w:p w14:paraId="3EABE0E9" w14:textId="2DA8917F" w:rsidR="008F3389" w:rsidRPr="003F4CE1" w:rsidRDefault="003F4CE1" w:rsidP="003F4CE1">
      <w:pPr>
        <w:spacing w:after="336" w:line="360" w:lineRule="auto"/>
        <w:rPr>
          <w:rFonts w:cstheme="minorHAnsi"/>
        </w:rPr>
      </w:pPr>
      <w:r w:rsidRPr="005D76EB">
        <w:rPr>
          <w:rFonts w:cstheme="minorHAnsi"/>
          <w:sz w:val="24"/>
          <w:szCs w:val="24"/>
        </w:rPr>
        <w:t xml:space="preserve">Ushmm.org. (2018). </w:t>
      </w:r>
      <w:r w:rsidRPr="005D76EB">
        <w:rPr>
          <w:rFonts w:cstheme="minorHAnsi"/>
          <w:i/>
          <w:sz w:val="24"/>
          <w:szCs w:val="24"/>
        </w:rPr>
        <w:t>Antisemitism in History: From the Early Church to 1400</w:t>
      </w:r>
      <w:r w:rsidRPr="005D76EB">
        <w:rPr>
          <w:rFonts w:cstheme="minorHAnsi"/>
          <w:sz w:val="24"/>
          <w:szCs w:val="24"/>
        </w:rPr>
        <w:t>. [online] Available at: https://www.ushmm.org/wlc/en/article.php?ModuleId=10007170 [Accessed 19 Mar. 2018].</w:t>
      </w:r>
    </w:p>
    <w:sectPr w:rsidR="008F3389" w:rsidRPr="003F4C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2CAE8" w14:textId="77777777" w:rsidR="00014EFC" w:rsidRDefault="00014EFC" w:rsidP="00E628CF">
      <w:pPr>
        <w:spacing w:after="0" w:line="240" w:lineRule="auto"/>
      </w:pPr>
      <w:r>
        <w:separator/>
      </w:r>
    </w:p>
  </w:endnote>
  <w:endnote w:type="continuationSeparator" w:id="0">
    <w:p w14:paraId="158F03D1" w14:textId="77777777" w:rsidR="00014EFC" w:rsidRDefault="00014EFC" w:rsidP="00E62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F7E74" w14:textId="77777777" w:rsidR="00014EFC" w:rsidRDefault="00014EFC" w:rsidP="00E628CF">
      <w:pPr>
        <w:spacing w:after="0" w:line="240" w:lineRule="auto"/>
      </w:pPr>
      <w:r>
        <w:separator/>
      </w:r>
    </w:p>
  </w:footnote>
  <w:footnote w:type="continuationSeparator" w:id="0">
    <w:p w14:paraId="5F80991A" w14:textId="77777777" w:rsidR="00014EFC" w:rsidRDefault="00014EFC" w:rsidP="00E628CF">
      <w:pPr>
        <w:spacing w:after="0" w:line="240" w:lineRule="auto"/>
      </w:pPr>
      <w:r>
        <w:continuationSeparator/>
      </w:r>
    </w:p>
  </w:footnote>
  <w:footnote w:id="1">
    <w:p w14:paraId="461856E3" w14:textId="111C3DE5" w:rsidR="00E628CF" w:rsidRDefault="00E628CF">
      <w:pPr>
        <w:pStyle w:val="FootnoteText"/>
      </w:pPr>
      <w:r>
        <w:rPr>
          <w:rStyle w:val="FootnoteReference"/>
        </w:rPr>
        <w:footnoteRef/>
      </w:r>
      <w:r>
        <w:t xml:space="preserve"> Albert of </w:t>
      </w:r>
      <w:r w:rsidR="00DC3D37">
        <w:t>Aix, http://www.thelatinlibrary.com/albertofaix/hist1.shtml</w:t>
      </w:r>
      <w:r w:rsidR="00DC3D37" w:rsidRPr="00DC3D37">
        <w:t xml:space="preserve"> [Accessed 14 Mar. 2018</w:t>
      </w:r>
      <w:r w:rsidR="00DC3D37">
        <w:t>]. Further referenced to as Al of Aix.</w:t>
      </w:r>
    </w:p>
  </w:footnote>
  <w:footnote w:id="2">
    <w:p w14:paraId="4BAC26F5" w14:textId="2AE265BC" w:rsidR="0052099E" w:rsidRDefault="0052099E">
      <w:pPr>
        <w:pStyle w:val="FootnoteText"/>
      </w:pPr>
      <w:r>
        <w:rPr>
          <w:rStyle w:val="FootnoteReference"/>
        </w:rPr>
        <w:footnoteRef/>
      </w:r>
      <w:r>
        <w:t xml:space="preserve"> Gerald of Wales,</w:t>
      </w:r>
      <w:r>
        <w:rPr>
          <w:rStyle w:val="Strong"/>
          <w:rFonts w:ascii="Arial" w:hAnsi="Arial" w:cs="Arial"/>
          <w:color w:val="666666"/>
          <w:shd w:val="clear" w:color="auto" w:fill="FFFFFF"/>
        </w:rPr>
        <w:t> </w:t>
      </w:r>
      <w:r w:rsidRPr="0052099E">
        <w:rPr>
          <w:rFonts w:ascii="Arial" w:hAnsi="Arial" w:cs="Arial"/>
          <w:b/>
          <w:bCs/>
          <w:color w:val="666666"/>
          <w:shd w:val="clear" w:color="auto" w:fill="FFFFFF"/>
        </w:rPr>
        <w:t>Sourcebooks.fordham.edu</w:t>
      </w:r>
      <w:r w:rsidRPr="0052099E">
        <w:rPr>
          <w:rFonts w:ascii="Arial" w:hAnsi="Arial" w:cs="Arial"/>
          <w:color w:val="666666"/>
          <w:shd w:val="clear" w:color="auto" w:fill="FFFFFF"/>
        </w:rPr>
        <w:t>. (2018). </w:t>
      </w:r>
      <w:r w:rsidRPr="0052099E">
        <w:rPr>
          <w:rFonts w:ascii="Arial" w:hAnsi="Arial" w:cs="Arial"/>
          <w:i/>
          <w:iCs/>
          <w:color w:val="666666"/>
          <w:shd w:val="clear" w:color="auto" w:fill="FFFFFF"/>
        </w:rPr>
        <w:t>Internet History Sourcebooks Project</w:t>
      </w:r>
      <w:r w:rsidRPr="0052099E">
        <w:rPr>
          <w:rFonts w:ascii="Arial" w:hAnsi="Arial" w:cs="Arial"/>
          <w:color w:val="666666"/>
          <w:shd w:val="clear" w:color="auto" w:fill="FFFFFF"/>
        </w:rPr>
        <w:t>. [online] Available at: https://sourcebooks.fordham.edu/Halsall/source/geraldwales1.asp [Accessed 14 Mar. 2018</w:t>
      </w:r>
      <w:r>
        <w:rPr>
          <w:rFonts w:ascii="Arial" w:hAnsi="Arial" w:cs="Arial"/>
          <w:color w:val="666666"/>
          <w:shd w:val="clear" w:color="auto" w:fill="FFFFFF"/>
        </w:rPr>
        <w:t>]</w:t>
      </w:r>
    </w:p>
  </w:footnote>
  <w:footnote w:id="3">
    <w:p w14:paraId="6FAFAB53" w14:textId="329AE8DF" w:rsidR="0052099E" w:rsidRPr="0052099E" w:rsidRDefault="0052099E">
      <w:pPr>
        <w:pStyle w:val="FootnoteText"/>
        <w:rPr>
          <w:rFonts w:cstheme="minorHAnsi"/>
        </w:rPr>
      </w:pPr>
      <w:r>
        <w:rPr>
          <w:rStyle w:val="FootnoteReference"/>
        </w:rPr>
        <w:footnoteRef/>
      </w:r>
      <w:r>
        <w:t xml:space="preserve"> </w:t>
      </w:r>
      <w:r w:rsidRPr="0052099E">
        <w:rPr>
          <w:rFonts w:cstheme="minorHAnsi"/>
        </w:rPr>
        <w:t>Fulcher of Chartres, P</w:t>
      </w:r>
      <w:r w:rsidRPr="0052099E">
        <w:rPr>
          <w:rStyle w:val="selectable"/>
          <w:rFonts w:cstheme="minorHAnsi"/>
          <w:shd w:val="clear" w:color="auto" w:fill="FFFFFF"/>
        </w:rPr>
        <w:t>. Geary (1997). </w:t>
      </w:r>
      <w:r w:rsidRPr="0052099E">
        <w:rPr>
          <w:rStyle w:val="selectable"/>
          <w:rFonts w:cstheme="minorHAnsi"/>
          <w:i/>
          <w:iCs/>
          <w:shd w:val="clear" w:color="auto" w:fill="FFFFFF"/>
        </w:rPr>
        <w:t>Readings in medieval history</w:t>
      </w:r>
      <w:r w:rsidRPr="0052099E">
        <w:rPr>
          <w:rStyle w:val="selectable"/>
          <w:rFonts w:cstheme="minorHAnsi"/>
          <w:shd w:val="clear" w:color="auto" w:fill="FFFFFF"/>
        </w:rPr>
        <w:t>. Peterborough, Ont.: Broadview Press.</w:t>
      </w:r>
      <w:r>
        <w:rPr>
          <w:rStyle w:val="selectable"/>
          <w:rFonts w:cstheme="minorHAnsi"/>
          <w:shd w:val="clear" w:color="auto" w:fill="FFFFFF"/>
        </w:rPr>
        <w:t xml:space="preserve"> p.338. Further referenced as Papa U2’s speech.</w:t>
      </w:r>
    </w:p>
  </w:footnote>
  <w:footnote w:id="4">
    <w:p w14:paraId="669AA748" w14:textId="4F974E23" w:rsidR="00574F42" w:rsidRPr="004C13C1" w:rsidRDefault="00574F42">
      <w:pPr>
        <w:pStyle w:val="FootnoteText"/>
        <w:rPr>
          <w:rFonts w:cstheme="minorHAnsi"/>
        </w:rPr>
      </w:pPr>
      <w:r>
        <w:rPr>
          <w:rStyle w:val="FootnoteReference"/>
        </w:rPr>
        <w:footnoteRef/>
      </w:r>
      <w:r>
        <w:t xml:space="preserve"> </w:t>
      </w:r>
      <w:r w:rsidRPr="004C13C1">
        <w:rPr>
          <w:rFonts w:cstheme="minorHAnsi"/>
        </w:rPr>
        <w:t xml:space="preserve">S, Batchelor. </w:t>
      </w:r>
      <w:r w:rsidRPr="004C13C1">
        <w:rPr>
          <w:rFonts w:cstheme="minorHAnsi"/>
          <w:shd w:val="clear" w:color="auto" w:fill="FFFFFF"/>
        </w:rPr>
        <w:t>(2010). </w:t>
      </w:r>
      <w:r w:rsidRPr="004C13C1">
        <w:rPr>
          <w:rFonts w:cstheme="minorHAnsi"/>
          <w:i/>
          <w:iCs/>
          <w:shd w:val="clear" w:color="auto" w:fill="FFFFFF"/>
        </w:rPr>
        <w:t>Medieval history for dummies</w:t>
      </w:r>
      <w:r w:rsidRPr="004C13C1">
        <w:rPr>
          <w:rFonts w:cstheme="minorHAnsi"/>
          <w:shd w:val="clear" w:color="auto" w:fill="FFFFFF"/>
        </w:rPr>
        <w:t>. Hoboken, N.J.: Wiley, p.278.</w:t>
      </w:r>
    </w:p>
  </w:footnote>
  <w:footnote w:id="5">
    <w:p w14:paraId="1440FE8C" w14:textId="379B9A55" w:rsidR="00574F42" w:rsidRPr="004C13C1" w:rsidRDefault="00574F42">
      <w:pPr>
        <w:pStyle w:val="FootnoteText"/>
        <w:rPr>
          <w:rFonts w:cstheme="minorHAnsi"/>
        </w:rPr>
      </w:pPr>
      <w:r w:rsidRPr="004C13C1">
        <w:rPr>
          <w:rStyle w:val="FootnoteReference"/>
          <w:rFonts w:cstheme="minorHAnsi"/>
        </w:rPr>
        <w:footnoteRef/>
      </w:r>
      <w:r w:rsidRPr="004C13C1">
        <w:rPr>
          <w:rFonts w:cstheme="minorHAnsi"/>
        </w:rPr>
        <w:t xml:space="preserve"> </w:t>
      </w:r>
      <w:r w:rsidRPr="004C13C1">
        <w:rPr>
          <w:rFonts w:cstheme="minorHAnsi"/>
          <w:shd w:val="clear" w:color="auto" w:fill="FFFFFF"/>
        </w:rPr>
        <w:t>Ushmm.org. (2018). </w:t>
      </w:r>
      <w:r w:rsidRPr="004C13C1">
        <w:rPr>
          <w:rFonts w:cstheme="minorHAnsi"/>
          <w:i/>
          <w:iCs/>
          <w:shd w:val="clear" w:color="auto" w:fill="FFFFFF"/>
        </w:rPr>
        <w:t>Antisemitism in History: From the Early Church to 1400</w:t>
      </w:r>
      <w:r w:rsidRPr="004C13C1">
        <w:rPr>
          <w:rFonts w:cstheme="minorHAnsi"/>
          <w:shd w:val="clear" w:color="auto" w:fill="FFFFFF"/>
        </w:rPr>
        <w:t>. [online] Available at: https://www.ushmm.org/wlc/en/article.php?ModuleId=10007170 [Accessed 19 Mar. 2018].</w:t>
      </w:r>
    </w:p>
  </w:footnote>
  <w:footnote w:id="6">
    <w:p w14:paraId="3022A93B" w14:textId="560F2B60" w:rsidR="003122EA" w:rsidRPr="003122EA" w:rsidRDefault="003122EA">
      <w:pPr>
        <w:pStyle w:val="FootnoteText"/>
        <w:rPr>
          <w:rFonts w:cstheme="minorHAnsi"/>
        </w:rPr>
      </w:pPr>
      <w:r>
        <w:rPr>
          <w:rStyle w:val="FootnoteReference"/>
        </w:rPr>
        <w:footnoteRef/>
      </w:r>
      <w:r>
        <w:t xml:space="preserve"> J. Riley-Smith.</w:t>
      </w:r>
      <w:r>
        <w:rPr>
          <w:rFonts w:ascii="Arial" w:hAnsi="Arial" w:cs="Arial"/>
          <w:color w:val="666666"/>
          <w:shd w:val="clear" w:color="auto" w:fill="FFFFFF"/>
        </w:rPr>
        <w:t> </w:t>
      </w:r>
      <w:r w:rsidRPr="003122EA">
        <w:rPr>
          <w:rFonts w:cstheme="minorHAnsi"/>
          <w:shd w:val="clear" w:color="auto" w:fill="FFFFFF"/>
        </w:rPr>
        <w:t>(2006). </w:t>
      </w:r>
      <w:r w:rsidRPr="003122EA">
        <w:rPr>
          <w:rFonts w:cstheme="minorHAnsi"/>
          <w:i/>
          <w:iCs/>
          <w:shd w:val="clear" w:color="auto" w:fill="FFFFFF"/>
        </w:rPr>
        <w:t>What were the crusades?</w:t>
      </w:r>
      <w:r w:rsidRPr="003122EA">
        <w:rPr>
          <w:rFonts w:cstheme="minorHAnsi"/>
          <w:shd w:val="clear" w:color="auto" w:fill="FFFFFF"/>
        </w:rPr>
        <w:t xml:space="preserve"> Basingstoke: Palgrave Macmillan. Preface, p. xi.</w:t>
      </w:r>
    </w:p>
  </w:footnote>
  <w:footnote w:id="7">
    <w:p w14:paraId="0803E6FB" w14:textId="0E49DEE8" w:rsidR="00135BF8" w:rsidRDefault="00135BF8">
      <w:pPr>
        <w:pStyle w:val="FootnoteText"/>
      </w:pPr>
      <w:r>
        <w:rPr>
          <w:rStyle w:val="FootnoteReference"/>
        </w:rPr>
        <w:footnoteRef/>
      </w:r>
      <w:r>
        <w:t xml:space="preserve"> </w:t>
      </w:r>
      <w:r>
        <w:rPr>
          <w:rStyle w:val="Strong"/>
          <w:rFonts w:ascii="Arial" w:hAnsi="Arial" w:cs="Arial"/>
          <w:color w:val="666666"/>
          <w:shd w:val="clear" w:color="auto" w:fill="FFFFFF"/>
        </w:rPr>
        <w:t> </w:t>
      </w:r>
      <w:r w:rsidRPr="00135BF8">
        <w:rPr>
          <w:rStyle w:val="selectable"/>
          <w:rFonts w:cstheme="minorHAnsi"/>
          <w:shd w:val="clear" w:color="auto" w:fill="FFFFFF"/>
        </w:rPr>
        <w:t>Bbc.co.uk. (2018). </w:t>
      </w:r>
      <w:r w:rsidRPr="00135BF8">
        <w:rPr>
          <w:rStyle w:val="selectable"/>
          <w:rFonts w:cstheme="minorHAnsi"/>
          <w:i/>
          <w:iCs/>
          <w:shd w:val="clear" w:color="auto" w:fill="FFFFFF"/>
        </w:rPr>
        <w:t>BBC - BBC TV blog: The Crusades: the thrill of a priceless manuscript</w:t>
      </w:r>
      <w:r w:rsidRPr="00135BF8">
        <w:rPr>
          <w:rStyle w:val="selectable"/>
          <w:rFonts w:cstheme="minorHAnsi"/>
          <w:shd w:val="clear" w:color="auto" w:fill="FFFFFF"/>
        </w:rPr>
        <w:t>. [online] Available at: http://www.bbc.co.uk/blogs/tv/2012/01/the-crusades.shtml [Accessed 19 Mar. 2018].</w:t>
      </w:r>
    </w:p>
  </w:footnote>
  <w:footnote w:id="8">
    <w:p w14:paraId="232BF16D" w14:textId="5B0D2027" w:rsidR="00135BF8" w:rsidRDefault="00135BF8">
      <w:pPr>
        <w:pStyle w:val="FootnoteText"/>
      </w:pPr>
      <w:r>
        <w:rPr>
          <w:rStyle w:val="FootnoteReference"/>
        </w:rPr>
        <w:footnoteRef/>
      </w:r>
      <w:r>
        <w:t xml:space="preserve"> </w:t>
      </w:r>
      <w:r>
        <w:rPr>
          <w:rStyle w:val="Strong"/>
          <w:rFonts w:ascii="Arial" w:hAnsi="Arial" w:cs="Arial"/>
          <w:color w:val="666666"/>
          <w:shd w:val="clear" w:color="auto" w:fill="FFFFFF"/>
        </w:rPr>
        <w:t> </w:t>
      </w:r>
      <w:r w:rsidRPr="00135BF8">
        <w:rPr>
          <w:rStyle w:val="selectable"/>
          <w:rFonts w:cstheme="minorHAnsi"/>
          <w:shd w:val="clear" w:color="auto" w:fill="FFFFFF"/>
        </w:rPr>
        <w:t>Moodle.uwtsd.ac.uk. (2018). </w:t>
      </w:r>
      <w:r w:rsidRPr="00135BF8">
        <w:rPr>
          <w:rStyle w:val="selectable"/>
          <w:rFonts w:cstheme="minorHAnsi"/>
          <w:i/>
          <w:iCs/>
          <w:shd w:val="clear" w:color="auto" w:fill="FFFFFF"/>
        </w:rPr>
        <w:t>UWTSD Moodle 17/18: Log in to the site</w:t>
      </w:r>
      <w:r w:rsidRPr="00135BF8">
        <w:rPr>
          <w:rStyle w:val="selectable"/>
          <w:rFonts w:cstheme="minorHAnsi"/>
          <w:shd w:val="clear" w:color="auto" w:fill="FFFFFF"/>
        </w:rPr>
        <w:t>. [online] Available at: https://moodle.uwtsd.ac.uk/pluginfile.php/74316/mod_folder/content/0/Richard%20and%20Saladin.pptx?forcedownload=1 [Accessed 19 Mar. 2018].</w:t>
      </w:r>
    </w:p>
  </w:footnote>
  <w:footnote w:id="9">
    <w:p w14:paraId="29BFCD93" w14:textId="6F430084" w:rsidR="001E53CF" w:rsidRDefault="001E53CF" w:rsidP="001E53C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FootnoteReference"/>
        </w:rPr>
        <w:footnoteRef/>
      </w:r>
      <w:r>
        <w:t xml:space="preserve"> </w:t>
      </w:r>
      <w:r w:rsidRPr="001E53CF">
        <w:rPr>
          <w:rStyle w:val="selectable"/>
          <w:rFonts w:asciiTheme="minorHAnsi" w:hAnsiTheme="minorHAnsi" w:cstheme="minorHAnsi"/>
          <w:color w:val="000000" w:themeColor="text1"/>
          <w:sz w:val="20"/>
          <w:szCs w:val="20"/>
        </w:rPr>
        <w:t>Armstrong, K. (1992). </w:t>
      </w:r>
      <w:r w:rsidRPr="001E53CF">
        <w:rPr>
          <w:rStyle w:val="selectable"/>
          <w:rFonts w:asciiTheme="minorHAnsi" w:hAnsiTheme="minorHAnsi" w:cstheme="minorHAnsi"/>
          <w:i/>
          <w:iCs/>
          <w:color w:val="000000" w:themeColor="text1"/>
          <w:sz w:val="20"/>
          <w:szCs w:val="20"/>
        </w:rPr>
        <w:t>Holy war</w:t>
      </w:r>
      <w:r w:rsidRPr="001E53CF">
        <w:rPr>
          <w:rStyle w:val="selectable"/>
          <w:rFonts w:asciiTheme="minorHAnsi" w:hAnsiTheme="minorHAnsi" w:cstheme="minorHAnsi"/>
          <w:color w:val="000000" w:themeColor="text1"/>
          <w:sz w:val="20"/>
          <w:szCs w:val="20"/>
        </w:rPr>
        <w:t>. London: Papermac</w:t>
      </w:r>
      <w:r w:rsidRPr="001E53CF">
        <w:rPr>
          <w:rStyle w:val="selectable"/>
          <w:rFonts w:asciiTheme="minorHAnsi" w:hAnsiTheme="minorHAnsi" w:cstheme="minorHAnsi"/>
          <w:color w:val="000000" w:themeColor="text1"/>
          <w:sz w:val="20"/>
          <w:szCs w:val="20"/>
        </w:rPr>
        <w:t>, p.424;</w:t>
      </w:r>
      <w:r w:rsidRPr="001E53CF">
        <w:rPr>
          <w:rFonts w:asciiTheme="minorHAnsi" w:hAnsiTheme="minorHAnsi" w:cstheme="minorHAnsi"/>
          <w:color w:val="000000" w:themeColor="text1"/>
          <w:sz w:val="20"/>
          <w:szCs w:val="20"/>
          <w:shd w:val="clear" w:color="auto" w:fill="FFFFFF"/>
        </w:rPr>
        <w:t xml:space="preserve"> </w:t>
      </w:r>
      <w:bookmarkStart w:id="0" w:name="_Hlk513884524"/>
      <w:r w:rsidRPr="001E53CF">
        <w:rPr>
          <w:rFonts w:asciiTheme="minorHAnsi" w:hAnsiTheme="minorHAnsi" w:cstheme="minorHAnsi"/>
          <w:color w:val="000000" w:themeColor="text1"/>
          <w:sz w:val="20"/>
          <w:szCs w:val="20"/>
          <w:shd w:val="clear" w:color="auto" w:fill="FFFFFF"/>
        </w:rPr>
        <w:t>Batchelor, S. (2010). </w:t>
      </w:r>
      <w:r w:rsidRPr="001E53CF">
        <w:rPr>
          <w:rFonts w:asciiTheme="minorHAnsi" w:hAnsiTheme="minorHAnsi" w:cstheme="minorHAnsi"/>
          <w:i/>
          <w:iCs/>
          <w:color w:val="000000" w:themeColor="text1"/>
          <w:sz w:val="20"/>
          <w:szCs w:val="20"/>
          <w:shd w:val="clear" w:color="auto" w:fill="FFFFFF"/>
        </w:rPr>
        <w:t>Medieval history for dummies</w:t>
      </w:r>
      <w:r w:rsidRPr="001E53CF">
        <w:rPr>
          <w:rFonts w:asciiTheme="minorHAnsi" w:hAnsiTheme="minorHAnsi" w:cstheme="minorHAnsi"/>
          <w:color w:val="000000" w:themeColor="text1"/>
          <w:sz w:val="20"/>
          <w:szCs w:val="20"/>
          <w:shd w:val="clear" w:color="auto" w:fill="FFFFFF"/>
        </w:rPr>
        <w:t>. Hoboken, N.J.: Wiley,</w:t>
      </w:r>
      <w:r w:rsidRPr="001E53CF">
        <w:rPr>
          <w:rFonts w:asciiTheme="minorHAnsi" w:hAnsiTheme="minorHAnsi" w:cstheme="minorHAnsi"/>
          <w:color w:val="000000" w:themeColor="text1"/>
          <w:sz w:val="20"/>
          <w:szCs w:val="20"/>
          <w:shd w:val="clear" w:color="auto" w:fill="FFFFFF"/>
        </w:rPr>
        <w:t xml:space="preserve"> p</w:t>
      </w:r>
      <w:bookmarkEnd w:id="0"/>
      <w:r w:rsidRPr="001E53CF">
        <w:rPr>
          <w:rFonts w:asciiTheme="minorHAnsi" w:hAnsiTheme="minorHAnsi" w:cstheme="minorHAnsi"/>
          <w:color w:val="000000" w:themeColor="text1"/>
          <w:sz w:val="20"/>
          <w:szCs w:val="20"/>
          <w:shd w:val="clear" w:color="auto" w:fill="FFFFFF"/>
        </w:rPr>
        <w:t>.231</w:t>
      </w:r>
      <w:r w:rsidRPr="001E53CF">
        <w:rPr>
          <w:rStyle w:val="selectable"/>
          <w:rFonts w:asciiTheme="minorHAnsi" w:hAnsiTheme="minorHAnsi" w:cstheme="minorHAnsi"/>
          <w:color w:val="000000" w:themeColor="text1"/>
          <w:sz w:val="20"/>
          <w:szCs w:val="20"/>
        </w:rPr>
        <w:t>.</w:t>
      </w:r>
    </w:p>
    <w:p w14:paraId="14DB63F4" w14:textId="04D37821" w:rsidR="001E53CF" w:rsidRDefault="001E53CF">
      <w:pPr>
        <w:pStyle w:val="FootnoteText"/>
      </w:pPr>
    </w:p>
  </w:footnote>
  <w:footnote w:id="10">
    <w:p w14:paraId="73074AA7" w14:textId="4DA234B6" w:rsidR="00AF39EB" w:rsidRDefault="00AF39EB">
      <w:pPr>
        <w:pStyle w:val="FootnoteText"/>
      </w:pPr>
      <w:r>
        <w:rPr>
          <w:rStyle w:val="FootnoteReference"/>
        </w:rPr>
        <w:footnoteRef/>
      </w:r>
      <w:r>
        <w:t xml:space="preserve"> </w:t>
      </w:r>
      <w:r w:rsidRPr="00AF39EB">
        <w:t>Batchelor, S. (2010). Medieval history for dummies. Hoboken, N.J.: Wiley, p</w:t>
      </w:r>
      <w:r>
        <w:t>228.</w:t>
      </w:r>
    </w:p>
  </w:footnote>
  <w:footnote w:id="11">
    <w:p w14:paraId="31458567" w14:textId="04532BBC" w:rsidR="008F3389" w:rsidRDefault="008F3389">
      <w:pPr>
        <w:pStyle w:val="FootnoteText"/>
      </w:pPr>
      <w:r>
        <w:rPr>
          <w:rStyle w:val="FootnoteReference"/>
        </w:rPr>
        <w:footnoteRef/>
      </w:r>
      <w:r>
        <w:t xml:space="preserve"> </w:t>
      </w:r>
      <w:r>
        <w:rPr>
          <w:rFonts w:ascii="Arial" w:hAnsi="Arial" w:cs="Arial"/>
          <w:color w:val="666666"/>
          <w:shd w:val="clear" w:color="auto" w:fill="FFFFFF"/>
        </w:rPr>
        <w:t>Riley-Smith, J. (2006). </w:t>
      </w:r>
      <w:r>
        <w:rPr>
          <w:rFonts w:ascii="Arial" w:hAnsi="Arial" w:cs="Arial"/>
          <w:i/>
          <w:iCs/>
          <w:color w:val="666666"/>
          <w:shd w:val="clear" w:color="auto" w:fill="FFFFFF"/>
        </w:rPr>
        <w:t xml:space="preserve">What were the </w:t>
      </w:r>
      <w:r>
        <w:rPr>
          <w:rFonts w:ascii="Arial" w:hAnsi="Arial" w:cs="Arial"/>
          <w:i/>
          <w:iCs/>
          <w:color w:val="666666"/>
          <w:shd w:val="clear" w:color="auto" w:fill="FFFFFF"/>
        </w:rPr>
        <w:t>crusades?</w:t>
      </w:r>
      <w:r>
        <w:rPr>
          <w:rFonts w:ascii="Arial" w:hAnsi="Arial" w:cs="Arial"/>
          <w:color w:val="666666"/>
          <w:shd w:val="clear" w:color="auto" w:fill="FFFFFF"/>
        </w:rPr>
        <w:t xml:space="preserve"> Basingstoke: Palgrave Macmillan</w:t>
      </w:r>
      <w:r>
        <w:rPr>
          <w:rFonts w:ascii="Arial" w:hAnsi="Arial" w:cs="Arial"/>
          <w:color w:val="666666"/>
          <w:shd w:val="clear" w:color="auto" w:fill="FFFFFF"/>
        </w:rPr>
        <w:t xml:space="preserve"> p.19.</w:t>
      </w:r>
    </w:p>
  </w:footnote>
  <w:footnote w:id="12">
    <w:p w14:paraId="4264BB1A" w14:textId="08F214C2" w:rsidR="008F3389" w:rsidRDefault="008F3389">
      <w:pPr>
        <w:pStyle w:val="FootnoteText"/>
      </w:pPr>
      <w:r>
        <w:rPr>
          <w:rStyle w:val="FootnoteReference"/>
        </w:rPr>
        <w:footnoteRef/>
      </w:r>
      <w:r>
        <w:t xml:space="preserve"> </w:t>
      </w:r>
      <w:r>
        <w:rPr>
          <w:rFonts w:ascii="Arial" w:hAnsi="Arial" w:cs="Arial"/>
          <w:color w:val="666666"/>
          <w:shd w:val="clear" w:color="auto" w:fill="FFFFFF"/>
        </w:rPr>
        <w:t>Riley-Smith, J. (2006). </w:t>
      </w:r>
      <w:r>
        <w:rPr>
          <w:rFonts w:ascii="Arial" w:hAnsi="Arial" w:cs="Arial"/>
          <w:i/>
          <w:iCs/>
          <w:color w:val="666666"/>
          <w:shd w:val="clear" w:color="auto" w:fill="FFFFFF"/>
        </w:rPr>
        <w:t>What were the crusades?</w:t>
      </w:r>
      <w:r>
        <w:rPr>
          <w:rFonts w:ascii="Arial" w:hAnsi="Arial" w:cs="Arial"/>
          <w:color w:val="666666"/>
          <w:shd w:val="clear" w:color="auto" w:fill="FFFFFF"/>
        </w:rPr>
        <w:t xml:space="preserve"> Basingstoke: Palgrave Macmillan p.</w:t>
      </w:r>
      <w:r>
        <w:rPr>
          <w:rFonts w:ascii="Arial" w:hAnsi="Arial" w:cs="Arial"/>
          <w:color w:val="666666"/>
          <w:shd w:val="clear" w:color="auto" w:fill="FFFFFF"/>
        </w:rPr>
        <w:t>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E3tDAFAhMjQ0NjCyUdpeDU4uLM/DyQArNaAPaaWk0sAAAA"/>
  </w:docVars>
  <w:rsids>
    <w:rsidRoot w:val="005F50FC"/>
    <w:rsid w:val="00014EFC"/>
    <w:rsid w:val="00135BF8"/>
    <w:rsid w:val="001C50C1"/>
    <w:rsid w:val="001C7825"/>
    <w:rsid w:val="001E53CF"/>
    <w:rsid w:val="00226859"/>
    <w:rsid w:val="003122EA"/>
    <w:rsid w:val="0036726D"/>
    <w:rsid w:val="003F4CE1"/>
    <w:rsid w:val="0043299E"/>
    <w:rsid w:val="004C13C1"/>
    <w:rsid w:val="0052099E"/>
    <w:rsid w:val="00560002"/>
    <w:rsid w:val="00574F42"/>
    <w:rsid w:val="005E3819"/>
    <w:rsid w:val="005F50FC"/>
    <w:rsid w:val="00752F79"/>
    <w:rsid w:val="00864187"/>
    <w:rsid w:val="00865933"/>
    <w:rsid w:val="008F3389"/>
    <w:rsid w:val="00944320"/>
    <w:rsid w:val="00956015"/>
    <w:rsid w:val="00AB23DD"/>
    <w:rsid w:val="00AD68E0"/>
    <w:rsid w:val="00AF39EB"/>
    <w:rsid w:val="00B2262C"/>
    <w:rsid w:val="00C668B5"/>
    <w:rsid w:val="00CC7553"/>
    <w:rsid w:val="00D0181F"/>
    <w:rsid w:val="00DC3D37"/>
    <w:rsid w:val="00E628CF"/>
    <w:rsid w:val="00E73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8DE89"/>
  <w15:chartTrackingRefBased/>
  <w15:docId w15:val="{8B0FC39C-F290-41DD-A798-B4479B752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50FC"/>
    <w:rPr>
      <w:color w:val="808080"/>
    </w:rPr>
  </w:style>
  <w:style w:type="paragraph" w:styleId="FootnoteText">
    <w:name w:val="footnote text"/>
    <w:basedOn w:val="Normal"/>
    <w:link w:val="FootnoteTextChar"/>
    <w:uiPriority w:val="99"/>
    <w:semiHidden/>
    <w:unhideWhenUsed/>
    <w:rsid w:val="00E628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8CF"/>
    <w:rPr>
      <w:sz w:val="20"/>
      <w:szCs w:val="20"/>
    </w:rPr>
  </w:style>
  <w:style w:type="character" w:styleId="FootnoteReference">
    <w:name w:val="footnote reference"/>
    <w:basedOn w:val="DefaultParagraphFont"/>
    <w:uiPriority w:val="99"/>
    <w:semiHidden/>
    <w:unhideWhenUsed/>
    <w:rsid w:val="00E628CF"/>
    <w:rPr>
      <w:vertAlign w:val="superscript"/>
    </w:rPr>
  </w:style>
  <w:style w:type="character" w:styleId="Strong">
    <w:name w:val="Strong"/>
    <w:basedOn w:val="DefaultParagraphFont"/>
    <w:uiPriority w:val="22"/>
    <w:qFormat/>
    <w:rsid w:val="0052099E"/>
    <w:rPr>
      <w:b/>
      <w:bCs/>
    </w:rPr>
  </w:style>
  <w:style w:type="character" w:customStyle="1" w:styleId="selectable">
    <w:name w:val="selectable"/>
    <w:basedOn w:val="DefaultParagraphFont"/>
    <w:rsid w:val="0052099E"/>
  </w:style>
  <w:style w:type="paragraph" w:styleId="NormalWeb">
    <w:name w:val="Normal (Web)"/>
    <w:basedOn w:val="Normal"/>
    <w:uiPriority w:val="99"/>
    <w:semiHidden/>
    <w:unhideWhenUsed/>
    <w:rsid w:val="001E53C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61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2FAE7-0F47-4B8E-A2AF-2A678C1B6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7</Pages>
  <Words>1922</Words>
  <Characters>9535</Characters>
  <Application>Microsoft Office Word</Application>
  <DocSecurity>0</DocSecurity>
  <Lines>132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13</cp:revision>
  <dcterms:created xsi:type="dcterms:W3CDTF">2018-03-05T10:15:00Z</dcterms:created>
  <dcterms:modified xsi:type="dcterms:W3CDTF">2018-05-12T10:52:00Z</dcterms:modified>
</cp:coreProperties>
</file>