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08.63636363636363" w:lineRule="auto"/>
        <w:rPr>
          <w:color w:val="35403a"/>
          <w:sz w:val="88"/>
          <w:szCs w:val="88"/>
        </w:rPr>
      </w:pPr>
      <w:r w:rsidDel="00000000" w:rsidR="00000000" w:rsidRPr="00000000">
        <w:rPr>
          <w:rtl w:val="0"/>
        </w:rPr>
      </w:r>
    </w:p>
    <w:p w:rsidR="00000000" w:rsidDel="00000000" w:rsidP="00000000" w:rsidRDefault="00000000" w:rsidRPr="00000000" w14:paraId="00000002">
      <w:pPr>
        <w:spacing w:line="208.63636363636363" w:lineRule="auto"/>
        <w:rPr>
          <w:color w:val="35403a"/>
          <w:sz w:val="88"/>
          <w:szCs w:val="88"/>
        </w:rPr>
      </w:pPr>
      <w:r w:rsidDel="00000000" w:rsidR="00000000" w:rsidRPr="00000000">
        <w:rPr>
          <w:rtl w:val="0"/>
        </w:rPr>
      </w:r>
    </w:p>
    <w:p w:rsidR="00000000" w:rsidDel="00000000" w:rsidP="00000000" w:rsidRDefault="00000000" w:rsidRPr="00000000" w14:paraId="00000003">
      <w:pPr>
        <w:spacing w:line="208.63636363636363" w:lineRule="auto"/>
        <w:rPr>
          <w:sz w:val="88"/>
          <w:szCs w:val="88"/>
        </w:rPr>
      </w:pPr>
      <w:r w:rsidDel="00000000" w:rsidR="00000000" w:rsidRPr="00000000">
        <w:rPr>
          <w:rtl w:val="0"/>
        </w:rPr>
      </w:r>
    </w:p>
    <w:p w:rsidR="00000000" w:rsidDel="00000000" w:rsidP="00000000" w:rsidRDefault="00000000" w:rsidRPr="00000000" w14:paraId="00000004">
      <w:pPr>
        <w:spacing w:line="208.63636363636363" w:lineRule="auto"/>
        <w:rPr>
          <w:sz w:val="88"/>
          <w:szCs w:val="88"/>
        </w:rPr>
      </w:pPr>
      <w:r w:rsidDel="00000000" w:rsidR="00000000" w:rsidRPr="00000000">
        <w:rPr>
          <w:sz w:val="88"/>
          <w:szCs w:val="88"/>
          <w:rtl w:val="0"/>
        </w:rPr>
        <w:t xml:space="preserve">Atiyah Haseen​</w:t>
      </w:r>
    </w:p>
    <w:p w:rsidR="00000000" w:rsidDel="00000000" w:rsidP="00000000" w:rsidRDefault="00000000" w:rsidRPr="00000000" w14:paraId="00000005">
      <w:pPr>
        <w:spacing w:line="208.63636363636363" w:lineRule="auto"/>
        <w:rPr>
          <w:sz w:val="88"/>
          <w:szCs w:val="88"/>
        </w:rPr>
      </w:pPr>
      <w:r w:rsidDel="00000000" w:rsidR="00000000" w:rsidRPr="00000000">
        <w:rPr>
          <w:rtl w:val="0"/>
        </w:rPr>
      </w:r>
    </w:p>
    <w:p w:rsidR="00000000" w:rsidDel="00000000" w:rsidP="00000000" w:rsidRDefault="00000000" w:rsidRPr="00000000" w14:paraId="00000006">
      <w:pPr>
        <w:spacing w:line="208.63636363636363" w:lineRule="auto"/>
        <w:rPr>
          <w:sz w:val="88"/>
          <w:szCs w:val="88"/>
        </w:rPr>
      </w:pPr>
      <w:r w:rsidDel="00000000" w:rsidR="00000000" w:rsidRPr="00000000">
        <w:rPr>
          <w:sz w:val="88"/>
          <w:szCs w:val="88"/>
          <w:rtl w:val="0"/>
        </w:rPr>
        <w:t xml:space="preserve">2506896</w:t>
      </w:r>
    </w:p>
    <w:p w:rsidR="00000000" w:rsidDel="00000000" w:rsidP="00000000" w:rsidRDefault="00000000" w:rsidRPr="00000000" w14:paraId="00000007">
      <w:pPr>
        <w:spacing w:line="208.63636363636363" w:lineRule="auto"/>
        <w:rPr>
          <w:sz w:val="88"/>
          <w:szCs w:val="88"/>
        </w:rPr>
      </w:pPr>
      <w:r w:rsidDel="00000000" w:rsidR="00000000" w:rsidRPr="00000000">
        <w:rPr>
          <w:sz w:val="88"/>
          <w:szCs w:val="88"/>
          <w:rtl w:val="0"/>
        </w:rPr>
        <w:t xml:space="preserve">​</w:t>
      </w:r>
    </w:p>
    <w:p w:rsidR="00000000" w:rsidDel="00000000" w:rsidP="00000000" w:rsidRDefault="00000000" w:rsidRPr="00000000" w14:paraId="00000008">
      <w:pPr>
        <w:spacing w:line="208.63636363636363" w:lineRule="auto"/>
        <w:rPr>
          <w:sz w:val="88"/>
          <w:szCs w:val="88"/>
        </w:rPr>
      </w:pPr>
      <w:r w:rsidDel="00000000" w:rsidR="00000000" w:rsidRPr="00000000">
        <w:rPr>
          <w:sz w:val="88"/>
          <w:szCs w:val="88"/>
          <w:rtl w:val="0"/>
        </w:rPr>
        <w:t xml:space="preserve">Principles of Health and Social Care Practice</w:t>
      </w:r>
    </w:p>
    <w:p w:rsidR="00000000" w:rsidDel="00000000" w:rsidP="00000000" w:rsidRDefault="00000000" w:rsidRPr="00000000" w14:paraId="00000009">
      <w:pPr>
        <w:spacing w:line="208.63636363636363" w:lineRule="auto"/>
        <w:rPr>
          <w:sz w:val="88"/>
          <w:szCs w:val="88"/>
        </w:rPr>
      </w:pPr>
      <w:r w:rsidDel="00000000" w:rsidR="00000000" w:rsidRPr="00000000">
        <w:rPr>
          <w:rtl w:val="0"/>
        </w:rPr>
      </w:r>
    </w:p>
    <w:p w:rsidR="00000000" w:rsidDel="00000000" w:rsidP="00000000" w:rsidRDefault="00000000" w:rsidRPr="00000000" w14:paraId="0000000A">
      <w:pPr>
        <w:spacing w:line="208.63636363636363" w:lineRule="auto"/>
        <w:rPr>
          <w:sz w:val="88"/>
          <w:szCs w:val="88"/>
        </w:rPr>
      </w:pPr>
      <w:r w:rsidDel="00000000" w:rsidR="00000000" w:rsidRPr="00000000">
        <w:rPr>
          <w:sz w:val="88"/>
          <w:szCs w:val="88"/>
          <w:rtl w:val="0"/>
        </w:rPr>
        <w:t xml:space="preserve">BMHP5016</w:t>
      </w:r>
    </w:p>
    <w:p w:rsidR="00000000" w:rsidDel="00000000" w:rsidP="00000000" w:rsidRDefault="00000000" w:rsidRPr="00000000" w14:paraId="0000000B">
      <w:pPr>
        <w:spacing w:line="208.63636363636363" w:lineRule="auto"/>
        <w:rPr>
          <w:sz w:val="88"/>
          <w:szCs w:val="88"/>
        </w:rPr>
      </w:pPr>
      <w:r w:rsidDel="00000000" w:rsidR="00000000" w:rsidRPr="00000000">
        <w:rPr>
          <w:rtl w:val="0"/>
        </w:rPr>
      </w:r>
    </w:p>
    <w:p w:rsidR="00000000" w:rsidDel="00000000" w:rsidP="00000000" w:rsidRDefault="00000000" w:rsidRPr="00000000" w14:paraId="0000000C">
      <w:pPr>
        <w:spacing w:line="208.63636363636363" w:lineRule="auto"/>
        <w:rPr>
          <w:sz w:val="88"/>
          <w:szCs w:val="88"/>
        </w:rPr>
      </w:pPr>
      <w:r w:rsidDel="00000000" w:rsidR="00000000" w:rsidRPr="00000000">
        <w:rPr>
          <w:sz w:val="88"/>
          <w:szCs w:val="88"/>
          <w:rtl w:val="0"/>
        </w:rPr>
        <w:t xml:space="preserve">Component 1 Written Assignment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bCs w:val="1"/>
          <w:i w:val="1"/>
          <w:iCs w:val="1"/>
          <w:sz w:val="32"/>
          <w:szCs w:val="32"/>
          <w:u w:val="single"/>
        </w:rPr>
      </w:pPr>
      <w:r w:rsidDel="00000000" w:rsidR="00000000" w:rsidRPr="00000000">
        <w:rPr>
          <w:b w:val="1"/>
          <w:bCs w:val="1"/>
          <w:i w:val="1"/>
          <w:iCs w:val="1"/>
          <w:sz w:val="32"/>
          <w:szCs w:val="32"/>
          <w:u w:val="single"/>
          <w:rtl w:val="0"/>
        </w:rPr>
        <w:t xml:space="preserve">Contents:</w:t>
      </w:r>
    </w:p>
    <w:p w:rsidR="00000000" w:rsidDel="00000000" w:rsidP="00000000" w:rsidRDefault="00000000" w:rsidRPr="00000000" w14:paraId="00000010">
      <w:pPr>
        <w:rPr>
          <w:b w:val="1"/>
          <w:bCs w:val="1"/>
          <w:i w:val="1"/>
          <w:iCs w:val="1"/>
          <w:sz w:val="32"/>
          <w:szCs w:val="32"/>
          <w:u w:val="single"/>
        </w:rPr>
      </w:pPr>
      <w:r w:rsidDel="00000000" w:rsidR="00000000" w:rsidRPr="00000000">
        <w:rPr>
          <w:rtl w:val="0"/>
        </w:rPr>
      </w:r>
    </w:p>
    <w:p w:rsidR="00000000" w:rsidDel="00000000" w:rsidP="00000000" w:rsidRDefault="00000000" w:rsidRPr="00000000" w14:paraId="00000011">
      <w:pPr>
        <w:rPr>
          <w:b w:val="1"/>
          <w:bCs w:val="1"/>
          <w:sz w:val="30"/>
          <w:szCs w:val="30"/>
          <w:u w:val="single"/>
        </w:rPr>
      </w:pPr>
      <w:r w:rsidDel="00000000" w:rsidR="00000000" w:rsidRPr="00000000">
        <w:rPr>
          <w:b w:val="1"/>
          <w:bCs w:val="1"/>
          <w:sz w:val="30"/>
          <w:szCs w:val="30"/>
          <w:u w:val="single"/>
          <w:rtl w:val="0"/>
        </w:rPr>
        <w:t xml:space="preserve">Introduction</w:t>
      </w:r>
    </w:p>
    <w:p w:rsidR="00000000" w:rsidDel="00000000" w:rsidP="00000000" w:rsidRDefault="00000000" w:rsidRPr="00000000" w14:paraId="00000012">
      <w:pPr>
        <w:rPr>
          <w:b w:val="1"/>
          <w:bCs w:val="1"/>
          <w:sz w:val="30"/>
          <w:szCs w:val="30"/>
          <w:u w:val="single"/>
        </w:rPr>
      </w:pPr>
      <w:r w:rsidDel="00000000" w:rsidR="00000000" w:rsidRPr="00000000">
        <w:rPr>
          <w:rtl w:val="0"/>
        </w:rPr>
      </w:r>
    </w:p>
    <w:p w:rsidR="00000000" w:rsidDel="00000000" w:rsidP="00000000" w:rsidRDefault="00000000" w:rsidRPr="00000000" w14:paraId="00000013">
      <w:pPr>
        <w:rPr>
          <w:b w:val="1"/>
          <w:bCs w:val="1"/>
          <w:sz w:val="30"/>
          <w:szCs w:val="30"/>
          <w:u w:val="single"/>
        </w:rPr>
      </w:pPr>
      <w:r w:rsidDel="00000000" w:rsidR="00000000" w:rsidRPr="00000000">
        <w:rPr>
          <w:b w:val="1"/>
          <w:bCs w:val="1"/>
          <w:sz w:val="30"/>
          <w:szCs w:val="30"/>
          <w:u w:val="single"/>
          <w:rtl w:val="0"/>
        </w:rPr>
        <w:t xml:space="preserve">Task 1: Reflection on Importance of Principles</w:t>
      </w:r>
    </w:p>
    <w:p w:rsidR="00000000" w:rsidDel="00000000" w:rsidP="00000000" w:rsidRDefault="00000000" w:rsidRPr="00000000" w14:paraId="00000014">
      <w:pPr>
        <w:rPr>
          <w:b w:val="1"/>
          <w:bCs w:val="1"/>
          <w:sz w:val="30"/>
          <w:szCs w:val="30"/>
          <w:u w:val="single"/>
        </w:rPr>
      </w:pPr>
      <w:r w:rsidDel="00000000" w:rsidR="00000000" w:rsidRPr="00000000">
        <w:rPr>
          <w:rtl w:val="0"/>
        </w:rPr>
      </w:r>
    </w:p>
    <w:p w:rsidR="00000000" w:rsidDel="00000000" w:rsidP="00000000" w:rsidRDefault="00000000" w:rsidRPr="00000000" w14:paraId="00000015">
      <w:pPr>
        <w:rPr>
          <w:b w:val="1"/>
          <w:bCs w:val="1"/>
          <w:sz w:val="30"/>
          <w:szCs w:val="30"/>
          <w:u w:val="single"/>
        </w:rPr>
      </w:pPr>
      <w:r w:rsidDel="00000000" w:rsidR="00000000" w:rsidRPr="00000000">
        <w:rPr>
          <w:b w:val="1"/>
          <w:bCs w:val="1"/>
          <w:sz w:val="30"/>
          <w:szCs w:val="30"/>
          <w:u w:val="single"/>
          <w:rtl w:val="0"/>
        </w:rPr>
        <w:t xml:space="preserve">Task 2: Practical Example in Practice</w:t>
      </w:r>
    </w:p>
    <w:p w:rsidR="00000000" w:rsidDel="00000000" w:rsidP="00000000" w:rsidRDefault="00000000" w:rsidRPr="00000000" w14:paraId="00000016">
      <w:pPr>
        <w:rPr>
          <w:b w:val="1"/>
          <w:bCs w:val="1"/>
          <w:sz w:val="30"/>
          <w:szCs w:val="30"/>
          <w:u w:val="single"/>
        </w:rPr>
      </w:pPr>
      <w:r w:rsidDel="00000000" w:rsidR="00000000" w:rsidRPr="00000000">
        <w:rPr>
          <w:rtl w:val="0"/>
        </w:rPr>
      </w:r>
    </w:p>
    <w:p w:rsidR="00000000" w:rsidDel="00000000" w:rsidP="00000000" w:rsidRDefault="00000000" w:rsidRPr="00000000" w14:paraId="00000017">
      <w:pPr>
        <w:rPr>
          <w:b w:val="1"/>
          <w:bCs w:val="1"/>
          <w:sz w:val="30"/>
          <w:szCs w:val="30"/>
          <w:u w:val="single"/>
        </w:rPr>
      </w:pPr>
      <w:r w:rsidDel="00000000" w:rsidR="00000000" w:rsidRPr="00000000">
        <w:rPr>
          <w:b w:val="1"/>
          <w:bCs w:val="1"/>
          <w:sz w:val="30"/>
          <w:szCs w:val="30"/>
          <w:u w:val="single"/>
          <w:rtl w:val="0"/>
        </w:rPr>
        <w:t xml:space="preserve">Task 3: Self-Reflection</w:t>
      </w:r>
    </w:p>
    <w:p w:rsidR="00000000" w:rsidDel="00000000" w:rsidP="00000000" w:rsidRDefault="00000000" w:rsidRPr="00000000" w14:paraId="00000018">
      <w:pPr>
        <w:rPr>
          <w:b w:val="1"/>
          <w:bCs w:val="1"/>
          <w:sz w:val="30"/>
          <w:szCs w:val="30"/>
          <w:u w:val="single"/>
        </w:rPr>
      </w:pPr>
      <w:r w:rsidDel="00000000" w:rsidR="00000000" w:rsidRPr="00000000">
        <w:rPr>
          <w:rtl w:val="0"/>
        </w:rPr>
      </w:r>
    </w:p>
    <w:p w:rsidR="00000000" w:rsidDel="00000000" w:rsidP="00000000" w:rsidRDefault="00000000" w:rsidRPr="00000000" w14:paraId="00000019">
      <w:pPr>
        <w:rPr>
          <w:b w:val="1"/>
          <w:bCs w:val="1"/>
          <w:sz w:val="30"/>
          <w:szCs w:val="30"/>
          <w:u w:val="single"/>
        </w:rPr>
      </w:pPr>
      <w:r w:rsidDel="00000000" w:rsidR="00000000" w:rsidRPr="00000000">
        <w:rPr>
          <w:b w:val="1"/>
          <w:bCs w:val="1"/>
          <w:sz w:val="30"/>
          <w:szCs w:val="30"/>
          <w:u w:val="single"/>
          <w:rtl w:val="0"/>
        </w:rPr>
        <w:t xml:space="preserve">Conclusion</w:t>
      </w:r>
    </w:p>
    <w:p w:rsidR="00000000" w:rsidDel="00000000" w:rsidP="00000000" w:rsidRDefault="00000000" w:rsidRPr="00000000" w14:paraId="0000001A">
      <w:pPr>
        <w:rPr>
          <w:b w:val="1"/>
          <w:bCs w:val="1"/>
          <w:sz w:val="30"/>
          <w:szCs w:val="30"/>
          <w:u w:val="single"/>
        </w:rPr>
      </w:pPr>
      <w:r w:rsidDel="00000000" w:rsidR="00000000" w:rsidRPr="00000000">
        <w:rPr>
          <w:rtl w:val="0"/>
        </w:rPr>
      </w:r>
    </w:p>
    <w:p w:rsidR="00000000" w:rsidDel="00000000" w:rsidP="00000000" w:rsidRDefault="00000000" w:rsidRPr="00000000" w14:paraId="0000001B">
      <w:pPr>
        <w:rPr>
          <w:b w:val="1"/>
          <w:bCs w:val="1"/>
          <w:sz w:val="30"/>
          <w:szCs w:val="30"/>
          <w:u w:val="single"/>
        </w:rPr>
      </w:pPr>
      <w:r w:rsidDel="00000000" w:rsidR="00000000" w:rsidRPr="00000000">
        <w:rPr>
          <w:b w:val="1"/>
          <w:bCs w:val="1"/>
          <w:sz w:val="30"/>
          <w:szCs w:val="30"/>
          <w:u w:val="single"/>
          <w:rtl w:val="0"/>
        </w:rPr>
        <w:t xml:space="preserve">Reference List</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bCs w:val="1"/>
          <w:sz w:val="28"/>
          <w:szCs w:val="28"/>
          <w:u w:val="single"/>
        </w:rPr>
      </w:pPr>
      <w:r w:rsidDel="00000000" w:rsidR="00000000" w:rsidRPr="00000000">
        <w:rPr>
          <w:b w:val="1"/>
          <w:bCs w:val="1"/>
          <w:sz w:val="28"/>
          <w:szCs w:val="28"/>
          <w:u w:val="single"/>
          <w:rtl w:val="0"/>
        </w:rPr>
        <w:t xml:space="preserve">Introduction</w:t>
      </w:r>
    </w:p>
    <w:p w:rsidR="00000000" w:rsidDel="00000000" w:rsidP="00000000" w:rsidRDefault="00000000" w:rsidRPr="00000000" w14:paraId="0000003A">
      <w:pPr>
        <w:rPr>
          <w:sz w:val="24"/>
          <w:szCs w:val="24"/>
        </w:rPr>
      </w:pPr>
      <w:r w:rsidDel="00000000" w:rsidR="00000000" w:rsidRPr="00000000">
        <w:rPr>
          <w:sz w:val="24"/>
          <w:szCs w:val="24"/>
          <w:rtl w:val="0"/>
        </w:rPr>
        <w:t xml:space="preserve">The principles of health and social care practice are essential for ensuring that individuals receive safe, effective, respectful and high-quality support that meets their individual needs. These principles promote dignity, independence, equality, choice and the involvement of individuals in decisions about their care. This report aims to explore the importance of person-centered care, partnership working abd ethical practice within health and social care settings. </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The report will examine how person-centered care recognises individual preferences and promotes independence, how partnership working enables professionals and individuals to work together towards positive outcomes and how ethical principles guide decisions about care and support. It will also consider relevant theories, legislation and professional guidance that influence the delivery of health and social care services.</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For Task 2, the report will use the case study of Robyn, a woman who became tetraplegic following a spinal injury and required 24-hour care. Her experience of receiving inconsistent support from a care agency before moving to a personal health budget demonstrates the importance of choice, continuity and control. The report will analyse how the three principles can improve outcomes for service users and professionals. Finally, a personal reflection will consider how these principles can be applied in practice and identify opportunities for future development. </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b w:val="1"/>
          <w:bCs w:val="1"/>
          <w:sz w:val="28"/>
          <w:szCs w:val="28"/>
          <w:u w:val="single"/>
        </w:rPr>
      </w:pPr>
      <w:r w:rsidDel="00000000" w:rsidR="00000000" w:rsidRPr="00000000">
        <w:rPr>
          <w:b w:val="1"/>
          <w:bCs w:val="1"/>
          <w:sz w:val="28"/>
          <w:szCs w:val="28"/>
          <w:u w:val="single"/>
          <w:rtl w:val="0"/>
        </w:rPr>
        <w:t xml:space="preserve">Task 1: Reflection on importance of Principles</w:t>
      </w:r>
    </w:p>
    <w:p w:rsidR="00000000" w:rsidDel="00000000" w:rsidP="00000000" w:rsidRDefault="00000000" w:rsidRPr="00000000" w14:paraId="00000041">
      <w:pPr>
        <w:rPr>
          <w:sz w:val="24"/>
          <w:szCs w:val="24"/>
        </w:rPr>
      </w:pPr>
      <w:r w:rsidDel="00000000" w:rsidR="00000000" w:rsidRPr="00000000">
        <w:rPr>
          <w:sz w:val="24"/>
          <w:szCs w:val="24"/>
          <w:rtl w:val="0"/>
        </w:rPr>
        <w:t xml:space="preserve">Person-centered care is an approach that places the individual at the centre of decisions about their health, wellbeing and support. It involves recognising personal preferences, values, beliefs, abilities and goals rather than treating everyone according to the same routine. Individuals should be listened to, respected and supported to maintain their independence wherever possible.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This principle is significant because it promotes dignity, choice and control. When individuals participate in decisions about their care, support is more likely to meet their needs and improve their quality of life. </w:t>
      </w:r>
      <w:r w:rsidDel="00000000" w:rsidR="00000000" w:rsidRPr="00000000">
        <w:rPr>
          <w:i w:val="1"/>
          <w:iCs w:val="1"/>
          <w:sz w:val="24"/>
          <w:szCs w:val="24"/>
          <w:rtl w:val="0"/>
        </w:rPr>
        <w:t xml:space="preserve">(Person-centred care | NHS England | Workforce, training and education, 2017)</w:t>
      </w:r>
      <w:r w:rsidDel="00000000" w:rsidR="00000000" w:rsidRPr="00000000">
        <w:rPr>
          <w:sz w:val="24"/>
          <w:szCs w:val="24"/>
          <w:rtl w:val="0"/>
        </w:rPr>
        <w:t xml:space="preserve">  For example, Robyn wanted to choose the personal assistants who supported her and establish consistent working arrangements. A person-centered approach recognizes that her needs extended beyond physical care to include her relationships with animals, social life and desire to work.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Maslow’s hierarchy of needs can help explain the importance of this approach, although meeting basic physical and safety needs is essential, individuals also require belonging, self-esteem and opportunities for personal fulfilment. </w:t>
      </w:r>
      <w:r w:rsidDel="00000000" w:rsidR="00000000" w:rsidRPr="00000000">
        <w:rPr>
          <w:i w:val="1"/>
          <w:iCs w:val="1"/>
          <w:sz w:val="24"/>
          <w:szCs w:val="24"/>
          <w:rtl w:val="0"/>
        </w:rPr>
        <w:t xml:space="preserve">(Mcleod, 2026) </w:t>
      </w:r>
      <w:r w:rsidDel="00000000" w:rsidR="00000000" w:rsidRPr="00000000">
        <w:rPr>
          <w:sz w:val="24"/>
          <w:szCs w:val="24"/>
          <w:rtl w:val="0"/>
        </w:rPr>
        <w:t xml:space="preserve">Care that focuses only on physical safety math therefore fails to address wider emotional and social needs. The Care Act 2014 supports wellbeing, personal dignity, control over daily life and participation in society. (</w:t>
      </w:r>
      <w:r w:rsidDel="00000000" w:rsidR="00000000" w:rsidRPr="00000000">
        <w:rPr>
          <w:i w:val="1"/>
          <w:iCs w:val="1"/>
          <w:sz w:val="24"/>
          <w:szCs w:val="24"/>
          <w:rtl w:val="0"/>
        </w:rPr>
        <w:t xml:space="preserve">Care Act factsheets</w:t>
      </w:r>
      <w:r w:rsidDel="00000000" w:rsidR="00000000" w:rsidRPr="00000000">
        <w:rPr>
          <w:sz w:val="24"/>
          <w:szCs w:val="24"/>
          <w:rtl w:val="0"/>
        </w:rPr>
        <w:t xml:space="preserve">, 2016) </w:t>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sz w:val="24"/>
          <w:szCs w:val="24"/>
          <w:rtl w:val="0"/>
        </w:rPr>
        <w:t xml:space="preserve">However, person-centred care can be challenging when services experience staff shortages, limited budgets or insufficient time. These pressures can result in standardised support that does not reflect individual preferences. Effective care planning, regular reviews and meaningful communication are therefore necessary to ensure that individuals remain involved in decisions. </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Partnership working involves individuals, healthcare professionals, social care practitioners, families and other relevant services cooperating to plan and deliver appropriate support. (</w:t>
      </w:r>
      <w:r w:rsidDel="00000000" w:rsidR="00000000" w:rsidRPr="00000000">
        <w:rPr>
          <w:i w:val="1"/>
          <w:iCs w:val="1"/>
          <w:sz w:val="24"/>
          <w:szCs w:val="24"/>
          <w:rtl w:val="0"/>
        </w:rPr>
        <w:t xml:space="preserve">Partnership Working | NCCPE</w:t>
      </w:r>
      <w:r w:rsidDel="00000000" w:rsidR="00000000" w:rsidRPr="00000000">
        <w:rPr>
          <w:sz w:val="24"/>
          <w:szCs w:val="24"/>
          <w:rtl w:val="0"/>
        </w:rPr>
        <w:t xml:space="preserve">, 2023) Effective partnerships require communication, shared decision-making, clear responsibilities and respect for each person’s knowledge and contribution. </w:t>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Partnership working is important because individuals may have complex needs that cannot be addressed effectively by one professional or organisation alone. Coordinated support can reduce misunderstandings, improve continuity and ensure that physical, emotional and social needs are considered together. Bronfenbrenner’s ecological systems theory helps explain how individuals are influenced by relationships and the wider environments in which they live. </w:t>
      </w:r>
      <w:r w:rsidDel="00000000" w:rsidR="00000000" w:rsidRPr="00000000">
        <w:rPr>
          <w:i w:val="1"/>
          <w:iCs w:val="1"/>
          <w:sz w:val="24"/>
          <w:szCs w:val="24"/>
          <w:rtl w:val="0"/>
        </w:rPr>
        <w:t xml:space="preserve">(Guy-Evans, 2026) </w:t>
      </w:r>
      <w:r w:rsidDel="00000000" w:rsidR="00000000" w:rsidRPr="00000000">
        <w:rPr>
          <w:sz w:val="24"/>
          <w:szCs w:val="24"/>
          <w:rtl w:val="0"/>
        </w:rPr>
        <w:t xml:space="preserve">This highlights the importance of cooperation between services and the individual's community. </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The Care Act 2014 emphasises cooperation between local authorities and relevant partners to promote wellbeing and coordinate care. Nevertheless, partnerships working can be affected by poor communication, conflicting priorities, unclear responsibilities and delays in sharing appropriate information. These difficulties, regular meetings and lawful information sharing. </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Ethical practice means making decisions that respect individuals' rights, dignity, preferences and wellbeing. </w:t>
      </w:r>
      <w:r w:rsidDel="00000000" w:rsidR="00000000" w:rsidRPr="00000000">
        <w:rPr>
          <w:i w:val="1"/>
          <w:iCs w:val="1"/>
          <w:sz w:val="24"/>
          <w:szCs w:val="24"/>
          <w:rtl w:val="0"/>
        </w:rPr>
        <w:t xml:space="preserve">(Care Learning and Care Learning Team, 2026) </w:t>
      </w:r>
      <w:r w:rsidDel="00000000" w:rsidR="00000000" w:rsidRPr="00000000">
        <w:rPr>
          <w:sz w:val="24"/>
          <w:szCs w:val="24"/>
          <w:rtl w:val="0"/>
        </w:rPr>
        <w:t xml:space="preserve">Important ethical principles include autonomy, beneficence, non-maleficence and justice. Autonomy concerns the individual’s right to make informed decisions, beneficence involves promoting wellbeing, non-maleficence means avoiding harm and justice requires fair and equitable treatment. </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These principles guide practitioners when balancing personal choice with safety and professional responsibilities. For example, a practitioner should support an individual to make informed decisions rather than automatically deciding what is best for them. Confidentiality, consent, equality and safeguarding must be considered. </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Ethical practice is supported by legislation such as the Mental Capacity Act 2005, which provides a framework for supporting decision-making and protecting people who lack capacity for particular decisions. </w:t>
      </w:r>
      <w:r w:rsidDel="00000000" w:rsidR="00000000" w:rsidRPr="00000000">
        <w:rPr>
          <w:i w:val="1"/>
          <w:iCs w:val="1"/>
          <w:sz w:val="24"/>
          <w:szCs w:val="24"/>
          <w:rtl w:val="0"/>
        </w:rPr>
        <w:t xml:space="preserve">(Office of the Public Guardian, 2020) </w:t>
      </w:r>
      <w:r w:rsidDel="00000000" w:rsidR="00000000" w:rsidRPr="00000000">
        <w:rPr>
          <w:sz w:val="24"/>
          <w:szCs w:val="24"/>
          <w:rtl w:val="0"/>
        </w:rPr>
        <w:t xml:space="preserve">However ethical dilemmas can arise when an individual's choices appear to involve risks. Practitioners must assess the circumstances carefully, respect the person’s rights and follow relevant legal and professional guidance. </w:t>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Overall, person-centered care, partnership working and ethical practice are interconnected. Together they promote individual choice, coordinated support and responsible decision-making. Their effective implementation requires appropriate resources, professional knowledge, communication and a commitment to treating every individual with dignity and respect. </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b w:val="1"/>
          <w:bCs w:val="1"/>
          <w:sz w:val="28"/>
          <w:szCs w:val="28"/>
          <w:u w:val="single"/>
        </w:rPr>
      </w:pPr>
      <w:r w:rsidDel="00000000" w:rsidR="00000000" w:rsidRPr="00000000">
        <w:rPr>
          <w:b w:val="1"/>
          <w:bCs w:val="1"/>
          <w:sz w:val="28"/>
          <w:szCs w:val="28"/>
          <w:u w:val="single"/>
          <w:rtl w:val="0"/>
        </w:rPr>
        <w:t xml:space="preserve">Task 2: Practical example in practice</w:t>
      </w:r>
    </w:p>
    <w:p w:rsidR="00000000" w:rsidDel="00000000" w:rsidP="00000000" w:rsidRDefault="00000000" w:rsidRPr="00000000" w14:paraId="00000058">
      <w:pPr>
        <w:rPr>
          <w:sz w:val="24"/>
          <w:szCs w:val="24"/>
        </w:rPr>
      </w:pPr>
      <w:r w:rsidDel="00000000" w:rsidR="00000000" w:rsidRPr="00000000">
        <w:rPr>
          <w:sz w:val="24"/>
          <w:szCs w:val="24"/>
          <w:rtl w:val="0"/>
        </w:rPr>
        <w:t xml:space="preserve">Robyn’s story demonstrates how person-centered care, partnership working and ethical practice can influence individuals quality of life. Following a spinal injury in 2006. Robyn became tetraplegic and required 24-hour care. Initially, a specialist agency provided a live-in personal assistant. However, difficulties with staff recruitment and retention resulted in inconsistent support, during 2014, Robyn had 35 different personal assistants providing her care, making it difficult to establish trusting relationships or plan daily activities. The situation illustrates the consequences of services prioritising the basic provision of care without adequately considering the individual's wider needs and preferences. </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Robyn wanted to choose her own personal assistant, establish regular shifts and regain control over her daily life. With support from her personal health budget nurse and local Personal Budget Support Service, she developed a care and support plan and eventually employed personal assistants directly. Her personal health budget became active in November 2015.</w:t>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This approach reflects the principles of the Care Act 2014 and person-centered care frameworks, which emphasise individual choice, control, independence and wellbeing. (</w:t>
      </w:r>
      <w:r w:rsidDel="00000000" w:rsidR="00000000" w:rsidRPr="00000000">
        <w:rPr>
          <w:i w:val="1"/>
          <w:iCs w:val="1"/>
          <w:sz w:val="24"/>
          <w:szCs w:val="24"/>
          <w:rtl w:val="0"/>
        </w:rPr>
        <w:t xml:space="preserve">Person-centred care - Care Quality Commission</w:t>
      </w:r>
      <w:r w:rsidDel="00000000" w:rsidR="00000000" w:rsidRPr="00000000">
        <w:rPr>
          <w:sz w:val="24"/>
          <w:szCs w:val="24"/>
          <w:rtl w:val="0"/>
        </w:rPr>
        <w:t xml:space="preserve">, no date) The improved consistency of care enabled Robyn to rebuild relationships with her personal assistants, return to social activities, drive competitively and operate her own holistic animal business. Her experience demonstrates that person-centred support can improve emotional wellbeing as well as practice independence. </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Partnership working was important throughout Robyn’s transition to managing her own care. Her social care and Continuing Healthcare teams discussed the personal health budget option with her, while a personal health budget nurse helped assess her needs. The local Personal Budget Support Service assisted with recruitment, employment responsibilities and payroll. </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i w:val="1"/>
          <w:iCs w:val="1"/>
          <w:sz w:val="24"/>
          <w:szCs w:val="24"/>
        </w:rPr>
      </w:pPr>
      <w:r w:rsidDel="00000000" w:rsidR="00000000" w:rsidRPr="00000000">
        <w:rPr>
          <w:sz w:val="24"/>
          <w:szCs w:val="24"/>
          <w:rtl w:val="0"/>
        </w:rPr>
        <w:t xml:space="preserve">This cooperation helped Robyn move away from an arrangement that was not meeting her needs. The example reflects the Care Act 2014 and the Health and Care Act 2022, which provide relevant legislative contexts for integrated health and care services. </w:t>
      </w:r>
      <w:r w:rsidDel="00000000" w:rsidR="00000000" w:rsidRPr="00000000">
        <w:rPr>
          <w:i w:val="1"/>
          <w:iCs w:val="1"/>
          <w:sz w:val="24"/>
          <w:szCs w:val="24"/>
          <w:rtl w:val="0"/>
        </w:rPr>
        <w:t xml:space="preserve">(Participation, no date)</w:t>
      </w:r>
      <w:r w:rsidDel="00000000" w:rsidR="00000000" w:rsidRPr="00000000">
        <w:rPr>
          <w:sz w:val="24"/>
          <w:szCs w:val="24"/>
          <w:rtl w:val="0"/>
        </w:rPr>
        <w:t xml:space="preserve"> NICE guidance and Care Quality Commission expectations also emphasise safe, coordinated and person-centred care. </w:t>
      </w:r>
      <w:r w:rsidDel="00000000" w:rsidR="00000000" w:rsidRPr="00000000">
        <w:rPr>
          <w:i w:val="1"/>
          <w:iCs w:val="1"/>
          <w:sz w:val="24"/>
          <w:szCs w:val="24"/>
          <w:rtl w:val="0"/>
        </w:rPr>
        <w:t xml:space="preserve">(Coordinated care - Care Quality Commission, no date) </w:t>
      </w:r>
    </w:p>
    <w:p w:rsidR="00000000" w:rsidDel="00000000" w:rsidP="00000000" w:rsidRDefault="00000000" w:rsidRPr="00000000" w14:paraId="00000061">
      <w:pPr>
        <w:rPr>
          <w:i w:val="1"/>
          <w:iCs w:val="1"/>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sz w:val="24"/>
          <w:szCs w:val="24"/>
          <w:rtl w:val="0"/>
        </w:rPr>
        <w:t xml:space="preserve">However, the process took approximately 18 months, during which Robyn experienced long periods without updates. This demonstrates how poor communication can undermine partnership working even when several services are involved. More regular contact, clearer explanations and opportunities to connect with other personal health budget holders could have reduced uncertainty and helped Robyn feel better supported. </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sz w:val="24"/>
          <w:szCs w:val="24"/>
          <w:rtl w:val="0"/>
        </w:rPr>
        <w:t xml:space="preserve">Ethical practice is demonstrated through Robyn’s right to choose who enters her home and provides intimate personal care. Her personal health budget increased her autonomy and allowed her preferences to influence recruitment and care arrangements. Her later involvement in rewriting her support plan also demonstrated increasing confidence and participation in decisions. </w:t>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sz w:val="24"/>
          <w:szCs w:val="24"/>
          <w:rtl w:val="0"/>
        </w:rPr>
        <w:t xml:space="preserve">The six Cs - Care, Compassion, Competence, Communication, Courage and Commitment - provide a useful framework for understanding professional responsibilities. (</w:t>
      </w:r>
      <w:r w:rsidDel="00000000" w:rsidR="00000000" w:rsidRPr="00000000">
        <w:rPr>
          <w:i w:val="1"/>
          <w:iCs w:val="1"/>
          <w:sz w:val="24"/>
          <w:szCs w:val="24"/>
          <w:rtl w:val="0"/>
        </w:rPr>
        <w:t xml:space="preserve">The 6 Cs of care</w:t>
      </w:r>
      <w:r w:rsidDel="00000000" w:rsidR="00000000" w:rsidRPr="00000000">
        <w:rPr>
          <w:sz w:val="24"/>
          <w:szCs w:val="24"/>
          <w:rtl w:val="0"/>
        </w:rPr>
        <w:t xml:space="preserve">, no date) In Robyn’s situation, good communication, compassion and commitment were necessary to understand her goals and deliver appropriate support.</w:t>
      </w:r>
    </w:p>
    <w:p w:rsidR="00000000" w:rsidDel="00000000" w:rsidP="00000000" w:rsidRDefault="00000000" w:rsidRPr="00000000" w14:paraId="00000067">
      <w:pPr>
        <w:rPr>
          <w:sz w:val="24"/>
          <w:szCs w:val="24"/>
        </w:rPr>
      </w:pP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sz w:val="24"/>
          <w:szCs w:val="24"/>
          <w:rtl w:val="0"/>
        </w:rPr>
        <w:t xml:space="preserve">There were a;s [ractical challenges, including employer responsibilities, payroll and arranging cover for staff absence. These were addressed through support from the local service and access to legal advice and employment insurance. </w:t>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Overall, Robyn’s case demonstrates that effective care depends on more than meeting basic physical needs. Person-centred planning, coordinated partnerships and ethical decision-making helped her regain independence, improve continuity of support and participate more fully in everyday life. </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b w:val="1"/>
          <w:bCs w:val="1"/>
          <w:sz w:val="28"/>
          <w:szCs w:val="28"/>
          <w:u w:val="single"/>
          <w:rtl w:val="0"/>
        </w:rPr>
        <w:t xml:space="preserve">Task 3: Self-Reflection (Gibbs’ Reflective Cycle)</w:t>
      </w: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sz w:val="24"/>
          <w:szCs w:val="24"/>
          <w:rtl w:val="0"/>
        </w:rPr>
        <w:t xml:space="preserve">This reflection uses Gibbs' Reflective Cycle </w:t>
      </w:r>
      <w:r w:rsidDel="00000000" w:rsidR="00000000" w:rsidRPr="00000000">
        <w:rPr>
          <w:i w:val="1"/>
          <w:iCs w:val="1"/>
          <w:sz w:val="24"/>
          <w:szCs w:val="24"/>
          <w:rtl w:val="0"/>
        </w:rPr>
        <w:t xml:space="preserve">(Simply Psychology, 2025) </w:t>
      </w:r>
      <w:r w:rsidDel="00000000" w:rsidR="00000000" w:rsidRPr="00000000">
        <w:rPr>
          <w:sz w:val="24"/>
          <w:szCs w:val="24"/>
          <w:rtl w:val="0"/>
        </w:rPr>
        <w:t xml:space="preserve"> to explore an experience from working in a special educational needs secondary school and reflect on the importance of person-centred care, partnership working and ethical practice.</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sz w:val="24"/>
          <w:szCs w:val="24"/>
          <w:rtl w:val="0"/>
        </w:rPr>
        <w:t xml:space="preserve">During my experience, I supported a pupil who became overwhelmed by the noise in the classroom. I recognised that the environment was causing him distress, so I took him to a quiet room where he could calm down and regulate his emotions. Once he was calmer, I spoke with him about what had happened and encouraged him to explain how he was feeling. I reassured him that feeling overwhelmed can happen to other people and helped him understand that his emotions were understandable and that there were ways to manage them.</w:t>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sz w:val="24"/>
          <w:szCs w:val="24"/>
          <w:rtl w:val="0"/>
        </w:rPr>
        <w:t xml:space="preserve">Initially, I felt concerned because I wanted to ensure that the puptil felt safe and supported. I understood that remaining calm was important because reacting negatively could have increased his distress. Once he had settled and was able to communicate, I felt more confident that my approach had helped him. This experience made me realise how important patience, empathy and understanding are when supporting pupils with additional needs. </w:t>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sz w:val="24"/>
          <w:szCs w:val="24"/>
          <w:rtl w:val="0"/>
        </w:rPr>
        <w:t xml:space="preserve">One positive aspect of the situation was recognising the pupil’s individual needs and adapting the environment to support him. Rather than expecting him to remain in a noisy classroom, I provided a quieter space where he could regulate his emotions. I also listened to him and allowed him to explain his feelings. However, I recognised that I could improve by identifying the early signs of sensory overload before the situation escalates. </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sz w:val="24"/>
          <w:szCs w:val="24"/>
          <w:rtl w:val="0"/>
        </w:rPr>
        <w:t xml:space="preserve">This experience demonstrated the importance of person-centred care, as I responded to the pupil’s individual emotional and sensory needs. Maslow’s hierarchy of needs suggests that individuals need to feel safe and secure to support their learning and development. </w:t>
      </w:r>
      <w:r w:rsidDel="00000000" w:rsidR="00000000" w:rsidRPr="00000000">
        <w:rPr>
          <w:i w:val="1"/>
          <w:iCs w:val="1"/>
          <w:sz w:val="24"/>
          <w:szCs w:val="24"/>
          <w:rtl w:val="0"/>
        </w:rPr>
        <w:t xml:space="preserve">(Gray and Gray, 2026)</w:t>
      </w:r>
      <w:r w:rsidDel="00000000" w:rsidR="00000000" w:rsidRPr="00000000">
        <w:rPr>
          <w:sz w:val="24"/>
          <w:szCs w:val="24"/>
          <w:rtl w:val="0"/>
        </w:rPr>
        <w:t xml:space="preserve"> Providing a quiet environment helped the pupil feel more comfortable and able to communicate. It also reinforced the importance of treating each individual as a person with unique needs rather than judging their behaviour without understanding its cause. </w:t>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sz w:val="24"/>
          <w:szCs w:val="24"/>
          <w:rtl w:val="0"/>
        </w:rPr>
        <w:t xml:space="preserve">Partnership working is also essential when supporting pupils with additional needs. Teachers, teaching assistants, parents and other professionals can share relevant information to identify triggers and develop consistent support strategies. In future, communicating appropriate observations with colleagues could help identify patterns in the pupil’s behaviour and prevent similar situations from escalating. </w:t>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sz w:val="24"/>
          <w:szCs w:val="24"/>
          <w:rtl w:val="0"/>
        </w:rPr>
        <w:t xml:space="preserve">This experience also demonstrated ethical practice through showing respect, empathy and consideration for the pupil’s wellbeing. I avoided judging his emotional response and instead helped him understand his feelings. The Equality Act 2010 is relevant because reasonable adjustments may be required to ensure that disabled pupils can access education fairly. (</w:t>
      </w:r>
      <w:r w:rsidDel="00000000" w:rsidR="00000000" w:rsidRPr="00000000">
        <w:rPr>
          <w:i w:val="1"/>
          <w:iCs w:val="1"/>
          <w:sz w:val="24"/>
          <w:szCs w:val="24"/>
          <w:rtl w:val="0"/>
        </w:rPr>
        <w:t xml:space="preserve">Equality Act 2010: guidance</w:t>
      </w:r>
      <w:r w:rsidDel="00000000" w:rsidR="00000000" w:rsidRPr="00000000">
        <w:rPr>
          <w:sz w:val="24"/>
          <w:szCs w:val="24"/>
          <w:rtl w:val="0"/>
        </w:rPr>
        <w:t xml:space="preserve">, 2026) Providing access to a quiet space may help meet an individual’s needs, depending on their circumstances and support plan. </w:t>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sz w:val="24"/>
          <w:szCs w:val="24"/>
          <w:rtl w:val="0"/>
        </w:rPr>
        <w:t xml:space="preserve">Reflecting on this experience has helped me recognise that one of my strengths is remaining calm and responding with empathy. However, I need to develop my ability to identify early signs of distress and understand the different ways sensory overload can affect individuals. This reflection has shown me that effective support involves understanding the reasons behind behaviour rather than focusing only on the behaviour itself. </w:t>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In future practice, I will pay closer attention to changes in behaviour and environmental factors that may cause distress. I will continue developing my communication skills by using active listening, reassurance and clear language. I will also work collaboratively with colleagues to follow individual support plans and promote consistent approaches. To improve my knowledge, I aim to seek feedback from experienced staff and undertake relevant training in autism awareness, sensory processing and emotional regulation. These actions will help me provide safer, more compassionate and person-centred support white promoting individuals' independence, dignity and emotional wellbeing. </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b w:val="1"/>
          <w:bCs w:val="1"/>
          <w:sz w:val="28"/>
          <w:szCs w:val="28"/>
          <w:u w:val="single"/>
          <w:rtl w:val="0"/>
        </w:rPr>
        <w:t xml:space="preserve">Conclusion: </w:t>
      </w: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sz w:val="24"/>
          <w:szCs w:val="24"/>
          <w:rtl w:val="0"/>
        </w:rPr>
        <w:t xml:space="preserve">Person-centred care, partnership working and ethical practice are essential principles for delivering effective health and social care. Person-centred care promotes dignity, independence and individual choice, while partnership working enables professionals and services to coordinate support around the needs of the individual. Ethical practice ensures that decisions respect rights, autonomy, fairness and safety.</w:t>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sz w:val="24"/>
          <w:szCs w:val="24"/>
          <w:rtl w:val="0"/>
        </w:rPr>
        <w:t xml:space="preserve">Robyn’s case demonstrates how inconsistent support can negatively affect quality of life and how greater control over care arrangements can improve independence, confidence and wellbeing. The involvement of health professionals and support services was important in helping her manage her personal health budget, although delays and communication difficulties highlighted areas for improvement. </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sz w:val="24"/>
          <w:szCs w:val="24"/>
          <w:rtl w:val="0"/>
        </w:rPr>
        <w:t xml:space="preserve">The reflection also demonstrates the importance of continuous learning, self-awareness and professional development. Applying these principles consistently can improve outcomes for individuals while supporting responsible, compassionate and high-quality health and social care practice.  </w:t>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b w:val="1"/>
          <w:bCs w:val="1"/>
          <w:sz w:val="28"/>
          <w:szCs w:val="28"/>
          <w:u w:val="single"/>
        </w:rPr>
      </w:pPr>
      <w:r w:rsidDel="00000000" w:rsidR="00000000" w:rsidRPr="00000000">
        <w:rPr>
          <w:b w:val="1"/>
          <w:bCs w:val="1"/>
          <w:sz w:val="28"/>
          <w:szCs w:val="28"/>
          <w:u w:val="single"/>
          <w:rtl w:val="0"/>
        </w:rPr>
        <w:t xml:space="preserve">Reference List:</w:t>
      </w:r>
    </w:p>
    <w:p w:rsidR="00000000" w:rsidDel="00000000" w:rsidP="00000000" w:rsidRDefault="00000000" w:rsidRPr="00000000" w14:paraId="00000091">
      <w:pPr>
        <w:rPr>
          <w:b w:val="1"/>
          <w:bCs w:val="1"/>
          <w:sz w:val="28"/>
          <w:szCs w:val="28"/>
          <w:u w:val="single"/>
        </w:rPr>
      </w:pPr>
      <w:r w:rsidDel="00000000" w:rsidR="00000000" w:rsidRPr="00000000">
        <w:rPr>
          <w:rtl w:val="0"/>
        </w:rPr>
      </w:r>
    </w:p>
    <w:p w:rsidR="00000000" w:rsidDel="00000000" w:rsidP="00000000" w:rsidRDefault="00000000" w:rsidRPr="00000000" w14:paraId="00000092">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Care Act factsheets</w:t>
      </w:r>
      <w:r w:rsidDel="00000000" w:rsidR="00000000" w:rsidRPr="00000000">
        <w:rPr>
          <w:rFonts w:ascii="Times New Roman" w:cs="Times New Roman" w:eastAsia="Times New Roman" w:hAnsi="Times New Roman"/>
          <w:sz w:val="24"/>
          <w:szCs w:val="24"/>
          <w:rtl w:val="0"/>
        </w:rPr>
        <w:t xml:space="preserve"> (2016). </w:t>
      </w:r>
      <w:hyperlink r:id="rId6">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https://www.gov.uk/government/publications/care-act-2014-part-1-factsheets/care-act-factsheets</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3">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Learning and Care Learning Team (2026) </w:t>
      </w:r>
      <w:r w:rsidDel="00000000" w:rsidR="00000000" w:rsidRPr="00000000">
        <w:rPr>
          <w:rFonts w:ascii="Times New Roman" w:cs="Times New Roman" w:eastAsia="Times New Roman" w:hAnsi="Times New Roman"/>
          <w:i w:val="1"/>
          <w:iCs w:val="1"/>
          <w:sz w:val="24"/>
          <w:szCs w:val="24"/>
          <w:rtl w:val="0"/>
        </w:rPr>
        <w:t xml:space="preserve">What is Ethical Practice in Health and Social Care?</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1155cc"/>
            <w:sz w:val="24"/>
            <w:szCs w:val="24"/>
            <w:u w:val="single"/>
            <w:rtl w:val="0"/>
          </w:rPr>
          <w:t xml:space="preserve">https://carelearning.org.uk/blog/skills-and-principles-blog/what-is-ethical-practice-in-health-and-social-care/</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4">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Coordinated care - Care Quality Commission</w:t>
      </w:r>
      <w:r w:rsidDel="00000000" w:rsidR="00000000" w:rsidRPr="00000000">
        <w:rPr>
          <w:rFonts w:ascii="Times New Roman" w:cs="Times New Roman" w:eastAsia="Times New Roman" w:hAnsi="Times New Roman"/>
          <w:sz w:val="24"/>
          <w:szCs w:val="24"/>
          <w:rtl w:val="0"/>
        </w:rPr>
        <w:t xml:space="preserve"> (no date). </w:t>
      </w:r>
      <w:hyperlink r:id="rId8">
        <w:r w:rsidDel="00000000" w:rsidR="00000000" w:rsidRPr="00000000">
          <w:rPr>
            <w:rFonts w:ascii="Times New Roman" w:cs="Times New Roman" w:eastAsia="Times New Roman" w:hAnsi="Times New Roman"/>
            <w:color w:val="1155cc"/>
            <w:sz w:val="24"/>
            <w:szCs w:val="24"/>
            <w:u w:val="single"/>
            <w:rtl w:val="0"/>
          </w:rPr>
          <w:t xml:space="preserve">https://www.cqc.org.uk/coordinated-care</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5">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Equality Act 2010: guidance</w:t>
      </w:r>
      <w:r w:rsidDel="00000000" w:rsidR="00000000" w:rsidRPr="00000000">
        <w:rPr>
          <w:rFonts w:ascii="Times New Roman" w:cs="Times New Roman" w:eastAsia="Times New Roman" w:hAnsi="Times New Roman"/>
          <w:sz w:val="24"/>
          <w:szCs w:val="24"/>
          <w:rtl w:val="0"/>
        </w:rPr>
        <w:t xml:space="preserve"> (2026). </w:t>
      </w:r>
      <w:hyperlink r:id="rId9">
        <w:r w:rsidDel="00000000" w:rsidR="00000000" w:rsidRPr="00000000">
          <w:rPr>
            <w:rFonts w:ascii="Times New Roman" w:cs="Times New Roman" w:eastAsia="Times New Roman" w:hAnsi="Times New Roman"/>
            <w:color w:val="1155cc"/>
            <w:sz w:val="24"/>
            <w:szCs w:val="24"/>
            <w:u w:val="single"/>
            <w:rtl w:val="0"/>
          </w:rPr>
          <w:t xml:space="preserve">https://www.gov.uk/guidance/equality-act-2010-guidance</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6">
      <w:pPr>
        <w:numPr>
          <w:ilvl w:val="0"/>
          <w:numId w:val="1"/>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 K. and Gray, K. (2026) 'Maslow’s Hierarchy of Needs: What it is &amp; how it applies to education,' </w:t>
      </w:r>
      <w:r w:rsidDel="00000000" w:rsidR="00000000" w:rsidRPr="00000000">
        <w:rPr>
          <w:rFonts w:ascii="Times New Roman" w:cs="Times New Roman" w:eastAsia="Times New Roman" w:hAnsi="Times New Roman"/>
          <w:i w:val="1"/>
          <w:iCs w:val="1"/>
          <w:sz w:val="24"/>
          <w:szCs w:val="24"/>
          <w:rtl w:val="0"/>
        </w:rPr>
        <w:t xml:space="preserve">Brooks and Kirk - The TAQA Training Industry Leader</w:t>
      </w:r>
      <w:r w:rsidDel="00000000" w:rsidR="00000000" w:rsidRPr="00000000">
        <w:rPr>
          <w:rFonts w:ascii="Times New Roman" w:cs="Times New Roman" w:eastAsia="Times New Roman" w:hAnsi="Times New Roman"/>
          <w:sz w:val="24"/>
          <w:szCs w:val="24"/>
          <w:rtl w:val="0"/>
        </w:rPr>
        <w:t xml:space="preserve">, 2 April. </w:t>
      </w:r>
      <w:hyperlink r:id="rId10">
        <w:r w:rsidDel="00000000" w:rsidR="00000000" w:rsidRPr="00000000">
          <w:rPr>
            <w:rFonts w:ascii="Times New Roman" w:cs="Times New Roman" w:eastAsia="Times New Roman" w:hAnsi="Times New Roman"/>
            <w:color w:val="1155cc"/>
            <w:sz w:val="24"/>
            <w:szCs w:val="24"/>
            <w:u w:val="single"/>
            <w:rtl w:val="0"/>
          </w:rPr>
          <w:t xml:space="preserve">https://brooksandkirk.co.uk/understanding-maslows-hierarchy-of-needs-in-education/</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7">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Guy-Evans, O. (2026) 'Bronfenbrenner’s Ecological Systems Theory,' </w:t>
      </w:r>
      <w:r w:rsidDel="00000000" w:rsidR="00000000" w:rsidRPr="00000000">
        <w:rPr>
          <w:rFonts w:ascii="Times New Roman" w:cs="Times New Roman" w:eastAsia="Times New Roman" w:hAnsi="Times New Roman"/>
          <w:i w:val="1"/>
          <w:iCs w:val="1"/>
          <w:sz w:val="24"/>
          <w:szCs w:val="24"/>
          <w:rtl w:val="0"/>
        </w:rPr>
        <w:t xml:space="preserve">Simply Psychology</w:t>
      </w:r>
      <w:r w:rsidDel="00000000" w:rsidR="00000000" w:rsidRPr="00000000">
        <w:rPr>
          <w:rFonts w:ascii="Times New Roman" w:cs="Times New Roman" w:eastAsia="Times New Roman" w:hAnsi="Times New Roman"/>
          <w:sz w:val="24"/>
          <w:szCs w:val="24"/>
          <w:rtl w:val="0"/>
        </w:rPr>
        <w:t xml:space="preserve"> [Preprint]. </w:t>
      </w:r>
      <w:hyperlink r:id="rId11">
        <w:r w:rsidDel="00000000" w:rsidR="00000000" w:rsidRPr="00000000">
          <w:rPr>
            <w:rFonts w:ascii="Times New Roman" w:cs="Times New Roman" w:eastAsia="Times New Roman" w:hAnsi="Times New Roman"/>
            <w:color w:val="1155cc"/>
            <w:sz w:val="24"/>
            <w:szCs w:val="24"/>
            <w:u w:val="single"/>
            <w:rtl w:val="0"/>
          </w:rPr>
          <w:t xml:space="preserve">https://www.simplypsychology.org/bronfenbrenner.html</w:t>
        </w:r>
      </w:hyperlink>
      <w:r w:rsidDel="00000000" w:rsidR="00000000" w:rsidRPr="00000000">
        <w:rPr>
          <w:rFonts w:ascii="Times New Roman" w:cs="Times New Roman" w:eastAsia="Times New Roman" w:hAnsi="Times New Roman"/>
          <w:sz w:val="24"/>
          <w:szCs w:val="24"/>
          <w:rtl w:val="0"/>
        </w:rPr>
        <w:t xml:space="preserve">  (Accessed on 15th October 2026)</w:t>
      </w:r>
    </w:p>
    <w:p w:rsidR="00000000" w:rsidDel="00000000" w:rsidP="00000000" w:rsidRDefault="00000000" w:rsidRPr="00000000" w14:paraId="00000098">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Mcleod, S. (2026) 'Maslow’s hierarchy of needs,' </w:t>
      </w:r>
      <w:r w:rsidDel="00000000" w:rsidR="00000000" w:rsidRPr="00000000">
        <w:rPr>
          <w:rFonts w:ascii="Times New Roman" w:cs="Times New Roman" w:eastAsia="Times New Roman" w:hAnsi="Times New Roman"/>
          <w:i w:val="1"/>
          <w:iCs w:val="1"/>
          <w:sz w:val="24"/>
          <w:szCs w:val="24"/>
          <w:rtl w:val="0"/>
        </w:rPr>
        <w:t xml:space="preserve">Simply Psychology</w:t>
      </w:r>
      <w:r w:rsidDel="00000000" w:rsidR="00000000" w:rsidRPr="00000000">
        <w:rPr>
          <w:rFonts w:ascii="Times New Roman" w:cs="Times New Roman" w:eastAsia="Times New Roman" w:hAnsi="Times New Roman"/>
          <w:sz w:val="24"/>
          <w:szCs w:val="24"/>
          <w:rtl w:val="0"/>
        </w:rPr>
        <w:t xml:space="preserve"> [Preprint].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https://www.simplypsychology.org/maslow.html</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9">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Office of the Public Guardian (2020) </w:t>
      </w:r>
      <w:r w:rsidDel="00000000" w:rsidR="00000000" w:rsidRPr="00000000">
        <w:rPr>
          <w:rFonts w:ascii="Times New Roman" w:cs="Times New Roman" w:eastAsia="Times New Roman" w:hAnsi="Times New Roman"/>
          <w:i w:val="1"/>
          <w:iCs w:val="1"/>
          <w:sz w:val="24"/>
          <w:szCs w:val="24"/>
          <w:rtl w:val="0"/>
        </w:rPr>
        <w:t xml:space="preserve">Mental Capacity Act Code of Practice</w:t>
      </w: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https://www.gov.uk/government/publications/mental-capacity-act-code-of-practice</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A">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Participation, E. (no date) </w:t>
      </w:r>
      <w:r w:rsidDel="00000000" w:rsidR="00000000" w:rsidRPr="00000000">
        <w:rPr>
          <w:rFonts w:ascii="Times New Roman" w:cs="Times New Roman" w:eastAsia="Times New Roman" w:hAnsi="Times New Roman"/>
          <w:i w:val="1"/>
          <w:iCs w:val="1"/>
          <w:sz w:val="24"/>
          <w:szCs w:val="24"/>
          <w:rtl w:val="0"/>
        </w:rPr>
        <w:t xml:space="preserve">Health and Care Act 2022</w:t>
      </w:r>
      <w:r w:rsidDel="00000000" w:rsidR="00000000" w:rsidRPr="00000000">
        <w:rPr>
          <w:rFonts w:ascii="Times New Roman" w:cs="Times New Roman" w:eastAsia="Times New Roman" w:hAnsi="Times New Roman"/>
          <w:sz w:val="24"/>
          <w:szCs w:val="24"/>
          <w:rtl w:val="0"/>
        </w:rPr>
        <w:t xml:space="preserve">. </w:t>
      </w:r>
      <w:hyperlink r:id="rId14">
        <w:r w:rsidDel="00000000" w:rsidR="00000000" w:rsidRPr="00000000">
          <w:rPr>
            <w:rFonts w:ascii="Times New Roman" w:cs="Times New Roman" w:eastAsia="Times New Roman" w:hAnsi="Times New Roman"/>
            <w:color w:val="1155cc"/>
            <w:sz w:val="24"/>
            <w:szCs w:val="24"/>
            <w:u w:val="single"/>
            <w:rtl w:val="0"/>
          </w:rPr>
          <w:t xml:space="preserve">https://www.legislation.gov.uk/ukpga/2022/31/contents</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B">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Partnership Working | NCCPE</w:t>
      </w:r>
      <w:r w:rsidDel="00000000" w:rsidR="00000000" w:rsidRPr="00000000">
        <w:rPr>
          <w:rFonts w:ascii="Times New Roman" w:cs="Times New Roman" w:eastAsia="Times New Roman" w:hAnsi="Times New Roman"/>
          <w:sz w:val="24"/>
          <w:szCs w:val="24"/>
          <w:rtl w:val="0"/>
        </w:rPr>
        <w:t xml:space="preserve"> (2023). </w:t>
      </w:r>
      <w:hyperlink r:id="rId15">
        <w:r w:rsidDel="00000000" w:rsidR="00000000" w:rsidRPr="00000000">
          <w:rPr>
            <w:rFonts w:ascii="Times New Roman" w:cs="Times New Roman" w:eastAsia="Times New Roman" w:hAnsi="Times New Roman"/>
            <w:color w:val="1155cc"/>
            <w:sz w:val="24"/>
            <w:szCs w:val="24"/>
            <w:u w:val="single"/>
            <w:rtl w:val="0"/>
          </w:rPr>
          <w:t xml:space="preserve">https://www.publicengagement.ac.uk/partnership-working</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16th October 2026)</w:t>
      </w:r>
    </w:p>
    <w:p w:rsidR="00000000" w:rsidDel="00000000" w:rsidP="00000000" w:rsidRDefault="00000000" w:rsidRPr="00000000" w14:paraId="0000009C">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Person-centred care | NHS England | Workforce, training and education</w:t>
      </w:r>
      <w:r w:rsidDel="00000000" w:rsidR="00000000" w:rsidRPr="00000000">
        <w:rPr>
          <w:rFonts w:ascii="Times New Roman" w:cs="Times New Roman" w:eastAsia="Times New Roman" w:hAnsi="Times New Roman"/>
          <w:sz w:val="24"/>
          <w:szCs w:val="24"/>
          <w:rtl w:val="0"/>
        </w:rPr>
        <w:t xml:space="preserve"> (2017). </w:t>
      </w:r>
      <w:hyperlink r:id="rId16">
        <w:r w:rsidDel="00000000" w:rsidR="00000000" w:rsidRPr="00000000">
          <w:rPr>
            <w:rFonts w:ascii="Times New Roman" w:cs="Times New Roman" w:eastAsia="Times New Roman" w:hAnsi="Times New Roman"/>
            <w:color w:val="1155cc"/>
            <w:sz w:val="24"/>
            <w:szCs w:val="24"/>
            <w:u w:val="single"/>
            <w:rtl w:val="0"/>
          </w:rPr>
          <w:t xml:space="preserve">https://www.hee.nhs.uk/our-work/person-centred-care</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D">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Person-centred care - Care Quality Commission</w:t>
      </w:r>
      <w:r w:rsidDel="00000000" w:rsidR="00000000" w:rsidRPr="00000000">
        <w:rPr>
          <w:rFonts w:ascii="Times New Roman" w:cs="Times New Roman" w:eastAsia="Times New Roman" w:hAnsi="Times New Roman"/>
          <w:sz w:val="24"/>
          <w:szCs w:val="24"/>
          <w:rtl w:val="0"/>
        </w:rPr>
        <w:t xml:space="preserve"> (no date). </w:t>
      </w:r>
      <w:hyperlink r:id="rId17">
        <w:r w:rsidDel="00000000" w:rsidR="00000000" w:rsidRPr="00000000">
          <w:rPr>
            <w:rFonts w:ascii="Times New Roman" w:cs="Times New Roman" w:eastAsia="Times New Roman" w:hAnsi="Times New Roman"/>
            <w:color w:val="1155cc"/>
            <w:sz w:val="24"/>
            <w:szCs w:val="24"/>
            <w:u w:val="single"/>
            <w:rtl w:val="0"/>
          </w:rPr>
          <w:t xml:space="preserve">https://www.cqc.org.uk/guidance-regulation/providers/assessment/single-assessment-framework/responsive/person-centred-care</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E">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Simply Psychology (2025) </w:t>
      </w:r>
      <w:r w:rsidDel="00000000" w:rsidR="00000000" w:rsidRPr="00000000">
        <w:rPr>
          <w:rFonts w:ascii="Times New Roman" w:cs="Times New Roman" w:eastAsia="Times New Roman" w:hAnsi="Times New Roman"/>
          <w:i w:val="1"/>
          <w:iCs w:val="1"/>
          <w:sz w:val="24"/>
          <w:szCs w:val="24"/>
          <w:rtl w:val="0"/>
        </w:rPr>
        <w:t xml:space="preserve">Gibbs Reflective Cycle</w:t>
      </w:r>
      <w:r w:rsidDel="00000000" w:rsidR="00000000" w:rsidRPr="00000000">
        <w:rPr>
          <w:rFonts w:ascii="Times New Roman" w:cs="Times New Roman" w:eastAsia="Times New Roman" w:hAnsi="Times New Roman"/>
          <w:sz w:val="24"/>
          <w:szCs w:val="24"/>
          <w:rtl w:val="0"/>
        </w:rPr>
        <w:t xml:space="preserve">. </w:t>
      </w:r>
      <w:hyperlink r:id="rId18">
        <w:r w:rsidDel="00000000" w:rsidR="00000000" w:rsidRPr="00000000">
          <w:rPr>
            <w:rFonts w:ascii="Times New Roman" w:cs="Times New Roman" w:eastAsia="Times New Roman" w:hAnsi="Times New Roman"/>
            <w:color w:val="1155cc"/>
            <w:sz w:val="24"/>
            <w:szCs w:val="24"/>
            <w:u w:val="single"/>
            <w:rtl w:val="0"/>
          </w:rPr>
          <w:t xml:space="preserve">https://www.simplypsychology.org/gibbs-reflective-cycle.html</w:t>
        </w:r>
      </w:hyperlink>
      <w:r w:rsidDel="00000000" w:rsidR="00000000" w:rsidRPr="00000000">
        <w:rPr>
          <w:rFonts w:ascii="Times New Roman" w:cs="Times New Roman" w:eastAsia="Times New Roman" w:hAnsi="Times New Roman"/>
          <w:sz w:val="24"/>
          <w:szCs w:val="24"/>
          <w:rtl w:val="0"/>
        </w:rPr>
        <w:t xml:space="preserve">  (Accessed on 16th October 2026)</w:t>
      </w:r>
    </w:p>
    <w:p w:rsidR="00000000" w:rsidDel="00000000" w:rsidP="00000000" w:rsidRDefault="00000000" w:rsidRPr="00000000" w14:paraId="0000009F">
      <w:pPr>
        <w:numPr>
          <w:ilvl w:val="0"/>
          <w:numId w:val="1"/>
        </w:numPr>
        <w:spacing w:line="276" w:lineRule="auto"/>
        <w:ind w:left="72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The 6 Cs of care</w:t>
      </w:r>
      <w:r w:rsidDel="00000000" w:rsidR="00000000" w:rsidRPr="00000000">
        <w:rPr>
          <w:rFonts w:ascii="Times New Roman" w:cs="Times New Roman" w:eastAsia="Times New Roman" w:hAnsi="Times New Roman"/>
          <w:sz w:val="24"/>
          <w:szCs w:val="24"/>
          <w:rtl w:val="0"/>
        </w:rPr>
        <w:t xml:space="preserve"> (no date). </w:t>
      </w:r>
      <w:hyperlink r:id="rId19">
        <w:r w:rsidDel="00000000" w:rsidR="00000000" w:rsidRPr="00000000">
          <w:rPr>
            <w:rFonts w:ascii="Times New Roman" w:cs="Times New Roman" w:eastAsia="Times New Roman" w:hAnsi="Times New Roman"/>
            <w:color w:val="1155cc"/>
            <w:sz w:val="24"/>
            <w:szCs w:val="24"/>
            <w:u w:val="single"/>
            <w:rtl w:val="0"/>
          </w:rPr>
          <w:t xml:space="preserve">https://www.nhsprofessionals.nhs.uk/nhs-staffing-pool-hub/working-in-healthcare/the-6-cs-of-care</w:t>
        </w:r>
      </w:hyperlink>
      <w:r w:rsidDel="00000000" w:rsidR="00000000" w:rsidRPr="00000000">
        <w:rPr>
          <w:rFonts w:ascii="Times New Roman" w:cs="Times New Roman" w:eastAsia="Times New Roman" w:hAnsi="Times New Roman"/>
          <w:sz w:val="24"/>
          <w:szCs w:val="24"/>
          <w:rtl w:val="0"/>
        </w:rPr>
        <w:t xml:space="preserve">  (Accessed on 16th October 2026)</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implypsychology.org/bronfenbrenner.html" TargetMode="External"/><Relationship Id="rId10" Type="http://schemas.openxmlformats.org/officeDocument/2006/relationships/hyperlink" Target="https://brooksandkirk.co.uk/understanding-maslows-hierarchy-of-needs-in-education/" TargetMode="External"/><Relationship Id="rId13" Type="http://schemas.openxmlformats.org/officeDocument/2006/relationships/hyperlink" Target="https://www.gov.uk/government/publications/mental-capacity-act-code-of-practice" TargetMode="External"/><Relationship Id="rId12" Type="http://schemas.openxmlformats.org/officeDocument/2006/relationships/hyperlink" Target="https://www.simplypsychology.org/maslow.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equality-act-2010-guidance" TargetMode="External"/><Relationship Id="rId15" Type="http://schemas.openxmlformats.org/officeDocument/2006/relationships/hyperlink" Target="https://www.publicengagement.ac.uk/partnership-working" TargetMode="External"/><Relationship Id="rId14" Type="http://schemas.openxmlformats.org/officeDocument/2006/relationships/hyperlink" Target="https://www.legislation.gov.uk/ukpga/2022/31/contents" TargetMode="External"/><Relationship Id="rId17" Type="http://schemas.openxmlformats.org/officeDocument/2006/relationships/hyperlink" Target="https://www.cqc.org.uk/guidance-regulation/providers/assessment/single-assessment-framework/responsive/person-centred-care" TargetMode="External"/><Relationship Id="rId16" Type="http://schemas.openxmlformats.org/officeDocument/2006/relationships/hyperlink" Target="https://www.hee.nhs.uk/our-work/person-centred-care" TargetMode="External"/><Relationship Id="rId5" Type="http://schemas.openxmlformats.org/officeDocument/2006/relationships/styles" Target="styles.xml"/><Relationship Id="rId19" Type="http://schemas.openxmlformats.org/officeDocument/2006/relationships/hyperlink" Target="https://www.nhsprofessionals.nhs.uk/nhs-staffing-pool-hub/working-in-healthcare/the-6-cs-of-care" TargetMode="External"/><Relationship Id="rId6" Type="http://schemas.openxmlformats.org/officeDocument/2006/relationships/hyperlink" Target="https://www.gov.uk/government/publications/care-act-2014-part-1-factsheets/care-act-factsheets" TargetMode="External"/><Relationship Id="rId18" Type="http://schemas.openxmlformats.org/officeDocument/2006/relationships/hyperlink" Target="https://www.simplypsychology.org/gibbs-reflective-cycle.html" TargetMode="External"/><Relationship Id="rId7" Type="http://schemas.openxmlformats.org/officeDocument/2006/relationships/hyperlink" Target="https://carelearning.org.uk/blog/skills-and-principles-blog/what-is-ethical-practice-in-health-and-social-care/" TargetMode="External"/><Relationship Id="rId8" Type="http://schemas.openxmlformats.org/officeDocument/2006/relationships/hyperlink" Target="https://www.cqc.org.uk/coordinat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