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7F7F6" w14:textId="77777777" w:rsidR="006D3FD3" w:rsidRDefault="006D3FD3" w:rsidP="006D3FD3">
      <w:r>
        <w:rPr>
          <w:noProof/>
        </w:rPr>
        <w:drawing>
          <wp:inline distT="0" distB="0" distL="0" distR="0" wp14:anchorId="5A8B8B8A" wp14:editId="36751E93">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4E06864" w14:textId="77777777" w:rsidR="006D3FD3" w:rsidRPr="00A47621" w:rsidRDefault="006D3FD3" w:rsidP="006D3FD3">
      <w:pPr>
        <w:rPr>
          <w:rFonts w:ascii="Times New Roman" w:hAnsi="Times New Roman" w:cs="Times New Roman"/>
          <w:sz w:val="24"/>
          <w:szCs w:val="24"/>
        </w:rPr>
      </w:pPr>
    </w:p>
    <w:p w14:paraId="70119DDD" w14:textId="77777777" w:rsidR="006D3FD3" w:rsidRPr="00F927A1" w:rsidRDefault="006D3FD3" w:rsidP="006D3FD3">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EE229CF" w14:textId="77777777" w:rsidR="006D3FD3" w:rsidRPr="00DC2924" w:rsidRDefault="006D3FD3" w:rsidP="006D3FD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756AD438" w14:textId="77777777" w:rsidR="006D3FD3" w:rsidRPr="0085230E" w:rsidRDefault="006D3FD3" w:rsidP="006D3FD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1E5C6973" w14:textId="77777777" w:rsidR="006D3FD3" w:rsidRDefault="006D3FD3" w:rsidP="006D3FD3">
      <w:pPr>
        <w:overflowPunct/>
        <w:autoSpaceDE/>
        <w:autoSpaceDN/>
        <w:adjustRightInd/>
        <w:ind w:right="-957"/>
        <w:textAlignment w:val="auto"/>
        <w:rPr>
          <w:rFonts w:ascii="Times New Roman" w:hAnsi="Times New Roman" w:cs="Times New Roman"/>
          <w:b/>
          <w:color w:val="auto"/>
          <w:sz w:val="48"/>
        </w:rPr>
      </w:pPr>
    </w:p>
    <w:p w14:paraId="5A46130E" w14:textId="77777777" w:rsidR="006D3FD3" w:rsidRPr="00FE5F90" w:rsidRDefault="006D3FD3" w:rsidP="006D3FD3">
      <w:pPr>
        <w:overflowPunct/>
        <w:autoSpaceDE/>
        <w:autoSpaceDN/>
        <w:adjustRightInd/>
        <w:ind w:right="-957"/>
        <w:textAlignment w:val="auto"/>
        <w:rPr>
          <w:rFonts w:ascii="Times New Roman" w:hAnsi="Times New Roman" w:cs="Times New Roman"/>
          <w:b/>
          <w:color w:val="auto"/>
          <w:sz w:val="18"/>
          <w:szCs w:val="2"/>
        </w:rPr>
      </w:pPr>
    </w:p>
    <w:p w14:paraId="4D55D55B" w14:textId="77777777" w:rsidR="006D3FD3" w:rsidRPr="00F927A1" w:rsidRDefault="006D3FD3" w:rsidP="006D3FD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70E6D2A8" w14:textId="77777777" w:rsidR="006D3FD3" w:rsidRPr="00706BB5" w:rsidRDefault="006D3FD3" w:rsidP="006D3FD3">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622C65A0" w14:textId="77777777" w:rsidR="006D3FD3" w:rsidRPr="00FE5F90" w:rsidRDefault="006D3FD3" w:rsidP="006D3FD3">
      <w:pPr>
        <w:overflowPunct/>
        <w:autoSpaceDE/>
        <w:autoSpaceDN/>
        <w:adjustRightInd/>
        <w:ind w:right="-957"/>
        <w:textAlignment w:val="auto"/>
        <w:rPr>
          <w:rFonts w:ascii="Times New Roman" w:hAnsi="Times New Roman" w:cs="Times New Roman"/>
          <w:b/>
          <w:color w:val="auto"/>
          <w:sz w:val="14"/>
          <w:szCs w:val="2"/>
        </w:rPr>
      </w:pPr>
    </w:p>
    <w:p w14:paraId="5C4388DC" w14:textId="77777777" w:rsidR="006D3FD3" w:rsidRPr="00F927A1" w:rsidRDefault="006D3FD3" w:rsidP="006D3FD3">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6D3FD3" w:rsidRPr="005D3F07" w14:paraId="026F7941" w14:textId="77777777" w:rsidTr="00891C9D">
        <w:tc>
          <w:tcPr>
            <w:tcW w:w="10368" w:type="dxa"/>
            <w:shd w:val="clear" w:color="auto" w:fill="auto"/>
          </w:tcPr>
          <w:p w14:paraId="25E642AE" w14:textId="77777777" w:rsidR="006D3FD3" w:rsidRPr="00BA0548" w:rsidRDefault="006D3FD3" w:rsidP="00891C9D">
            <w:pPr>
              <w:overflowPunct/>
              <w:autoSpaceDE/>
              <w:autoSpaceDN/>
              <w:adjustRightInd/>
              <w:ind w:right="-957"/>
              <w:textAlignment w:val="auto"/>
              <w:rPr>
                <w:rFonts w:ascii="Times New Roman" w:hAnsi="Times New Roman" w:cs="Times New Roman"/>
                <w:b/>
                <w:color w:val="auto"/>
                <w:sz w:val="44"/>
              </w:rPr>
            </w:pPr>
            <w:r w:rsidRPr="00BA0548">
              <w:rPr>
                <w:rFonts w:ascii="Times New Roman" w:hAnsi="Times New Roman" w:cs="Times New Roman"/>
                <w:b/>
                <w:color w:val="auto"/>
                <w:sz w:val="44"/>
              </w:rPr>
              <w:t>Learner’s name: Mollie Snape</w:t>
            </w:r>
          </w:p>
          <w:p w14:paraId="0D98D020" w14:textId="77777777" w:rsidR="006D3FD3" w:rsidRPr="00BA0548" w:rsidRDefault="006D3FD3" w:rsidP="00891C9D">
            <w:pPr>
              <w:overflowPunct/>
              <w:autoSpaceDE/>
              <w:autoSpaceDN/>
              <w:adjustRightInd/>
              <w:ind w:right="-957"/>
              <w:textAlignment w:val="auto"/>
              <w:rPr>
                <w:rFonts w:ascii="Times New Roman" w:hAnsi="Times New Roman" w:cs="Times New Roman"/>
                <w:b/>
                <w:color w:val="auto"/>
                <w:sz w:val="44"/>
              </w:rPr>
            </w:pPr>
          </w:p>
          <w:p w14:paraId="3A7516F8" w14:textId="77777777" w:rsidR="006D3FD3" w:rsidRPr="00BA0548" w:rsidRDefault="006D3FD3" w:rsidP="00891C9D">
            <w:pPr>
              <w:overflowPunct/>
              <w:autoSpaceDE/>
              <w:autoSpaceDN/>
              <w:adjustRightInd/>
              <w:ind w:right="-957"/>
              <w:textAlignment w:val="auto"/>
              <w:rPr>
                <w:rFonts w:ascii="Times New Roman" w:hAnsi="Times New Roman" w:cs="Times New Roman"/>
                <w:b/>
                <w:color w:val="auto"/>
                <w:sz w:val="44"/>
              </w:rPr>
            </w:pPr>
            <w:r w:rsidRPr="00BA0548">
              <w:rPr>
                <w:rFonts w:ascii="Times New Roman" w:hAnsi="Times New Roman" w:cs="Times New Roman"/>
                <w:b/>
                <w:color w:val="auto"/>
                <w:sz w:val="44"/>
              </w:rPr>
              <w:t>Email address: molliesnape@yahoo.co.uk</w:t>
            </w:r>
          </w:p>
          <w:p w14:paraId="38FEFC8A" w14:textId="77777777" w:rsidR="006D3FD3" w:rsidRPr="00BA0548" w:rsidRDefault="006D3FD3" w:rsidP="00891C9D">
            <w:pPr>
              <w:overflowPunct/>
              <w:autoSpaceDE/>
              <w:autoSpaceDN/>
              <w:adjustRightInd/>
              <w:ind w:right="-957"/>
              <w:textAlignment w:val="auto"/>
              <w:rPr>
                <w:rFonts w:ascii="Times New Roman" w:hAnsi="Times New Roman" w:cs="Times New Roman"/>
                <w:b/>
                <w:color w:val="auto"/>
                <w:sz w:val="44"/>
              </w:rPr>
            </w:pPr>
          </w:p>
          <w:p w14:paraId="292B08CF" w14:textId="77777777" w:rsidR="006D3FD3" w:rsidRPr="00BA0548" w:rsidRDefault="006D3FD3" w:rsidP="00891C9D">
            <w:pPr>
              <w:overflowPunct/>
              <w:autoSpaceDE/>
              <w:autoSpaceDN/>
              <w:adjustRightInd/>
              <w:ind w:right="-957"/>
              <w:textAlignment w:val="auto"/>
              <w:rPr>
                <w:rFonts w:ascii="Times New Roman" w:hAnsi="Times New Roman" w:cs="Times New Roman"/>
                <w:b/>
                <w:color w:val="auto"/>
                <w:sz w:val="44"/>
              </w:rPr>
            </w:pPr>
            <w:r w:rsidRPr="00BA0548">
              <w:rPr>
                <w:rFonts w:ascii="Times New Roman" w:hAnsi="Times New Roman" w:cs="Times New Roman"/>
                <w:b/>
                <w:color w:val="auto"/>
                <w:sz w:val="44"/>
              </w:rPr>
              <w:t>Learner’s University Registration Number: 2224345</w:t>
            </w:r>
          </w:p>
          <w:p w14:paraId="72FDBC65" w14:textId="77777777" w:rsidR="006D3FD3" w:rsidRPr="00BA0548" w:rsidRDefault="006D3FD3" w:rsidP="00891C9D">
            <w:pPr>
              <w:overflowPunct/>
              <w:autoSpaceDE/>
              <w:autoSpaceDN/>
              <w:adjustRightInd/>
              <w:ind w:right="-957"/>
              <w:textAlignment w:val="auto"/>
              <w:rPr>
                <w:rFonts w:ascii="Times New Roman" w:hAnsi="Times New Roman" w:cs="Times New Roman"/>
                <w:b/>
                <w:color w:val="auto"/>
                <w:sz w:val="44"/>
              </w:rPr>
            </w:pPr>
          </w:p>
          <w:p w14:paraId="0B316EAC" w14:textId="77777777" w:rsidR="006D3FD3" w:rsidRPr="005D3F07" w:rsidRDefault="006D3FD3" w:rsidP="00891C9D">
            <w:pPr>
              <w:overflowPunct/>
              <w:autoSpaceDE/>
              <w:autoSpaceDN/>
              <w:adjustRightInd/>
              <w:ind w:right="-957"/>
              <w:textAlignment w:val="auto"/>
              <w:rPr>
                <w:rFonts w:ascii="Times New Roman" w:hAnsi="Times New Roman" w:cs="Times New Roman"/>
                <w:b/>
                <w:color w:val="auto"/>
                <w:sz w:val="48"/>
              </w:rPr>
            </w:pPr>
            <w:r w:rsidRPr="00BA0548">
              <w:rPr>
                <w:rFonts w:ascii="Times New Roman" w:hAnsi="Times New Roman" w:cs="Times New Roman"/>
                <w:b/>
                <w:color w:val="auto"/>
                <w:sz w:val="44"/>
              </w:rPr>
              <w:t>Cohort: 20</w:t>
            </w:r>
          </w:p>
        </w:tc>
      </w:tr>
    </w:tbl>
    <w:p w14:paraId="098B7202" w14:textId="77777777" w:rsidR="006D3FD3" w:rsidRPr="00F927A1" w:rsidRDefault="006D3FD3" w:rsidP="006D3FD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5A15D78" w14:textId="77777777" w:rsidR="006D3FD3" w:rsidRPr="00F927A1" w:rsidRDefault="006D3FD3" w:rsidP="006D3FD3">
      <w:pPr>
        <w:overflowPunct/>
        <w:autoSpaceDE/>
        <w:autoSpaceDN/>
        <w:adjustRightInd/>
        <w:textAlignment w:val="auto"/>
        <w:rPr>
          <w:rFonts w:ascii="Times New Roman" w:hAnsi="Times New Roman" w:cs="Times New Roman"/>
          <w:color w:val="auto"/>
          <w:sz w:val="24"/>
        </w:rPr>
      </w:pPr>
    </w:p>
    <w:p w14:paraId="656E9326" w14:textId="145CA5F6" w:rsidR="00151DA6" w:rsidRDefault="00151DA6" w:rsidP="002A1A44">
      <w:pPr>
        <w:keepNext/>
        <w:spacing w:before="240" w:after="60"/>
        <w:jc w:val="both"/>
        <w:rPr>
          <w:b/>
          <w:sz w:val="28"/>
          <w:szCs w:val="28"/>
        </w:rPr>
      </w:pPr>
      <w:r>
        <w:rPr>
          <w:b/>
          <w:sz w:val="28"/>
          <w:szCs w:val="28"/>
        </w:rPr>
        <w:lastRenderedPageBreak/>
        <w:t>Reference List</w:t>
      </w:r>
    </w:p>
    <w:p w14:paraId="41578A76" w14:textId="78524C91" w:rsidR="0089617F" w:rsidRDefault="0089617F" w:rsidP="002A1A44">
      <w:pPr>
        <w:keepNext/>
        <w:spacing w:before="240" w:after="60"/>
        <w:jc w:val="both"/>
        <w:rPr>
          <w:b/>
          <w:sz w:val="28"/>
          <w:szCs w:val="28"/>
        </w:rPr>
      </w:pPr>
    </w:p>
    <w:p w14:paraId="7F770CEF" w14:textId="3D16FE71" w:rsidR="007072EF" w:rsidRDefault="007072EF" w:rsidP="002A1A44">
      <w:pPr>
        <w:keepNext/>
        <w:spacing w:before="240" w:after="60"/>
        <w:jc w:val="both"/>
        <w:rPr>
          <w:sz w:val="24"/>
          <w:szCs w:val="24"/>
          <w:shd w:val="clear" w:color="auto" w:fill="FFFFFF"/>
        </w:rPr>
      </w:pPr>
      <w:r w:rsidRPr="007072EF">
        <w:rPr>
          <w:sz w:val="24"/>
          <w:szCs w:val="24"/>
          <w:shd w:val="clear" w:color="auto" w:fill="FFFFFF"/>
        </w:rPr>
        <w:t>Akilapa, R and Simkiss, D. (2012). Cultural influences and safeguarding children. </w:t>
      </w:r>
      <w:r w:rsidRPr="007072EF">
        <w:rPr>
          <w:i/>
          <w:iCs/>
          <w:sz w:val="24"/>
          <w:szCs w:val="24"/>
        </w:rPr>
        <w:t>Paediatrics and Child Health</w:t>
      </w:r>
      <w:r w:rsidRPr="007072EF">
        <w:rPr>
          <w:sz w:val="24"/>
          <w:szCs w:val="24"/>
          <w:shd w:val="clear" w:color="auto" w:fill="FFFFFF"/>
        </w:rPr>
        <w:t>. 22(11), pp.490-495.</w:t>
      </w:r>
    </w:p>
    <w:p w14:paraId="362C0513" w14:textId="77777777" w:rsidR="00F1392B" w:rsidRPr="007072EF" w:rsidRDefault="00F1392B" w:rsidP="002A1A44">
      <w:pPr>
        <w:keepNext/>
        <w:spacing w:before="240" w:after="60"/>
        <w:jc w:val="both"/>
        <w:rPr>
          <w:sz w:val="24"/>
          <w:szCs w:val="24"/>
          <w:shd w:val="clear" w:color="auto" w:fill="FFFFFF"/>
        </w:rPr>
      </w:pPr>
    </w:p>
    <w:p w14:paraId="092F554F" w14:textId="77777777" w:rsidR="00F1392B" w:rsidRDefault="00F1392B" w:rsidP="00F1392B">
      <w:pPr>
        <w:overflowPunct/>
        <w:textAlignment w:val="auto"/>
        <w:rPr>
          <w:sz w:val="24"/>
          <w:szCs w:val="30"/>
          <w:shd w:val="clear" w:color="auto" w:fill="FFFFFF"/>
        </w:rPr>
      </w:pPr>
      <w:r w:rsidRPr="006B34A4">
        <w:rPr>
          <w:sz w:val="24"/>
          <w:szCs w:val="30"/>
          <w:shd w:val="clear" w:color="auto" w:fill="FFFFFF"/>
        </w:rPr>
        <w:t>Backer, Mattias De. (2022). Co-constructing participatory ethics to address hierarchy and inequality: Social work ethics in research practice. </w:t>
      </w:r>
      <w:r w:rsidRPr="006B34A4">
        <w:rPr>
          <w:i/>
          <w:iCs/>
          <w:sz w:val="24"/>
          <w:szCs w:val="30"/>
        </w:rPr>
        <w:t>Qualitative Research</w:t>
      </w:r>
      <w:r w:rsidRPr="006B34A4">
        <w:rPr>
          <w:sz w:val="24"/>
          <w:szCs w:val="30"/>
          <w:shd w:val="clear" w:color="auto" w:fill="FFFFFF"/>
        </w:rPr>
        <w:t>. 22(5).</w:t>
      </w:r>
    </w:p>
    <w:p w14:paraId="77E86255" w14:textId="77777777" w:rsidR="00F1392B" w:rsidRDefault="00F1392B" w:rsidP="00F1392B">
      <w:pPr>
        <w:overflowPunct/>
        <w:textAlignment w:val="auto"/>
        <w:rPr>
          <w:sz w:val="24"/>
          <w:szCs w:val="30"/>
          <w:shd w:val="clear" w:color="auto" w:fill="FFFFFF"/>
        </w:rPr>
      </w:pPr>
    </w:p>
    <w:p w14:paraId="29113E48" w14:textId="77777777" w:rsidR="00F1392B" w:rsidRDefault="00F1392B" w:rsidP="00F1392B">
      <w:pPr>
        <w:shd w:val="clear" w:color="auto" w:fill="FFFFFF"/>
        <w:overflowPunct/>
        <w:autoSpaceDE/>
        <w:autoSpaceDN/>
        <w:adjustRightInd/>
        <w:spacing w:line="330" w:lineRule="atLeast"/>
        <w:textAlignment w:val="auto"/>
        <w:rPr>
          <w:color w:val="111111"/>
          <w:sz w:val="24"/>
          <w:szCs w:val="24"/>
        </w:rPr>
      </w:pPr>
      <w:r w:rsidRPr="00E07673">
        <w:rPr>
          <w:color w:val="111111"/>
          <w:sz w:val="24"/>
          <w:szCs w:val="24"/>
        </w:rPr>
        <w:t>Bandura, A. (1977). Social learning theory. Prentice-Hall.</w:t>
      </w:r>
    </w:p>
    <w:p w14:paraId="158F1D1C" w14:textId="77777777" w:rsidR="00F1392B" w:rsidRDefault="00F1392B" w:rsidP="00F1392B">
      <w:pPr>
        <w:shd w:val="clear" w:color="auto" w:fill="FFFFFF"/>
        <w:overflowPunct/>
        <w:autoSpaceDE/>
        <w:autoSpaceDN/>
        <w:adjustRightInd/>
        <w:spacing w:line="330" w:lineRule="atLeast"/>
        <w:textAlignment w:val="auto"/>
        <w:rPr>
          <w:color w:val="111111"/>
          <w:sz w:val="24"/>
          <w:szCs w:val="24"/>
        </w:rPr>
      </w:pPr>
    </w:p>
    <w:p w14:paraId="2E5C838E" w14:textId="77777777" w:rsidR="00F1392B" w:rsidRPr="00E07673" w:rsidRDefault="00F1392B" w:rsidP="00F1392B">
      <w:pPr>
        <w:shd w:val="clear" w:color="auto" w:fill="FFFFFF"/>
        <w:overflowPunct/>
        <w:autoSpaceDE/>
        <w:autoSpaceDN/>
        <w:adjustRightInd/>
        <w:spacing w:line="330" w:lineRule="atLeast"/>
        <w:textAlignment w:val="auto"/>
        <w:rPr>
          <w:color w:val="111111"/>
          <w:sz w:val="24"/>
          <w:szCs w:val="24"/>
        </w:rPr>
      </w:pPr>
      <w:r>
        <w:rPr>
          <w:color w:val="111111"/>
          <w:sz w:val="24"/>
          <w:szCs w:val="24"/>
        </w:rPr>
        <w:t>Becker, G. (1968).</w:t>
      </w:r>
      <w:r w:rsidRPr="000F2613">
        <w:rPr>
          <w:color w:val="auto"/>
          <w:sz w:val="32"/>
          <w:szCs w:val="24"/>
        </w:rPr>
        <w:t xml:space="preserve"> </w:t>
      </w:r>
      <w:r w:rsidRPr="000F2613">
        <w:rPr>
          <w:color w:val="auto"/>
          <w:sz w:val="24"/>
          <w:shd w:val="clear" w:color="auto" w:fill="FFFFFF"/>
        </w:rPr>
        <w:t>Crime and punishment: An economic approach. </w:t>
      </w:r>
      <w:r w:rsidRPr="000F2613">
        <w:rPr>
          <w:rStyle w:val="Emphasis"/>
          <w:color w:val="auto"/>
          <w:sz w:val="24"/>
          <w:shd w:val="clear" w:color="auto" w:fill="FFFFFF"/>
        </w:rPr>
        <w:t>Journal of Political Economy</w:t>
      </w:r>
      <w:r w:rsidRPr="000F2613">
        <w:rPr>
          <w:color w:val="auto"/>
          <w:sz w:val="24"/>
          <w:shd w:val="clear" w:color="auto" w:fill="FFFFFF"/>
        </w:rPr>
        <w:t> 76: 169-217.</w:t>
      </w:r>
    </w:p>
    <w:p w14:paraId="2E2FA3E5" w14:textId="77777777" w:rsidR="00F1392B" w:rsidRPr="006B34A4" w:rsidRDefault="00F1392B" w:rsidP="00F1392B">
      <w:pPr>
        <w:overflowPunct/>
        <w:textAlignment w:val="auto"/>
        <w:rPr>
          <w:szCs w:val="30"/>
          <w:shd w:val="clear" w:color="auto" w:fill="FFFFFF"/>
        </w:rPr>
      </w:pPr>
    </w:p>
    <w:p w14:paraId="74AF62B4" w14:textId="77777777" w:rsidR="00F1392B" w:rsidRDefault="00F1392B" w:rsidP="00F1392B">
      <w:pPr>
        <w:overflowPunct/>
        <w:textAlignment w:val="auto"/>
        <w:rPr>
          <w:sz w:val="24"/>
          <w:szCs w:val="30"/>
          <w:shd w:val="clear" w:color="auto" w:fill="FFFFFF"/>
        </w:rPr>
      </w:pPr>
    </w:p>
    <w:p w14:paraId="076A7D6B" w14:textId="77777777" w:rsidR="00F1392B" w:rsidRPr="0057130F" w:rsidRDefault="00F1392B" w:rsidP="00F1392B">
      <w:pPr>
        <w:overflowPunct/>
        <w:textAlignment w:val="auto"/>
        <w:rPr>
          <w:color w:val="auto"/>
          <w:szCs w:val="24"/>
          <w:lang w:eastAsia="en-US"/>
        </w:rPr>
      </w:pPr>
      <w:r w:rsidRPr="0057130F">
        <w:rPr>
          <w:sz w:val="24"/>
          <w:szCs w:val="30"/>
          <w:shd w:val="clear" w:color="auto" w:fill="FFFFFF"/>
        </w:rPr>
        <w:t>Bowden, F and Lambie, I. (2015). What makes youth run or stay? A review of the literature on absconding. </w:t>
      </w:r>
      <w:r w:rsidRPr="0057130F">
        <w:rPr>
          <w:i/>
          <w:iCs/>
          <w:sz w:val="24"/>
          <w:szCs w:val="30"/>
        </w:rPr>
        <w:t>Aggression and Violent Behavior</w:t>
      </w:r>
      <w:r w:rsidRPr="0057130F">
        <w:rPr>
          <w:sz w:val="24"/>
          <w:szCs w:val="30"/>
          <w:shd w:val="clear" w:color="auto" w:fill="FFFFFF"/>
        </w:rPr>
        <w:t>. 25(B), pp.266-279.</w:t>
      </w:r>
    </w:p>
    <w:p w14:paraId="1B5A2640" w14:textId="77777777" w:rsidR="00F1392B" w:rsidRDefault="00F1392B" w:rsidP="00F1392B">
      <w:pPr>
        <w:overflowPunct/>
        <w:textAlignment w:val="auto"/>
        <w:rPr>
          <w:color w:val="auto"/>
          <w:sz w:val="24"/>
          <w:szCs w:val="24"/>
          <w:lang w:eastAsia="en-US"/>
        </w:rPr>
      </w:pPr>
    </w:p>
    <w:p w14:paraId="1F0F3352" w14:textId="7EDCC2FC" w:rsidR="007072EF" w:rsidRDefault="00F1392B" w:rsidP="00F1392B">
      <w:pPr>
        <w:overflowPunct/>
        <w:textAlignment w:val="auto"/>
        <w:rPr>
          <w:sz w:val="24"/>
          <w:szCs w:val="30"/>
          <w:shd w:val="clear" w:color="auto" w:fill="FFFFFF"/>
        </w:rPr>
      </w:pPr>
      <w:r>
        <w:rPr>
          <w:color w:val="auto"/>
          <w:sz w:val="24"/>
          <w:szCs w:val="24"/>
          <w:lang w:eastAsia="en-US"/>
        </w:rPr>
        <w:t xml:space="preserve">Brammer, A. (2010) </w:t>
      </w:r>
      <w:r>
        <w:rPr>
          <w:i/>
          <w:color w:val="auto"/>
          <w:sz w:val="24"/>
          <w:szCs w:val="24"/>
          <w:lang w:eastAsia="en-US"/>
        </w:rPr>
        <w:t>Social Work Law</w:t>
      </w:r>
      <w:r>
        <w:rPr>
          <w:color w:val="auto"/>
          <w:sz w:val="24"/>
          <w:szCs w:val="24"/>
          <w:lang w:eastAsia="en-US"/>
        </w:rPr>
        <w:t>, 3</w:t>
      </w:r>
      <w:r>
        <w:rPr>
          <w:color w:val="auto"/>
          <w:sz w:val="24"/>
          <w:szCs w:val="24"/>
          <w:vertAlign w:val="superscript"/>
          <w:lang w:eastAsia="en-US"/>
        </w:rPr>
        <w:t>rd</w:t>
      </w:r>
      <w:r>
        <w:rPr>
          <w:color w:val="auto"/>
          <w:sz w:val="24"/>
          <w:szCs w:val="24"/>
          <w:lang w:eastAsia="en-US"/>
        </w:rPr>
        <w:t xml:space="preserve"> Edition, Essex: Pearson Education Limited.</w:t>
      </w:r>
    </w:p>
    <w:p w14:paraId="41FC96F9" w14:textId="125697EE" w:rsidR="007935C6" w:rsidRDefault="00A70ADA" w:rsidP="002A1A44">
      <w:pPr>
        <w:keepNext/>
        <w:spacing w:before="240" w:after="60"/>
        <w:jc w:val="both"/>
        <w:rPr>
          <w:sz w:val="24"/>
          <w:szCs w:val="30"/>
          <w:shd w:val="clear" w:color="auto" w:fill="FFFFFF"/>
        </w:rPr>
      </w:pPr>
      <w:r w:rsidRPr="00A70ADA">
        <w:rPr>
          <w:sz w:val="24"/>
          <w:szCs w:val="30"/>
          <w:shd w:val="clear" w:color="auto" w:fill="FFFFFF"/>
        </w:rPr>
        <w:t>Care Quality commission. (2018). </w:t>
      </w:r>
      <w:r w:rsidRPr="00A70ADA">
        <w:rPr>
          <w:i/>
          <w:iCs/>
          <w:sz w:val="24"/>
          <w:szCs w:val="30"/>
        </w:rPr>
        <w:t>Statement on CQC’s role and responsibilities for safeguarding children and adults</w:t>
      </w:r>
      <w:r w:rsidRPr="00A70ADA">
        <w:rPr>
          <w:sz w:val="24"/>
          <w:szCs w:val="30"/>
          <w:shd w:val="clear" w:color="auto" w:fill="FFFFFF"/>
        </w:rPr>
        <w:t>. [Online]. Care Quality commission. Last Updated: 2018. Available at: https://www.bing.com/search?pglt=43&amp;q=difference+in+safeguarding+adults+to+children&amp;cvid=fb902d54e3a [Accessed 25/08/2023].</w:t>
      </w:r>
    </w:p>
    <w:p w14:paraId="362A5CE1" w14:textId="77777777" w:rsidR="007935C6" w:rsidRDefault="007935C6" w:rsidP="002A1A44">
      <w:pPr>
        <w:keepNext/>
        <w:spacing w:before="240" w:after="60"/>
        <w:jc w:val="both"/>
        <w:rPr>
          <w:sz w:val="24"/>
          <w:szCs w:val="30"/>
          <w:shd w:val="clear" w:color="auto" w:fill="FFFFFF"/>
        </w:rPr>
      </w:pPr>
    </w:p>
    <w:p w14:paraId="2F902015" w14:textId="1BE705D8" w:rsidR="007935C6" w:rsidRDefault="007935C6" w:rsidP="007935C6">
      <w:pPr>
        <w:rPr>
          <w:sz w:val="24"/>
          <w:szCs w:val="24"/>
          <w:shd w:val="clear" w:color="auto" w:fill="FFFFFF"/>
        </w:rPr>
      </w:pPr>
      <w:r w:rsidRPr="00F1278D">
        <w:rPr>
          <w:sz w:val="24"/>
          <w:szCs w:val="24"/>
          <w:shd w:val="clear" w:color="auto" w:fill="FFFFFF"/>
        </w:rPr>
        <w:t>Cheminais, R. (2009). </w:t>
      </w:r>
      <w:r w:rsidRPr="00F1278D">
        <w:rPr>
          <w:i/>
          <w:iCs/>
          <w:sz w:val="24"/>
          <w:szCs w:val="24"/>
        </w:rPr>
        <w:t>The Benefits and Challenges of Collaborative Multi-Agency Working</w:t>
      </w:r>
      <w:r w:rsidRPr="00F1278D">
        <w:rPr>
          <w:sz w:val="24"/>
          <w:szCs w:val="24"/>
          <w:shd w:val="clear" w:color="auto" w:fill="FFFFFF"/>
        </w:rPr>
        <w:t>. London: Education.</w:t>
      </w:r>
    </w:p>
    <w:p w14:paraId="08D7FDFF" w14:textId="453F8D24" w:rsidR="00F1392B" w:rsidRDefault="00F1392B" w:rsidP="007935C6">
      <w:pPr>
        <w:rPr>
          <w:sz w:val="24"/>
          <w:szCs w:val="24"/>
          <w:shd w:val="clear" w:color="auto" w:fill="FFFFFF"/>
        </w:rPr>
      </w:pPr>
    </w:p>
    <w:p w14:paraId="32166B68" w14:textId="5F64C7BD" w:rsidR="00F1392B" w:rsidRPr="00F1392B" w:rsidRDefault="00F1392B" w:rsidP="007935C6">
      <w:pPr>
        <w:rPr>
          <w:sz w:val="24"/>
          <w:szCs w:val="30"/>
          <w:shd w:val="clear" w:color="auto" w:fill="FFFFFF"/>
        </w:rPr>
      </w:pPr>
      <w:r>
        <w:rPr>
          <w:sz w:val="24"/>
          <w:szCs w:val="30"/>
          <w:shd w:val="clear" w:color="auto" w:fill="FFFFFF"/>
        </w:rPr>
        <w:t xml:space="preserve">Children Act. (1989). London. </w:t>
      </w:r>
    </w:p>
    <w:p w14:paraId="36D717BA" w14:textId="49350B2E" w:rsidR="00DA2669" w:rsidRDefault="00DA2669" w:rsidP="007935C6">
      <w:pPr>
        <w:rPr>
          <w:sz w:val="24"/>
          <w:szCs w:val="24"/>
          <w:shd w:val="clear" w:color="auto" w:fill="FFFFFF"/>
        </w:rPr>
      </w:pPr>
    </w:p>
    <w:p w14:paraId="12FAB2FD" w14:textId="70944666" w:rsidR="00DA2669" w:rsidRPr="00DA2669" w:rsidRDefault="00DA2669" w:rsidP="007935C6">
      <w:pPr>
        <w:rPr>
          <w:sz w:val="24"/>
          <w:szCs w:val="24"/>
          <w:shd w:val="clear" w:color="auto" w:fill="FFFFFF"/>
        </w:rPr>
      </w:pPr>
      <w:r w:rsidRPr="00DA2669">
        <w:rPr>
          <w:sz w:val="24"/>
          <w:szCs w:val="24"/>
          <w:shd w:val="clear" w:color="auto" w:fill="FFFFFF"/>
        </w:rPr>
        <w:t>Cockbain, E and Brayley, H. (2012). Child sexual exploitation and youth offending: A research note. </w:t>
      </w:r>
      <w:r w:rsidRPr="00DA2669">
        <w:rPr>
          <w:i/>
          <w:iCs/>
          <w:sz w:val="24"/>
          <w:szCs w:val="24"/>
        </w:rPr>
        <w:t>European Journal of Criminology</w:t>
      </w:r>
      <w:r w:rsidRPr="00DA2669">
        <w:rPr>
          <w:sz w:val="24"/>
          <w:szCs w:val="24"/>
          <w:shd w:val="clear" w:color="auto" w:fill="FFFFFF"/>
        </w:rPr>
        <w:t>. 9(6), pp.689-700.</w:t>
      </w:r>
    </w:p>
    <w:p w14:paraId="413AB3BA" w14:textId="77777777" w:rsidR="007935C6" w:rsidRPr="00F1278D" w:rsidRDefault="007935C6" w:rsidP="007935C6">
      <w:pPr>
        <w:rPr>
          <w:sz w:val="24"/>
          <w:szCs w:val="24"/>
          <w:shd w:val="clear" w:color="auto" w:fill="FFFFFF"/>
        </w:rPr>
      </w:pPr>
    </w:p>
    <w:p w14:paraId="472B8BB0" w14:textId="02C8AFA9" w:rsidR="007935C6" w:rsidRDefault="007935C6" w:rsidP="007935C6">
      <w:pPr>
        <w:rPr>
          <w:sz w:val="24"/>
          <w:szCs w:val="24"/>
          <w:shd w:val="clear" w:color="auto" w:fill="FFFFFF"/>
        </w:rPr>
      </w:pPr>
      <w:r w:rsidRPr="00F1278D">
        <w:rPr>
          <w:sz w:val="24"/>
          <w:szCs w:val="24"/>
          <w:shd w:val="clear" w:color="auto" w:fill="FFFFFF"/>
        </w:rPr>
        <w:t>Coupland, N, Williams, A and Garrett, P. (2010). The social meanings of welsh English: Teachers’ stereotyped Judgements. </w:t>
      </w:r>
      <w:r w:rsidRPr="00F1278D">
        <w:rPr>
          <w:i/>
          <w:iCs/>
          <w:sz w:val="24"/>
          <w:szCs w:val="24"/>
        </w:rPr>
        <w:t>Journal of Multilingual and Multicultural Development</w:t>
      </w:r>
      <w:r w:rsidRPr="00F1278D">
        <w:rPr>
          <w:sz w:val="24"/>
          <w:szCs w:val="24"/>
          <w:shd w:val="clear" w:color="auto" w:fill="FFFFFF"/>
        </w:rPr>
        <w:t>. 15(6), pp.471-489.</w:t>
      </w:r>
    </w:p>
    <w:p w14:paraId="680799DE" w14:textId="77777777" w:rsidR="007935C6" w:rsidRPr="00F1278D" w:rsidRDefault="007935C6" w:rsidP="007935C6">
      <w:pPr>
        <w:rPr>
          <w:sz w:val="24"/>
          <w:szCs w:val="24"/>
          <w:shd w:val="clear" w:color="auto" w:fill="FFFFFF"/>
        </w:rPr>
      </w:pPr>
    </w:p>
    <w:p w14:paraId="20F02A07" w14:textId="25652C18" w:rsidR="007935C6" w:rsidRDefault="007935C6" w:rsidP="007935C6">
      <w:pPr>
        <w:rPr>
          <w:sz w:val="24"/>
          <w:szCs w:val="24"/>
          <w:shd w:val="clear" w:color="auto" w:fill="FFFFFF"/>
        </w:rPr>
      </w:pPr>
      <w:r w:rsidRPr="00F1278D">
        <w:rPr>
          <w:sz w:val="24"/>
          <w:szCs w:val="24"/>
          <w:shd w:val="clear" w:color="auto" w:fill="FFFFFF"/>
        </w:rPr>
        <w:t>General Social Care Council. (2009). </w:t>
      </w:r>
      <w:r w:rsidRPr="00F1278D">
        <w:rPr>
          <w:i/>
          <w:iCs/>
          <w:sz w:val="24"/>
          <w:szCs w:val="24"/>
        </w:rPr>
        <w:t>Professional boundaries: guidance for social workers</w:t>
      </w:r>
      <w:r w:rsidRPr="00F1278D">
        <w:rPr>
          <w:sz w:val="24"/>
          <w:szCs w:val="24"/>
          <w:shd w:val="clear" w:color="auto" w:fill="FFFFFF"/>
        </w:rPr>
        <w:t>. [Online]. Social Care Institute for Excellence. Available at: https://www.scie-socialcareonline.org.uk/professional-boundaries-guidance-for-social-workers/r/a11G0 (Accessed 10/02/2023).</w:t>
      </w:r>
    </w:p>
    <w:p w14:paraId="35596D36" w14:textId="3815A6D6" w:rsidR="00F1392B" w:rsidRDefault="00F1392B" w:rsidP="007935C6">
      <w:pPr>
        <w:rPr>
          <w:sz w:val="24"/>
          <w:szCs w:val="24"/>
          <w:shd w:val="clear" w:color="auto" w:fill="FFFFFF"/>
        </w:rPr>
      </w:pPr>
    </w:p>
    <w:p w14:paraId="284F3FD3" w14:textId="77777777" w:rsidR="00F1392B" w:rsidRPr="003312F4" w:rsidRDefault="00F1392B" w:rsidP="00F1392B">
      <w:pPr>
        <w:rPr>
          <w:szCs w:val="30"/>
          <w:shd w:val="clear" w:color="auto" w:fill="FFFFFF"/>
        </w:rPr>
      </w:pPr>
      <w:r w:rsidRPr="003312F4">
        <w:rPr>
          <w:sz w:val="24"/>
          <w:szCs w:val="30"/>
          <w:shd w:val="clear" w:color="auto" w:fill="FFFFFF"/>
        </w:rPr>
        <w:lastRenderedPageBreak/>
        <w:t>Gil, S and Weinberg, M. (2015). Secondary trauma among social workers treating trauma clients: The role of coping strategies and internal resources. </w:t>
      </w:r>
      <w:r w:rsidRPr="003312F4">
        <w:rPr>
          <w:i/>
          <w:iCs/>
          <w:sz w:val="24"/>
          <w:szCs w:val="30"/>
        </w:rPr>
        <w:t>International social work</w:t>
      </w:r>
      <w:r w:rsidRPr="003312F4">
        <w:rPr>
          <w:sz w:val="24"/>
          <w:szCs w:val="30"/>
          <w:shd w:val="clear" w:color="auto" w:fill="FFFFFF"/>
        </w:rPr>
        <w:t>. 58(4).</w:t>
      </w:r>
    </w:p>
    <w:p w14:paraId="31AE2DBF" w14:textId="77777777" w:rsidR="00F1392B" w:rsidRDefault="00F1392B" w:rsidP="007935C6">
      <w:pPr>
        <w:rPr>
          <w:sz w:val="24"/>
          <w:szCs w:val="24"/>
          <w:shd w:val="clear" w:color="auto" w:fill="FFFFFF"/>
        </w:rPr>
      </w:pPr>
    </w:p>
    <w:p w14:paraId="0B2B4FEB" w14:textId="73755FEC" w:rsidR="00F97419" w:rsidRDefault="00F97419" w:rsidP="007935C6">
      <w:pPr>
        <w:rPr>
          <w:sz w:val="24"/>
          <w:szCs w:val="24"/>
          <w:shd w:val="clear" w:color="auto" w:fill="FFFFFF"/>
        </w:rPr>
      </w:pPr>
    </w:p>
    <w:p w14:paraId="78EDD64B" w14:textId="63813080" w:rsidR="00F97419" w:rsidRPr="00F97419" w:rsidRDefault="00F97419" w:rsidP="007935C6">
      <w:pPr>
        <w:rPr>
          <w:spacing w:val="7"/>
          <w:sz w:val="24"/>
          <w:szCs w:val="24"/>
          <w:shd w:val="clear" w:color="auto" w:fill="FFFFFF"/>
        </w:rPr>
      </w:pPr>
      <w:r w:rsidRPr="00F97419">
        <w:rPr>
          <w:sz w:val="24"/>
          <w:szCs w:val="24"/>
          <w:shd w:val="clear" w:color="auto" w:fill="FFFFFF"/>
        </w:rPr>
        <w:t>Grant, L and Kinman, G. (2020). </w:t>
      </w:r>
      <w:r w:rsidRPr="00F97419">
        <w:rPr>
          <w:i/>
          <w:iCs/>
          <w:sz w:val="24"/>
          <w:szCs w:val="24"/>
        </w:rPr>
        <w:t>Resilience</w:t>
      </w:r>
      <w:r w:rsidRPr="00F97419">
        <w:rPr>
          <w:sz w:val="24"/>
          <w:szCs w:val="24"/>
          <w:shd w:val="clear" w:color="auto" w:fill="FFFFFF"/>
        </w:rPr>
        <w:t>. [Online]. Community Care Inform. Available at: https://www.bing.com/search?q=responding+to+complex+situations+in+social+work&amp;qs=n&amp;form=QBRE&amp;sp=-1&amp;l [Accessed 17 October 2023].</w:t>
      </w:r>
    </w:p>
    <w:p w14:paraId="50303FA9" w14:textId="77777777" w:rsidR="007935C6" w:rsidRPr="00A70ADA" w:rsidRDefault="007935C6" w:rsidP="002A1A44">
      <w:pPr>
        <w:keepNext/>
        <w:spacing w:before="240" w:after="60"/>
        <w:jc w:val="both"/>
        <w:rPr>
          <w:szCs w:val="24"/>
        </w:rPr>
      </w:pPr>
    </w:p>
    <w:p w14:paraId="58610B77" w14:textId="4FF55B76" w:rsidR="00A70ADA" w:rsidRDefault="00272A8F" w:rsidP="002A1A44">
      <w:pPr>
        <w:keepNext/>
        <w:spacing w:before="240" w:after="60"/>
        <w:jc w:val="both"/>
        <w:rPr>
          <w:sz w:val="24"/>
          <w:szCs w:val="30"/>
          <w:shd w:val="clear" w:color="auto" w:fill="FFFFFF"/>
        </w:rPr>
      </w:pPr>
      <w:r w:rsidRPr="00272A8F">
        <w:rPr>
          <w:sz w:val="24"/>
          <w:szCs w:val="30"/>
          <w:shd w:val="clear" w:color="auto" w:fill="FFFFFF"/>
        </w:rPr>
        <w:t>Hempton, N and Williams, R. (2011). Safeguarding Children. </w:t>
      </w:r>
      <w:r w:rsidRPr="00272A8F">
        <w:rPr>
          <w:i/>
          <w:iCs/>
          <w:sz w:val="24"/>
          <w:szCs w:val="30"/>
        </w:rPr>
        <w:t>InnovAiT: Education and inspiration for general practice</w:t>
      </w:r>
      <w:r w:rsidRPr="00272A8F">
        <w:rPr>
          <w:sz w:val="24"/>
          <w:szCs w:val="30"/>
          <w:shd w:val="clear" w:color="auto" w:fill="FFFFFF"/>
        </w:rPr>
        <w:t>. 4(3), pp.145-153.</w:t>
      </w:r>
    </w:p>
    <w:p w14:paraId="12C2A7AB" w14:textId="77777777" w:rsidR="00F1392B" w:rsidRDefault="00F1392B" w:rsidP="002A1A44">
      <w:pPr>
        <w:keepNext/>
        <w:spacing w:before="240" w:after="60"/>
        <w:jc w:val="both"/>
        <w:rPr>
          <w:sz w:val="24"/>
          <w:szCs w:val="30"/>
          <w:shd w:val="clear" w:color="auto" w:fill="FFFFFF"/>
        </w:rPr>
      </w:pPr>
    </w:p>
    <w:p w14:paraId="59532DBF" w14:textId="129F6130" w:rsidR="00F1392B" w:rsidRDefault="00F1392B" w:rsidP="00F1392B">
      <w:pPr>
        <w:rPr>
          <w:sz w:val="24"/>
          <w:szCs w:val="30"/>
          <w:shd w:val="clear" w:color="auto" w:fill="FFFFFF"/>
        </w:rPr>
      </w:pPr>
      <w:r w:rsidRPr="003E2412">
        <w:rPr>
          <w:sz w:val="24"/>
          <w:szCs w:val="30"/>
          <w:shd w:val="clear" w:color="auto" w:fill="FFFFFF"/>
        </w:rPr>
        <w:t>Herland, Mari D. (2021). Emotional intelligence as a part of critical reflection in social work practice and research. </w:t>
      </w:r>
      <w:r w:rsidRPr="003E2412">
        <w:rPr>
          <w:i/>
          <w:iCs/>
          <w:sz w:val="24"/>
          <w:szCs w:val="30"/>
        </w:rPr>
        <w:t>Qualitative Social Work</w:t>
      </w:r>
      <w:r w:rsidRPr="003E2412">
        <w:rPr>
          <w:sz w:val="24"/>
          <w:szCs w:val="30"/>
          <w:shd w:val="clear" w:color="auto" w:fill="FFFFFF"/>
        </w:rPr>
        <w:t>. 21(4).</w:t>
      </w:r>
    </w:p>
    <w:p w14:paraId="0760364C" w14:textId="0281D754" w:rsidR="00F1392B" w:rsidRDefault="00F1392B" w:rsidP="00F1392B">
      <w:pPr>
        <w:rPr>
          <w:sz w:val="24"/>
          <w:szCs w:val="30"/>
          <w:shd w:val="clear" w:color="auto" w:fill="FFFFFF"/>
        </w:rPr>
      </w:pPr>
    </w:p>
    <w:p w14:paraId="4A2E5255" w14:textId="4A47BBC2" w:rsidR="00F1392B" w:rsidRPr="00F1392B" w:rsidRDefault="00F1392B" w:rsidP="00F1392B">
      <w:pPr>
        <w:rPr>
          <w:sz w:val="16"/>
          <w:szCs w:val="30"/>
          <w:shd w:val="clear" w:color="auto" w:fill="FFFFFF"/>
        </w:rPr>
      </w:pPr>
      <w:r w:rsidRPr="006717CB">
        <w:rPr>
          <w:sz w:val="24"/>
          <w:szCs w:val="30"/>
          <w:shd w:val="clear" w:color="auto" w:fill="FFFFFF"/>
        </w:rPr>
        <w:t>Iancu, P and Lanteigne, I. (2020). Advances in social work practice: Understanding uncertainty and unpredictability of complex non-linear situations. </w:t>
      </w:r>
      <w:r w:rsidRPr="006717CB">
        <w:rPr>
          <w:i/>
          <w:iCs/>
          <w:sz w:val="24"/>
          <w:szCs w:val="30"/>
        </w:rPr>
        <w:t>Journal of Social Work</w:t>
      </w:r>
      <w:r w:rsidRPr="006717CB">
        <w:rPr>
          <w:sz w:val="24"/>
          <w:szCs w:val="30"/>
          <w:shd w:val="clear" w:color="auto" w:fill="FFFFFF"/>
        </w:rPr>
        <w:t>. 22(1), pp.130-149.</w:t>
      </w:r>
    </w:p>
    <w:p w14:paraId="7E80F8D5" w14:textId="77777777" w:rsidR="007935C6" w:rsidRDefault="007935C6" w:rsidP="002A1A44">
      <w:pPr>
        <w:keepNext/>
        <w:spacing w:before="240" w:after="60"/>
        <w:jc w:val="both"/>
        <w:rPr>
          <w:sz w:val="24"/>
          <w:szCs w:val="30"/>
          <w:shd w:val="clear" w:color="auto" w:fill="FFFFFF"/>
        </w:rPr>
      </w:pPr>
    </w:p>
    <w:p w14:paraId="07D9FEC6" w14:textId="5960AA13" w:rsidR="007935C6" w:rsidRDefault="007935C6" w:rsidP="007935C6">
      <w:pPr>
        <w:rPr>
          <w:spacing w:val="7"/>
          <w:sz w:val="24"/>
          <w:szCs w:val="24"/>
          <w:shd w:val="clear" w:color="auto" w:fill="FFFFFF"/>
        </w:rPr>
      </w:pPr>
      <w:r w:rsidRPr="00F1278D">
        <w:rPr>
          <w:spacing w:val="7"/>
          <w:sz w:val="24"/>
          <w:szCs w:val="24"/>
          <w:shd w:val="clear" w:color="auto" w:fill="FFFFFF"/>
        </w:rPr>
        <w:t>Jansen A (2017) </w:t>
      </w:r>
      <w:hyperlink r:id="rId11" w:history="1">
        <w:r w:rsidRPr="00F1278D">
          <w:rPr>
            <w:rStyle w:val="Hyperlink"/>
            <w:color w:val="auto"/>
            <w:spacing w:val="7"/>
            <w:sz w:val="24"/>
            <w:szCs w:val="24"/>
            <w:shd w:val="clear" w:color="auto" w:fill="FFFFFF"/>
          </w:rPr>
          <w:t>'</w:t>
        </w:r>
        <w:r w:rsidRPr="007935C6">
          <w:rPr>
            <w:rStyle w:val="Hyperlink"/>
            <w:color w:val="auto"/>
            <w:spacing w:val="7"/>
            <w:sz w:val="24"/>
            <w:szCs w:val="24"/>
            <w:u w:val="none"/>
            <w:shd w:val="clear" w:color="auto" w:fill="FFFFFF"/>
          </w:rPr>
          <w:t>It's so complex!': understanding the challenges of child protection work as experienced by newly graduated professionals</w:t>
        </w:r>
      </w:hyperlink>
      <w:r w:rsidRPr="00F1278D">
        <w:rPr>
          <w:spacing w:val="7"/>
          <w:sz w:val="24"/>
          <w:szCs w:val="24"/>
          <w:shd w:val="clear" w:color="auto" w:fill="FFFFFF"/>
        </w:rPr>
        <w:t>, </w:t>
      </w:r>
      <w:r w:rsidRPr="00F1278D">
        <w:rPr>
          <w:rStyle w:val="Emphasis"/>
          <w:spacing w:val="7"/>
          <w:sz w:val="24"/>
          <w:szCs w:val="24"/>
          <w:shd w:val="clear" w:color="auto" w:fill="FFFFFF"/>
        </w:rPr>
        <w:t>The British Journal of Social Work</w:t>
      </w:r>
      <w:r w:rsidRPr="00F1278D">
        <w:rPr>
          <w:spacing w:val="7"/>
          <w:sz w:val="24"/>
          <w:szCs w:val="24"/>
          <w:shd w:val="clear" w:color="auto" w:fill="FFFFFF"/>
        </w:rPr>
        <w:t>, 48(6), pp.1524–1540.</w:t>
      </w:r>
    </w:p>
    <w:p w14:paraId="6C699243" w14:textId="2D161DF4" w:rsidR="00F1392B" w:rsidRDefault="00F1392B" w:rsidP="007935C6">
      <w:pPr>
        <w:rPr>
          <w:spacing w:val="7"/>
          <w:sz w:val="24"/>
          <w:szCs w:val="24"/>
          <w:shd w:val="clear" w:color="auto" w:fill="FFFFFF"/>
        </w:rPr>
      </w:pPr>
    </w:p>
    <w:p w14:paraId="4487DD27" w14:textId="280C5D9D" w:rsidR="00F1392B" w:rsidRPr="00F1392B" w:rsidRDefault="00F1392B" w:rsidP="007935C6">
      <w:pPr>
        <w:rPr>
          <w:sz w:val="24"/>
          <w:szCs w:val="30"/>
          <w:shd w:val="clear" w:color="auto" w:fill="FFFFFF"/>
        </w:rPr>
      </w:pPr>
      <w:r w:rsidRPr="00DB3BE7">
        <w:rPr>
          <w:sz w:val="24"/>
          <w:szCs w:val="30"/>
          <w:shd w:val="clear" w:color="auto" w:fill="FFFFFF"/>
        </w:rPr>
        <w:t>Jones, S. (2015). Social Work Practice Placements: Critical and Reflective Approaches. </w:t>
      </w:r>
      <w:r w:rsidRPr="00DB3BE7">
        <w:rPr>
          <w:i/>
          <w:iCs/>
          <w:sz w:val="24"/>
          <w:szCs w:val="30"/>
        </w:rPr>
        <w:t>The British Journal of Social Work</w:t>
      </w:r>
      <w:r w:rsidRPr="00DB3BE7">
        <w:rPr>
          <w:sz w:val="24"/>
          <w:szCs w:val="30"/>
          <w:shd w:val="clear" w:color="auto" w:fill="FFFFFF"/>
        </w:rPr>
        <w:t>. 45(8), p.2476–2477.</w:t>
      </w:r>
    </w:p>
    <w:p w14:paraId="701596A4" w14:textId="71845BA4" w:rsidR="007935C6" w:rsidRDefault="007935C6" w:rsidP="007935C6">
      <w:pPr>
        <w:rPr>
          <w:spacing w:val="7"/>
          <w:sz w:val="24"/>
          <w:szCs w:val="24"/>
          <w:shd w:val="clear" w:color="auto" w:fill="FFFFFF"/>
        </w:rPr>
      </w:pPr>
    </w:p>
    <w:p w14:paraId="7DBC87A7" w14:textId="77777777" w:rsidR="007935C6" w:rsidRPr="00F1278D" w:rsidRDefault="007935C6" w:rsidP="007935C6">
      <w:pPr>
        <w:rPr>
          <w:spacing w:val="7"/>
          <w:sz w:val="24"/>
          <w:szCs w:val="24"/>
          <w:shd w:val="clear" w:color="auto" w:fill="FFFFFF"/>
        </w:rPr>
      </w:pPr>
    </w:p>
    <w:p w14:paraId="510F9452" w14:textId="70C151D0" w:rsidR="007935C6" w:rsidRDefault="007935C6" w:rsidP="007935C6">
      <w:pPr>
        <w:rPr>
          <w:sz w:val="24"/>
          <w:szCs w:val="24"/>
          <w:shd w:val="clear" w:color="auto" w:fill="FFFFFF"/>
        </w:rPr>
      </w:pPr>
      <w:r w:rsidRPr="00F1278D">
        <w:rPr>
          <w:sz w:val="24"/>
          <w:szCs w:val="24"/>
          <w:shd w:val="clear" w:color="auto" w:fill="FFFFFF"/>
        </w:rPr>
        <w:t>Jury, R. (2022). Service user involvement in social work education: Enhancing student learning about intimate partner violence. </w:t>
      </w:r>
      <w:r w:rsidRPr="00F1278D">
        <w:rPr>
          <w:i/>
          <w:iCs/>
          <w:sz w:val="24"/>
          <w:szCs w:val="24"/>
        </w:rPr>
        <w:t>The British Journal of Social Work</w:t>
      </w:r>
      <w:r w:rsidRPr="00F1278D">
        <w:rPr>
          <w:sz w:val="24"/>
          <w:szCs w:val="24"/>
          <w:shd w:val="clear" w:color="auto" w:fill="FFFFFF"/>
        </w:rPr>
        <w:t>. 52(8), p.4738–4755.</w:t>
      </w:r>
    </w:p>
    <w:p w14:paraId="436C953E" w14:textId="0FD3E3E4" w:rsidR="00125BE7" w:rsidRDefault="00125BE7" w:rsidP="007935C6">
      <w:pPr>
        <w:rPr>
          <w:sz w:val="24"/>
          <w:szCs w:val="24"/>
          <w:shd w:val="clear" w:color="auto" w:fill="FFFFFF"/>
        </w:rPr>
      </w:pPr>
    </w:p>
    <w:p w14:paraId="4EDA5202" w14:textId="5096C5A9" w:rsidR="00125BE7" w:rsidRPr="00125BE7" w:rsidRDefault="00125BE7" w:rsidP="007935C6">
      <w:pPr>
        <w:rPr>
          <w:sz w:val="24"/>
          <w:szCs w:val="24"/>
          <w:shd w:val="clear" w:color="auto" w:fill="FFFFFF"/>
        </w:rPr>
      </w:pPr>
      <w:r w:rsidRPr="00125BE7">
        <w:rPr>
          <w:sz w:val="24"/>
          <w:szCs w:val="24"/>
          <w:shd w:val="clear" w:color="auto" w:fill="FFFFFF"/>
        </w:rPr>
        <w:t>Langer, A. (2006). Trust as a Criterion and Heuristic Approach to Sociopolitical Consultation: An Alternative View on Ethics and Values of. </w:t>
      </w:r>
      <w:r w:rsidRPr="00125BE7">
        <w:rPr>
          <w:i/>
          <w:iCs/>
          <w:sz w:val="24"/>
          <w:szCs w:val="24"/>
        </w:rPr>
        <w:t>Current sociology</w:t>
      </w:r>
      <w:r w:rsidRPr="00125BE7">
        <w:rPr>
          <w:sz w:val="24"/>
          <w:szCs w:val="24"/>
          <w:shd w:val="clear" w:color="auto" w:fill="FFFFFF"/>
        </w:rPr>
        <w:t>. 54(4), pp.663-678.</w:t>
      </w:r>
    </w:p>
    <w:p w14:paraId="3A2F35D3" w14:textId="6E02C372" w:rsidR="006E7232" w:rsidRDefault="006E7232" w:rsidP="007935C6">
      <w:pPr>
        <w:rPr>
          <w:sz w:val="24"/>
          <w:szCs w:val="24"/>
          <w:shd w:val="clear" w:color="auto" w:fill="FFFFFF"/>
        </w:rPr>
      </w:pPr>
    </w:p>
    <w:p w14:paraId="7B10CC2B" w14:textId="64F3A773" w:rsidR="006E7232" w:rsidRPr="006E7232" w:rsidRDefault="006E7232" w:rsidP="007935C6">
      <w:pPr>
        <w:rPr>
          <w:sz w:val="24"/>
          <w:szCs w:val="24"/>
          <w:shd w:val="clear" w:color="auto" w:fill="FFFFFF"/>
        </w:rPr>
      </w:pPr>
      <w:r w:rsidRPr="006E7232">
        <w:rPr>
          <w:sz w:val="24"/>
          <w:szCs w:val="24"/>
          <w:shd w:val="clear" w:color="auto" w:fill="FFFFFF"/>
        </w:rPr>
        <w:t>Mambrol, N. (2017). </w:t>
      </w:r>
      <w:r w:rsidRPr="006E7232">
        <w:rPr>
          <w:i/>
          <w:iCs/>
          <w:sz w:val="24"/>
          <w:szCs w:val="24"/>
        </w:rPr>
        <w:t>Sigmund Freud and the Trauma Theory</w:t>
      </w:r>
      <w:r w:rsidRPr="006E7232">
        <w:rPr>
          <w:sz w:val="24"/>
          <w:szCs w:val="24"/>
          <w:shd w:val="clear" w:color="auto" w:fill="FFFFFF"/>
        </w:rPr>
        <w:t>. [Online]. Literariness. Available at: https://literariness.org/2017/06/21/sigmund-freud-and-the-trauma-theory/ [Accessed 15 October 2023].</w:t>
      </w:r>
    </w:p>
    <w:p w14:paraId="263DFE03" w14:textId="64E8B65D" w:rsidR="007D2169" w:rsidRDefault="007D2169" w:rsidP="007935C6">
      <w:pPr>
        <w:rPr>
          <w:sz w:val="24"/>
          <w:szCs w:val="24"/>
          <w:shd w:val="clear" w:color="auto" w:fill="FFFFFF"/>
        </w:rPr>
      </w:pPr>
    </w:p>
    <w:p w14:paraId="1AEAB75A" w14:textId="0BBA72BC" w:rsidR="007D2169" w:rsidRDefault="007D2169" w:rsidP="007D2169">
      <w:pPr>
        <w:jc w:val="both"/>
        <w:rPr>
          <w:sz w:val="24"/>
          <w:szCs w:val="24"/>
        </w:rPr>
      </w:pPr>
      <w:r>
        <w:rPr>
          <w:sz w:val="24"/>
          <w:szCs w:val="24"/>
        </w:rPr>
        <w:t xml:space="preserve">Mental Capacity Act. (2005) London. </w:t>
      </w:r>
    </w:p>
    <w:p w14:paraId="0AD04AD3" w14:textId="612D4C8A" w:rsidR="00F1392B" w:rsidRDefault="00F1392B" w:rsidP="007D2169">
      <w:pPr>
        <w:jc w:val="both"/>
        <w:rPr>
          <w:sz w:val="24"/>
          <w:szCs w:val="24"/>
        </w:rPr>
      </w:pPr>
    </w:p>
    <w:p w14:paraId="21DE3B5A" w14:textId="12875EB0" w:rsidR="00F1392B" w:rsidRPr="00F1392B" w:rsidRDefault="00F1392B" w:rsidP="00F1392B">
      <w:pPr>
        <w:rPr>
          <w:szCs w:val="30"/>
          <w:shd w:val="clear" w:color="auto" w:fill="FFFFFF"/>
        </w:rPr>
      </w:pPr>
      <w:r w:rsidRPr="00FA4762">
        <w:rPr>
          <w:sz w:val="24"/>
          <w:szCs w:val="30"/>
          <w:shd w:val="clear" w:color="auto" w:fill="FFFFFF"/>
        </w:rPr>
        <w:t>Mind. (2023). </w:t>
      </w:r>
      <w:r w:rsidRPr="00FA4762">
        <w:rPr>
          <w:i/>
          <w:iCs/>
          <w:sz w:val="24"/>
          <w:szCs w:val="30"/>
        </w:rPr>
        <w:t>Trauma</w:t>
      </w:r>
      <w:r w:rsidRPr="00FA4762">
        <w:rPr>
          <w:sz w:val="24"/>
          <w:szCs w:val="30"/>
          <w:shd w:val="clear" w:color="auto" w:fill="FFFFFF"/>
        </w:rPr>
        <w:t>. [Online]. Mind. Available at: https://www.mind.org.uk/information-support/types-of-mental-health-problems/trauma/for-friends-and-f [Accessed 21/07/2023].</w:t>
      </w:r>
    </w:p>
    <w:p w14:paraId="02F0AD8E" w14:textId="560E7EDC" w:rsidR="007D2169" w:rsidRDefault="007D2169" w:rsidP="007D2169">
      <w:pPr>
        <w:jc w:val="both"/>
        <w:rPr>
          <w:sz w:val="24"/>
          <w:szCs w:val="24"/>
        </w:rPr>
      </w:pPr>
    </w:p>
    <w:p w14:paraId="0525ACD2" w14:textId="51E5FF5F" w:rsidR="00F1392B" w:rsidRDefault="00F1392B" w:rsidP="00F1392B">
      <w:pPr>
        <w:rPr>
          <w:sz w:val="24"/>
          <w:szCs w:val="30"/>
          <w:shd w:val="clear" w:color="auto" w:fill="FFFFFF"/>
        </w:rPr>
      </w:pPr>
      <w:r w:rsidRPr="005060B7">
        <w:rPr>
          <w:sz w:val="24"/>
          <w:szCs w:val="30"/>
          <w:shd w:val="clear" w:color="auto" w:fill="FFFFFF"/>
        </w:rPr>
        <w:lastRenderedPageBreak/>
        <w:t>Morley, C. (2012). How Does Critical Reflection Develop Possibilities for Emancipatory Change? An Example from an Empirical Research Project. </w:t>
      </w:r>
      <w:r w:rsidRPr="005060B7">
        <w:rPr>
          <w:i/>
          <w:iCs/>
          <w:sz w:val="24"/>
          <w:szCs w:val="30"/>
        </w:rPr>
        <w:t>The British Journal of Social Work</w:t>
      </w:r>
      <w:r w:rsidRPr="005060B7">
        <w:rPr>
          <w:sz w:val="24"/>
          <w:szCs w:val="30"/>
          <w:shd w:val="clear" w:color="auto" w:fill="FFFFFF"/>
        </w:rPr>
        <w:t>. 42(8), p.1513–1532.</w:t>
      </w:r>
    </w:p>
    <w:p w14:paraId="7F82C9E8" w14:textId="0D4496A6" w:rsidR="00F1392B" w:rsidRDefault="00F1392B" w:rsidP="00F1392B">
      <w:pPr>
        <w:rPr>
          <w:sz w:val="24"/>
          <w:szCs w:val="30"/>
          <w:shd w:val="clear" w:color="auto" w:fill="FFFFFF"/>
        </w:rPr>
      </w:pPr>
    </w:p>
    <w:p w14:paraId="1B542471" w14:textId="084FCDB2" w:rsidR="00F1392B" w:rsidRDefault="00F1392B" w:rsidP="00F1392B">
      <w:pPr>
        <w:jc w:val="both"/>
        <w:rPr>
          <w:sz w:val="24"/>
          <w:szCs w:val="30"/>
          <w:shd w:val="clear" w:color="auto" w:fill="FFFFFF"/>
        </w:rPr>
      </w:pPr>
      <w:r w:rsidRPr="00A70ADA">
        <w:rPr>
          <w:sz w:val="24"/>
          <w:szCs w:val="30"/>
          <w:shd w:val="clear" w:color="auto" w:fill="FFFFFF"/>
        </w:rPr>
        <w:t>National Autistic Society. (2023). </w:t>
      </w:r>
      <w:r w:rsidRPr="00A70ADA">
        <w:rPr>
          <w:i/>
          <w:iCs/>
          <w:sz w:val="24"/>
          <w:szCs w:val="30"/>
        </w:rPr>
        <w:t>Communication</w:t>
      </w:r>
      <w:r w:rsidRPr="00A70ADA">
        <w:rPr>
          <w:sz w:val="24"/>
          <w:szCs w:val="30"/>
          <w:shd w:val="clear" w:color="auto" w:fill="FFFFFF"/>
        </w:rPr>
        <w:t>. [Online]. National Autistic Society. Last Updated: 2023. Available at: https://www.autism.org.uk/advice-and-guidance/topics/communication/tips [Accessed 11/08/2023].</w:t>
      </w:r>
    </w:p>
    <w:p w14:paraId="56D3ABA3" w14:textId="7648DE40" w:rsidR="00F1392B" w:rsidRDefault="00F1392B" w:rsidP="00F1392B">
      <w:pPr>
        <w:rPr>
          <w:sz w:val="24"/>
          <w:szCs w:val="30"/>
          <w:shd w:val="clear" w:color="auto" w:fill="FFFFFF"/>
        </w:rPr>
      </w:pPr>
    </w:p>
    <w:p w14:paraId="648328B2" w14:textId="6931262C" w:rsidR="00F1392B" w:rsidRDefault="00F1392B" w:rsidP="00F1392B">
      <w:pPr>
        <w:rPr>
          <w:sz w:val="24"/>
          <w:szCs w:val="30"/>
          <w:shd w:val="clear" w:color="auto" w:fill="FFFFFF"/>
        </w:rPr>
      </w:pPr>
      <w:r w:rsidRPr="00412D5D">
        <w:rPr>
          <w:sz w:val="24"/>
          <w:szCs w:val="30"/>
          <w:shd w:val="clear" w:color="auto" w:fill="FFFFFF"/>
        </w:rPr>
        <w:t>Owens, R and Lloyd, J. (2023). From behaviour-based to ecological: Multi-agency partnership responses to extra-familial harm. </w:t>
      </w:r>
      <w:r w:rsidRPr="00412D5D">
        <w:rPr>
          <w:i/>
          <w:iCs/>
          <w:sz w:val="24"/>
          <w:szCs w:val="30"/>
        </w:rPr>
        <w:t>Journal of Social Work</w:t>
      </w:r>
      <w:r w:rsidRPr="00412D5D">
        <w:rPr>
          <w:sz w:val="24"/>
          <w:szCs w:val="30"/>
          <w:shd w:val="clear" w:color="auto" w:fill="FFFFFF"/>
        </w:rPr>
        <w:t>. 23(4).</w:t>
      </w:r>
    </w:p>
    <w:p w14:paraId="1D92478B" w14:textId="5F990EF7" w:rsidR="00F1392B" w:rsidRDefault="00F1392B" w:rsidP="00F1392B">
      <w:pPr>
        <w:rPr>
          <w:sz w:val="24"/>
          <w:szCs w:val="30"/>
          <w:shd w:val="clear" w:color="auto" w:fill="FFFFFF"/>
        </w:rPr>
      </w:pPr>
    </w:p>
    <w:p w14:paraId="0DE013CB" w14:textId="406CFEB3" w:rsidR="00F1392B" w:rsidRDefault="00F1392B" w:rsidP="00F1392B">
      <w:pPr>
        <w:rPr>
          <w:sz w:val="24"/>
          <w:szCs w:val="30"/>
          <w:shd w:val="clear" w:color="auto" w:fill="FFFFFF"/>
        </w:rPr>
      </w:pPr>
      <w:r w:rsidRPr="00F92F88">
        <w:rPr>
          <w:sz w:val="24"/>
          <w:szCs w:val="30"/>
          <w:shd w:val="clear" w:color="auto" w:fill="FFFFFF"/>
        </w:rPr>
        <w:t>Pink, S, Ferguson, H and Kelly, L. (2021). Digital social work: Conceptualising a hybrid anticipatory practice. </w:t>
      </w:r>
      <w:r w:rsidRPr="00F92F88">
        <w:rPr>
          <w:i/>
          <w:iCs/>
          <w:sz w:val="24"/>
          <w:szCs w:val="30"/>
        </w:rPr>
        <w:t>Qualitative Social Work</w:t>
      </w:r>
      <w:r w:rsidRPr="00F92F88">
        <w:rPr>
          <w:sz w:val="24"/>
          <w:szCs w:val="30"/>
          <w:shd w:val="clear" w:color="auto" w:fill="FFFFFF"/>
        </w:rPr>
        <w:t>. 21(2).</w:t>
      </w:r>
    </w:p>
    <w:p w14:paraId="7B939E63" w14:textId="48B79F83" w:rsidR="00695232" w:rsidRDefault="00695232" w:rsidP="007D2169">
      <w:pPr>
        <w:jc w:val="both"/>
        <w:rPr>
          <w:sz w:val="24"/>
          <w:szCs w:val="30"/>
          <w:shd w:val="clear" w:color="auto" w:fill="FFFFFF"/>
        </w:rPr>
      </w:pPr>
    </w:p>
    <w:p w14:paraId="476F46D2" w14:textId="267136E0" w:rsidR="00695232" w:rsidRDefault="00695232" w:rsidP="007D2169">
      <w:pPr>
        <w:jc w:val="both"/>
        <w:rPr>
          <w:sz w:val="24"/>
          <w:szCs w:val="24"/>
          <w:shd w:val="clear" w:color="auto" w:fill="FFFFFF"/>
        </w:rPr>
      </w:pPr>
      <w:r w:rsidRPr="00695232">
        <w:rPr>
          <w:sz w:val="24"/>
          <w:szCs w:val="24"/>
          <w:shd w:val="clear" w:color="auto" w:fill="FFFFFF"/>
        </w:rPr>
        <w:t>Prasanna. (2021). </w:t>
      </w:r>
      <w:r w:rsidRPr="00695232">
        <w:rPr>
          <w:i/>
          <w:iCs/>
          <w:sz w:val="24"/>
          <w:szCs w:val="24"/>
        </w:rPr>
        <w:t xml:space="preserve">Advantages and Disadvantages </w:t>
      </w:r>
      <w:r>
        <w:rPr>
          <w:i/>
          <w:iCs/>
          <w:sz w:val="24"/>
          <w:szCs w:val="24"/>
        </w:rPr>
        <w:t>o</w:t>
      </w:r>
      <w:r w:rsidRPr="00695232">
        <w:rPr>
          <w:i/>
          <w:iCs/>
          <w:sz w:val="24"/>
          <w:szCs w:val="24"/>
        </w:rPr>
        <w:t>f Informal Communication</w:t>
      </w:r>
      <w:r w:rsidRPr="00695232">
        <w:rPr>
          <w:sz w:val="24"/>
          <w:szCs w:val="24"/>
          <w:shd w:val="clear" w:color="auto" w:fill="FFFFFF"/>
        </w:rPr>
        <w:t>. [Online]. CBSE Library. Available at: https://cbselibrary.com/advantages-and-disadvantages-of-informal-communication/ [Accessed 14 October 2023].</w:t>
      </w:r>
    </w:p>
    <w:p w14:paraId="6052FB47" w14:textId="5DE21BF5" w:rsidR="00044373" w:rsidRDefault="00044373" w:rsidP="007D2169">
      <w:pPr>
        <w:jc w:val="both"/>
        <w:rPr>
          <w:sz w:val="24"/>
          <w:szCs w:val="24"/>
          <w:shd w:val="clear" w:color="auto" w:fill="FFFFFF"/>
        </w:rPr>
      </w:pPr>
    </w:p>
    <w:p w14:paraId="46577AF8" w14:textId="668561C6" w:rsidR="00044373" w:rsidRPr="00044373" w:rsidRDefault="00044373" w:rsidP="007D2169">
      <w:pPr>
        <w:jc w:val="both"/>
        <w:rPr>
          <w:sz w:val="24"/>
          <w:szCs w:val="24"/>
          <w:shd w:val="clear" w:color="auto" w:fill="FFFFFF"/>
        </w:rPr>
      </w:pPr>
      <w:r w:rsidRPr="00044373">
        <w:rPr>
          <w:sz w:val="24"/>
          <w:szCs w:val="24"/>
          <w:shd w:val="clear" w:color="auto" w:fill="FFFFFF"/>
        </w:rPr>
        <w:t>Roberts, G, Halstead, S, Pepper, R, &amp; McDonnell, L. (2023). Social care professionals’ perceived barriers to implementing attachment and trauma-informed care training in their pr. </w:t>
      </w:r>
      <w:r w:rsidRPr="00044373">
        <w:rPr>
          <w:i/>
          <w:iCs/>
          <w:sz w:val="24"/>
          <w:szCs w:val="24"/>
        </w:rPr>
        <w:t>Developmental Child Welfare</w:t>
      </w:r>
      <w:r w:rsidRPr="00044373">
        <w:rPr>
          <w:sz w:val="24"/>
          <w:szCs w:val="24"/>
          <w:shd w:val="clear" w:color="auto" w:fill="FFFFFF"/>
        </w:rPr>
        <w:t>. 5(1), pp.3-20.</w:t>
      </w:r>
    </w:p>
    <w:p w14:paraId="6C481F07" w14:textId="601277D0" w:rsidR="00326DB6" w:rsidRDefault="00326DB6" w:rsidP="007D2169">
      <w:pPr>
        <w:jc w:val="both"/>
        <w:rPr>
          <w:sz w:val="24"/>
          <w:szCs w:val="30"/>
          <w:shd w:val="clear" w:color="auto" w:fill="FFFFFF"/>
        </w:rPr>
      </w:pPr>
    </w:p>
    <w:p w14:paraId="3F8B4BCA" w14:textId="28805FD8" w:rsidR="00326DB6" w:rsidRDefault="00326DB6" w:rsidP="007D2169">
      <w:pPr>
        <w:jc w:val="both"/>
        <w:rPr>
          <w:sz w:val="24"/>
          <w:szCs w:val="24"/>
          <w:shd w:val="clear" w:color="auto" w:fill="FFFFFF"/>
        </w:rPr>
      </w:pPr>
      <w:r w:rsidRPr="00326DB6">
        <w:rPr>
          <w:sz w:val="24"/>
          <w:szCs w:val="24"/>
          <w:shd w:val="clear" w:color="auto" w:fill="FFFFFF"/>
        </w:rPr>
        <w:t>Rodger, J. (2021). Luhmann's theory of psychic systems and communication in social work practice. </w:t>
      </w:r>
      <w:r w:rsidRPr="00326DB6">
        <w:rPr>
          <w:i/>
          <w:iCs/>
          <w:sz w:val="24"/>
          <w:szCs w:val="24"/>
        </w:rPr>
        <w:t>Journal of social Work</w:t>
      </w:r>
      <w:r w:rsidRPr="00326DB6">
        <w:rPr>
          <w:sz w:val="24"/>
          <w:szCs w:val="24"/>
          <w:shd w:val="clear" w:color="auto" w:fill="FFFFFF"/>
        </w:rPr>
        <w:t>. 22(3), pp.637-654.</w:t>
      </w:r>
    </w:p>
    <w:p w14:paraId="5FE9A713" w14:textId="56883385" w:rsidR="00F1392B" w:rsidRDefault="00F1392B" w:rsidP="007D2169">
      <w:pPr>
        <w:jc w:val="both"/>
        <w:rPr>
          <w:sz w:val="24"/>
          <w:szCs w:val="24"/>
          <w:shd w:val="clear" w:color="auto" w:fill="FFFFFF"/>
        </w:rPr>
      </w:pPr>
    </w:p>
    <w:p w14:paraId="64AB37D1" w14:textId="77777777" w:rsidR="00F1392B" w:rsidRPr="00CE456C" w:rsidRDefault="00F1392B" w:rsidP="00F1392B">
      <w:pPr>
        <w:rPr>
          <w:sz w:val="12"/>
          <w:szCs w:val="30"/>
          <w:shd w:val="clear" w:color="auto" w:fill="FFFFFF"/>
        </w:rPr>
      </w:pPr>
      <w:r w:rsidRPr="00CE456C">
        <w:rPr>
          <w:sz w:val="24"/>
          <w:szCs w:val="30"/>
          <w:shd w:val="clear" w:color="auto" w:fill="FFFFFF"/>
        </w:rPr>
        <w:t>SCIE. (2007). </w:t>
      </w:r>
      <w:r w:rsidRPr="00CE456C">
        <w:rPr>
          <w:i/>
          <w:iCs/>
          <w:sz w:val="24"/>
          <w:szCs w:val="30"/>
        </w:rPr>
        <w:t>Assessment in social work: a guide for learning and teaching</w:t>
      </w:r>
      <w:r w:rsidRPr="00CE456C">
        <w:rPr>
          <w:sz w:val="24"/>
          <w:szCs w:val="30"/>
          <w:shd w:val="clear" w:color="auto" w:fill="FFFFFF"/>
        </w:rPr>
        <w:t>. [Online]. Social Care Institute for Excellence. Available at: https://www.scie.org.uk/publications/guides/guide18/contextofassessment/communication.asp [Accessed 21/07/2023].</w:t>
      </w:r>
    </w:p>
    <w:p w14:paraId="178936BA" w14:textId="77777777" w:rsidR="00F1392B" w:rsidRDefault="00F1392B" w:rsidP="00F1392B">
      <w:pPr>
        <w:rPr>
          <w:sz w:val="24"/>
          <w:szCs w:val="30"/>
          <w:shd w:val="clear" w:color="auto" w:fill="FFFFFF"/>
        </w:rPr>
      </w:pPr>
    </w:p>
    <w:p w14:paraId="06054355" w14:textId="77777777" w:rsidR="00F1392B" w:rsidRPr="00587B12" w:rsidRDefault="00F1392B" w:rsidP="00F1392B">
      <w:pPr>
        <w:rPr>
          <w:szCs w:val="30"/>
          <w:shd w:val="clear" w:color="auto" w:fill="FFFFFF"/>
        </w:rPr>
      </w:pPr>
      <w:r w:rsidRPr="00587B12">
        <w:rPr>
          <w:sz w:val="24"/>
          <w:szCs w:val="30"/>
          <w:shd w:val="clear" w:color="auto" w:fill="FFFFFF"/>
        </w:rPr>
        <w:t>SCIE. (2012). </w:t>
      </w:r>
      <w:r w:rsidRPr="00587B12">
        <w:rPr>
          <w:i/>
          <w:iCs/>
          <w:sz w:val="24"/>
          <w:szCs w:val="30"/>
        </w:rPr>
        <w:t>Child protection procedures</w:t>
      </w:r>
      <w:r w:rsidRPr="00587B12">
        <w:rPr>
          <w:sz w:val="24"/>
          <w:szCs w:val="30"/>
          <w:shd w:val="clear" w:color="auto" w:fill="FFFFFF"/>
        </w:rPr>
        <w:t>. [Online]. Social Care Institute for Excellence. Available at: https://www.scie.org.uk/publications/introductionto/childrenssocialcare/childprotection.asp [Accessed 21/06/2023].</w:t>
      </w:r>
    </w:p>
    <w:p w14:paraId="12F4CB7B" w14:textId="77777777" w:rsidR="00F1392B" w:rsidRDefault="00F1392B" w:rsidP="00F1392B">
      <w:pPr>
        <w:rPr>
          <w:sz w:val="24"/>
          <w:szCs w:val="30"/>
          <w:shd w:val="clear" w:color="auto" w:fill="FFFFFF"/>
        </w:rPr>
      </w:pPr>
    </w:p>
    <w:p w14:paraId="542ED89E" w14:textId="79DB3080" w:rsidR="00F1392B" w:rsidRDefault="00F1392B" w:rsidP="00F1392B">
      <w:pPr>
        <w:rPr>
          <w:sz w:val="24"/>
          <w:szCs w:val="30"/>
          <w:shd w:val="clear" w:color="auto" w:fill="FFFFFF"/>
        </w:rPr>
      </w:pPr>
      <w:r>
        <w:rPr>
          <w:sz w:val="24"/>
          <w:szCs w:val="30"/>
          <w:shd w:val="clear" w:color="auto" w:fill="FFFFFF"/>
        </w:rPr>
        <w:t>SCIE</w:t>
      </w:r>
      <w:r w:rsidRPr="004112AB">
        <w:rPr>
          <w:sz w:val="24"/>
          <w:szCs w:val="30"/>
          <w:shd w:val="clear" w:color="auto" w:fill="FFFFFF"/>
        </w:rPr>
        <w:t>. (2015). </w:t>
      </w:r>
      <w:r w:rsidRPr="004112AB">
        <w:rPr>
          <w:i/>
          <w:iCs/>
          <w:sz w:val="24"/>
          <w:szCs w:val="30"/>
        </w:rPr>
        <w:t>Voice, choice and control: how registered nurses, care and support staff in the care sector can support people to achiev</w:t>
      </w:r>
      <w:r>
        <w:rPr>
          <w:i/>
          <w:iCs/>
          <w:sz w:val="24"/>
          <w:szCs w:val="30"/>
        </w:rPr>
        <w:t>e</w:t>
      </w:r>
      <w:r>
        <w:rPr>
          <w:sz w:val="24"/>
          <w:szCs w:val="30"/>
          <w:shd w:val="clear" w:color="auto" w:fill="FFFFFF"/>
        </w:rPr>
        <w:t>. [Online]. Social Care Institute for Excellence</w:t>
      </w:r>
      <w:r w:rsidRPr="004112AB">
        <w:rPr>
          <w:sz w:val="24"/>
          <w:szCs w:val="30"/>
          <w:shd w:val="clear" w:color="auto" w:fill="FFFFFF"/>
        </w:rPr>
        <w:t>. Available at: https://www.scie-socialcareonline.org.uk/voice-choice-and-control-how-registered-nurses-care-and-sup [Accessed 21/06/2023].</w:t>
      </w:r>
    </w:p>
    <w:p w14:paraId="68E09D47" w14:textId="35AE6A53" w:rsidR="00F1392B" w:rsidRDefault="00F1392B" w:rsidP="00F1392B">
      <w:pPr>
        <w:rPr>
          <w:sz w:val="24"/>
          <w:szCs w:val="30"/>
          <w:shd w:val="clear" w:color="auto" w:fill="FFFFFF"/>
        </w:rPr>
      </w:pPr>
    </w:p>
    <w:p w14:paraId="6EB276B1" w14:textId="77777777" w:rsidR="00F1392B" w:rsidRPr="00E01C47" w:rsidRDefault="00F1392B" w:rsidP="00F1392B">
      <w:pPr>
        <w:rPr>
          <w:sz w:val="12"/>
          <w:szCs w:val="30"/>
          <w:shd w:val="clear" w:color="auto" w:fill="FFFFFF"/>
        </w:rPr>
      </w:pPr>
      <w:r w:rsidRPr="00E01C47">
        <w:rPr>
          <w:sz w:val="24"/>
          <w:szCs w:val="30"/>
          <w:shd w:val="clear" w:color="auto" w:fill="FFFFFF"/>
        </w:rPr>
        <w:t>Shimey, N, Krumer-Nevo, M, Saar-Heiman, Y, Russo-Carmel, S, and Mirmovitch, I. (2016). Critical Social Work: A Performance Ethnography. </w:t>
      </w:r>
      <w:r w:rsidRPr="00E01C47">
        <w:rPr>
          <w:i/>
          <w:iCs/>
          <w:sz w:val="24"/>
          <w:szCs w:val="30"/>
        </w:rPr>
        <w:t>Qualitative Inquiry</w:t>
      </w:r>
      <w:r w:rsidRPr="00E01C47">
        <w:rPr>
          <w:sz w:val="24"/>
          <w:szCs w:val="30"/>
          <w:shd w:val="clear" w:color="auto" w:fill="FFFFFF"/>
        </w:rPr>
        <w:t>. 22(8), pp.615-623.</w:t>
      </w:r>
    </w:p>
    <w:p w14:paraId="7F31D415" w14:textId="77777777" w:rsidR="00F1392B" w:rsidRDefault="00F1392B" w:rsidP="00F1392B">
      <w:pPr>
        <w:rPr>
          <w:sz w:val="24"/>
          <w:szCs w:val="30"/>
          <w:shd w:val="clear" w:color="auto" w:fill="FFFFFF"/>
        </w:rPr>
      </w:pPr>
    </w:p>
    <w:p w14:paraId="422D63FC" w14:textId="77777777" w:rsidR="00F1392B" w:rsidRDefault="00F1392B" w:rsidP="007D2169">
      <w:pPr>
        <w:jc w:val="both"/>
        <w:rPr>
          <w:sz w:val="24"/>
          <w:szCs w:val="24"/>
          <w:shd w:val="clear" w:color="auto" w:fill="FFFFFF"/>
        </w:rPr>
      </w:pPr>
    </w:p>
    <w:p w14:paraId="2C9A456A" w14:textId="409248E2" w:rsidR="00B9480E" w:rsidRDefault="00B9480E" w:rsidP="007D2169">
      <w:pPr>
        <w:jc w:val="both"/>
        <w:rPr>
          <w:sz w:val="24"/>
          <w:szCs w:val="24"/>
          <w:shd w:val="clear" w:color="auto" w:fill="FFFFFF"/>
        </w:rPr>
      </w:pPr>
    </w:p>
    <w:p w14:paraId="4702D261" w14:textId="0DFA9880" w:rsidR="00B9480E" w:rsidRPr="00B9480E" w:rsidRDefault="00B9480E" w:rsidP="007D2169">
      <w:pPr>
        <w:jc w:val="both"/>
        <w:rPr>
          <w:sz w:val="24"/>
          <w:szCs w:val="24"/>
          <w:shd w:val="clear" w:color="auto" w:fill="FFFFFF"/>
        </w:rPr>
      </w:pPr>
      <w:r w:rsidRPr="00B9480E">
        <w:rPr>
          <w:sz w:val="24"/>
          <w:szCs w:val="24"/>
          <w:shd w:val="clear" w:color="auto" w:fill="FFFFFF"/>
        </w:rPr>
        <w:lastRenderedPageBreak/>
        <w:t>Smith, M and Monteux, S. (2023). </w:t>
      </w:r>
      <w:r w:rsidRPr="00B9480E">
        <w:rPr>
          <w:i/>
          <w:iCs/>
          <w:sz w:val="24"/>
          <w:szCs w:val="24"/>
        </w:rPr>
        <w:t>Trauma-informed approaches: a critical overview of what they offer to social work and social care</w:t>
      </w:r>
      <w:r w:rsidRPr="00B9480E">
        <w:rPr>
          <w:sz w:val="24"/>
          <w:szCs w:val="24"/>
          <w:shd w:val="clear" w:color="auto" w:fill="FFFFFF"/>
        </w:rPr>
        <w:t>. [Online]. Iriss. Available at: https://www.iriss.org.uk/resources/insights/trauma-informed-approaches-critical-overview-what-they-o [Accessed 15 October 2023].</w:t>
      </w:r>
    </w:p>
    <w:p w14:paraId="4EA90A77" w14:textId="77777777" w:rsidR="007D2169" w:rsidRDefault="007D2169" w:rsidP="007935C6">
      <w:pPr>
        <w:rPr>
          <w:sz w:val="24"/>
          <w:szCs w:val="24"/>
          <w:shd w:val="clear" w:color="auto" w:fill="FFFFFF"/>
        </w:rPr>
      </w:pPr>
    </w:p>
    <w:p w14:paraId="0B142172" w14:textId="77777777" w:rsidR="007935C6" w:rsidRPr="00F1278D" w:rsidRDefault="007935C6" w:rsidP="007935C6">
      <w:pPr>
        <w:rPr>
          <w:spacing w:val="7"/>
          <w:sz w:val="24"/>
          <w:szCs w:val="24"/>
          <w:shd w:val="clear" w:color="auto" w:fill="FFFFFF"/>
        </w:rPr>
      </w:pPr>
    </w:p>
    <w:p w14:paraId="683A4F92" w14:textId="7ED52EB2" w:rsidR="007D2169" w:rsidRDefault="007935C6" w:rsidP="007935C6">
      <w:pPr>
        <w:rPr>
          <w:color w:val="111111"/>
          <w:sz w:val="24"/>
          <w:szCs w:val="24"/>
          <w:shd w:val="clear" w:color="auto" w:fill="FFFFFF"/>
        </w:rPr>
      </w:pPr>
      <w:r w:rsidRPr="00F1278D">
        <w:rPr>
          <w:color w:val="111111"/>
          <w:sz w:val="24"/>
          <w:szCs w:val="24"/>
          <w:shd w:val="clear" w:color="auto" w:fill="FFFFFF"/>
        </w:rPr>
        <w:t xml:space="preserve">Social Services and Well-being (Wales) Act (2014). </w:t>
      </w:r>
    </w:p>
    <w:p w14:paraId="536D5155" w14:textId="4D0596DC" w:rsidR="00F1392B" w:rsidRDefault="00F1392B" w:rsidP="007935C6">
      <w:pPr>
        <w:rPr>
          <w:color w:val="111111"/>
          <w:sz w:val="24"/>
          <w:szCs w:val="24"/>
          <w:shd w:val="clear" w:color="auto" w:fill="FFFFFF"/>
        </w:rPr>
      </w:pPr>
    </w:p>
    <w:p w14:paraId="6A794BDD" w14:textId="2169D15A" w:rsidR="00F1392B" w:rsidRPr="00F1392B" w:rsidRDefault="00F1392B" w:rsidP="007935C6">
      <w:pPr>
        <w:rPr>
          <w:color w:val="111111"/>
          <w:sz w:val="24"/>
          <w:szCs w:val="24"/>
          <w:shd w:val="clear" w:color="auto" w:fill="FFFFFF"/>
        </w:rPr>
      </w:pPr>
      <w:r w:rsidRPr="00F1392B">
        <w:rPr>
          <w:sz w:val="24"/>
          <w:szCs w:val="24"/>
          <w:shd w:val="clear" w:color="auto" w:fill="FFFFFF"/>
        </w:rPr>
        <w:t>Steele, G and Plenty, D. (2014). Supervisor–Subordinate Communication Competence and Job and Communication Satisfaction. </w:t>
      </w:r>
      <w:r w:rsidRPr="00F1392B">
        <w:rPr>
          <w:i/>
          <w:iCs/>
          <w:sz w:val="24"/>
          <w:szCs w:val="24"/>
        </w:rPr>
        <w:t>International Journal of Business Communication</w:t>
      </w:r>
      <w:r w:rsidRPr="00F1392B">
        <w:rPr>
          <w:sz w:val="24"/>
          <w:szCs w:val="24"/>
          <w:shd w:val="clear" w:color="auto" w:fill="FFFFFF"/>
        </w:rPr>
        <w:t>. 52(3), pp.294-318.</w:t>
      </w:r>
    </w:p>
    <w:p w14:paraId="2DBF0BC7" w14:textId="77777777" w:rsidR="007D2169" w:rsidRPr="007935C6" w:rsidRDefault="007D2169" w:rsidP="007935C6">
      <w:pPr>
        <w:rPr>
          <w:color w:val="111111"/>
          <w:sz w:val="24"/>
          <w:szCs w:val="24"/>
          <w:shd w:val="clear" w:color="auto" w:fill="FFFFFF"/>
        </w:rPr>
      </w:pPr>
    </w:p>
    <w:p w14:paraId="2A8B0B2E" w14:textId="7EA5E300" w:rsidR="00EB695F" w:rsidRDefault="0089617F" w:rsidP="004B65D6">
      <w:pPr>
        <w:keepNext/>
        <w:spacing w:before="240" w:after="60"/>
        <w:jc w:val="both"/>
        <w:rPr>
          <w:sz w:val="24"/>
          <w:szCs w:val="24"/>
        </w:rPr>
      </w:pPr>
      <w:r>
        <w:rPr>
          <w:sz w:val="24"/>
          <w:szCs w:val="24"/>
        </w:rPr>
        <w:t xml:space="preserve">The Human Rights Act (1998). London. </w:t>
      </w:r>
    </w:p>
    <w:p w14:paraId="1479F54D" w14:textId="37D10997" w:rsidR="00EB5E38" w:rsidRDefault="00EB5E38" w:rsidP="00FF7EBB">
      <w:pPr>
        <w:jc w:val="both"/>
        <w:rPr>
          <w:sz w:val="30"/>
          <w:szCs w:val="30"/>
          <w:shd w:val="clear" w:color="auto" w:fill="FFFFFF"/>
        </w:rPr>
      </w:pPr>
    </w:p>
    <w:p w14:paraId="6969B5BA" w14:textId="33E5CAA3" w:rsidR="00EB5E38" w:rsidRPr="00A70ADA" w:rsidRDefault="00EB5E38" w:rsidP="00FF7EBB">
      <w:pPr>
        <w:jc w:val="both"/>
        <w:rPr>
          <w:sz w:val="24"/>
          <w:szCs w:val="30"/>
          <w:shd w:val="clear" w:color="auto" w:fill="FFFFFF"/>
        </w:rPr>
      </w:pPr>
      <w:r w:rsidRPr="00A70ADA">
        <w:rPr>
          <w:sz w:val="24"/>
          <w:szCs w:val="30"/>
          <w:shd w:val="clear" w:color="auto" w:fill="FFFFFF"/>
        </w:rPr>
        <w:t>Thompson, C, Mahay, A and Steele, S. (2017). Do clinicians receive adequate training to identify trafficked persons? A scoping review of NHS Foundation Trusts. </w:t>
      </w:r>
      <w:r w:rsidRPr="00A70ADA">
        <w:rPr>
          <w:i/>
          <w:iCs/>
          <w:sz w:val="24"/>
          <w:szCs w:val="30"/>
        </w:rPr>
        <w:t>JRSM open</w:t>
      </w:r>
      <w:r w:rsidRPr="00A70ADA">
        <w:rPr>
          <w:sz w:val="24"/>
          <w:szCs w:val="30"/>
          <w:shd w:val="clear" w:color="auto" w:fill="FFFFFF"/>
        </w:rPr>
        <w:t>. 8(9).</w:t>
      </w:r>
    </w:p>
    <w:p w14:paraId="05E5DF26" w14:textId="77777777" w:rsidR="00A90578" w:rsidRPr="00A70ADA" w:rsidRDefault="00A90578" w:rsidP="00FF7EBB">
      <w:pPr>
        <w:jc w:val="both"/>
        <w:rPr>
          <w:szCs w:val="24"/>
        </w:rPr>
      </w:pPr>
    </w:p>
    <w:p w14:paraId="3338A666" w14:textId="0B9F76D7" w:rsidR="00EB695F" w:rsidRDefault="00A51B80" w:rsidP="00FF7EBB">
      <w:pPr>
        <w:jc w:val="both"/>
        <w:rPr>
          <w:sz w:val="24"/>
          <w:szCs w:val="30"/>
          <w:shd w:val="clear" w:color="auto" w:fill="FFFFFF"/>
        </w:rPr>
      </w:pPr>
      <w:r w:rsidRPr="00A70ADA">
        <w:rPr>
          <w:sz w:val="24"/>
          <w:szCs w:val="30"/>
          <w:shd w:val="clear" w:color="auto" w:fill="FFFFFF"/>
        </w:rPr>
        <w:t>Turnock, L and Mulrooney, K. (2023). Exploring the Impacts of Rurality on Service Access and Harm Among Image and Performance Enhancing Drug (IPED) Users in. </w:t>
      </w:r>
      <w:r w:rsidRPr="00A70ADA">
        <w:rPr>
          <w:i/>
          <w:iCs/>
          <w:sz w:val="24"/>
          <w:szCs w:val="30"/>
        </w:rPr>
        <w:t>Contemporary drug problems</w:t>
      </w:r>
      <w:r w:rsidRPr="00A70ADA">
        <w:rPr>
          <w:sz w:val="24"/>
          <w:szCs w:val="30"/>
          <w:shd w:val="clear" w:color="auto" w:fill="FFFFFF"/>
        </w:rPr>
        <w:t>. 50(2), pp.232-253.</w:t>
      </w:r>
    </w:p>
    <w:p w14:paraId="7F9EC229" w14:textId="3E3C2B6F" w:rsidR="007D2169" w:rsidRDefault="007D2169" w:rsidP="00FF7EBB">
      <w:pPr>
        <w:jc w:val="both"/>
        <w:rPr>
          <w:sz w:val="24"/>
          <w:szCs w:val="30"/>
          <w:shd w:val="clear" w:color="auto" w:fill="FFFFFF"/>
        </w:rPr>
      </w:pPr>
    </w:p>
    <w:p w14:paraId="255B092F" w14:textId="1E60A6A7" w:rsidR="007D2169" w:rsidRDefault="007D2169" w:rsidP="00FF7EBB">
      <w:pPr>
        <w:jc w:val="both"/>
        <w:rPr>
          <w:sz w:val="24"/>
          <w:szCs w:val="24"/>
          <w:shd w:val="clear" w:color="auto" w:fill="FFFFFF"/>
        </w:rPr>
      </w:pPr>
      <w:r w:rsidRPr="007D2169">
        <w:rPr>
          <w:sz w:val="24"/>
          <w:szCs w:val="24"/>
          <w:shd w:val="clear" w:color="auto" w:fill="FFFFFF"/>
        </w:rPr>
        <w:t>Van Kleef, G. (2009). How Emotions Regulate Social Life: The Emotions as Social Information (EASI) Model. </w:t>
      </w:r>
      <w:r w:rsidRPr="007D2169">
        <w:rPr>
          <w:i/>
          <w:iCs/>
          <w:sz w:val="24"/>
          <w:szCs w:val="24"/>
        </w:rPr>
        <w:t>Current Directions in Psychological Science</w:t>
      </w:r>
      <w:r w:rsidRPr="007D2169">
        <w:rPr>
          <w:sz w:val="24"/>
          <w:szCs w:val="24"/>
          <w:shd w:val="clear" w:color="auto" w:fill="FFFFFF"/>
        </w:rPr>
        <w:t>. 18(3), pp.184-188.</w:t>
      </w:r>
    </w:p>
    <w:p w14:paraId="7CE60FDC" w14:textId="2E2E8B39" w:rsidR="004B65D6" w:rsidRDefault="004B65D6" w:rsidP="00FF7EBB">
      <w:pPr>
        <w:jc w:val="both"/>
        <w:rPr>
          <w:sz w:val="24"/>
          <w:szCs w:val="24"/>
          <w:shd w:val="clear" w:color="auto" w:fill="FFFFFF"/>
        </w:rPr>
      </w:pPr>
    </w:p>
    <w:p w14:paraId="4A9FD708" w14:textId="6A817998" w:rsidR="004B65D6" w:rsidRDefault="004B65D6" w:rsidP="00FF7EBB">
      <w:pPr>
        <w:jc w:val="both"/>
        <w:rPr>
          <w:sz w:val="24"/>
          <w:szCs w:val="24"/>
          <w:shd w:val="clear" w:color="auto" w:fill="FFFFFF"/>
        </w:rPr>
      </w:pPr>
      <w:r w:rsidRPr="004B65D6">
        <w:rPr>
          <w:sz w:val="24"/>
          <w:szCs w:val="24"/>
          <w:shd w:val="clear" w:color="auto" w:fill="FFFFFF"/>
        </w:rPr>
        <w:t>VCU. (2022). </w:t>
      </w:r>
      <w:r w:rsidRPr="004B65D6">
        <w:rPr>
          <w:i/>
          <w:iCs/>
          <w:sz w:val="24"/>
          <w:szCs w:val="24"/>
        </w:rPr>
        <w:t>The Importance of Interdisciplinary Collaboration in Social Work</w:t>
      </w:r>
      <w:r w:rsidRPr="004B65D6">
        <w:rPr>
          <w:sz w:val="24"/>
          <w:szCs w:val="24"/>
          <w:shd w:val="clear" w:color="auto" w:fill="FFFFFF"/>
        </w:rPr>
        <w:t>. [Online]. Virginia Commonwealth University. Available at: https://onlinesocialwork.vcu.edu/blog/social-work-interdisciplinary-collaboration/ [Accessed 17 October 2023].</w:t>
      </w:r>
    </w:p>
    <w:p w14:paraId="0422A918" w14:textId="7480DF1A" w:rsidR="00015617" w:rsidRDefault="00015617" w:rsidP="00FF7EBB">
      <w:pPr>
        <w:jc w:val="both"/>
        <w:rPr>
          <w:sz w:val="24"/>
          <w:szCs w:val="24"/>
          <w:shd w:val="clear" w:color="auto" w:fill="FFFFFF"/>
        </w:rPr>
      </w:pPr>
    </w:p>
    <w:p w14:paraId="0EFBE235" w14:textId="79968722" w:rsidR="00015617" w:rsidRDefault="00015617" w:rsidP="00015617">
      <w:pPr>
        <w:rPr>
          <w:sz w:val="24"/>
          <w:szCs w:val="30"/>
          <w:shd w:val="clear" w:color="auto" w:fill="FFFFFF"/>
        </w:rPr>
      </w:pPr>
      <w:r w:rsidRPr="00A50F64">
        <w:rPr>
          <w:sz w:val="24"/>
          <w:szCs w:val="30"/>
          <w:shd w:val="clear" w:color="auto" w:fill="FFFFFF"/>
        </w:rPr>
        <w:t>Washburn, M, Parrish, D, Garrison, B, Oxhandler, H and Ma, A. (2021). A Mixed-Methods Investigation of Licensed Masters-Level Social Worker’s Engagement in Outcome Evaluation. </w:t>
      </w:r>
      <w:r w:rsidRPr="00A50F64">
        <w:rPr>
          <w:i/>
          <w:iCs/>
          <w:sz w:val="24"/>
          <w:szCs w:val="30"/>
        </w:rPr>
        <w:t>Research on Social Work Practice</w:t>
      </w:r>
      <w:r w:rsidRPr="00A50F64">
        <w:rPr>
          <w:sz w:val="24"/>
          <w:szCs w:val="30"/>
          <w:shd w:val="clear" w:color="auto" w:fill="FFFFFF"/>
        </w:rPr>
        <w:t>. 32(2), pp.186-198.</w:t>
      </w:r>
    </w:p>
    <w:p w14:paraId="1ECB21FC" w14:textId="6602FFF5" w:rsidR="00015617" w:rsidRDefault="00015617" w:rsidP="00015617">
      <w:pPr>
        <w:rPr>
          <w:sz w:val="24"/>
          <w:szCs w:val="30"/>
          <w:shd w:val="clear" w:color="auto" w:fill="FFFFFF"/>
        </w:rPr>
      </w:pPr>
    </w:p>
    <w:p w14:paraId="06B12FA9" w14:textId="77777777" w:rsidR="00015617" w:rsidRDefault="00015617" w:rsidP="00015617">
      <w:pPr>
        <w:overflowPunct/>
        <w:textAlignment w:val="auto"/>
        <w:rPr>
          <w:sz w:val="24"/>
        </w:rPr>
      </w:pPr>
      <w:r>
        <w:rPr>
          <w:rFonts w:eastAsia="MS Mincho"/>
          <w:bCs/>
          <w:color w:val="auto"/>
          <w:sz w:val="24"/>
          <w:szCs w:val="24"/>
        </w:rPr>
        <w:t xml:space="preserve">Welsh Assembly Government (2014) Continuing Health Care, The National Framework for Implementation in Wales (online), Available at </w:t>
      </w:r>
      <w:hyperlink r:id="rId12" w:history="1">
        <w:r w:rsidRPr="00015617">
          <w:rPr>
            <w:rStyle w:val="Hyperlink"/>
            <w:color w:val="auto"/>
            <w:sz w:val="22"/>
            <w:u w:val="none"/>
          </w:rPr>
          <w:t>National framework for Continuing NHS Healthcare | GOV.WALES</w:t>
        </w:r>
      </w:hyperlink>
      <w:r w:rsidRPr="007E1682">
        <w:rPr>
          <w:color w:val="auto"/>
          <w:sz w:val="22"/>
        </w:rPr>
        <w:t xml:space="preserve">. </w:t>
      </w:r>
      <w:r>
        <w:rPr>
          <w:sz w:val="24"/>
        </w:rPr>
        <w:t>Last accessed 20/05</w:t>
      </w:r>
      <w:r w:rsidRPr="005945E3">
        <w:rPr>
          <w:sz w:val="24"/>
        </w:rPr>
        <w:t xml:space="preserve">/2023. </w:t>
      </w:r>
    </w:p>
    <w:p w14:paraId="1C223977" w14:textId="29150D97" w:rsidR="00015617" w:rsidRDefault="00015617" w:rsidP="00015617"/>
    <w:p w14:paraId="1A23B542" w14:textId="77777777" w:rsidR="00015617" w:rsidRDefault="00015617" w:rsidP="00015617">
      <w:pPr>
        <w:overflowPunct/>
        <w:textAlignment w:val="auto"/>
        <w:rPr>
          <w:sz w:val="24"/>
          <w:szCs w:val="30"/>
          <w:shd w:val="clear" w:color="auto" w:fill="FFFFFF"/>
        </w:rPr>
      </w:pPr>
      <w:r w:rsidRPr="00C23303">
        <w:rPr>
          <w:sz w:val="24"/>
          <w:szCs w:val="30"/>
          <w:shd w:val="clear" w:color="auto" w:fill="FFFFFF"/>
        </w:rPr>
        <w:t>Welsh Government. (2017). </w:t>
      </w:r>
      <w:r w:rsidRPr="00C23303">
        <w:rPr>
          <w:i/>
          <w:iCs/>
          <w:sz w:val="24"/>
          <w:szCs w:val="30"/>
        </w:rPr>
        <w:t>Codes of Professional Practice for Social Care</w:t>
      </w:r>
      <w:r w:rsidRPr="00C23303">
        <w:rPr>
          <w:sz w:val="24"/>
          <w:szCs w:val="30"/>
          <w:shd w:val="clear" w:color="auto" w:fill="FFFFFF"/>
        </w:rPr>
        <w:t>. [Online]. Social Care Wales. Available at: https://www.bing.com/search?q=social+care+wales+2017&amp;cvid=99a70bbe60cc4ce0847239dadb</w:t>
      </w:r>
      <w:r>
        <w:rPr>
          <w:sz w:val="24"/>
          <w:szCs w:val="30"/>
          <w:shd w:val="clear" w:color="auto" w:fill="FFFFFF"/>
        </w:rPr>
        <w:t>2039a5&amp;aqs=edge. [Accessed 21/06</w:t>
      </w:r>
      <w:r w:rsidRPr="00C23303">
        <w:rPr>
          <w:sz w:val="24"/>
          <w:szCs w:val="30"/>
          <w:shd w:val="clear" w:color="auto" w:fill="FFFFFF"/>
        </w:rPr>
        <w:t>/2023].</w:t>
      </w:r>
    </w:p>
    <w:p w14:paraId="66ED6A22" w14:textId="77777777" w:rsidR="00015617" w:rsidRDefault="00015617" w:rsidP="00015617">
      <w:pPr>
        <w:overflowPunct/>
        <w:textAlignment w:val="auto"/>
        <w:rPr>
          <w:sz w:val="24"/>
          <w:szCs w:val="30"/>
          <w:shd w:val="clear" w:color="auto" w:fill="FFFFFF"/>
        </w:rPr>
      </w:pPr>
    </w:p>
    <w:p w14:paraId="3D0D8D4B" w14:textId="77777777" w:rsidR="00015617" w:rsidRPr="00A2128A" w:rsidRDefault="00015617" w:rsidP="00015617">
      <w:pPr>
        <w:overflowPunct/>
        <w:textAlignment w:val="auto"/>
        <w:rPr>
          <w:sz w:val="16"/>
        </w:rPr>
      </w:pPr>
      <w:r w:rsidRPr="00A2128A">
        <w:rPr>
          <w:sz w:val="24"/>
          <w:szCs w:val="30"/>
          <w:shd w:val="clear" w:color="auto" w:fill="FFFFFF"/>
        </w:rPr>
        <w:t>Welsh Government. (2015). </w:t>
      </w:r>
      <w:r w:rsidRPr="00A2128A">
        <w:rPr>
          <w:i/>
          <w:iCs/>
          <w:sz w:val="24"/>
          <w:szCs w:val="30"/>
        </w:rPr>
        <w:t>More than just words</w:t>
      </w:r>
      <w:r w:rsidRPr="00A2128A">
        <w:rPr>
          <w:sz w:val="24"/>
          <w:szCs w:val="30"/>
          <w:shd w:val="clear" w:color="auto" w:fill="FFFFFF"/>
        </w:rPr>
        <w:t>. [Online]. gov.wales. Available at: https://www.bing.com/search?q=welsh+active+offer&amp;cvid=740d94e45a6740c78654f8e1cff32b10&amp;aqs=edge.0.0l [Accessed 21/06/2023].</w:t>
      </w:r>
    </w:p>
    <w:p w14:paraId="4BF24226" w14:textId="77777777" w:rsidR="00015617" w:rsidRDefault="00015617" w:rsidP="00015617">
      <w:pPr>
        <w:overflowPunct/>
        <w:textAlignment w:val="auto"/>
        <w:rPr>
          <w:sz w:val="24"/>
        </w:rPr>
      </w:pPr>
    </w:p>
    <w:p w14:paraId="27B71D25" w14:textId="3F2910E1" w:rsidR="00015617" w:rsidRPr="00015617" w:rsidRDefault="00015617" w:rsidP="00015617">
      <w:pPr>
        <w:overflowPunct/>
        <w:textAlignment w:val="auto"/>
        <w:rPr>
          <w:sz w:val="16"/>
        </w:rPr>
      </w:pPr>
      <w:r w:rsidRPr="00883C83">
        <w:rPr>
          <w:sz w:val="24"/>
          <w:szCs w:val="30"/>
          <w:shd w:val="clear" w:color="auto" w:fill="FFFFFF"/>
        </w:rPr>
        <w:lastRenderedPageBreak/>
        <w:t>Westwood, J. (2012). Safeguarding Children across Services: Messages from Research. </w:t>
      </w:r>
      <w:r w:rsidRPr="00883C83">
        <w:rPr>
          <w:i/>
          <w:iCs/>
          <w:sz w:val="24"/>
          <w:szCs w:val="30"/>
        </w:rPr>
        <w:t>The British Journal of Social Work</w:t>
      </w:r>
      <w:r w:rsidRPr="00883C83">
        <w:rPr>
          <w:sz w:val="24"/>
          <w:szCs w:val="30"/>
          <w:shd w:val="clear" w:color="auto" w:fill="FFFFFF"/>
        </w:rPr>
        <w:t>. 42(7), p.1432–1433.</w:t>
      </w:r>
    </w:p>
    <w:p w14:paraId="7B31B9A3" w14:textId="5F7B8488" w:rsidR="00A90BCD" w:rsidRPr="00A70ADA" w:rsidRDefault="00A90BCD" w:rsidP="00FF7EBB">
      <w:pPr>
        <w:jc w:val="both"/>
        <w:rPr>
          <w:sz w:val="24"/>
          <w:szCs w:val="30"/>
          <w:shd w:val="clear" w:color="auto" w:fill="FFFFFF"/>
        </w:rPr>
      </w:pPr>
    </w:p>
    <w:p w14:paraId="2098456D" w14:textId="765AA5A0" w:rsidR="00A90BCD" w:rsidRDefault="00A90BCD" w:rsidP="00FF7EBB">
      <w:pPr>
        <w:jc w:val="both"/>
        <w:rPr>
          <w:sz w:val="24"/>
          <w:szCs w:val="30"/>
          <w:shd w:val="clear" w:color="auto" w:fill="FFFFFF"/>
        </w:rPr>
      </w:pPr>
      <w:r w:rsidRPr="00A70ADA">
        <w:rPr>
          <w:sz w:val="24"/>
          <w:szCs w:val="30"/>
          <w:shd w:val="clear" w:color="auto" w:fill="FFFFFF"/>
        </w:rPr>
        <w:t>Wilson, E, Seymour, J and Perkins, P. (2010). Working with the Mental Capacity Act: findings from specialist palliative and neurological care settings. </w:t>
      </w:r>
      <w:r w:rsidRPr="00A70ADA">
        <w:rPr>
          <w:i/>
          <w:iCs/>
          <w:sz w:val="24"/>
          <w:szCs w:val="30"/>
        </w:rPr>
        <w:t>Palliative Medicine</w:t>
      </w:r>
      <w:r w:rsidRPr="00A70ADA">
        <w:rPr>
          <w:sz w:val="24"/>
          <w:szCs w:val="30"/>
          <w:shd w:val="clear" w:color="auto" w:fill="FFFFFF"/>
        </w:rPr>
        <w:t>. 24(4), pp.396-402.</w:t>
      </w:r>
    </w:p>
    <w:p w14:paraId="0E90F106" w14:textId="6C5D7AA7" w:rsidR="007935C6" w:rsidRDefault="007935C6" w:rsidP="00FF7EBB">
      <w:pPr>
        <w:jc w:val="both"/>
        <w:rPr>
          <w:sz w:val="24"/>
          <w:szCs w:val="30"/>
          <w:shd w:val="clear" w:color="auto" w:fill="FFFFFF"/>
        </w:rPr>
      </w:pPr>
    </w:p>
    <w:p w14:paraId="4D26E080" w14:textId="77777777" w:rsidR="007935C6" w:rsidRPr="00F1278D" w:rsidRDefault="007935C6" w:rsidP="007935C6">
      <w:pPr>
        <w:rPr>
          <w:color w:val="111111"/>
          <w:sz w:val="24"/>
          <w:szCs w:val="24"/>
          <w:shd w:val="clear" w:color="auto" w:fill="FFFFFF"/>
        </w:rPr>
      </w:pPr>
      <w:r w:rsidRPr="00F1278D">
        <w:rPr>
          <w:sz w:val="24"/>
          <w:szCs w:val="24"/>
          <w:shd w:val="clear" w:color="auto" w:fill="FFFFFF"/>
        </w:rPr>
        <w:t>Winter, K, Cree, V, Hallett, S, Hadfield, M, Ruch, G, Morrison, F and Holland, S. (2017). Exploring Communication between Social Workers, Children and Young People. </w:t>
      </w:r>
      <w:r w:rsidRPr="00F1278D">
        <w:rPr>
          <w:i/>
          <w:iCs/>
          <w:sz w:val="24"/>
          <w:szCs w:val="24"/>
        </w:rPr>
        <w:t>The British Journal of Social Work</w:t>
      </w:r>
      <w:r w:rsidRPr="00F1278D">
        <w:rPr>
          <w:sz w:val="24"/>
          <w:szCs w:val="24"/>
          <w:shd w:val="clear" w:color="auto" w:fill="FFFFFF"/>
        </w:rPr>
        <w:t>. 47(5), p.1427–1444.</w:t>
      </w:r>
    </w:p>
    <w:p w14:paraId="59374BD5" w14:textId="77777777" w:rsidR="007935C6" w:rsidRPr="00A70ADA" w:rsidRDefault="007935C6" w:rsidP="00FF7EBB">
      <w:pPr>
        <w:jc w:val="both"/>
        <w:rPr>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C4EF86F" w:rsidR="00E559CE" w:rsidRPr="00B17FA0" w:rsidRDefault="00445316" w:rsidP="00B94443">
            <w:pPr>
              <w:jc w:val="both"/>
              <w:rPr>
                <w:sz w:val="24"/>
                <w:szCs w:val="24"/>
              </w:rPr>
            </w:pPr>
            <w:r>
              <w:rPr>
                <w:sz w:val="24"/>
                <w:szCs w:val="24"/>
              </w:rPr>
              <w:t>16/11/2022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9D422FA" w:rsidR="00E559CE" w:rsidRPr="00B17FA0" w:rsidRDefault="00445316" w:rsidP="00B94443">
            <w:pPr>
              <w:jc w:val="both"/>
              <w:rPr>
                <w:sz w:val="24"/>
                <w:szCs w:val="24"/>
              </w:rPr>
            </w:pPr>
            <w:r>
              <w:rPr>
                <w:sz w:val="24"/>
                <w:szCs w:val="24"/>
              </w:rPr>
              <w:t>1</w:t>
            </w:r>
            <w:r w:rsidR="007650CF">
              <w:rPr>
                <w:sz w:val="24"/>
                <w:szCs w:val="24"/>
              </w:rPr>
              <w:t>8</w:t>
            </w:r>
            <w:r>
              <w:rPr>
                <w:sz w:val="24"/>
                <w:szCs w:val="24"/>
              </w:rPr>
              <w:t>/01/2023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3484E6D" w:rsidR="00E559CE" w:rsidRPr="00B17FA0" w:rsidRDefault="00445316" w:rsidP="00B94443">
            <w:pPr>
              <w:jc w:val="both"/>
              <w:rPr>
                <w:sz w:val="24"/>
                <w:szCs w:val="24"/>
              </w:rPr>
            </w:pPr>
            <w:r>
              <w:rPr>
                <w:sz w:val="24"/>
                <w:szCs w:val="24"/>
              </w:rPr>
              <w:t>15/03/2023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8157A8C" w:rsidR="00E559CE" w:rsidRPr="00B17FA0" w:rsidRDefault="00445316" w:rsidP="00B94443">
            <w:pPr>
              <w:jc w:val="both"/>
              <w:rPr>
                <w:sz w:val="24"/>
                <w:szCs w:val="24"/>
              </w:rPr>
            </w:pPr>
            <w:r>
              <w:rPr>
                <w:sz w:val="24"/>
                <w:szCs w:val="24"/>
              </w:rPr>
              <w:t>07/06/2023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49E437F8" w14:textId="77777777" w:rsidR="00732CAA" w:rsidRPr="00656037" w:rsidRDefault="00732CAA" w:rsidP="00732CAA">
            <w:pPr>
              <w:jc w:val="both"/>
              <w:rPr>
                <w:color w:val="auto"/>
                <w:sz w:val="24"/>
                <w:szCs w:val="24"/>
              </w:rPr>
            </w:pPr>
            <w:r w:rsidRPr="00656037">
              <w:rPr>
                <w:color w:val="auto"/>
                <w:sz w:val="24"/>
                <w:szCs w:val="24"/>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p w14:paraId="534411D0" w14:textId="77777777" w:rsidR="00732CAA" w:rsidRDefault="00732CAA" w:rsidP="00732CAA">
            <w:pPr>
              <w:jc w:val="both"/>
              <w:rPr>
                <w:color w:val="auto"/>
                <w:sz w:val="24"/>
                <w:szCs w:val="24"/>
                <w:highlight w:val="yellow"/>
              </w:rPr>
            </w:pPr>
          </w:p>
          <w:p w14:paraId="756C47E7" w14:textId="77777777" w:rsidR="00732CAA" w:rsidRPr="00656037" w:rsidRDefault="00732CAA" w:rsidP="00732CAA">
            <w:pPr>
              <w:overflowPunct/>
              <w:spacing w:line="360" w:lineRule="auto"/>
              <w:jc w:val="both"/>
              <w:textAlignment w:val="auto"/>
              <w:rPr>
                <w:rFonts w:eastAsia="Calibri"/>
                <w:sz w:val="24"/>
                <w:szCs w:val="24"/>
                <w:lang w:eastAsia="en-US"/>
              </w:rPr>
            </w:pPr>
            <w:r w:rsidRPr="00656037">
              <w:rPr>
                <w:rFonts w:eastAsia="Calibri"/>
                <w:color w:val="auto"/>
                <w:sz w:val="24"/>
                <w:szCs w:val="24"/>
                <w:lang w:eastAsia="en-US"/>
              </w:rPr>
              <w:t xml:space="preserve">The learner has </w:t>
            </w:r>
            <w:r>
              <w:rPr>
                <w:rFonts w:eastAsia="Calibri"/>
                <w:color w:val="auto"/>
                <w:sz w:val="24"/>
                <w:szCs w:val="24"/>
                <w:lang w:eastAsia="en-US"/>
              </w:rPr>
              <w:t xml:space="preserve">been in the team for around 6 months having worked in another team since qualifying as a social worker. The learner had already developed good </w:t>
            </w:r>
            <w:r w:rsidRPr="00656037">
              <w:rPr>
                <w:rFonts w:eastAsia="Calibri"/>
                <w:color w:val="auto"/>
                <w:sz w:val="24"/>
                <w:szCs w:val="24"/>
                <w:lang w:eastAsia="en-US"/>
              </w:rPr>
              <w:t xml:space="preserve">analysis and reflective skills </w:t>
            </w:r>
            <w:r>
              <w:rPr>
                <w:rFonts w:eastAsia="Calibri"/>
                <w:color w:val="auto"/>
                <w:sz w:val="24"/>
                <w:szCs w:val="24"/>
                <w:lang w:eastAsia="en-US"/>
              </w:rPr>
              <w:t>as part of her previous work. It was clear the learner still doubted her ability and she needed encouragement and support to believe in herself. The learner used her supervision sessions to reflect on her practice. She was able to identify areas where she felt she needed to expand her knowledge base and was then able to identify training to inform this. The Learner doubted her communication skills but through Collaborative Communication Training and reflective practice it is evident t</w:t>
            </w:r>
            <w:r w:rsidRPr="00656037">
              <w:rPr>
                <w:rFonts w:eastAsia="Calibri"/>
                <w:color w:val="auto"/>
                <w:sz w:val="24"/>
                <w:szCs w:val="24"/>
                <w:lang w:eastAsia="en-US"/>
              </w:rPr>
              <w:t xml:space="preserve">his is an area in which much improvement has been made, </w:t>
            </w:r>
            <w:r w:rsidRPr="00656037">
              <w:rPr>
                <w:rFonts w:eastAsia="Calibri"/>
                <w:color w:val="auto"/>
                <w:sz w:val="24"/>
                <w:szCs w:val="24"/>
                <w:lang w:eastAsia="en-US"/>
              </w:rPr>
              <w:lastRenderedPageBreak/>
              <w:t>which has allowed the learner to be more confident in her professional analysis, judgments and subsequent risk management and care planning. This has been particularly pertinent to the complex cases she has dealt with including safeguarding, capacity concerns</w:t>
            </w:r>
            <w:r>
              <w:rPr>
                <w:rFonts w:eastAsia="Calibri"/>
                <w:color w:val="auto"/>
                <w:sz w:val="24"/>
                <w:szCs w:val="24"/>
                <w:lang w:eastAsia="en-US"/>
              </w:rPr>
              <w:t>,</w:t>
            </w:r>
            <w:r w:rsidRPr="00656037">
              <w:rPr>
                <w:rFonts w:eastAsia="Calibri"/>
                <w:color w:val="auto"/>
                <w:sz w:val="24"/>
                <w:szCs w:val="24"/>
                <w:lang w:eastAsia="en-US"/>
              </w:rPr>
              <w:t xml:space="preserve"> DoLS</w:t>
            </w:r>
            <w:r>
              <w:rPr>
                <w:rFonts w:eastAsia="Calibri"/>
                <w:color w:val="auto"/>
                <w:sz w:val="24"/>
                <w:szCs w:val="24"/>
                <w:lang w:eastAsia="en-US"/>
              </w:rPr>
              <w:t xml:space="preserve"> and CSE. </w:t>
            </w:r>
            <w:r w:rsidRPr="00656037">
              <w:rPr>
                <w:rFonts w:eastAsia="Calibri"/>
                <w:color w:val="auto"/>
                <w:sz w:val="24"/>
                <w:szCs w:val="24"/>
                <w:lang w:eastAsia="en-US"/>
              </w:rPr>
              <w:t xml:space="preserve"> </w:t>
            </w:r>
          </w:p>
          <w:p w14:paraId="560F65F9" w14:textId="77777777" w:rsidR="00732CAA" w:rsidRPr="00656037" w:rsidRDefault="00732CAA" w:rsidP="00732CAA">
            <w:pPr>
              <w:overflowPunct/>
              <w:spacing w:line="360" w:lineRule="auto"/>
              <w:jc w:val="both"/>
              <w:textAlignment w:val="auto"/>
              <w:rPr>
                <w:rFonts w:eastAsia="Calibri"/>
                <w:color w:val="auto"/>
                <w:sz w:val="24"/>
                <w:szCs w:val="24"/>
                <w:lang w:eastAsia="en-US"/>
              </w:rPr>
            </w:pPr>
          </w:p>
          <w:p w14:paraId="27C7E171" w14:textId="77777777" w:rsidR="00732CAA" w:rsidRPr="00656037" w:rsidRDefault="00732CAA" w:rsidP="00732CAA">
            <w:pPr>
              <w:overflowPunct/>
              <w:spacing w:line="360" w:lineRule="auto"/>
              <w:jc w:val="both"/>
              <w:textAlignment w:val="auto"/>
              <w:rPr>
                <w:rFonts w:eastAsia="Calibri"/>
                <w:color w:val="auto"/>
                <w:sz w:val="24"/>
                <w:szCs w:val="24"/>
                <w:lang w:eastAsia="en-US"/>
              </w:rPr>
            </w:pPr>
            <w:r>
              <w:rPr>
                <w:rFonts w:eastAsia="Calibri"/>
                <w:color w:val="auto"/>
                <w:sz w:val="24"/>
                <w:szCs w:val="24"/>
                <w:lang w:eastAsia="en-US"/>
              </w:rPr>
              <w:t xml:space="preserve">The learner has a very nice calm approach towards people, she has excellent </w:t>
            </w:r>
            <w:r w:rsidRPr="00656037">
              <w:rPr>
                <w:rFonts w:eastAsia="Calibri"/>
                <w:color w:val="auto"/>
                <w:sz w:val="24"/>
                <w:szCs w:val="24"/>
                <w:lang w:eastAsia="en-US"/>
              </w:rPr>
              <w:t>interpersonal</w:t>
            </w:r>
            <w:r w:rsidRPr="00656037">
              <w:rPr>
                <w:rFonts w:eastAsia="Calibri"/>
                <w:sz w:val="24"/>
                <w:szCs w:val="24"/>
                <w:lang w:eastAsia="en-US"/>
              </w:rPr>
              <w:t xml:space="preserve"> skills (people warm to the learner quickly</w:t>
            </w:r>
            <w:r>
              <w:rPr>
                <w:rFonts w:eastAsia="Calibri"/>
                <w:sz w:val="24"/>
                <w:szCs w:val="24"/>
                <w:lang w:eastAsia="en-US"/>
              </w:rPr>
              <w:t xml:space="preserve">). She has a nice manner and people say they feel she really cares, and she takes the time to listen and is non-judgemental, she allows them to get their opinions heard. They really open up to her and she has been successful in getting some rather resistant families to work with her effectively. The learner is confident in arranging multi-agency meetings to discuss specific children and young people ensuring all the right professionals are around the table with the best interests of the young person at the centre. </w:t>
            </w:r>
          </w:p>
          <w:p w14:paraId="3A2079AD" w14:textId="77777777" w:rsidR="00732CAA" w:rsidRPr="00656037" w:rsidRDefault="00732CAA" w:rsidP="00732CAA">
            <w:pPr>
              <w:overflowPunct/>
              <w:spacing w:line="360" w:lineRule="auto"/>
              <w:jc w:val="both"/>
              <w:textAlignment w:val="auto"/>
              <w:rPr>
                <w:rFonts w:eastAsia="Calibri"/>
                <w:color w:val="auto"/>
                <w:sz w:val="24"/>
                <w:szCs w:val="24"/>
                <w:lang w:eastAsia="en-US"/>
              </w:rPr>
            </w:pPr>
          </w:p>
          <w:p w14:paraId="0AE8C295" w14:textId="77777777" w:rsidR="00732CAA" w:rsidRDefault="00732CAA" w:rsidP="00732CAA">
            <w:pPr>
              <w:spacing w:line="360" w:lineRule="auto"/>
              <w:jc w:val="both"/>
              <w:rPr>
                <w:color w:val="auto"/>
                <w:sz w:val="24"/>
                <w:szCs w:val="24"/>
              </w:rPr>
            </w:pPr>
            <w:r w:rsidRPr="00D6522D">
              <w:rPr>
                <w:color w:val="auto"/>
                <w:sz w:val="24"/>
                <w:szCs w:val="24"/>
              </w:rPr>
              <w:t xml:space="preserve">The learner </w:t>
            </w:r>
            <w:r>
              <w:rPr>
                <w:color w:val="auto"/>
                <w:sz w:val="24"/>
                <w:szCs w:val="24"/>
              </w:rPr>
              <w:t xml:space="preserve">has completed some very emotive online training around CSE with her young person. The learner had to do a lot of research to ensure she was presenting the correct information at a level the young person would understand and engage with. The learner ensured the young person was ok to commence each session as they were very intense and thought provoking. The learner finished the session by again checking out with the young person they were ok and in a safe space with people around them to offer support in case anything in the session may cause them to be upset later in the day. </w:t>
            </w:r>
          </w:p>
          <w:p w14:paraId="1E7D94B7" w14:textId="77777777" w:rsidR="00732CAA" w:rsidRDefault="00732CAA" w:rsidP="00732CAA">
            <w:pPr>
              <w:spacing w:line="360" w:lineRule="auto"/>
              <w:jc w:val="both"/>
              <w:rPr>
                <w:color w:val="auto"/>
                <w:sz w:val="24"/>
                <w:szCs w:val="24"/>
              </w:rPr>
            </w:pPr>
            <w:r>
              <w:rPr>
                <w:color w:val="auto"/>
                <w:sz w:val="24"/>
                <w:szCs w:val="24"/>
              </w:rPr>
              <w:t xml:space="preserve">The learner is confident enough to ask for help and checks situations and interventions out with her manager and senior practitioner when approaching a new case. </w:t>
            </w:r>
          </w:p>
          <w:p w14:paraId="52BEE800" w14:textId="77777777" w:rsidR="00732CAA" w:rsidRDefault="00732CAA" w:rsidP="00732CAA">
            <w:pPr>
              <w:spacing w:line="360" w:lineRule="auto"/>
              <w:jc w:val="both"/>
              <w:rPr>
                <w:color w:val="auto"/>
                <w:sz w:val="24"/>
                <w:szCs w:val="24"/>
              </w:rPr>
            </w:pPr>
          </w:p>
          <w:p w14:paraId="00D738B2" w14:textId="77777777" w:rsidR="00732CAA" w:rsidRDefault="00732CAA" w:rsidP="00732CAA">
            <w:pPr>
              <w:spacing w:line="360" w:lineRule="auto"/>
              <w:jc w:val="both"/>
              <w:rPr>
                <w:color w:val="auto"/>
                <w:sz w:val="24"/>
                <w:szCs w:val="24"/>
              </w:rPr>
            </w:pPr>
            <w:r>
              <w:rPr>
                <w:color w:val="auto"/>
                <w:sz w:val="24"/>
                <w:szCs w:val="24"/>
              </w:rPr>
              <w:t xml:space="preserve">In the short time the learner has been within this team I have already seen she has the makings of a very able, competent social worker, she has compassion and cares about the outcomes for the young people. She works effectively alongside them to help them achieve their full potential. </w:t>
            </w:r>
          </w:p>
          <w:p w14:paraId="5BA6BF55" w14:textId="77777777" w:rsidR="00732CAA" w:rsidRDefault="00732CAA" w:rsidP="00732CAA">
            <w:pPr>
              <w:spacing w:line="360" w:lineRule="auto"/>
              <w:jc w:val="both"/>
              <w:rPr>
                <w:color w:val="auto"/>
                <w:sz w:val="24"/>
                <w:szCs w:val="24"/>
              </w:rPr>
            </w:pPr>
          </w:p>
          <w:p w14:paraId="27070256" w14:textId="77777777" w:rsidR="00732CAA" w:rsidRDefault="00732CAA" w:rsidP="00732CAA">
            <w:pPr>
              <w:spacing w:line="360" w:lineRule="auto"/>
              <w:jc w:val="both"/>
              <w:rPr>
                <w:color w:val="auto"/>
                <w:sz w:val="24"/>
                <w:szCs w:val="24"/>
              </w:rPr>
            </w:pPr>
            <w:r>
              <w:rPr>
                <w:color w:val="auto"/>
                <w:sz w:val="24"/>
                <w:szCs w:val="24"/>
              </w:rPr>
              <w:t xml:space="preserve">Moving forward the learner should continue to develop her professional practice and continue to use supervision and training to improve this. She has shown she has the ability to manage a good work/life balance ensuring she won’t put herself at risk of burnout. </w:t>
            </w:r>
          </w:p>
          <w:p w14:paraId="575BDF1E" w14:textId="52F1761B" w:rsidR="00FC0334" w:rsidRDefault="00732CAA" w:rsidP="00732CAA">
            <w:pPr>
              <w:jc w:val="both"/>
              <w:rPr>
                <w:color w:val="auto"/>
                <w:sz w:val="24"/>
                <w:szCs w:val="24"/>
              </w:rPr>
            </w:pPr>
            <w:r>
              <w:rPr>
                <w:color w:val="auto"/>
                <w:sz w:val="24"/>
                <w:szCs w:val="24"/>
              </w:rPr>
              <w:lastRenderedPageBreak/>
              <w:t>The learner is excellent at time management and has all her written notes completed in a timely manner abiding with legislation and guidelines.</w:t>
            </w:r>
          </w:p>
          <w:p w14:paraId="7740F712" w14:textId="2C41FA95" w:rsidR="00223126" w:rsidRDefault="00223126" w:rsidP="00732CAA">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BC4CBC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45316">
        <w:rPr>
          <w:b/>
          <w:sz w:val="24"/>
          <w:szCs w:val="24"/>
        </w:rPr>
        <w:t>Mollie Snape</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4976B0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45316">
        <w:rPr>
          <w:b/>
          <w:sz w:val="24"/>
          <w:szCs w:val="24"/>
        </w:rPr>
        <w:t xml:space="preserve"> </w:t>
      </w:r>
      <w:r w:rsidR="007650CF" w:rsidRPr="007650CF">
        <w:rPr>
          <w:b/>
          <w:color w:val="auto"/>
          <w:sz w:val="24"/>
          <w:szCs w:val="24"/>
        </w:rPr>
        <w:t>2224345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DB5436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7650CF">
        <w:rPr>
          <w:b/>
          <w:sz w:val="24"/>
          <w:szCs w:val="24"/>
        </w:rPr>
        <w:t xml:space="preserve"> 31 Marian Place, Llandudno LL30 1HN</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E2A0F3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650CF">
        <w:rPr>
          <w:b/>
          <w:sz w:val="24"/>
          <w:szCs w:val="24"/>
        </w:rPr>
        <w:t xml:space="preserve"> 07518108462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C7F592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7650CF">
        <w:rPr>
          <w:b/>
          <w:sz w:val="24"/>
          <w:szCs w:val="24"/>
        </w:rPr>
        <w:t xml:space="preserve"> molliesnape@yahoo.co.uk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354895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F1263">
        <w:rPr>
          <w:b/>
          <w:sz w:val="24"/>
          <w:szCs w:val="24"/>
        </w:rPr>
        <w:t>October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785B01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D</w:t>
      </w:r>
      <w:r w:rsidRPr="008B28E7">
        <w:rPr>
          <w:b/>
          <w:sz w:val="24"/>
          <w:szCs w:val="24"/>
        </w:rPr>
        <w:t xml:space="preserve">ate of registration with </w:t>
      </w:r>
      <w:r w:rsidR="00012B16">
        <w:rPr>
          <w:b/>
          <w:sz w:val="24"/>
          <w:szCs w:val="24"/>
        </w:rPr>
        <w:t>Social Care Wales</w:t>
      </w:r>
      <w:r w:rsidRPr="008B28E7">
        <w:rPr>
          <w:b/>
          <w:sz w:val="24"/>
          <w:szCs w:val="24"/>
        </w:rPr>
        <w:t>:</w:t>
      </w:r>
      <w:r w:rsidR="00DF1263">
        <w:rPr>
          <w:b/>
          <w:sz w:val="24"/>
          <w:szCs w:val="24"/>
        </w:rPr>
        <w:t xml:space="preserve"> October 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F71DD5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F1263">
        <w:rPr>
          <w:b/>
          <w:sz w:val="24"/>
          <w:szCs w:val="24"/>
        </w:rPr>
        <w:t xml:space="preserve"> </w:t>
      </w:r>
      <w:r w:rsidR="00732CAA">
        <w:rPr>
          <w:b/>
          <w:sz w:val="24"/>
          <w:szCs w:val="24"/>
        </w:rPr>
        <w:t>Denbighshire</w:t>
      </w:r>
      <w:r w:rsidR="00015617">
        <w:rPr>
          <w:b/>
          <w:sz w:val="24"/>
          <w:szCs w:val="24"/>
        </w:rPr>
        <w:t xml:space="preserve">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4F48CE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15617">
        <w:rPr>
          <w:b/>
          <w:sz w:val="24"/>
          <w:szCs w:val="24"/>
        </w:rPr>
        <w:t xml:space="preserve"> Julie Lavin, team manager</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23116C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015617">
        <w:rPr>
          <w:b/>
          <w:sz w:val="24"/>
          <w:szCs w:val="24"/>
        </w:rPr>
        <w:t xml:space="preserve"> Russell house, Churton Road, Rhyl LL18 3DP</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ED89F3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015617">
        <w:rPr>
          <w:b/>
          <w:sz w:val="24"/>
          <w:szCs w:val="24"/>
        </w:rPr>
        <w:t xml:space="preserve"> </w:t>
      </w:r>
      <w:r w:rsidR="00015617" w:rsidRPr="006D3FD3">
        <w:rPr>
          <w:b/>
          <w:sz w:val="22"/>
        </w:rPr>
        <w:t>01824 712278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A7CDBB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w:t>
      </w:r>
      <w:r w:rsidRPr="00015617">
        <w:rPr>
          <w:b/>
          <w:color w:val="auto"/>
          <w:sz w:val="32"/>
          <w:szCs w:val="24"/>
        </w:rPr>
        <w:t xml:space="preserve"> </w:t>
      </w:r>
      <w:hyperlink r:id="rId13" w:history="1">
        <w:r w:rsidR="00015617" w:rsidRPr="006D3FD3">
          <w:rPr>
            <w:rStyle w:val="Hyperlink"/>
            <w:b/>
            <w:color w:val="auto"/>
            <w:sz w:val="24"/>
            <w:u w:val="none"/>
          </w:rPr>
          <w:t>julie.lavin@denbighshire.gov.uk</w:t>
        </w:r>
      </w:hyperlink>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124286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DF1263">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368FF0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F1263">
        <w:rPr>
          <w:b/>
          <w:sz w:val="24"/>
          <w:szCs w:val="24"/>
        </w:rPr>
        <w:t xml:space="preserve"> Virginia Brownsett</w:t>
      </w:r>
      <w:r w:rsidR="00015617">
        <w:rPr>
          <w:b/>
          <w:sz w:val="24"/>
          <w:szCs w:val="24"/>
        </w:rPr>
        <w:t>, senior practitioner</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07965B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F1263">
        <w:rPr>
          <w:b/>
          <w:sz w:val="24"/>
          <w:szCs w:val="24"/>
        </w:rPr>
        <w:t xml:space="preserve"> </w:t>
      </w:r>
      <w:r w:rsidR="00015617">
        <w:rPr>
          <w:b/>
          <w:sz w:val="24"/>
          <w:szCs w:val="24"/>
        </w:rPr>
        <w:t>Russell house, Churton Road, Rhyl LL18 3DP</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D84DDE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15617">
        <w:rPr>
          <w:b/>
          <w:sz w:val="24"/>
          <w:szCs w:val="24"/>
        </w:rPr>
        <w:t xml:space="preserve"> </w:t>
      </w:r>
      <w:r w:rsidR="00015617" w:rsidRPr="006D3FD3">
        <w:rPr>
          <w:b/>
          <w:sz w:val="24"/>
        </w:rPr>
        <w:t>01824 708373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DBB203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15617">
        <w:rPr>
          <w:b/>
          <w:sz w:val="24"/>
          <w:szCs w:val="24"/>
        </w:rPr>
        <w:t xml:space="preserve"> </w:t>
      </w:r>
      <w:r w:rsidR="00015617" w:rsidRPr="00015617">
        <w:rPr>
          <w:b/>
          <w:sz w:val="24"/>
          <w:szCs w:val="24"/>
        </w:rPr>
        <w:t>Virginia.Brownsett@denbighshire.gov.uk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024221F" w:rsidR="004923DA" w:rsidRDefault="004923DA" w:rsidP="00FF7EBB">
            <w:pPr>
              <w:jc w:val="both"/>
              <w:rPr>
                <w:b/>
                <w:sz w:val="24"/>
                <w:szCs w:val="24"/>
              </w:rPr>
            </w:pPr>
            <w:r w:rsidRPr="008B28E7">
              <w:rPr>
                <w:b/>
                <w:sz w:val="24"/>
                <w:szCs w:val="24"/>
              </w:rPr>
              <w:t>Name:</w:t>
            </w:r>
            <w:r w:rsidR="003D177B">
              <w:rPr>
                <w:b/>
                <w:sz w:val="24"/>
                <w:szCs w:val="24"/>
              </w:rPr>
              <w:t xml:space="preserve"> Virginia Brownsett, senior practitioner</w:t>
            </w:r>
          </w:p>
          <w:p w14:paraId="4EF4A770" w14:textId="77777777" w:rsidR="004923DA" w:rsidRPr="008B28E7" w:rsidRDefault="004923DA" w:rsidP="00FF7EBB">
            <w:pPr>
              <w:jc w:val="both"/>
              <w:rPr>
                <w:b/>
                <w:sz w:val="24"/>
                <w:szCs w:val="24"/>
              </w:rPr>
            </w:pPr>
          </w:p>
          <w:p w14:paraId="5DB70486" w14:textId="77777777" w:rsidR="003D177B" w:rsidRPr="008B28E7" w:rsidRDefault="004923DA" w:rsidP="003D177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Work Address: </w:t>
            </w:r>
            <w:r w:rsidR="003D177B">
              <w:rPr>
                <w:b/>
                <w:sz w:val="24"/>
                <w:szCs w:val="24"/>
              </w:rPr>
              <w:t>Russell house, Churton Road, Rhyl LL18 3DP</w:t>
            </w:r>
          </w:p>
          <w:p w14:paraId="1AC8522D" w14:textId="6FAFB4FD" w:rsidR="004923DA" w:rsidRDefault="004923DA" w:rsidP="00FF7EBB">
            <w:pPr>
              <w:jc w:val="both"/>
              <w:rPr>
                <w:b/>
                <w:sz w:val="24"/>
                <w:szCs w:val="24"/>
              </w:rPr>
            </w:pP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8E69217" w:rsidR="004923DA" w:rsidRPr="008B28E7" w:rsidRDefault="004923DA" w:rsidP="00FF7EBB">
            <w:pPr>
              <w:jc w:val="both"/>
              <w:rPr>
                <w:b/>
                <w:sz w:val="24"/>
                <w:szCs w:val="24"/>
              </w:rPr>
            </w:pPr>
            <w:r w:rsidRPr="008B28E7">
              <w:rPr>
                <w:b/>
                <w:sz w:val="24"/>
                <w:szCs w:val="24"/>
              </w:rPr>
              <w:t>Professional Qualification and date of qualification:</w:t>
            </w:r>
            <w:r w:rsidR="003D177B">
              <w:rPr>
                <w:b/>
                <w:sz w:val="24"/>
                <w:szCs w:val="24"/>
              </w:rPr>
              <w:t xml:space="preserve"> Social work degree, qualified in </w:t>
            </w:r>
            <w:r w:rsidR="003B44DA">
              <w:rPr>
                <w:b/>
                <w:sz w:val="24"/>
                <w:szCs w:val="24"/>
              </w:rPr>
              <w:t xml:space="preserve">2006. </w:t>
            </w:r>
          </w:p>
          <w:p w14:paraId="5F68A3CF" w14:textId="77777777" w:rsidR="004923DA" w:rsidRDefault="004923DA" w:rsidP="00FF7EBB">
            <w:pPr>
              <w:jc w:val="both"/>
              <w:rPr>
                <w:b/>
                <w:sz w:val="24"/>
                <w:szCs w:val="24"/>
              </w:rPr>
            </w:pPr>
          </w:p>
          <w:p w14:paraId="4C6113F1" w14:textId="577811B5" w:rsidR="004923DA" w:rsidRDefault="009D59C2" w:rsidP="00FF7EBB">
            <w:pPr>
              <w:jc w:val="both"/>
              <w:rPr>
                <w:b/>
                <w:sz w:val="24"/>
                <w:szCs w:val="24"/>
              </w:rPr>
            </w:pPr>
            <w:r>
              <w:rPr>
                <w:b/>
                <w:sz w:val="24"/>
                <w:szCs w:val="24"/>
              </w:rPr>
              <w:t>T</w:t>
            </w:r>
            <w:r w:rsidR="004923DA" w:rsidRPr="008B28E7">
              <w:rPr>
                <w:b/>
                <w:sz w:val="24"/>
                <w:szCs w:val="24"/>
              </w:rPr>
              <w:t>elephone number:</w:t>
            </w:r>
            <w:r w:rsidR="003D177B">
              <w:rPr>
                <w:b/>
                <w:sz w:val="24"/>
                <w:szCs w:val="24"/>
              </w:rPr>
              <w:t xml:space="preserve"> </w:t>
            </w:r>
            <w:bookmarkStart w:id="1" w:name="_GoBack"/>
            <w:r w:rsidR="003D177B" w:rsidRPr="006D3FD3">
              <w:rPr>
                <w:b/>
                <w:sz w:val="24"/>
              </w:rPr>
              <w:t>01824 708373</w:t>
            </w:r>
            <w:bookmarkEnd w:id="1"/>
          </w:p>
          <w:p w14:paraId="0BB87919" w14:textId="548A11EF" w:rsidR="009D59C2" w:rsidRDefault="009D59C2" w:rsidP="00FF7EBB">
            <w:pPr>
              <w:jc w:val="both"/>
              <w:rPr>
                <w:b/>
                <w:sz w:val="24"/>
                <w:szCs w:val="24"/>
              </w:rPr>
            </w:pPr>
          </w:p>
          <w:p w14:paraId="4FDEE73F" w14:textId="63DFE827" w:rsidR="009D59C2" w:rsidRPr="008B28E7" w:rsidRDefault="009D59C2" w:rsidP="00FF7EBB">
            <w:pPr>
              <w:jc w:val="both"/>
              <w:rPr>
                <w:b/>
                <w:sz w:val="24"/>
                <w:szCs w:val="24"/>
              </w:rPr>
            </w:pPr>
            <w:r>
              <w:rPr>
                <w:b/>
                <w:sz w:val="24"/>
                <w:szCs w:val="24"/>
              </w:rPr>
              <w:t>Email address:</w:t>
            </w:r>
            <w:r w:rsidR="003D177B">
              <w:rPr>
                <w:b/>
                <w:sz w:val="24"/>
                <w:szCs w:val="24"/>
              </w:rPr>
              <w:t xml:space="preserve"> </w:t>
            </w:r>
            <w:r w:rsidR="003D177B" w:rsidRPr="00015617">
              <w:rPr>
                <w:b/>
                <w:sz w:val="24"/>
                <w:szCs w:val="24"/>
              </w:rPr>
              <w:t>Virginia.Brownsett@denbighshire.gov.uk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0FCEE2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331384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lastRenderedPageBreak/>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B19F0F7" w:rsidR="00986C0B" w:rsidRPr="00DA5682" w:rsidRDefault="003D177B">
            <w:pPr>
              <w:rPr>
                <w:sz w:val="24"/>
                <w:szCs w:val="24"/>
              </w:rPr>
            </w:pPr>
            <w:r>
              <w:rPr>
                <w:sz w:val="24"/>
                <w:szCs w:val="24"/>
              </w:rPr>
              <w:t>Mollie Snape</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262A089B" w:rsidR="00986C0B" w:rsidRPr="00DA5682" w:rsidRDefault="003D177B">
            <w:pPr>
              <w:rPr>
                <w:sz w:val="24"/>
                <w:szCs w:val="24"/>
              </w:rPr>
            </w:pPr>
            <w:r>
              <w:rPr>
                <w:sz w:val="24"/>
                <w:szCs w:val="24"/>
              </w:rPr>
              <w:t>14+ Team, Denbighshire children’s Services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521A22B" w:rsidR="00986C0B" w:rsidRPr="00DA5682" w:rsidRDefault="003D177B">
            <w:pPr>
              <w:rPr>
                <w:sz w:val="24"/>
                <w:szCs w:val="24"/>
              </w:rPr>
            </w:pPr>
            <w:r>
              <w:rPr>
                <w:sz w:val="24"/>
                <w:szCs w:val="24"/>
              </w:rPr>
              <w:t>Virginia Brownsett</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AD22F96" w:rsidR="00986C0B" w:rsidRPr="00DA5682" w:rsidRDefault="003D177B">
            <w:pPr>
              <w:rPr>
                <w:sz w:val="24"/>
                <w:szCs w:val="24"/>
              </w:rPr>
            </w:pPr>
            <w:r>
              <w:rPr>
                <w:sz w:val="24"/>
                <w:szCs w:val="24"/>
              </w:rPr>
              <w:t>Julie Lavin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r w:rsidRPr="00DA5682">
        <w:rPr>
          <w:sz w:val="24"/>
          <w:szCs w:val="24"/>
        </w:rPr>
        <w:t xml:space="preserve">Signed:……………………….. Print Name:…………………………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DF4F27">
      <w:headerReference w:type="even" r:id="rId14"/>
      <w:headerReference w:type="default" r:id="rId15"/>
      <w:footerReference w:type="default" r:id="rId16"/>
      <w:headerReference w:type="first" r:id="rId17"/>
      <w:pgSz w:w="12240" w:h="15840"/>
      <w:pgMar w:top="1440" w:right="1080" w:bottom="1440" w:left="1080" w:header="216"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9D1D7B" w:rsidRDefault="009D1D7B">
      <w:r>
        <w:separator/>
      </w:r>
    </w:p>
  </w:endnote>
  <w:endnote w:type="continuationSeparator" w:id="0">
    <w:p w14:paraId="66F4E6C3" w14:textId="77777777" w:rsidR="009D1D7B" w:rsidRDefault="009D1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9B5CBD4" w:rsidR="009D1D7B" w:rsidRDefault="009D1D7B">
    <w:pPr>
      <w:pStyle w:val="Footer"/>
      <w:jc w:val="right"/>
    </w:pPr>
    <w:r>
      <w:fldChar w:fldCharType="begin"/>
    </w:r>
    <w:r>
      <w:instrText xml:space="preserve"> PAGE   \* MERGEFORMAT </w:instrText>
    </w:r>
    <w:r>
      <w:fldChar w:fldCharType="separate"/>
    </w:r>
    <w:r w:rsidR="006D3FD3">
      <w:rPr>
        <w:noProof/>
      </w:rPr>
      <w:t>1</w:t>
    </w:r>
    <w:r>
      <w:rPr>
        <w:noProof/>
      </w:rPr>
      <w:fldChar w:fldCharType="end"/>
    </w:r>
  </w:p>
  <w:p w14:paraId="5CA2AEEC" w14:textId="77777777" w:rsidR="009D1D7B" w:rsidRPr="00E60F42" w:rsidRDefault="009D1D7B"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9D1D7B" w:rsidRDefault="009D1D7B">
      <w:r>
        <w:separator/>
      </w:r>
    </w:p>
  </w:footnote>
  <w:footnote w:type="continuationSeparator" w:id="0">
    <w:p w14:paraId="62146FDA" w14:textId="77777777" w:rsidR="009D1D7B" w:rsidRDefault="009D1D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B868A" w14:textId="692EEFA3" w:rsidR="009D1D7B" w:rsidRDefault="006D3FD3" w:rsidP="002E6DFC">
    <w:pPr>
      <w:pStyle w:val="EgressHeaderStyleOfficialSensitiveLabel"/>
      <w:tabs>
        <w:tab w:val="center" w:pos="4320"/>
        <w:tab w:val="right" w:pos="8640"/>
        <w:tab w:val="left" w:pos="9360"/>
        <w:tab w:val="left" w:pos="10080"/>
      </w:tabs>
    </w:pPr>
    <w:r>
      <w:fldChar w:fldCharType="begin"/>
    </w:r>
    <w:r>
      <w:instrText xml:space="preserve"> DOCPROPERTY SW-CLASSIFY-HEADER \* MERGEFORMAT </w:instrText>
    </w:r>
    <w:r>
      <w:fldChar w:fldCharType="separate"/>
    </w:r>
    <w:r w:rsidR="003B44DA">
      <w:t>SWYDDOGOL-SENSITIF / OFFICIAL-SENSITIVE</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5E3F2" w14:textId="137DCE0F" w:rsidR="009D1D7B" w:rsidRDefault="006D3FD3" w:rsidP="002E6DFC">
    <w:pPr>
      <w:pStyle w:val="EgressHeaderStyleOfficialSensitiveLabel"/>
      <w:tabs>
        <w:tab w:val="center" w:pos="4320"/>
        <w:tab w:val="right" w:pos="8640"/>
        <w:tab w:val="left" w:pos="9360"/>
        <w:tab w:val="left" w:pos="10080"/>
      </w:tabs>
    </w:pPr>
    <w:r>
      <w:fldChar w:fldCharType="begin"/>
    </w:r>
    <w:r>
      <w:instrText xml:space="preserve"> DOCPROPERTY SW-CLASSIFY-HEADER \* MERGEFORMAT </w:instrText>
    </w:r>
    <w:r>
      <w:fldChar w:fldCharType="separate"/>
    </w:r>
    <w:r w:rsidR="003B44DA">
      <w:t>SWYDDOGOL-SENSITIF / OFFICIAL-SENSITIVE</w:t>
    </w:r>
    <w:r>
      <w:fldChar w:fldCharType="end"/>
    </w:r>
  </w:p>
  <w:p w14:paraId="2053128E" w14:textId="68D63396" w:rsidR="009D1D7B" w:rsidRDefault="009D1D7B" w:rsidP="002E6DFC">
    <w:pPr>
      <w:pStyle w:val="Header"/>
      <w:tabs>
        <w:tab w:val="left" w:pos="9360"/>
        <w:tab w:val="left" w:pos="10080"/>
      </w:tabs>
    </w:pPr>
    <w:r>
      <w:t xml:space="preserve">Version 1_Cohort 15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070C3" w14:textId="078C879A" w:rsidR="009D1D7B" w:rsidRDefault="006D3FD3" w:rsidP="002E6DFC">
    <w:pPr>
      <w:pStyle w:val="EgressHeaderStyleOfficialSensitiveLabel"/>
      <w:tabs>
        <w:tab w:val="center" w:pos="4320"/>
        <w:tab w:val="right" w:pos="8640"/>
        <w:tab w:val="left" w:pos="9360"/>
        <w:tab w:val="left" w:pos="10080"/>
      </w:tabs>
    </w:pPr>
    <w:r>
      <w:fldChar w:fldCharType="begin"/>
    </w:r>
    <w:r>
      <w:instrText xml:space="preserve"> DOCPROPERTY SW-CLASSIFY-HEADER \* MERGEFORMAT </w:instrText>
    </w:r>
    <w:r>
      <w:fldChar w:fldCharType="separate"/>
    </w:r>
    <w:r w:rsidR="003B44DA">
      <w:t>SWYDDOGOL-SENSITIF / OFFICIAL-SENSITIVE</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C36D6"/>
    <w:multiLevelType w:val="hybridMultilevel"/>
    <w:tmpl w:val="7C343D8A"/>
    <w:lvl w:ilvl="0" w:tplc="D2C443E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8"/>
  </w:num>
  <w:num w:numId="12">
    <w:abstractNumId w:val="17"/>
  </w:num>
  <w:num w:numId="13">
    <w:abstractNumId w:val="28"/>
  </w:num>
  <w:num w:numId="14">
    <w:abstractNumId w:val="8"/>
  </w:num>
  <w:num w:numId="15">
    <w:abstractNumId w:val="27"/>
  </w:num>
  <w:num w:numId="16">
    <w:abstractNumId w:val="16"/>
  </w:num>
  <w:num w:numId="17">
    <w:abstractNumId w:val="14"/>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29"/>
  </w:num>
  <w:num w:numId="24">
    <w:abstractNumId w:val="20"/>
  </w:num>
  <w:num w:numId="25">
    <w:abstractNumId w:val="42"/>
  </w:num>
  <w:num w:numId="26">
    <w:abstractNumId w:val="36"/>
  </w:num>
  <w:num w:numId="27">
    <w:abstractNumId w:val="41"/>
  </w:num>
  <w:num w:numId="28">
    <w:abstractNumId w:val="21"/>
  </w:num>
  <w:num w:numId="29">
    <w:abstractNumId w:val="44"/>
  </w:num>
  <w:num w:numId="30">
    <w:abstractNumId w:val="32"/>
  </w:num>
  <w:num w:numId="31">
    <w:abstractNumId w:val="13"/>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6"/>
  </w:num>
  <w:num w:numId="42">
    <w:abstractNumId w:val="7"/>
  </w:num>
  <w:num w:numId="43">
    <w:abstractNumId w:val="3"/>
  </w:num>
  <w:num w:numId="44">
    <w:abstractNumId w:val="39"/>
  </w:num>
  <w:num w:numId="45">
    <w:abstractNumId w:val="0"/>
  </w:num>
  <w:num w:numId="46">
    <w:abstractNumId w:val="15"/>
  </w:num>
  <w:num w:numId="47">
    <w:abstractNumId w:val="49"/>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29"/>
  </w:num>
  <w:num w:numId="51">
    <w:abstractNumId w:val="25"/>
  </w:num>
  <w:num w:numId="52">
    <w:abstractNumId w:val="22"/>
  </w:num>
  <w:num w:numId="53">
    <w:abstractNumId w:val="2"/>
  </w:num>
  <w:num w:numId="54">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0F7"/>
    <w:rsid w:val="0000138E"/>
    <w:rsid w:val="00002C7A"/>
    <w:rsid w:val="000045B8"/>
    <w:rsid w:val="00012B16"/>
    <w:rsid w:val="00015617"/>
    <w:rsid w:val="00020EEC"/>
    <w:rsid w:val="0002440E"/>
    <w:rsid w:val="0002759A"/>
    <w:rsid w:val="00027B1F"/>
    <w:rsid w:val="0003088B"/>
    <w:rsid w:val="000325D9"/>
    <w:rsid w:val="000372B2"/>
    <w:rsid w:val="0004079F"/>
    <w:rsid w:val="00043543"/>
    <w:rsid w:val="00044373"/>
    <w:rsid w:val="00045B87"/>
    <w:rsid w:val="00045C07"/>
    <w:rsid w:val="00045C40"/>
    <w:rsid w:val="00046861"/>
    <w:rsid w:val="00054A07"/>
    <w:rsid w:val="00055D43"/>
    <w:rsid w:val="00056FAC"/>
    <w:rsid w:val="00057751"/>
    <w:rsid w:val="00062E39"/>
    <w:rsid w:val="00064063"/>
    <w:rsid w:val="0006581A"/>
    <w:rsid w:val="00070767"/>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0176"/>
    <w:rsid w:val="000C378F"/>
    <w:rsid w:val="000C6892"/>
    <w:rsid w:val="000C6FFE"/>
    <w:rsid w:val="000D0BB6"/>
    <w:rsid w:val="000D2ED2"/>
    <w:rsid w:val="000D6653"/>
    <w:rsid w:val="000E0D51"/>
    <w:rsid w:val="000E26B0"/>
    <w:rsid w:val="000E37C2"/>
    <w:rsid w:val="000E38C3"/>
    <w:rsid w:val="000F1599"/>
    <w:rsid w:val="000F1769"/>
    <w:rsid w:val="000F42AE"/>
    <w:rsid w:val="000F6196"/>
    <w:rsid w:val="000F6BC3"/>
    <w:rsid w:val="0010312C"/>
    <w:rsid w:val="0010662B"/>
    <w:rsid w:val="00106DC7"/>
    <w:rsid w:val="00112391"/>
    <w:rsid w:val="00114F52"/>
    <w:rsid w:val="001241AE"/>
    <w:rsid w:val="00125BE7"/>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71D1"/>
    <w:rsid w:val="002019EB"/>
    <w:rsid w:val="00204B58"/>
    <w:rsid w:val="00205051"/>
    <w:rsid w:val="00211F65"/>
    <w:rsid w:val="00214047"/>
    <w:rsid w:val="00216563"/>
    <w:rsid w:val="0021792F"/>
    <w:rsid w:val="00217CC9"/>
    <w:rsid w:val="00220D06"/>
    <w:rsid w:val="00223126"/>
    <w:rsid w:val="002246A0"/>
    <w:rsid w:val="00226BF1"/>
    <w:rsid w:val="00230439"/>
    <w:rsid w:val="00232A09"/>
    <w:rsid w:val="00235176"/>
    <w:rsid w:val="00236061"/>
    <w:rsid w:val="0024100E"/>
    <w:rsid w:val="00241C1B"/>
    <w:rsid w:val="0024288B"/>
    <w:rsid w:val="00243DB0"/>
    <w:rsid w:val="00260663"/>
    <w:rsid w:val="002657E9"/>
    <w:rsid w:val="0026665E"/>
    <w:rsid w:val="00267C3B"/>
    <w:rsid w:val="0027147E"/>
    <w:rsid w:val="00272A8F"/>
    <w:rsid w:val="00275BAF"/>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12DD"/>
    <w:rsid w:val="002C2536"/>
    <w:rsid w:val="002C256A"/>
    <w:rsid w:val="002C3031"/>
    <w:rsid w:val="002C4233"/>
    <w:rsid w:val="002C496D"/>
    <w:rsid w:val="002D05EB"/>
    <w:rsid w:val="002D11A8"/>
    <w:rsid w:val="002D2F29"/>
    <w:rsid w:val="002D46C0"/>
    <w:rsid w:val="002D65D2"/>
    <w:rsid w:val="002D6B31"/>
    <w:rsid w:val="002E6D17"/>
    <w:rsid w:val="002E6DFC"/>
    <w:rsid w:val="002E7017"/>
    <w:rsid w:val="002E7F2C"/>
    <w:rsid w:val="002F1FC7"/>
    <w:rsid w:val="002F2185"/>
    <w:rsid w:val="002F4F6E"/>
    <w:rsid w:val="002F6D90"/>
    <w:rsid w:val="003015C3"/>
    <w:rsid w:val="003106DB"/>
    <w:rsid w:val="0031350A"/>
    <w:rsid w:val="00316815"/>
    <w:rsid w:val="003168CA"/>
    <w:rsid w:val="00321255"/>
    <w:rsid w:val="0032230D"/>
    <w:rsid w:val="00322A0B"/>
    <w:rsid w:val="00324BDB"/>
    <w:rsid w:val="00325D5A"/>
    <w:rsid w:val="00326DB6"/>
    <w:rsid w:val="00330881"/>
    <w:rsid w:val="00331CD2"/>
    <w:rsid w:val="00332426"/>
    <w:rsid w:val="00335C41"/>
    <w:rsid w:val="00335FC5"/>
    <w:rsid w:val="0033771E"/>
    <w:rsid w:val="00337FEF"/>
    <w:rsid w:val="00354B6D"/>
    <w:rsid w:val="00355210"/>
    <w:rsid w:val="00355CFD"/>
    <w:rsid w:val="00365DF9"/>
    <w:rsid w:val="0037066E"/>
    <w:rsid w:val="00372DB4"/>
    <w:rsid w:val="003730E6"/>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49E8"/>
    <w:rsid w:val="003A600E"/>
    <w:rsid w:val="003A6513"/>
    <w:rsid w:val="003B16C7"/>
    <w:rsid w:val="003B3115"/>
    <w:rsid w:val="003B44DA"/>
    <w:rsid w:val="003C19F1"/>
    <w:rsid w:val="003C3C67"/>
    <w:rsid w:val="003C4186"/>
    <w:rsid w:val="003C6185"/>
    <w:rsid w:val="003D0D2D"/>
    <w:rsid w:val="003D177B"/>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5316"/>
    <w:rsid w:val="00450B67"/>
    <w:rsid w:val="00451851"/>
    <w:rsid w:val="0045189A"/>
    <w:rsid w:val="00453343"/>
    <w:rsid w:val="004538C3"/>
    <w:rsid w:val="004608B9"/>
    <w:rsid w:val="00462A4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A7DAD"/>
    <w:rsid w:val="004B5553"/>
    <w:rsid w:val="004B600B"/>
    <w:rsid w:val="004B65D6"/>
    <w:rsid w:val="004B6822"/>
    <w:rsid w:val="004B69F6"/>
    <w:rsid w:val="004C2D3A"/>
    <w:rsid w:val="004D03C4"/>
    <w:rsid w:val="004D0BF1"/>
    <w:rsid w:val="004D0F4E"/>
    <w:rsid w:val="004D3278"/>
    <w:rsid w:val="004D35A4"/>
    <w:rsid w:val="004D445F"/>
    <w:rsid w:val="004E087B"/>
    <w:rsid w:val="004E44A4"/>
    <w:rsid w:val="004E457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5D81"/>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063"/>
    <w:rsid w:val="00674FC2"/>
    <w:rsid w:val="00676E35"/>
    <w:rsid w:val="00677E42"/>
    <w:rsid w:val="00682334"/>
    <w:rsid w:val="00683FA1"/>
    <w:rsid w:val="00684732"/>
    <w:rsid w:val="00684B16"/>
    <w:rsid w:val="00687016"/>
    <w:rsid w:val="006872A0"/>
    <w:rsid w:val="00695232"/>
    <w:rsid w:val="0069625A"/>
    <w:rsid w:val="00696A88"/>
    <w:rsid w:val="00696F65"/>
    <w:rsid w:val="00697572"/>
    <w:rsid w:val="006A401C"/>
    <w:rsid w:val="006B4496"/>
    <w:rsid w:val="006B5E67"/>
    <w:rsid w:val="006B6612"/>
    <w:rsid w:val="006C2EB5"/>
    <w:rsid w:val="006D18A3"/>
    <w:rsid w:val="006D3FD3"/>
    <w:rsid w:val="006D5970"/>
    <w:rsid w:val="006E481E"/>
    <w:rsid w:val="006E7232"/>
    <w:rsid w:val="006E795F"/>
    <w:rsid w:val="006F0862"/>
    <w:rsid w:val="006F1438"/>
    <w:rsid w:val="006F2A9E"/>
    <w:rsid w:val="006F5ED3"/>
    <w:rsid w:val="007000DD"/>
    <w:rsid w:val="00700249"/>
    <w:rsid w:val="007069CD"/>
    <w:rsid w:val="00706BB5"/>
    <w:rsid w:val="007072EF"/>
    <w:rsid w:val="0071231A"/>
    <w:rsid w:val="00712E90"/>
    <w:rsid w:val="00713B7E"/>
    <w:rsid w:val="0072678F"/>
    <w:rsid w:val="007276E5"/>
    <w:rsid w:val="00727C4C"/>
    <w:rsid w:val="00732CAA"/>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50CF"/>
    <w:rsid w:val="007710AD"/>
    <w:rsid w:val="00772924"/>
    <w:rsid w:val="0078112D"/>
    <w:rsid w:val="007872F2"/>
    <w:rsid w:val="007873F9"/>
    <w:rsid w:val="007908E0"/>
    <w:rsid w:val="007935C6"/>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2169"/>
    <w:rsid w:val="007D3EB4"/>
    <w:rsid w:val="007D3F16"/>
    <w:rsid w:val="007E5363"/>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495"/>
    <w:rsid w:val="00861038"/>
    <w:rsid w:val="00863FAD"/>
    <w:rsid w:val="00865B58"/>
    <w:rsid w:val="00866B50"/>
    <w:rsid w:val="00867550"/>
    <w:rsid w:val="00867A63"/>
    <w:rsid w:val="008708F1"/>
    <w:rsid w:val="00871960"/>
    <w:rsid w:val="0087369F"/>
    <w:rsid w:val="00880539"/>
    <w:rsid w:val="008859E8"/>
    <w:rsid w:val="0088737B"/>
    <w:rsid w:val="00891078"/>
    <w:rsid w:val="00892716"/>
    <w:rsid w:val="00893067"/>
    <w:rsid w:val="008933DE"/>
    <w:rsid w:val="00895FCE"/>
    <w:rsid w:val="0089617F"/>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3B66"/>
    <w:rsid w:val="008E5A35"/>
    <w:rsid w:val="008F127E"/>
    <w:rsid w:val="008F32D9"/>
    <w:rsid w:val="00902A65"/>
    <w:rsid w:val="00903932"/>
    <w:rsid w:val="009079BD"/>
    <w:rsid w:val="00912BD9"/>
    <w:rsid w:val="00916FB2"/>
    <w:rsid w:val="00920E5B"/>
    <w:rsid w:val="00926436"/>
    <w:rsid w:val="00926C53"/>
    <w:rsid w:val="0093018C"/>
    <w:rsid w:val="0094495F"/>
    <w:rsid w:val="0095435D"/>
    <w:rsid w:val="009544C0"/>
    <w:rsid w:val="00954FA4"/>
    <w:rsid w:val="00956AE9"/>
    <w:rsid w:val="00964CC6"/>
    <w:rsid w:val="00967BFA"/>
    <w:rsid w:val="0098262C"/>
    <w:rsid w:val="00983A56"/>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53E7"/>
    <w:rsid w:val="009C6092"/>
    <w:rsid w:val="009C7342"/>
    <w:rsid w:val="009D1D7B"/>
    <w:rsid w:val="009D4365"/>
    <w:rsid w:val="009D477B"/>
    <w:rsid w:val="009D4E3B"/>
    <w:rsid w:val="009D59C2"/>
    <w:rsid w:val="009D61B3"/>
    <w:rsid w:val="009D7BC9"/>
    <w:rsid w:val="009E122F"/>
    <w:rsid w:val="009E1982"/>
    <w:rsid w:val="009E4D2C"/>
    <w:rsid w:val="009F0978"/>
    <w:rsid w:val="009F3AEC"/>
    <w:rsid w:val="009F6801"/>
    <w:rsid w:val="00A00081"/>
    <w:rsid w:val="00A023F4"/>
    <w:rsid w:val="00A06422"/>
    <w:rsid w:val="00A10D56"/>
    <w:rsid w:val="00A12AAE"/>
    <w:rsid w:val="00A12F22"/>
    <w:rsid w:val="00A16DD1"/>
    <w:rsid w:val="00A22441"/>
    <w:rsid w:val="00A23F3B"/>
    <w:rsid w:val="00A24406"/>
    <w:rsid w:val="00A25F64"/>
    <w:rsid w:val="00A275F6"/>
    <w:rsid w:val="00A303B9"/>
    <w:rsid w:val="00A334DD"/>
    <w:rsid w:val="00A37416"/>
    <w:rsid w:val="00A40ED6"/>
    <w:rsid w:val="00A47621"/>
    <w:rsid w:val="00A479CD"/>
    <w:rsid w:val="00A50CFC"/>
    <w:rsid w:val="00A51B80"/>
    <w:rsid w:val="00A54D67"/>
    <w:rsid w:val="00A55A3F"/>
    <w:rsid w:val="00A5656A"/>
    <w:rsid w:val="00A60103"/>
    <w:rsid w:val="00A652F6"/>
    <w:rsid w:val="00A65861"/>
    <w:rsid w:val="00A70ADA"/>
    <w:rsid w:val="00A732EA"/>
    <w:rsid w:val="00A7489E"/>
    <w:rsid w:val="00A8015F"/>
    <w:rsid w:val="00A85039"/>
    <w:rsid w:val="00A90578"/>
    <w:rsid w:val="00A906AA"/>
    <w:rsid w:val="00A90BCD"/>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484E"/>
    <w:rsid w:val="00B558EB"/>
    <w:rsid w:val="00B577D3"/>
    <w:rsid w:val="00B60466"/>
    <w:rsid w:val="00B6548F"/>
    <w:rsid w:val="00B71A32"/>
    <w:rsid w:val="00B7502A"/>
    <w:rsid w:val="00B77305"/>
    <w:rsid w:val="00B774BD"/>
    <w:rsid w:val="00B82CC2"/>
    <w:rsid w:val="00B84A89"/>
    <w:rsid w:val="00B9256C"/>
    <w:rsid w:val="00B92BEF"/>
    <w:rsid w:val="00B94443"/>
    <w:rsid w:val="00B9480E"/>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9EB"/>
    <w:rsid w:val="00BD30B1"/>
    <w:rsid w:val="00BE0F7B"/>
    <w:rsid w:val="00BE10C2"/>
    <w:rsid w:val="00BF0D6C"/>
    <w:rsid w:val="00C01D14"/>
    <w:rsid w:val="00C01D97"/>
    <w:rsid w:val="00C025B4"/>
    <w:rsid w:val="00C029EC"/>
    <w:rsid w:val="00C05D65"/>
    <w:rsid w:val="00C0781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0CCF"/>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0568"/>
    <w:rsid w:val="00CF2F8A"/>
    <w:rsid w:val="00CF3DB3"/>
    <w:rsid w:val="00D0274B"/>
    <w:rsid w:val="00D0503D"/>
    <w:rsid w:val="00D052BC"/>
    <w:rsid w:val="00D07026"/>
    <w:rsid w:val="00D146AE"/>
    <w:rsid w:val="00D22C8F"/>
    <w:rsid w:val="00D3203C"/>
    <w:rsid w:val="00D33491"/>
    <w:rsid w:val="00D3442D"/>
    <w:rsid w:val="00D36F00"/>
    <w:rsid w:val="00D41251"/>
    <w:rsid w:val="00D44B67"/>
    <w:rsid w:val="00D44F8E"/>
    <w:rsid w:val="00D51FD5"/>
    <w:rsid w:val="00D53AE4"/>
    <w:rsid w:val="00D55DE0"/>
    <w:rsid w:val="00D607EF"/>
    <w:rsid w:val="00D60F88"/>
    <w:rsid w:val="00D646BD"/>
    <w:rsid w:val="00D65558"/>
    <w:rsid w:val="00D71201"/>
    <w:rsid w:val="00D720C7"/>
    <w:rsid w:val="00D84841"/>
    <w:rsid w:val="00D876E6"/>
    <w:rsid w:val="00D90958"/>
    <w:rsid w:val="00D938DF"/>
    <w:rsid w:val="00DA1025"/>
    <w:rsid w:val="00DA22EC"/>
    <w:rsid w:val="00DA2669"/>
    <w:rsid w:val="00DA5682"/>
    <w:rsid w:val="00DA5860"/>
    <w:rsid w:val="00DA5C0C"/>
    <w:rsid w:val="00DB2767"/>
    <w:rsid w:val="00DC1B10"/>
    <w:rsid w:val="00DC2924"/>
    <w:rsid w:val="00DC4729"/>
    <w:rsid w:val="00DD31C5"/>
    <w:rsid w:val="00DD5020"/>
    <w:rsid w:val="00DD63BE"/>
    <w:rsid w:val="00DE4296"/>
    <w:rsid w:val="00DF1263"/>
    <w:rsid w:val="00DF2469"/>
    <w:rsid w:val="00DF4F27"/>
    <w:rsid w:val="00DF7899"/>
    <w:rsid w:val="00E0524C"/>
    <w:rsid w:val="00E15751"/>
    <w:rsid w:val="00E17160"/>
    <w:rsid w:val="00E17D41"/>
    <w:rsid w:val="00E2070B"/>
    <w:rsid w:val="00E231D1"/>
    <w:rsid w:val="00E3288D"/>
    <w:rsid w:val="00E35112"/>
    <w:rsid w:val="00E35BEC"/>
    <w:rsid w:val="00E41A6A"/>
    <w:rsid w:val="00E50821"/>
    <w:rsid w:val="00E51F91"/>
    <w:rsid w:val="00E5498A"/>
    <w:rsid w:val="00E559CE"/>
    <w:rsid w:val="00E60F42"/>
    <w:rsid w:val="00E6746C"/>
    <w:rsid w:val="00E7086E"/>
    <w:rsid w:val="00E71248"/>
    <w:rsid w:val="00E71CD6"/>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5E38"/>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392B"/>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635"/>
    <w:rsid w:val="00F709C0"/>
    <w:rsid w:val="00F81FEC"/>
    <w:rsid w:val="00F8404A"/>
    <w:rsid w:val="00F927A1"/>
    <w:rsid w:val="00F92E4D"/>
    <w:rsid w:val="00F95D08"/>
    <w:rsid w:val="00F97419"/>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69FE"/>
    <w:rsid w:val="00FD271B"/>
    <w:rsid w:val="00FD3D7C"/>
    <w:rsid w:val="00FD4F8F"/>
    <w:rsid w:val="00FE0C16"/>
    <w:rsid w:val="00FE14B1"/>
    <w:rsid w:val="00FE4D97"/>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EgressHeaderStyleOfficialSensitiveLabel">
    <w:name w:val="EgressHeaderStyleOfficialSensitiveLabel"/>
    <w:basedOn w:val="Normal"/>
    <w:semiHidden/>
    <w:rsid w:val="002E6DFC"/>
    <w:pPr>
      <w:jc w:val="right"/>
    </w:pPr>
    <w:rPr>
      <w:sz w:val="22"/>
    </w:rPr>
  </w:style>
  <w:style w:type="paragraph" w:customStyle="1" w:styleId="EgressFooterStyleOfficialSensitiveLabel">
    <w:name w:val="EgressFooterStyleOfficialSensitiveLabel"/>
    <w:basedOn w:val="Normal"/>
    <w:semiHidden/>
    <w:rsid w:val="002E6DFC"/>
    <w:pPr>
      <w:jc w:val="center"/>
    </w:pPr>
    <w:rPr>
      <w:rFonts w:ascii="Calibri" w:hAnsi="Calibri" w:cs="Calibri"/>
      <w:sz w:val="24"/>
    </w:rPr>
  </w:style>
  <w:style w:type="character" w:styleId="Emphasis">
    <w:name w:val="Emphasis"/>
    <w:basedOn w:val="DefaultParagraphFont"/>
    <w:uiPriority w:val="20"/>
    <w:qFormat/>
    <w:rsid w:val="007935C6"/>
    <w:rPr>
      <w:i/>
      <w:iCs/>
    </w:rPr>
  </w:style>
  <w:style w:type="paragraph" w:styleId="ListParagraph">
    <w:name w:val="List Paragraph"/>
    <w:basedOn w:val="Normal"/>
    <w:uiPriority w:val="34"/>
    <w:qFormat/>
    <w:rsid w:val="007E53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3265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486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ulie.lavin@denbighshire.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wales/national-framework-continuing-nhs-healthcar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93/bjsw/bcx12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07CFB3-6362-42AF-9C24-DC05348BB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3863</Words>
  <Characters>23243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Mollie Snape</cp:lastModifiedBy>
  <cp:revision>2</cp:revision>
  <cp:lastPrinted>2023-10-23T08:49:00Z</cp:lastPrinted>
  <dcterms:created xsi:type="dcterms:W3CDTF">2023-10-24T11:24:00Z</dcterms:created>
  <dcterms:modified xsi:type="dcterms:W3CDTF">2023-10-24T11:24:00Z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SW-DOC-ID">
    <vt:lpwstr>3553bda170594093a8073f0e300df525</vt:lpwstr>
  </property>
  <property fmtid="{D5CDD505-2E9C-101B-9397-08002B2CF9AE}" pid="4" name="SW-CACHED-DLP-SCORE">
    <vt:lpwstr/>
  </property>
  <property fmtid="{D5CDD505-2E9C-101B-9397-08002B2CF9AE}" pid="5" name="SW-CACHED-CLASSIFICATION-ID">
    <vt:lpwstr/>
  </property>
  <property fmtid="{D5CDD505-2E9C-101B-9397-08002B2CF9AE}" pid="6" name="SW-CLASSIFICATION-ID">
    <vt:lpwstr>OfficialSensitiveLabel</vt:lpwstr>
  </property>
  <property fmtid="{D5CDD505-2E9C-101B-9397-08002B2CF9AE}" pid="7" name="SW-CLASSIFIED-BY">
    <vt:lpwstr>nia.omarah@conwy.gov.uk</vt:lpwstr>
  </property>
  <property fmtid="{D5CDD505-2E9C-101B-9397-08002B2CF9AE}" pid="8" name="SW-CLASSIFICATION-DATE">
    <vt:lpwstr>2020-03-09T14:42:17.8018666Z</vt:lpwstr>
  </property>
  <property fmtid="{D5CDD505-2E9C-101B-9397-08002B2CF9AE}" pid="9" name="SW-META-DATA">
    <vt:lpwstr>!!!EGSTAMP:6153e670-182e-4ac4-86db-6bc520f0a05b:OfficialSensitiveLabel;S=500;DESCRIPTION=OFFICIAL-SENSITIVE!!!</vt:lpwstr>
  </property>
  <property fmtid="{D5CDD505-2E9C-101B-9397-08002B2CF9AE}" pid="10" name="SW-CLASSIFY-HEADER">
    <vt:lpwstr>SWYDDOGOL-SENSITIF / OFFICIAL-SENSITIVE</vt:lpwstr>
  </property>
  <property fmtid="{D5CDD505-2E9C-101B-9397-08002B2CF9AE}" pid="11" name="SW-CLASSIFY-FOOTER">
    <vt:lpwstr/>
  </property>
  <property fmtid="{D5CDD505-2E9C-101B-9397-08002B2CF9AE}" pid="12" name="SW-CLASSIFY-WATERMARK">
    <vt:lpwstr/>
  </property>
  <property fmtid="{D5CDD505-2E9C-101B-9397-08002B2CF9AE}" pid="13" name="SW-FINGERPRINT">
    <vt:lpwstr>tQt1fhE7fSm5j9WZN7bYO8TNNSKl5l6dRWDDF8CA0hs=</vt:lpwstr>
  </property>
</Properties>
</file>