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4937" w14:textId="77777777" w:rsidR="008F78FB" w:rsidRDefault="008F78FB" w:rsidP="008F78FB">
      <w:pPr>
        <w:rPr>
          <w:rFonts w:ascii="Arial" w:hAnsi="Arial" w:cs="Arial"/>
          <w:b/>
          <w:bCs/>
          <w:sz w:val="22"/>
          <w:szCs w:val="22"/>
        </w:rPr>
      </w:pPr>
    </w:p>
    <w:p w14:paraId="703129DC" w14:textId="10705311" w:rsidR="008F78FB" w:rsidRPr="008F78FB" w:rsidRDefault="008F78FB" w:rsidP="008F78FB">
      <w:pPr>
        <w:pStyle w:val="ListParagraph"/>
        <w:numPr>
          <w:ilvl w:val="0"/>
          <w:numId w:val="10"/>
        </w:numPr>
        <w:rPr>
          <w:rFonts w:ascii="Arial" w:hAnsi="Arial" w:cs="Arial"/>
          <w:b/>
          <w:bCs/>
          <w:sz w:val="22"/>
          <w:szCs w:val="22"/>
        </w:rPr>
      </w:pPr>
      <w:r w:rsidRPr="008F78FB">
        <w:rPr>
          <w:rFonts w:ascii="Arial" w:hAnsi="Arial" w:cs="Arial"/>
          <w:b/>
          <w:bCs/>
          <w:sz w:val="22"/>
          <w:szCs w:val="22"/>
        </w:rPr>
        <w:t>introduction</w:t>
      </w:r>
    </w:p>
    <w:p w14:paraId="35D64262" w14:textId="54810022" w:rsidR="008F78FB" w:rsidRPr="008F78FB" w:rsidRDefault="008F78FB" w:rsidP="008F78FB">
      <w:pPr>
        <w:rPr>
          <w:rFonts w:ascii="Arial" w:hAnsi="Arial" w:cs="Arial"/>
          <w:sz w:val="22"/>
          <w:szCs w:val="22"/>
        </w:rPr>
      </w:pPr>
      <w:r w:rsidRPr="008F78FB">
        <w:rPr>
          <w:rFonts w:ascii="Arial" w:hAnsi="Arial" w:cs="Arial"/>
          <w:b/>
          <w:bCs/>
          <w:sz w:val="22"/>
          <w:szCs w:val="22"/>
        </w:rPr>
        <w:t>Asthma is a chronic inflammatory disorder of the conducting airways</w:t>
      </w:r>
      <w:r w:rsidRPr="008F78FB">
        <w:rPr>
          <w:rFonts w:ascii="Arial" w:hAnsi="Arial" w:cs="Arial"/>
          <w:sz w:val="22"/>
          <w:szCs w:val="22"/>
        </w:rPr>
        <w:t xml:space="preserve"> characterized by bronchial hyperresponsiveness, reversible airflow obstruction, and airway </w:t>
      </w:r>
      <w:r w:rsidRPr="008F78FB">
        <w:rPr>
          <w:rFonts w:ascii="Arial" w:hAnsi="Arial" w:cs="Arial"/>
          <w:sz w:val="22"/>
          <w:szCs w:val="22"/>
        </w:rPr>
        <w:t>remodelling</w:t>
      </w:r>
      <w:r w:rsidRPr="008F78FB">
        <w:rPr>
          <w:rFonts w:ascii="Arial" w:hAnsi="Arial" w:cs="Arial"/>
          <w:sz w:val="22"/>
          <w:szCs w:val="22"/>
        </w:rPr>
        <w:t xml:space="preserve">. Within community clinical practice, managing this condition in adolescents presents unique physiological and psychosocial challenges. During an acute asthma exacerbation, the smooth muscles surrounding the bronchioles undergo severe, spasmodic bronchoconstriction. This is accompanied by mucosal </w:t>
      </w:r>
      <w:proofErr w:type="spellStart"/>
      <w:r w:rsidRPr="008F78FB">
        <w:rPr>
          <w:rFonts w:ascii="Arial" w:hAnsi="Arial" w:cs="Arial"/>
          <w:sz w:val="22"/>
          <w:szCs w:val="22"/>
        </w:rPr>
        <w:t>edema</w:t>
      </w:r>
      <w:proofErr w:type="spellEnd"/>
      <w:r w:rsidRPr="008F78FB">
        <w:rPr>
          <w:rFonts w:ascii="Arial" w:hAnsi="Arial" w:cs="Arial"/>
          <w:sz w:val="22"/>
          <w:szCs w:val="22"/>
        </w:rPr>
        <w:t xml:space="preserve"> and excessive mucus hypersecretion, which markedly narrows the airway lumen and increases airway resistance. The underlying pathophysiology involves a complex interplay of genetic predisposition—such as a family history of atopy or specific gene-environment interactions—and various environmental exposures.</w:t>
      </w:r>
    </w:p>
    <w:p w14:paraId="77BD714E" w14:textId="32328370" w:rsidR="008F78FB" w:rsidRPr="008F78FB" w:rsidRDefault="008F78FB" w:rsidP="008F78FB">
      <w:pPr>
        <w:rPr>
          <w:rFonts w:ascii="Arial" w:hAnsi="Arial" w:cs="Arial"/>
          <w:sz w:val="22"/>
          <w:szCs w:val="22"/>
        </w:rPr>
      </w:pPr>
      <w:r w:rsidRPr="008F78FB">
        <w:rPr>
          <w:rFonts w:ascii="Arial" w:hAnsi="Arial" w:cs="Arial"/>
          <w:sz w:val="22"/>
          <w:szCs w:val="22"/>
        </w:rPr>
        <w:t xml:space="preserve">Primary environmental risk factors include airborne allergens like pollen, dust mites, </w:t>
      </w:r>
      <w:r w:rsidRPr="008F78FB">
        <w:rPr>
          <w:rFonts w:ascii="Arial" w:hAnsi="Arial" w:cs="Arial"/>
          <w:sz w:val="22"/>
          <w:szCs w:val="22"/>
        </w:rPr>
        <w:t>Mold</w:t>
      </w:r>
      <w:r w:rsidRPr="008F78FB">
        <w:rPr>
          <w:rFonts w:ascii="Arial" w:hAnsi="Arial" w:cs="Arial"/>
          <w:sz w:val="22"/>
          <w:szCs w:val="22"/>
        </w:rPr>
        <w:t xml:space="preserve"> spores, and animal dander. Respiratory viral infections, particularly rhinovirus and respiratory syncytial virus (RSV), are major triggers that disrupt the epithelial barrier and provoke acute exacerbations. Furthermore, non-allergic triggers such as cold air, physical exertion, intense psychological stress, and chemical irritants act as substantial drivers of airway reactivity.</w:t>
      </w:r>
    </w:p>
    <w:p w14:paraId="39B0B705" w14:textId="772B72B3" w:rsidR="008F78FB" w:rsidRPr="008F78FB" w:rsidRDefault="008F78FB" w:rsidP="008F78FB">
      <w:pPr>
        <w:rPr>
          <w:rFonts w:ascii="Arial" w:hAnsi="Arial" w:cs="Arial"/>
          <w:sz w:val="22"/>
          <w:szCs w:val="22"/>
        </w:rPr>
      </w:pPr>
      <w:r w:rsidRPr="008F78FB">
        <w:rPr>
          <w:rFonts w:ascii="Arial" w:hAnsi="Arial" w:cs="Arial"/>
          <w:sz w:val="22"/>
          <w:szCs w:val="22"/>
        </w:rPr>
        <w:t xml:space="preserve">In adolescents, lifestyle modifications associated with increasing independence and a desire for peer conformity significantly increase these risks. This developmental stage is characterized by identity exploration and a heightened vulnerability to peer pressure, which frequently manifests as risk-taking </w:t>
      </w:r>
      <w:r w:rsidRPr="008F78FB">
        <w:rPr>
          <w:rFonts w:ascii="Arial" w:hAnsi="Arial" w:cs="Arial"/>
          <w:sz w:val="22"/>
          <w:szCs w:val="22"/>
        </w:rPr>
        <w:t>behaviours</w:t>
      </w:r>
      <w:r w:rsidRPr="008F78FB">
        <w:rPr>
          <w:rFonts w:ascii="Arial" w:hAnsi="Arial" w:cs="Arial"/>
          <w:sz w:val="22"/>
          <w:szCs w:val="22"/>
        </w:rPr>
        <w:t xml:space="preserve">. Active or passive exposure to tobacco smoke and electronic cigarette aerosols introduces fine particulate matter, heavy metals, volatile organic compounds, and chemical irritants directly into the hyperreactive airway tissues. Going out to crowded social venues like bars and clubs further increases their exposure to </w:t>
      </w:r>
      <w:r w:rsidRPr="008F78FB">
        <w:rPr>
          <w:rFonts w:ascii="Arial" w:hAnsi="Arial" w:cs="Arial"/>
          <w:sz w:val="22"/>
          <w:szCs w:val="22"/>
        </w:rPr>
        <w:t>second-hand</w:t>
      </w:r>
      <w:r w:rsidRPr="008F78FB">
        <w:rPr>
          <w:rFonts w:ascii="Arial" w:hAnsi="Arial" w:cs="Arial"/>
          <w:sz w:val="22"/>
          <w:szCs w:val="22"/>
        </w:rPr>
        <w:t xml:space="preserve"> vapor, environmental irritants, and airborne viral pathogens transmitted via close contact. These factors combine to increase the frequency and severity of adolescent exacerbations, making comprehensive clinical education, confidential consultation, and tailored self-management plans essential for this age group.</w:t>
      </w:r>
    </w:p>
    <w:p w14:paraId="4B6A140E" w14:textId="58DC3C7B" w:rsidR="008F78FB" w:rsidRPr="008F78FB" w:rsidRDefault="008F78FB" w:rsidP="008F78FB">
      <w:pPr>
        <w:rPr>
          <w:rFonts w:ascii="Arial" w:hAnsi="Arial" w:cs="Arial"/>
          <w:sz w:val="22"/>
          <w:szCs w:val="22"/>
        </w:rPr>
      </w:pPr>
    </w:p>
    <w:p w14:paraId="3F9043BD"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b) Structure of the Respiratory System and Mechanical Respiration</w:t>
      </w:r>
    </w:p>
    <w:p w14:paraId="1C837DA8" w14:textId="77777777" w:rsidR="008F78FB" w:rsidRPr="008F78FB" w:rsidRDefault="008F78FB" w:rsidP="008F78FB">
      <w:pPr>
        <w:rPr>
          <w:rFonts w:ascii="Arial" w:hAnsi="Arial" w:cs="Arial"/>
          <w:sz w:val="22"/>
          <w:szCs w:val="22"/>
        </w:rPr>
      </w:pPr>
      <w:r w:rsidRPr="008F78FB">
        <w:rPr>
          <w:rFonts w:ascii="Arial" w:hAnsi="Arial" w:cs="Arial"/>
          <w:sz w:val="22"/>
          <w:szCs w:val="22"/>
        </w:rPr>
        <w:t>The human respiratory system is divided structurally into the upper and lower respiratory tracts, and functionally into the conducting and respiratory zones. The upper respiratory tract comprises the nasal cavity, pharynx, and larynx, which function collectively to warm, humidify, and filter inspired air before it reaches delicate lower structures. The lower respiratory tract begins at the trachea, a rigid tube supported by C-shaped hyaline cartilaginous rings, and branches sequentially into the primary, secondary, and tertiary bronchi. These bronchi continue to divide into sub-segmental bronchioles, terminal bronchioles, respiratory bronchioles, alveolar ducts, and finally, alveolar sacs.</w:t>
      </w:r>
    </w:p>
    <w:p w14:paraId="7B786142"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Histologically, the conducting airways are lined with pseudostratified ciliated columnar epithelium containing mucus-secreting goblet cells. This structure forms the mucociliary </w:t>
      </w:r>
      <w:r w:rsidRPr="008F78FB">
        <w:rPr>
          <w:rFonts w:ascii="Arial" w:hAnsi="Arial" w:cs="Arial"/>
          <w:sz w:val="22"/>
          <w:szCs w:val="22"/>
        </w:rPr>
        <w:lastRenderedPageBreak/>
        <w:t>escalator, where coordinated ciliary beating propels trapped foreign particles upward toward the pharynx to be swallowed or expectorated. Cartilaginous support progressively diminishes as the airways branch, completely disappearing at the bronchiolar level, where smooth muscle dominates the wall structure. The conducting zone ends at the terminal bronchioles, serving purely as a low-resistance conduit for airflow, while the respiratory zone begins at the respiratory bronchioles, where gas exchange takes place.</w:t>
      </w:r>
    </w:p>
    <w:p w14:paraId="543808E7" w14:textId="77777777" w:rsidR="008F78FB" w:rsidRPr="008F78FB" w:rsidRDefault="008F78FB" w:rsidP="008F78FB">
      <w:pPr>
        <w:rPr>
          <w:rFonts w:ascii="Arial" w:hAnsi="Arial" w:cs="Arial"/>
          <w:sz w:val="22"/>
          <w:szCs w:val="22"/>
        </w:rPr>
      </w:pPr>
      <w:r w:rsidRPr="008F78FB">
        <w:rPr>
          <w:rFonts w:ascii="Arial" w:hAnsi="Arial" w:cs="Arial"/>
          <w:sz w:val="22"/>
          <w:szCs w:val="22"/>
        </w:rPr>
        <w:t>Mechanical respiration operates via bulk flow driven by pressure gradients between the external atmosphere and the intra-alveolar space, following Boyle’s Law, which states that the pressure of a gas is inversely proportional to its volume at a constant temperature. Inspiration is an active process initiated by the contraction of the primary inspiratory muscles: the diaphragm and the external intercostal muscles. Diaphragmatic contraction flattens the thoracic floor, increasing the vertical dimension of the thoracic cavity. Concurrently, external intercostal contraction elevates the ribs and pushes the sternum anteriorly, increasing the anteroposterior and lateral diameters of the chest wall.</w:t>
      </w:r>
    </w:p>
    <w:p w14:paraId="04BA5D5D"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This structural expansion elevates the thoracic volume, which lowers intrapleural pressure within the pleural cavity (moving from approximately -5 </w:t>
      </w:r>
      <w:proofErr w:type="spellStart"/>
      <w:r w:rsidRPr="008F78FB">
        <w:rPr>
          <w:rFonts w:ascii="Arial" w:hAnsi="Arial" w:cs="Arial"/>
          <w:sz w:val="22"/>
          <w:szCs w:val="22"/>
        </w:rPr>
        <w:t>cmH</w:t>
      </w:r>
      <w:r w:rsidRPr="008F78FB">
        <w:rPr>
          <w:rFonts w:ascii="Cambria Math" w:hAnsi="Cambria Math" w:cs="Cambria Math"/>
          <w:sz w:val="22"/>
          <w:szCs w:val="22"/>
        </w:rPr>
        <w:t>₂</w:t>
      </w:r>
      <w:r w:rsidRPr="008F78FB">
        <w:rPr>
          <w:rFonts w:ascii="Arial" w:hAnsi="Arial" w:cs="Arial"/>
          <w:sz w:val="22"/>
          <w:szCs w:val="22"/>
        </w:rPr>
        <w:t>O</w:t>
      </w:r>
      <w:proofErr w:type="spellEnd"/>
      <w:r w:rsidRPr="008F78FB">
        <w:rPr>
          <w:rFonts w:ascii="Arial" w:hAnsi="Arial" w:cs="Arial"/>
          <w:sz w:val="22"/>
          <w:szCs w:val="22"/>
        </w:rPr>
        <w:t xml:space="preserve"> to -8 </w:t>
      </w:r>
      <w:proofErr w:type="spellStart"/>
      <w:r w:rsidRPr="008F78FB">
        <w:rPr>
          <w:rFonts w:ascii="Arial" w:hAnsi="Arial" w:cs="Arial"/>
          <w:sz w:val="22"/>
          <w:szCs w:val="22"/>
        </w:rPr>
        <w:t>cmH</w:t>
      </w:r>
      <w:r w:rsidRPr="008F78FB">
        <w:rPr>
          <w:rFonts w:ascii="Cambria Math" w:hAnsi="Cambria Math" w:cs="Cambria Math"/>
          <w:sz w:val="22"/>
          <w:szCs w:val="22"/>
        </w:rPr>
        <w:t>₂</w:t>
      </w:r>
      <w:r w:rsidRPr="008F78FB">
        <w:rPr>
          <w:rFonts w:ascii="Arial" w:hAnsi="Arial" w:cs="Arial"/>
          <w:sz w:val="22"/>
          <w:szCs w:val="22"/>
        </w:rPr>
        <w:t>O</w:t>
      </w:r>
      <w:proofErr w:type="spellEnd"/>
      <w:r w:rsidRPr="008F78FB">
        <w:rPr>
          <w:rFonts w:ascii="Arial" w:hAnsi="Arial" w:cs="Arial"/>
          <w:sz w:val="22"/>
          <w:szCs w:val="22"/>
        </w:rPr>
        <w:t>). This negative pressure increases transpulmonary pressure, expanding the elastic lungs and causing intra-alveolar pressure to drop below atmospheric pressure (approximately -1 to -2 mmHg relative to the atmosphere). This pressure gradient draws air down the upper and lower respiratory tracts into the alveoli.</w:t>
      </w:r>
    </w:p>
    <w:p w14:paraId="7C9C6B49" w14:textId="77777777" w:rsidR="008F78FB" w:rsidRPr="008F78FB" w:rsidRDefault="008F78FB" w:rsidP="008F78FB">
      <w:pPr>
        <w:rPr>
          <w:rFonts w:ascii="Arial" w:hAnsi="Arial" w:cs="Arial"/>
          <w:sz w:val="22"/>
          <w:szCs w:val="22"/>
        </w:rPr>
      </w:pPr>
      <w:r w:rsidRPr="008F78FB">
        <w:rPr>
          <w:rFonts w:ascii="Arial" w:hAnsi="Arial" w:cs="Arial"/>
          <w:sz w:val="22"/>
          <w:szCs w:val="22"/>
        </w:rPr>
        <w:t>In contrast, expiration during quiet breathing is a passive process resulting from the elastic recoil of the lungs and the relaxation of the inspiratory muscles. As the diaphragm and external intercostals relax, the thoracic cavity volume decreases, causing intra-alveolar pressure to rise above atmospheric level, forcing air out. During forced expiration, or during acute asthma attacks where airway resistance is high, accessory respiratory muscles—including the internal intercostals, rectus abdominis, and internal/external oblique muscles—actively contract to rapidly compress the thoracic cage, elevate intra-abdominal pressure, and accelerate exhalation against obstruction.</w:t>
      </w:r>
    </w:p>
    <w:p w14:paraId="17CCB9B2" w14:textId="1409137A" w:rsidR="008F78FB" w:rsidRPr="008F78FB" w:rsidRDefault="008F78FB" w:rsidP="008F78FB">
      <w:pPr>
        <w:rPr>
          <w:rFonts w:ascii="Arial" w:hAnsi="Arial" w:cs="Arial"/>
          <w:sz w:val="22"/>
          <w:szCs w:val="22"/>
        </w:rPr>
      </w:pPr>
    </w:p>
    <w:p w14:paraId="23FCA3FA"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c) Gas Exchange in the Lungs</w:t>
      </w:r>
    </w:p>
    <w:p w14:paraId="551A32EB"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Gas exchange happens in the alveoli (tiny air sacs in the lungs) by </w:t>
      </w:r>
      <w:r w:rsidRPr="008F78FB">
        <w:rPr>
          <w:rFonts w:ascii="Arial" w:hAnsi="Arial" w:cs="Arial"/>
          <w:b/>
          <w:bCs/>
          <w:sz w:val="22"/>
          <w:szCs w:val="22"/>
        </w:rPr>
        <w:t>diffusion</w:t>
      </w:r>
      <w:r w:rsidRPr="008F78FB">
        <w:rPr>
          <w:rFonts w:ascii="Arial" w:hAnsi="Arial" w:cs="Arial"/>
          <w:sz w:val="22"/>
          <w:szCs w:val="22"/>
        </w:rPr>
        <w:t xml:space="preserve">, which means gases move from an area of high concentration to an area of low concentration. According to </w:t>
      </w:r>
      <w:r w:rsidRPr="008F78FB">
        <w:rPr>
          <w:rFonts w:ascii="Arial" w:hAnsi="Arial" w:cs="Arial"/>
          <w:b/>
          <w:bCs/>
          <w:sz w:val="22"/>
          <w:szCs w:val="22"/>
        </w:rPr>
        <w:t>Fick's Law</w:t>
      </w:r>
      <w:r w:rsidRPr="008F78FB">
        <w:rPr>
          <w:rFonts w:ascii="Arial" w:hAnsi="Arial" w:cs="Arial"/>
          <w:sz w:val="22"/>
          <w:szCs w:val="22"/>
        </w:rPr>
        <w:t>, gas exchange is faster when there is a large surface area, a big pressure difference, and a very thin barrier.</w:t>
      </w:r>
    </w:p>
    <w:p w14:paraId="69204D0A"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The respiratory membrane is made of alveolar cells, basement membranes, and capillary cells. It is only about </w:t>
      </w:r>
      <w:r w:rsidRPr="008F78FB">
        <w:rPr>
          <w:rFonts w:ascii="Arial" w:hAnsi="Arial" w:cs="Arial"/>
          <w:b/>
          <w:bCs/>
          <w:sz w:val="22"/>
          <w:szCs w:val="22"/>
        </w:rPr>
        <w:t>0.5 micrometres thick</w:t>
      </w:r>
      <w:r w:rsidRPr="008F78FB">
        <w:rPr>
          <w:rFonts w:ascii="Arial" w:hAnsi="Arial" w:cs="Arial"/>
          <w:sz w:val="22"/>
          <w:szCs w:val="22"/>
        </w:rPr>
        <w:t xml:space="preserve">, allowing gases to move quickly. The millions of alveoli provide a huge surface area for efficient gas exchange. </w:t>
      </w:r>
      <w:r w:rsidRPr="008F78FB">
        <w:rPr>
          <w:rFonts w:ascii="Arial" w:hAnsi="Arial" w:cs="Arial"/>
          <w:b/>
          <w:bCs/>
          <w:sz w:val="22"/>
          <w:szCs w:val="22"/>
        </w:rPr>
        <w:t>Type II pneumocytes</w:t>
      </w:r>
      <w:r w:rsidRPr="008F78FB">
        <w:rPr>
          <w:rFonts w:ascii="Arial" w:hAnsi="Arial" w:cs="Arial"/>
          <w:sz w:val="22"/>
          <w:szCs w:val="22"/>
        </w:rPr>
        <w:t xml:space="preserve"> produce surfactant, which reduces surface tension and prevents the alveoli from collapsing during breathing out.</w:t>
      </w:r>
    </w:p>
    <w:p w14:paraId="17387983" w14:textId="7AFEB464" w:rsidR="008F78FB" w:rsidRPr="008F78FB" w:rsidRDefault="008F78FB" w:rsidP="008F78FB">
      <w:pPr>
        <w:rPr>
          <w:rFonts w:ascii="Arial" w:hAnsi="Arial" w:cs="Arial"/>
          <w:sz w:val="22"/>
          <w:szCs w:val="22"/>
        </w:rPr>
      </w:pPr>
      <w:r w:rsidRPr="008F78FB">
        <w:rPr>
          <w:rFonts w:ascii="Arial" w:hAnsi="Arial" w:cs="Arial"/>
          <w:sz w:val="22"/>
          <w:szCs w:val="22"/>
        </w:rPr>
        <w:lastRenderedPageBreak/>
        <w:t xml:space="preserve">Blood arriving from the body has a </w:t>
      </w:r>
      <w:r w:rsidRPr="008F78FB">
        <w:rPr>
          <w:rFonts w:ascii="Arial" w:hAnsi="Arial" w:cs="Arial"/>
          <w:b/>
          <w:bCs/>
          <w:sz w:val="22"/>
          <w:szCs w:val="22"/>
        </w:rPr>
        <w:t>low oxygen level</w:t>
      </w:r>
      <w:r w:rsidRPr="008F78FB">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P</m:t>
            </m:r>
          </m:e>
          <m:sub>
            <m:sSub>
              <m:sSubPr>
                <m:ctrlPr>
                  <w:rPr>
                    <w:rFonts w:ascii="Cambria Math" w:hAnsi="Cambria Math" w:cs="Arial"/>
                    <w:sz w:val="22"/>
                    <w:szCs w:val="22"/>
                  </w:rPr>
                </m:ctrlPr>
              </m:sSubPr>
              <m:e>
                <m:r>
                  <w:rPr>
                    <w:rFonts w:ascii="Cambria Math" w:hAnsi="Cambria Math" w:cs="Arial"/>
                    <w:sz w:val="22"/>
                    <w:szCs w:val="22"/>
                  </w:rPr>
                  <m:t>O</m:t>
                </m:r>
              </m:e>
              <m:sub>
                <m:r>
                  <w:rPr>
                    <w:rFonts w:ascii="Cambria Math" w:hAnsi="Cambria Math" w:cs="Arial"/>
                    <w:sz w:val="22"/>
                    <w:szCs w:val="22"/>
                  </w:rPr>
                  <m:t>2</m:t>
                </m:r>
              </m:sub>
            </m:sSub>
          </m:sub>
        </m:sSub>
        <m:r>
          <w:rPr>
            <w:rFonts w:ascii="Cambria Math" w:hAnsi="Cambria Math" w:cs="Arial"/>
            <w:sz w:val="22"/>
            <w:szCs w:val="22"/>
          </w:rPr>
          <m:t>≈40</m:t>
        </m:r>
      </m:oMath>
      <w:r w:rsidRPr="008F78FB">
        <w:rPr>
          <w:rFonts w:ascii="Arial" w:hAnsi="Arial" w:cs="Arial"/>
          <w:sz w:val="22"/>
          <w:szCs w:val="22"/>
        </w:rPr>
        <w:t xml:space="preserve"> mmHg) and a </w:t>
      </w:r>
      <w:r w:rsidRPr="008F78FB">
        <w:rPr>
          <w:rFonts w:ascii="Arial" w:hAnsi="Arial" w:cs="Arial"/>
          <w:b/>
          <w:bCs/>
          <w:sz w:val="22"/>
          <w:szCs w:val="22"/>
        </w:rPr>
        <w:t>high carbon dioxide level</w:t>
      </w:r>
      <w:r w:rsidRPr="008F78FB">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P</m:t>
            </m:r>
          </m:e>
          <m:sub>
            <m:r>
              <w:rPr>
                <w:rFonts w:ascii="Cambria Math" w:hAnsi="Cambria Math" w:cs="Arial"/>
                <w:sz w:val="22"/>
                <w:szCs w:val="22"/>
              </w:rPr>
              <m:t>C</m:t>
            </m:r>
            <m:sSub>
              <m:sSubPr>
                <m:ctrlPr>
                  <w:rPr>
                    <w:rFonts w:ascii="Cambria Math" w:hAnsi="Cambria Math" w:cs="Arial"/>
                    <w:sz w:val="22"/>
                    <w:szCs w:val="22"/>
                  </w:rPr>
                </m:ctrlPr>
              </m:sSubPr>
              <m:e>
                <m:r>
                  <w:rPr>
                    <w:rFonts w:ascii="Cambria Math" w:hAnsi="Cambria Math" w:cs="Arial"/>
                    <w:sz w:val="22"/>
                    <w:szCs w:val="22"/>
                  </w:rPr>
                  <m:t>O</m:t>
                </m:r>
              </m:e>
              <m:sub>
                <m:r>
                  <w:rPr>
                    <w:rFonts w:ascii="Cambria Math" w:hAnsi="Cambria Math" w:cs="Arial"/>
                    <w:sz w:val="22"/>
                    <w:szCs w:val="22"/>
                  </w:rPr>
                  <m:t>2</m:t>
                </m:r>
              </m:sub>
            </m:sSub>
          </m:sub>
        </m:sSub>
        <m:r>
          <w:rPr>
            <w:rFonts w:ascii="Cambria Math" w:hAnsi="Cambria Math" w:cs="Arial"/>
            <w:sz w:val="22"/>
            <w:szCs w:val="22"/>
          </w:rPr>
          <m:t>≈46</m:t>
        </m:r>
      </m:oMath>
      <w:r w:rsidRPr="008F78FB">
        <w:rPr>
          <w:rFonts w:ascii="Arial" w:hAnsi="Arial" w:cs="Arial"/>
          <w:sz w:val="22"/>
          <w:szCs w:val="22"/>
        </w:rPr>
        <w:t xml:space="preserve"> mmHg). Alveolar air has a </w:t>
      </w:r>
      <w:r w:rsidRPr="008F78FB">
        <w:rPr>
          <w:rFonts w:ascii="Arial" w:hAnsi="Arial" w:cs="Arial"/>
          <w:b/>
          <w:bCs/>
          <w:sz w:val="22"/>
          <w:szCs w:val="22"/>
        </w:rPr>
        <w:t>high oxygen level</w:t>
      </w:r>
      <w:r w:rsidRPr="008F78FB">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P</m:t>
            </m:r>
          </m:e>
          <m:sub>
            <m:sSub>
              <m:sSubPr>
                <m:ctrlPr>
                  <w:rPr>
                    <w:rFonts w:ascii="Cambria Math" w:hAnsi="Cambria Math" w:cs="Arial"/>
                    <w:sz w:val="22"/>
                    <w:szCs w:val="22"/>
                  </w:rPr>
                </m:ctrlPr>
              </m:sSubPr>
              <m:e>
                <m:r>
                  <w:rPr>
                    <w:rFonts w:ascii="Cambria Math" w:hAnsi="Cambria Math" w:cs="Arial"/>
                    <w:sz w:val="22"/>
                    <w:szCs w:val="22"/>
                  </w:rPr>
                  <m:t>O</m:t>
                </m:r>
              </m:e>
              <m:sub>
                <m:r>
                  <w:rPr>
                    <w:rFonts w:ascii="Cambria Math" w:hAnsi="Cambria Math" w:cs="Arial"/>
                    <w:sz w:val="22"/>
                    <w:szCs w:val="22"/>
                  </w:rPr>
                  <m:t>2</m:t>
                </m:r>
              </m:sub>
            </m:sSub>
          </m:sub>
        </m:sSub>
        <m:r>
          <w:rPr>
            <w:rFonts w:ascii="Cambria Math" w:hAnsi="Cambria Math" w:cs="Arial"/>
            <w:sz w:val="22"/>
            <w:szCs w:val="22"/>
          </w:rPr>
          <m:t>≈104</m:t>
        </m:r>
      </m:oMath>
      <w:r w:rsidRPr="008F78FB">
        <w:rPr>
          <w:rFonts w:ascii="Arial" w:hAnsi="Arial" w:cs="Arial"/>
          <w:sz w:val="22"/>
          <w:szCs w:val="22"/>
        </w:rPr>
        <w:t xml:space="preserve"> mmHg) and a </w:t>
      </w:r>
      <w:r w:rsidRPr="008F78FB">
        <w:rPr>
          <w:rFonts w:ascii="Arial" w:hAnsi="Arial" w:cs="Arial"/>
          <w:b/>
          <w:bCs/>
          <w:sz w:val="22"/>
          <w:szCs w:val="22"/>
        </w:rPr>
        <w:t>lower carbon dioxide level</w:t>
      </w:r>
      <w:r w:rsidRPr="008F78FB">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P</m:t>
            </m:r>
          </m:e>
          <m:sub>
            <m:r>
              <w:rPr>
                <w:rFonts w:ascii="Cambria Math" w:hAnsi="Cambria Math" w:cs="Arial"/>
                <w:sz w:val="22"/>
                <w:szCs w:val="22"/>
              </w:rPr>
              <m:t>C</m:t>
            </m:r>
            <m:sSub>
              <m:sSubPr>
                <m:ctrlPr>
                  <w:rPr>
                    <w:rFonts w:ascii="Cambria Math" w:hAnsi="Cambria Math" w:cs="Arial"/>
                    <w:sz w:val="22"/>
                    <w:szCs w:val="22"/>
                  </w:rPr>
                </m:ctrlPr>
              </m:sSubPr>
              <m:e>
                <m:r>
                  <w:rPr>
                    <w:rFonts w:ascii="Cambria Math" w:hAnsi="Cambria Math" w:cs="Arial"/>
                    <w:sz w:val="22"/>
                    <w:szCs w:val="22"/>
                  </w:rPr>
                  <m:t>O</m:t>
                </m:r>
              </m:e>
              <m:sub>
                <m:r>
                  <w:rPr>
                    <w:rFonts w:ascii="Cambria Math" w:hAnsi="Cambria Math" w:cs="Arial"/>
                    <w:sz w:val="22"/>
                    <w:szCs w:val="22"/>
                  </w:rPr>
                  <m:t>2</m:t>
                </m:r>
              </m:sub>
            </m:sSub>
          </m:sub>
        </m:sSub>
        <m:r>
          <w:rPr>
            <w:rFonts w:ascii="Cambria Math" w:hAnsi="Cambria Math" w:cs="Arial"/>
            <w:sz w:val="22"/>
            <w:szCs w:val="22"/>
          </w:rPr>
          <m:t>≈40</m:t>
        </m:r>
      </m:oMath>
      <w:r w:rsidRPr="008F78FB">
        <w:rPr>
          <w:rFonts w:ascii="Arial" w:hAnsi="Arial" w:cs="Arial"/>
          <w:sz w:val="22"/>
          <w:szCs w:val="22"/>
        </w:rPr>
        <w:t xml:space="preserve"> mmHg).</w:t>
      </w:r>
    </w:p>
    <w:p w14:paraId="6C9A5A3F"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Because of these differences, </w:t>
      </w:r>
      <w:r w:rsidRPr="008F78FB">
        <w:rPr>
          <w:rFonts w:ascii="Arial" w:hAnsi="Arial" w:cs="Arial"/>
          <w:b/>
          <w:bCs/>
          <w:sz w:val="22"/>
          <w:szCs w:val="22"/>
        </w:rPr>
        <w:t>oxygen diffuses from the alveoli into the blood</w:t>
      </w:r>
      <w:r w:rsidRPr="008F78FB">
        <w:rPr>
          <w:rFonts w:ascii="Arial" w:hAnsi="Arial" w:cs="Arial"/>
          <w:sz w:val="22"/>
          <w:szCs w:val="22"/>
        </w:rPr>
        <w:t xml:space="preserve">, where it binds to haemoglobin in red blood cells to form oxyhaemoglobin. At the same time, </w:t>
      </w:r>
      <w:r w:rsidRPr="008F78FB">
        <w:rPr>
          <w:rFonts w:ascii="Arial" w:hAnsi="Arial" w:cs="Arial"/>
          <w:b/>
          <w:bCs/>
          <w:sz w:val="22"/>
          <w:szCs w:val="22"/>
        </w:rPr>
        <w:t>carbon dioxide diffuses from the blood into the alveoli</w:t>
      </w:r>
      <w:r w:rsidRPr="008F78FB">
        <w:rPr>
          <w:rFonts w:ascii="Arial" w:hAnsi="Arial" w:cs="Arial"/>
          <w:sz w:val="22"/>
          <w:szCs w:val="22"/>
        </w:rPr>
        <w:t xml:space="preserve"> so it can be exhaled.</w:t>
      </w:r>
    </w:p>
    <w:p w14:paraId="788523E9"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Carbon dioxide is transported in the blood in three forms: about </w:t>
      </w:r>
      <w:r w:rsidRPr="008F78FB">
        <w:rPr>
          <w:rFonts w:ascii="Arial" w:hAnsi="Arial" w:cs="Arial"/>
          <w:b/>
          <w:bCs/>
          <w:sz w:val="22"/>
          <w:szCs w:val="22"/>
        </w:rPr>
        <w:t>70% as bicarbonate ions</w:t>
      </w:r>
      <w:r w:rsidRPr="008F78FB">
        <w:rPr>
          <w:rFonts w:ascii="Arial" w:hAnsi="Arial" w:cs="Arial"/>
          <w:sz w:val="22"/>
          <w:szCs w:val="22"/>
        </w:rPr>
        <w:t xml:space="preserve">, </w:t>
      </w:r>
      <w:r w:rsidRPr="008F78FB">
        <w:rPr>
          <w:rFonts w:ascii="Arial" w:hAnsi="Arial" w:cs="Arial"/>
          <w:b/>
          <w:bCs/>
          <w:sz w:val="22"/>
          <w:szCs w:val="22"/>
        </w:rPr>
        <w:t>20% bound to haemoglobin</w:t>
      </w:r>
      <w:r w:rsidRPr="008F78FB">
        <w:rPr>
          <w:rFonts w:ascii="Arial" w:hAnsi="Arial" w:cs="Arial"/>
          <w:sz w:val="22"/>
          <w:szCs w:val="22"/>
        </w:rPr>
        <w:t xml:space="preserve">, and </w:t>
      </w:r>
      <w:r w:rsidRPr="008F78FB">
        <w:rPr>
          <w:rFonts w:ascii="Arial" w:hAnsi="Arial" w:cs="Arial"/>
          <w:b/>
          <w:bCs/>
          <w:sz w:val="22"/>
          <w:szCs w:val="22"/>
        </w:rPr>
        <w:t>10% dissolved in plasma</w:t>
      </w:r>
      <w:r w:rsidRPr="008F78FB">
        <w:rPr>
          <w:rFonts w:ascii="Arial" w:hAnsi="Arial" w:cs="Arial"/>
          <w:sz w:val="22"/>
          <w:szCs w:val="22"/>
        </w:rPr>
        <w:t xml:space="preserve">. In the lungs, bicarbonate is converted back into carbon dioxide by the enzyme </w:t>
      </w:r>
      <w:r w:rsidRPr="008F78FB">
        <w:rPr>
          <w:rFonts w:ascii="Arial" w:hAnsi="Arial" w:cs="Arial"/>
          <w:b/>
          <w:bCs/>
          <w:sz w:val="22"/>
          <w:szCs w:val="22"/>
        </w:rPr>
        <w:t>carbonic anhydrase</w:t>
      </w:r>
      <w:r w:rsidRPr="008F78FB">
        <w:rPr>
          <w:rFonts w:ascii="Arial" w:hAnsi="Arial" w:cs="Arial"/>
          <w:sz w:val="22"/>
          <w:szCs w:val="22"/>
        </w:rPr>
        <w:t>, allowing it to diffuse into the alveoli.</w:t>
      </w:r>
    </w:p>
    <w:p w14:paraId="26BF99C2"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Gas exchange is also helped by the </w:t>
      </w:r>
      <w:r w:rsidRPr="008F78FB">
        <w:rPr>
          <w:rFonts w:ascii="Arial" w:hAnsi="Arial" w:cs="Arial"/>
          <w:b/>
          <w:bCs/>
          <w:sz w:val="22"/>
          <w:szCs w:val="22"/>
        </w:rPr>
        <w:t>chloride shift</w:t>
      </w:r>
      <w:r w:rsidRPr="008F78FB">
        <w:rPr>
          <w:rFonts w:ascii="Arial" w:hAnsi="Arial" w:cs="Arial"/>
          <w:sz w:val="22"/>
          <w:szCs w:val="22"/>
        </w:rPr>
        <w:t xml:space="preserve">, which maintains electrical balance in red blood cells, and the </w:t>
      </w:r>
      <w:r w:rsidRPr="008F78FB">
        <w:rPr>
          <w:rFonts w:ascii="Arial" w:hAnsi="Arial" w:cs="Arial"/>
          <w:b/>
          <w:bCs/>
          <w:sz w:val="22"/>
          <w:szCs w:val="22"/>
        </w:rPr>
        <w:t>Haldane effect</w:t>
      </w:r>
      <w:r w:rsidRPr="008F78FB">
        <w:rPr>
          <w:rFonts w:ascii="Arial" w:hAnsi="Arial" w:cs="Arial"/>
          <w:sz w:val="22"/>
          <w:szCs w:val="22"/>
        </w:rPr>
        <w:t>, where oxygen binding to haemoglobin promotes the release of carbon dioxide.</w:t>
      </w:r>
    </w:p>
    <w:p w14:paraId="1F7A618C" w14:textId="77777777" w:rsidR="008F78FB" w:rsidRPr="008F78FB" w:rsidRDefault="008F78FB" w:rsidP="008F78FB">
      <w:pPr>
        <w:rPr>
          <w:rFonts w:ascii="Arial" w:hAnsi="Arial" w:cs="Arial"/>
          <w:sz w:val="22"/>
          <w:szCs w:val="22"/>
        </w:rPr>
      </w:pPr>
      <w:r w:rsidRPr="008F78FB">
        <w:rPr>
          <w:rFonts w:ascii="Arial" w:hAnsi="Arial" w:cs="Arial"/>
          <w:sz w:val="22"/>
          <w:szCs w:val="22"/>
        </w:rPr>
        <w:t>For gas exchange to work efficiently, ventilation (airflow) and perfusion (blood flow) must be well matched. If part of the lung receives less air, blood vessels in that region constrict, redirecting blood to better-ventilated areas and improving oxygen uptake.</w:t>
      </w:r>
    </w:p>
    <w:p w14:paraId="58722026" w14:textId="61C263FE" w:rsidR="008F78FB" w:rsidRPr="008F78FB" w:rsidRDefault="008F78FB" w:rsidP="008F78FB">
      <w:pPr>
        <w:rPr>
          <w:rFonts w:ascii="Arial" w:hAnsi="Arial" w:cs="Arial"/>
          <w:sz w:val="22"/>
          <w:szCs w:val="22"/>
        </w:rPr>
      </w:pPr>
    </w:p>
    <w:p w14:paraId="2D4836CF" w14:textId="3B3CEC2A" w:rsidR="008F78FB" w:rsidRPr="008F78FB" w:rsidRDefault="008F78FB" w:rsidP="008F78FB">
      <w:pPr>
        <w:rPr>
          <w:rFonts w:ascii="Arial" w:hAnsi="Arial" w:cs="Arial"/>
          <w:sz w:val="22"/>
          <w:szCs w:val="22"/>
        </w:rPr>
      </w:pPr>
    </w:p>
    <w:p w14:paraId="466B7758"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d) Irritants, Tissue Swelling, and Respiratory Impact</w:t>
      </w:r>
    </w:p>
    <w:p w14:paraId="23CE4423" w14:textId="77777777" w:rsidR="008F78FB" w:rsidRPr="008F78FB" w:rsidRDefault="008F78FB" w:rsidP="008F78FB">
      <w:pPr>
        <w:rPr>
          <w:rFonts w:ascii="Arial" w:hAnsi="Arial" w:cs="Arial"/>
          <w:sz w:val="22"/>
          <w:szCs w:val="22"/>
        </w:rPr>
      </w:pPr>
      <w:r w:rsidRPr="008F78FB">
        <w:rPr>
          <w:rFonts w:ascii="Arial" w:hAnsi="Arial" w:cs="Arial"/>
          <w:sz w:val="22"/>
          <w:szCs w:val="22"/>
        </w:rPr>
        <w:t>Inhalation of environmental irritants, such as cigarette smoke, e-cigarette aerosols, and fine particulate matter, triggers an integrated pathological immune response in the respiratory epithelium. Irritants break down the epithelial tight junctions, increasing mucosal permeability and activating innate immune pathways. Airway epithelial cells secrete pro-inflammatory cytokines and chemokines, recruiting mast cells, eosinophils, macrophages, and T-helper type 2 (\(Th2\)) lymphocytes into the bronchial mucosa.</w:t>
      </w:r>
    </w:p>
    <w:p w14:paraId="3B18AC09" w14:textId="77777777" w:rsidR="008F78FB" w:rsidRPr="008F78FB" w:rsidRDefault="008F78FB" w:rsidP="008F78FB">
      <w:pPr>
        <w:rPr>
          <w:rFonts w:ascii="Arial" w:hAnsi="Arial" w:cs="Arial"/>
          <w:sz w:val="22"/>
          <w:szCs w:val="22"/>
        </w:rPr>
      </w:pPr>
      <w:r w:rsidRPr="008F78FB">
        <w:rPr>
          <w:rFonts w:ascii="Arial" w:hAnsi="Arial" w:cs="Arial"/>
          <w:sz w:val="22"/>
          <w:szCs w:val="22"/>
        </w:rPr>
        <w:t>In allergic and hyperreactive asthma paths, this represents a classic Type I hypersensitivity cascade. Antigen-presenting dendritic cells capture these foreign irritants or allergens and present them to naive CD4+ T cells, promoting their differentiation into \(Th2\) cells. These \(Th2\) cells secrete specific interleukins: interleukin-4 (IL-4), which drives B-cell isotype switching to produce immunoglobulin E (IgE), and interleukin-5 (IL-5), which stimulates eosinophil recruitment and survival. Interleukin-13 (IL-13) further amplifies the condition by stimulating goblet cell hyperplasia and subepithelial fibrosis.</w:t>
      </w:r>
    </w:p>
    <w:p w14:paraId="3C8CAD63"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When IgE binds to high-affinity </w:t>
      </w:r>
      <w:proofErr w:type="spellStart"/>
      <w:r w:rsidRPr="008F78FB">
        <w:rPr>
          <w:rFonts w:ascii="Arial" w:hAnsi="Arial" w:cs="Arial"/>
          <w:sz w:val="22"/>
          <w:szCs w:val="22"/>
        </w:rPr>
        <w:t>FceRI</w:t>
      </w:r>
      <w:proofErr w:type="spellEnd"/>
      <w:r w:rsidRPr="008F78FB">
        <w:rPr>
          <w:rFonts w:ascii="Arial" w:hAnsi="Arial" w:cs="Arial"/>
          <w:sz w:val="22"/>
          <w:szCs w:val="22"/>
        </w:rPr>
        <w:t xml:space="preserve"> receptors on mast cells, subsequent exposure triggers immediate mast cell degranulation. This releases potent preformed and newly synthesized chemical mediators, including histamines, leukotrienes (LTC4, LTD4, LTE4), and prostaglandins into surrounding tissues. These chemical mediators cause marked vasodilation of the bronchial microvasculature and increase capillary permeability. Fluid leaks from the intravascular space into the interstitial matrix, inducing severe submucosal tissue </w:t>
      </w:r>
      <w:proofErr w:type="spellStart"/>
      <w:r w:rsidRPr="008F78FB">
        <w:rPr>
          <w:rFonts w:ascii="Arial" w:hAnsi="Arial" w:cs="Arial"/>
          <w:sz w:val="22"/>
          <w:szCs w:val="22"/>
        </w:rPr>
        <w:t>edema</w:t>
      </w:r>
      <w:proofErr w:type="spellEnd"/>
      <w:r w:rsidRPr="008F78FB">
        <w:rPr>
          <w:rFonts w:ascii="Arial" w:hAnsi="Arial" w:cs="Arial"/>
          <w:sz w:val="22"/>
          <w:szCs w:val="22"/>
        </w:rPr>
        <w:t xml:space="preserve"> and swelling. Concurrently, goblet cell hyperactivation and submucosal gland </w:t>
      </w:r>
      <w:r w:rsidRPr="008F78FB">
        <w:rPr>
          <w:rFonts w:ascii="Arial" w:hAnsi="Arial" w:cs="Arial"/>
          <w:sz w:val="22"/>
          <w:szCs w:val="22"/>
        </w:rPr>
        <w:lastRenderedPageBreak/>
        <w:t>stimulation cause excessive secretion of viscous mucus, forming luminal plugs that block air passage.</w:t>
      </w:r>
    </w:p>
    <w:p w14:paraId="7BE479D1" w14:textId="77777777" w:rsidR="008F78FB" w:rsidRPr="008F78FB" w:rsidRDefault="008F78FB" w:rsidP="008F78FB">
      <w:pPr>
        <w:rPr>
          <w:rFonts w:ascii="Arial" w:hAnsi="Arial" w:cs="Arial"/>
          <w:sz w:val="22"/>
          <w:szCs w:val="22"/>
        </w:rPr>
      </w:pPr>
      <w:r w:rsidRPr="008F78FB">
        <w:rPr>
          <w:rFonts w:ascii="Arial" w:hAnsi="Arial" w:cs="Arial"/>
          <w:sz w:val="22"/>
          <w:szCs w:val="22"/>
        </w:rPr>
        <w:t>This structural inflammation drastically impacts respiration. According to Poiseuille’s Law, airway resistance is inversely proportional to the fourth power of the airway radius (</w:t>
      </w:r>
      <w:proofErr w:type="gramStart"/>
      <w:r w:rsidRPr="008F78FB">
        <w:rPr>
          <w:rFonts w:ascii="Arial" w:hAnsi="Arial" w:cs="Arial"/>
          <w:sz w:val="22"/>
          <w:szCs w:val="22"/>
        </w:rPr>
        <w:t>\(</w:t>
      </w:r>
      <w:proofErr w:type="gramEnd"/>
      <w:r w:rsidRPr="008F78FB">
        <w:rPr>
          <w:rFonts w:ascii="Arial" w:hAnsi="Arial" w:cs="Arial"/>
          <w:sz w:val="22"/>
          <w:szCs w:val="22"/>
        </w:rPr>
        <w:t>R \</w:t>
      </w:r>
      <w:proofErr w:type="spellStart"/>
      <w:r w:rsidRPr="008F78FB">
        <w:rPr>
          <w:rFonts w:ascii="Arial" w:hAnsi="Arial" w:cs="Arial"/>
          <w:sz w:val="22"/>
          <w:szCs w:val="22"/>
        </w:rPr>
        <w:t>propto</w:t>
      </w:r>
      <w:proofErr w:type="spellEnd"/>
      <w:r w:rsidRPr="008F78FB">
        <w:rPr>
          <w:rFonts w:ascii="Arial" w:hAnsi="Arial" w:cs="Arial"/>
          <w:sz w:val="22"/>
          <w:szCs w:val="22"/>
        </w:rPr>
        <w:t xml:space="preserve"> 1/r^4\)). Consequently, small decreases in luminal diameter from tissue swelling and mucus accumulation cause exponential increases in airway resistance. This severely restricts expiratory airflow, leading to dynamic hyperinflation and air trapping within the alveoli, as the positive pressure of expiration collapses the weakened, inflamed airways early.</w:t>
      </w:r>
    </w:p>
    <w:p w14:paraId="07223260"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The work of breathing increases significantly, forcing the patient to use accessory respiratory muscles to generate greater pressures. This structural airway narrowing causes severe ventilation-perfusion (\(V/Q\)) mismatch, hypoxemia, hypercapnia, </w:t>
      </w:r>
      <w:proofErr w:type="spellStart"/>
      <w:r w:rsidRPr="008F78FB">
        <w:rPr>
          <w:rFonts w:ascii="Arial" w:hAnsi="Arial" w:cs="Arial"/>
          <w:sz w:val="22"/>
          <w:szCs w:val="22"/>
        </w:rPr>
        <w:t>dyspnea</w:t>
      </w:r>
      <w:proofErr w:type="spellEnd"/>
      <w:r w:rsidRPr="008F78FB">
        <w:rPr>
          <w:rFonts w:ascii="Arial" w:hAnsi="Arial" w:cs="Arial"/>
          <w:sz w:val="22"/>
          <w:szCs w:val="22"/>
        </w:rPr>
        <w:t xml:space="preserve">, and audible wheezing during expiration, as air is forced through narrowed channels. Over time, chronic unchecked inflammation leads to airway </w:t>
      </w:r>
      <w:proofErr w:type="spellStart"/>
      <w:r w:rsidRPr="008F78FB">
        <w:rPr>
          <w:rFonts w:ascii="Arial" w:hAnsi="Arial" w:cs="Arial"/>
          <w:sz w:val="22"/>
          <w:szCs w:val="22"/>
        </w:rPr>
        <w:t>remodeling</w:t>
      </w:r>
      <w:proofErr w:type="spellEnd"/>
      <w:r w:rsidRPr="008F78FB">
        <w:rPr>
          <w:rFonts w:ascii="Arial" w:hAnsi="Arial" w:cs="Arial"/>
          <w:sz w:val="22"/>
          <w:szCs w:val="22"/>
        </w:rPr>
        <w:t>, characterized by subepithelial basement membrane thickening, smooth muscle hypertrophy, and angiogenesis, rendering a portion of the airflow obstruction irreversible.</w:t>
      </w:r>
    </w:p>
    <w:p w14:paraId="45F352A2" w14:textId="2B3CCD9E" w:rsidR="008F78FB" w:rsidRPr="008F78FB" w:rsidRDefault="008F78FB" w:rsidP="008F78FB">
      <w:pPr>
        <w:rPr>
          <w:rFonts w:ascii="Arial" w:hAnsi="Arial" w:cs="Arial"/>
          <w:sz w:val="22"/>
          <w:szCs w:val="22"/>
        </w:rPr>
      </w:pPr>
    </w:p>
    <w:p w14:paraId="22B5EED0"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e) Recording and Tracking Respiratory Functions</w:t>
      </w:r>
    </w:p>
    <w:p w14:paraId="389772DC"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Recording and tracking objective respiratory metrics using a peak expiratory flow meter is a cornerstone of effective asthma self-management. A peak flow meter measures peak expiratory flow rate (PEFR), which is the maximum speed of a forced expiration initiated from full inspiration, reflecting the </w:t>
      </w:r>
      <w:proofErr w:type="spellStart"/>
      <w:r w:rsidRPr="008F78FB">
        <w:rPr>
          <w:rFonts w:ascii="Arial" w:hAnsi="Arial" w:cs="Arial"/>
          <w:sz w:val="22"/>
          <w:szCs w:val="22"/>
        </w:rPr>
        <w:t>caliber</w:t>
      </w:r>
      <w:proofErr w:type="spellEnd"/>
      <w:r w:rsidRPr="008F78FB">
        <w:rPr>
          <w:rFonts w:ascii="Arial" w:hAnsi="Arial" w:cs="Arial"/>
          <w:sz w:val="22"/>
          <w:szCs w:val="22"/>
        </w:rPr>
        <w:t xml:space="preserve"> and patency of the large conducting airways. To obtain accurate data, patients must follow a standardized clinical protocol: ensure the indicator is set to zero, stand up or sit up straight to maximize diaphragmatic excursion, take a deep breath to total lung capacity, seal their lips tightly around the mouthpiece to prevent air leaks, and blow out as hard and fast as possible in a short, sharp blast. The patient must perform this technique three times consecutively, recording the highest of the three readings rather than an average, to ensure maximum effort is captured.</w:t>
      </w:r>
    </w:p>
    <w:p w14:paraId="251E3ED6" w14:textId="77777777" w:rsidR="008F78FB" w:rsidRPr="008F78FB" w:rsidRDefault="008F78FB" w:rsidP="008F78FB">
      <w:pPr>
        <w:rPr>
          <w:rFonts w:ascii="Arial" w:hAnsi="Arial" w:cs="Arial"/>
          <w:sz w:val="22"/>
          <w:szCs w:val="22"/>
        </w:rPr>
      </w:pPr>
      <w:r w:rsidRPr="008F78FB">
        <w:rPr>
          <w:rFonts w:ascii="Arial" w:hAnsi="Arial" w:cs="Arial"/>
          <w:sz w:val="22"/>
          <w:szCs w:val="22"/>
        </w:rPr>
        <w:t>Daily peak flow measurements enable patients to establish their personal best value over a stable two-to-three-week period. This baseline allows them to identify diurnal variability or gradual declines in lung function before physical clinical symptoms present. Diurnal variation refers to fluctuations in PEFR throughout the day; in asthma patients, this is often characterized by a "morning dip," where peak flow readings are lowest in the early morning hours. This dip occurs due to natural circadian rhythms, including overnight drops in endogenous cortisol levels and circulating epinephrine, coupled with an increase in vagal parasympathetic tone that promotes broncho-constriction. In poorly controlled asthma, this diurnal variation becomes highly exaggerated.</w:t>
      </w:r>
    </w:p>
    <w:p w14:paraId="145D5436" w14:textId="77777777" w:rsidR="008F78FB" w:rsidRPr="008F78FB" w:rsidRDefault="008F78FB" w:rsidP="008F78FB">
      <w:pPr>
        <w:rPr>
          <w:rFonts w:ascii="Arial" w:hAnsi="Arial" w:cs="Arial"/>
          <w:sz w:val="22"/>
          <w:szCs w:val="22"/>
        </w:rPr>
      </w:pPr>
      <w:r w:rsidRPr="008F78FB">
        <w:rPr>
          <w:rFonts w:ascii="Arial" w:hAnsi="Arial" w:cs="Arial"/>
          <w:sz w:val="22"/>
          <w:szCs w:val="22"/>
        </w:rPr>
        <w:t>Tracking peak flow values within a structured asthma action plan provides an early warning system. Action plans categorize readings using a percentage-based traffic light framework tailored to the individual's personal best:</w:t>
      </w:r>
    </w:p>
    <w:p w14:paraId="5B74657F" w14:textId="77777777" w:rsidR="008F78FB" w:rsidRPr="008F78FB" w:rsidRDefault="008F78FB" w:rsidP="008F78FB">
      <w:pPr>
        <w:numPr>
          <w:ilvl w:val="0"/>
          <w:numId w:val="7"/>
        </w:numPr>
        <w:rPr>
          <w:rFonts w:ascii="Arial" w:hAnsi="Arial" w:cs="Arial"/>
          <w:sz w:val="22"/>
          <w:szCs w:val="22"/>
        </w:rPr>
      </w:pPr>
      <w:r w:rsidRPr="008F78FB">
        <w:rPr>
          <w:rFonts w:ascii="Arial" w:hAnsi="Arial" w:cs="Arial"/>
          <w:b/>
          <w:bCs/>
          <w:sz w:val="22"/>
          <w:szCs w:val="22"/>
        </w:rPr>
        <w:lastRenderedPageBreak/>
        <w:t>Green Zone (80–100% of personal best):</w:t>
      </w:r>
      <w:r w:rsidRPr="008F78FB">
        <w:rPr>
          <w:rFonts w:ascii="Arial" w:hAnsi="Arial" w:cs="Arial"/>
          <w:sz w:val="22"/>
          <w:szCs w:val="22"/>
        </w:rPr>
        <w:t> Indicates stable disease control; regular maintenance therapy should continue, and symptoms are minimal.</w:t>
      </w:r>
    </w:p>
    <w:p w14:paraId="1B6696BA" w14:textId="77777777" w:rsidR="008F78FB" w:rsidRPr="008F78FB" w:rsidRDefault="008F78FB" w:rsidP="008F78FB">
      <w:pPr>
        <w:numPr>
          <w:ilvl w:val="0"/>
          <w:numId w:val="7"/>
        </w:numPr>
        <w:rPr>
          <w:rFonts w:ascii="Arial" w:hAnsi="Arial" w:cs="Arial"/>
          <w:sz w:val="22"/>
          <w:szCs w:val="22"/>
        </w:rPr>
      </w:pPr>
      <w:r w:rsidRPr="008F78FB">
        <w:rPr>
          <w:rFonts w:ascii="Arial" w:hAnsi="Arial" w:cs="Arial"/>
          <w:b/>
          <w:bCs/>
          <w:sz w:val="22"/>
          <w:szCs w:val="22"/>
        </w:rPr>
        <w:t>Yellow Zone (50–80% of personal best):</w:t>
      </w:r>
      <w:r w:rsidRPr="008F78FB">
        <w:rPr>
          <w:rFonts w:ascii="Arial" w:hAnsi="Arial" w:cs="Arial"/>
          <w:sz w:val="22"/>
          <w:szCs w:val="22"/>
        </w:rPr>
        <w:t> Signals an impending asthma exacerbation or worsening baseline inflammation; indicates the need for stepped-up short-acting beta-2 agonist (SABA) use, consideration of temporary oral corticosteroids, and a potential medical review.</w:t>
      </w:r>
    </w:p>
    <w:p w14:paraId="49B10C07" w14:textId="77777777" w:rsidR="008F78FB" w:rsidRPr="008F78FB" w:rsidRDefault="008F78FB" w:rsidP="008F78FB">
      <w:pPr>
        <w:numPr>
          <w:ilvl w:val="0"/>
          <w:numId w:val="7"/>
        </w:numPr>
        <w:rPr>
          <w:rFonts w:ascii="Arial" w:hAnsi="Arial" w:cs="Arial"/>
          <w:sz w:val="22"/>
          <w:szCs w:val="22"/>
        </w:rPr>
      </w:pPr>
      <w:r w:rsidRPr="008F78FB">
        <w:rPr>
          <w:rFonts w:ascii="Arial" w:hAnsi="Arial" w:cs="Arial"/>
          <w:b/>
          <w:bCs/>
          <w:sz w:val="22"/>
          <w:szCs w:val="22"/>
        </w:rPr>
        <w:t>Red Zone (Below 50% of personal best):</w:t>
      </w:r>
      <w:r w:rsidRPr="008F78FB">
        <w:rPr>
          <w:rFonts w:ascii="Arial" w:hAnsi="Arial" w:cs="Arial"/>
          <w:sz w:val="22"/>
          <w:szCs w:val="22"/>
        </w:rPr>
        <w:t> Signals a severe medical emergency; requires immediate administration of rescue medication and urgent transfer to an emergency clinical care facility.</w:t>
      </w:r>
    </w:p>
    <w:p w14:paraId="282733B3" w14:textId="77777777" w:rsidR="008F78FB" w:rsidRPr="008F78FB" w:rsidRDefault="008F78FB" w:rsidP="008F78FB">
      <w:pPr>
        <w:rPr>
          <w:rFonts w:ascii="Arial" w:hAnsi="Arial" w:cs="Arial"/>
          <w:sz w:val="22"/>
          <w:szCs w:val="22"/>
        </w:rPr>
      </w:pPr>
      <w:r w:rsidRPr="008F78FB">
        <w:rPr>
          <w:rFonts w:ascii="Arial" w:hAnsi="Arial" w:cs="Arial"/>
          <w:sz w:val="22"/>
          <w:szCs w:val="22"/>
        </w:rPr>
        <w:t>This systematic tracking replaces subjective symptom perception with quantifiable data. This empowers adolescent patients to recognize silent airway narrowing, evaluate therapeutic efficacy, and engage proactively in shared clinical decision-making.</w:t>
      </w:r>
    </w:p>
    <w:p w14:paraId="02F714A0" w14:textId="56A8EF61" w:rsidR="008F78FB" w:rsidRPr="008F78FB" w:rsidRDefault="008F78FB" w:rsidP="008F78FB">
      <w:pPr>
        <w:rPr>
          <w:rFonts w:ascii="Arial" w:hAnsi="Arial" w:cs="Arial"/>
          <w:sz w:val="22"/>
          <w:szCs w:val="22"/>
        </w:rPr>
      </w:pPr>
    </w:p>
    <w:p w14:paraId="5BDEF33F"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f) Evidence-Based Lifestyle Recommendations</w:t>
      </w:r>
    </w:p>
    <w:p w14:paraId="1326AFC7" w14:textId="77777777" w:rsidR="008F78FB" w:rsidRPr="008F78FB" w:rsidRDefault="008F78FB" w:rsidP="008F78FB">
      <w:pPr>
        <w:rPr>
          <w:rFonts w:ascii="Arial" w:hAnsi="Arial" w:cs="Arial"/>
          <w:sz w:val="22"/>
          <w:szCs w:val="22"/>
        </w:rPr>
      </w:pPr>
      <w:r w:rsidRPr="008F78FB">
        <w:rPr>
          <w:rFonts w:ascii="Arial" w:hAnsi="Arial" w:cs="Arial"/>
          <w:sz w:val="22"/>
          <w:szCs w:val="22"/>
        </w:rPr>
        <w:t>Implementing evidence-based lifestyle changes is crucial for optimizing long-term asthma control in adolescents:</w:t>
      </w:r>
    </w:p>
    <w:p w14:paraId="4E322163" w14:textId="77777777" w:rsidR="008F78FB" w:rsidRPr="008F78FB" w:rsidRDefault="008F78FB" w:rsidP="008F78FB">
      <w:pPr>
        <w:numPr>
          <w:ilvl w:val="0"/>
          <w:numId w:val="8"/>
        </w:numPr>
        <w:rPr>
          <w:rFonts w:ascii="Arial" w:hAnsi="Arial" w:cs="Arial"/>
          <w:sz w:val="22"/>
          <w:szCs w:val="22"/>
        </w:rPr>
      </w:pPr>
      <w:r w:rsidRPr="008F78FB">
        <w:rPr>
          <w:rFonts w:ascii="Arial" w:hAnsi="Arial" w:cs="Arial"/>
          <w:b/>
          <w:bCs/>
          <w:sz w:val="22"/>
          <w:szCs w:val="22"/>
        </w:rPr>
        <w:t>Smoking and Vaping Cessation:</w:t>
      </w:r>
      <w:r w:rsidRPr="008F78FB">
        <w:rPr>
          <w:rFonts w:ascii="Arial" w:hAnsi="Arial" w:cs="Arial"/>
          <w:sz w:val="22"/>
          <w:szCs w:val="22"/>
        </w:rPr>
        <w:t> Patients must completely avoid tobacco smoke and e-cigarette aerosols. Nicotine and chemical carriers harm ciliary function, paralyze the mucociliary escalator, amplify bronchial inflammation, and cause steroid resistance in airway tissues, reducing the efficacy of controller inhalers. Clinicians should use motivational interviewing and direct youth to discreet, accessible digital cessation applications.</w:t>
      </w:r>
    </w:p>
    <w:p w14:paraId="7437A05D" w14:textId="77777777" w:rsidR="008F78FB" w:rsidRPr="008F78FB" w:rsidRDefault="008F78FB" w:rsidP="008F78FB">
      <w:pPr>
        <w:numPr>
          <w:ilvl w:val="0"/>
          <w:numId w:val="8"/>
        </w:numPr>
        <w:rPr>
          <w:rFonts w:ascii="Arial" w:hAnsi="Arial" w:cs="Arial"/>
          <w:sz w:val="22"/>
          <w:szCs w:val="22"/>
        </w:rPr>
      </w:pPr>
      <w:r w:rsidRPr="008F78FB">
        <w:rPr>
          <w:rFonts w:ascii="Arial" w:hAnsi="Arial" w:cs="Arial"/>
          <w:b/>
          <w:bCs/>
          <w:sz w:val="22"/>
          <w:szCs w:val="22"/>
        </w:rPr>
        <w:t>Avoidance of Crowded Internal Spaces:</w:t>
      </w:r>
      <w:r w:rsidRPr="008F78FB">
        <w:rPr>
          <w:rFonts w:ascii="Arial" w:hAnsi="Arial" w:cs="Arial"/>
          <w:sz w:val="22"/>
          <w:szCs w:val="22"/>
        </w:rPr>
        <w:t> Minimizing time spent in crowded, poorly ventilated indoor venues during peak viral seasons reduces the transmission of respiratory viral infections, which are major triggers for severe asthma attacks. Ensuring up-to-date influenza and respiratory vaccinations provides further prophylaxis.</w:t>
      </w:r>
    </w:p>
    <w:p w14:paraId="151001FB" w14:textId="77777777" w:rsidR="008F78FB" w:rsidRPr="008F78FB" w:rsidRDefault="008F78FB" w:rsidP="008F78FB">
      <w:pPr>
        <w:numPr>
          <w:ilvl w:val="0"/>
          <w:numId w:val="8"/>
        </w:numPr>
        <w:rPr>
          <w:rFonts w:ascii="Arial" w:hAnsi="Arial" w:cs="Arial"/>
          <w:sz w:val="22"/>
          <w:szCs w:val="22"/>
        </w:rPr>
      </w:pPr>
      <w:r w:rsidRPr="008F78FB">
        <w:rPr>
          <w:rFonts w:ascii="Arial" w:hAnsi="Arial" w:cs="Arial"/>
          <w:b/>
          <w:bCs/>
          <w:sz w:val="22"/>
          <w:szCs w:val="22"/>
        </w:rPr>
        <w:t>Structured Physical Activity:</w:t>
      </w:r>
      <w:r w:rsidRPr="008F78FB">
        <w:rPr>
          <w:rFonts w:ascii="Arial" w:hAnsi="Arial" w:cs="Arial"/>
          <w:sz w:val="22"/>
          <w:szCs w:val="22"/>
        </w:rPr>
        <w:t> Engaging in regular, moderate aerobic exercise improves cardiopulmonary efficiency and reduces systemic inflammation, provided exercise-induced bronchoconstriction (EIB) is managed. This includes structured pre-exercise warm-ups, avoiding exercise in extremely cold, dry air, or using a prophylactic SABA inhaler 15 minutes prior to exertion.</w:t>
      </w:r>
    </w:p>
    <w:p w14:paraId="2228A6C5" w14:textId="77777777" w:rsidR="008F78FB" w:rsidRPr="008F78FB" w:rsidRDefault="008F78FB" w:rsidP="008F78FB">
      <w:pPr>
        <w:numPr>
          <w:ilvl w:val="0"/>
          <w:numId w:val="8"/>
        </w:numPr>
        <w:rPr>
          <w:rFonts w:ascii="Arial" w:hAnsi="Arial" w:cs="Arial"/>
          <w:sz w:val="22"/>
          <w:szCs w:val="22"/>
        </w:rPr>
      </w:pPr>
      <w:r w:rsidRPr="008F78FB">
        <w:rPr>
          <w:rFonts w:ascii="Arial" w:hAnsi="Arial" w:cs="Arial"/>
          <w:b/>
          <w:bCs/>
          <w:sz w:val="22"/>
          <w:szCs w:val="22"/>
        </w:rPr>
        <w:t>Environmental Trigger Mitigation:</w:t>
      </w:r>
      <w:r w:rsidRPr="008F78FB">
        <w:rPr>
          <w:rFonts w:ascii="Arial" w:hAnsi="Arial" w:cs="Arial"/>
          <w:sz w:val="22"/>
          <w:szCs w:val="22"/>
        </w:rPr>
        <w:t xml:space="preserve"> Keeping indoor environments clean to limit dust mite accumulations, utilizing allergen-impermeable bedding covers, maintaining indoor humidity below 50% to prevent </w:t>
      </w:r>
      <w:proofErr w:type="spellStart"/>
      <w:r w:rsidRPr="008F78FB">
        <w:rPr>
          <w:rFonts w:ascii="Arial" w:hAnsi="Arial" w:cs="Arial"/>
          <w:sz w:val="22"/>
          <w:szCs w:val="22"/>
        </w:rPr>
        <w:t>mold</w:t>
      </w:r>
      <w:proofErr w:type="spellEnd"/>
      <w:r w:rsidRPr="008F78FB">
        <w:rPr>
          <w:rFonts w:ascii="Arial" w:hAnsi="Arial" w:cs="Arial"/>
          <w:sz w:val="22"/>
          <w:szCs w:val="22"/>
        </w:rPr>
        <w:t xml:space="preserve"> growth, and staying indoors during periods of extreme outdoor pollen counts or poor air quality directly reduces the allergen load on hypersensitive airways.</w:t>
      </w:r>
    </w:p>
    <w:p w14:paraId="0C9289F8" w14:textId="1852B45F" w:rsidR="008F78FB" w:rsidRPr="008F78FB" w:rsidRDefault="008F78FB" w:rsidP="008F78FB">
      <w:pPr>
        <w:rPr>
          <w:rFonts w:ascii="Arial" w:hAnsi="Arial" w:cs="Arial"/>
          <w:sz w:val="22"/>
          <w:szCs w:val="22"/>
        </w:rPr>
      </w:pPr>
    </w:p>
    <w:p w14:paraId="6CC39D9F"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lastRenderedPageBreak/>
        <w:t>g) Conclusion</w:t>
      </w:r>
    </w:p>
    <w:p w14:paraId="2782D540" w14:textId="77777777" w:rsidR="008F78FB" w:rsidRPr="008F78FB" w:rsidRDefault="008F78FB" w:rsidP="008F78FB">
      <w:pPr>
        <w:rPr>
          <w:rFonts w:ascii="Arial" w:hAnsi="Arial" w:cs="Arial"/>
          <w:sz w:val="22"/>
          <w:szCs w:val="22"/>
        </w:rPr>
      </w:pPr>
      <w:r w:rsidRPr="008F78FB">
        <w:rPr>
          <w:rFonts w:ascii="Arial" w:hAnsi="Arial" w:cs="Arial"/>
          <w:sz w:val="22"/>
          <w:szCs w:val="22"/>
        </w:rPr>
        <w:t xml:space="preserve">Effective adolescent asthma management requires a comprehensive understanding of basic respiratory anatomy, structural airway </w:t>
      </w:r>
      <w:proofErr w:type="spellStart"/>
      <w:r w:rsidRPr="008F78FB">
        <w:rPr>
          <w:rFonts w:ascii="Arial" w:hAnsi="Arial" w:cs="Arial"/>
          <w:sz w:val="22"/>
          <w:szCs w:val="22"/>
        </w:rPr>
        <w:t>defense</w:t>
      </w:r>
      <w:proofErr w:type="spellEnd"/>
      <w:r w:rsidRPr="008F78FB">
        <w:rPr>
          <w:rFonts w:ascii="Arial" w:hAnsi="Arial" w:cs="Arial"/>
          <w:sz w:val="22"/>
          <w:szCs w:val="22"/>
        </w:rPr>
        <w:t xml:space="preserve"> mechanisms, and gas exchange principles. Incorporating targeted lifestyle changes alongside consistent objective data collection through peak flow tracking helps patients control their symptoms. Addressing the risks of vaping, smoking, and viral exposures empowers adolescent patients to reduce exacerbation rates, protect their long-term lung function, and safely achieve optimal asthma control.</w:t>
      </w:r>
    </w:p>
    <w:p w14:paraId="613BAEB9" w14:textId="29F432EF" w:rsidR="008F78FB" w:rsidRPr="008F78FB" w:rsidRDefault="008F78FB" w:rsidP="008F78FB">
      <w:pPr>
        <w:rPr>
          <w:rFonts w:ascii="Arial" w:hAnsi="Arial" w:cs="Arial"/>
          <w:sz w:val="22"/>
          <w:szCs w:val="22"/>
        </w:rPr>
      </w:pPr>
    </w:p>
    <w:p w14:paraId="49AACB12" w14:textId="77777777" w:rsidR="008F78FB" w:rsidRPr="008F78FB" w:rsidRDefault="008F78FB" w:rsidP="008F78FB">
      <w:pPr>
        <w:rPr>
          <w:rFonts w:ascii="Arial" w:hAnsi="Arial" w:cs="Arial"/>
          <w:b/>
          <w:bCs/>
          <w:sz w:val="22"/>
          <w:szCs w:val="22"/>
        </w:rPr>
      </w:pPr>
      <w:r w:rsidRPr="008F78FB">
        <w:rPr>
          <w:rFonts w:ascii="Arial" w:hAnsi="Arial" w:cs="Arial"/>
          <w:b/>
          <w:bCs/>
          <w:sz w:val="22"/>
          <w:szCs w:val="22"/>
        </w:rPr>
        <w:t>h) References List</w:t>
      </w:r>
    </w:p>
    <w:p w14:paraId="383D3F8A" w14:textId="77777777" w:rsidR="008F78FB" w:rsidRPr="008F78FB" w:rsidRDefault="008F78FB" w:rsidP="008F78FB">
      <w:pPr>
        <w:numPr>
          <w:ilvl w:val="0"/>
          <w:numId w:val="9"/>
        </w:numPr>
        <w:rPr>
          <w:rFonts w:ascii="Arial" w:hAnsi="Arial" w:cs="Arial"/>
          <w:sz w:val="22"/>
          <w:szCs w:val="22"/>
        </w:rPr>
      </w:pPr>
      <w:r w:rsidRPr="008F78FB">
        <w:rPr>
          <w:rFonts w:ascii="Arial" w:hAnsi="Arial" w:cs="Arial"/>
          <w:sz w:val="22"/>
          <w:szCs w:val="22"/>
        </w:rPr>
        <w:t>British Thoracic Society (2019) </w:t>
      </w:r>
      <w:r w:rsidRPr="008F78FB">
        <w:rPr>
          <w:rFonts w:ascii="Arial" w:hAnsi="Arial" w:cs="Arial"/>
          <w:i/>
          <w:iCs/>
          <w:sz w:val="22"/>
          <w:szCs w:val="22"/>
        </w:rPr>
        <w:t>British guideline on the management of asthma</w:t>
      </w:r>
      <w:r w:rsidRPr="008F78FB">
        <w:rPr>
          <w:rFonts w:ascii="Arial" w:hAnsi="Arial" w:cs="Arial"/>
          <w:sz w:val="22"/>
          <w:szCs w:val="22"/>
        </w:rPr>
        <w:t>. Edinburgh: BTS/SIGN.</w:t>
      </w:r>
    </w:p>
    <w:p w14:paraId="20BB6E59" w14:textId="77777777" w:rsidR="008F78FB" w:rsidRPr="008F78FB" w:rsidRDefault="008F78FB" w:rsidP="008F78FB">
      <w:pPr>
        <w:numPr>
          <w:ilvl w:val="0"/>
          <w:numId w:val="9"/>
        </w:numPr>
        <w:rPr>
          <w:rFonts w:ascii="Arial" w:hAnsi="Arial" w:cs="Arial"/>
          <w:sz w:val="22"/>
          <w:szCs w:val="22"/>
        </w:rPr>
      </w:pPr>
      <w:r w:rsidRPr="008F78FB">
        <w:rPr>
          <w:rFonts w:ascii="Arial" w:hAnsi="Arial" w:cs="Arial"/>
          <w:sz w:val="22"/>
          <w:szCs w:val="22"/>
        </w:rPr>
        <w:t>Global Initiative for Asthma (2023) </w:t>
      </w:r>
      <w:r w:rsidRPr="008F78FB">
        <w:rPr>
          <w:rFonts w:ascii="Arial" w:hAnsi="Arial" w:cs="Arial"/>
          <w:i/>
          <w:iCs/>
          <w:sz w:val="22"/>
          <w:szCs w:val="22"/>
        </w:rPr>
        <w:t>Global strategy for asthma management and prevention</w:t>
      </w:r>
      <w:r w:rsidRPr="008F78FB">
        <w:rPr>
          <w:rFonts w:ascii="Arial" w:hAnsi="Arial" w:cs="Arial"/>
          <w:sz w:val="22"/>
          <w:szCs w:val="22"/>
        </w:rPr>
        <w:t xml:space="preserve">. Available at: </w:t>
      </w:r>
      <w:hyperlink r:id="rId7" w:tgtFrame="_blank" w:history="1">
        <w:r w:rsidRPr="008F78FB">
          <w:rPr>
            <w:rStyle w:val="Hyperlink"/>
            <w:rFonts w:ascii="Arial" w:hAnsi="Arial" w:cs="Arial"/>
            <w:sz w:val="22"/>
            <w:szCs w:val="22"/>
          </w:rPr>
          <w:t>ginasthma.org</w:t>
        </w:r>
      </w:hyperlink>
      <w:r w:rsidRPr="008F78FB">
        <w:rPr>
          <w:rFonts w:ascii="Arial" w:hAnsi="Arial" w:cs="Arial"/>
          <w:sz w:val="22"/>
          <w:szCs w:val="22"/>
        </w:rPr>
        <w:t>.</w:t>
      </w:r>
    </w:p>
    <w:p w14:paraId="5184FE4F" w14:textId="77777777" w:rsidR="008F78FB" w:rsidRPr="008F78FB" w:rsidRDefault="008F78FB" w:rsidP="008F78FB">
      <w:pPr>
        <w:numPr>
          <w:ilvl w:val="0"/>
          <w:numId w:val="9"/>
        </w:numPr>
        <w:rPr>
          <w:rFonts w:ascii="Arial" w:hAnsi="Arial" w:cs="Arial"/>
          <w:sz w:val="22"/>
          <w:szCs w:val="22"/>
        </w:rPr>
      </w:pPr>
      <w:r w:rsidRPr="008F78FB">
        <w:rPr>
          <w:rFonts w:ascii="Arial" w:hAnsi="Arial" w:cs="Arial"/>
          <w:sz w:val="22"/>
          <w:szCs w:val="22"/>
        </w:rPr>
        <w:t>Hall, J.E. and Hall, M.E. (2021) </w:t>
      </w:r>
      <w:r w:rsidRPr="008F78FB">
        <w:rPr>
          <w:rFonts w:ascii="Arial" w:hAnsi="Arial" w:cs="Arial"/>
          <w:i/>
          <w:iCs/>
          <w:sz w:val="22"/>
          <w:szCs w:val="22"/>
        </w:rPr>
        <w:t>Guyton and Hall textbook of medical physiology</w:t>
      </w:r>
      <w:r w:rsidRPr="008F78FB">
        <w:rPr>
          <w:rFonts w:ascii="Arial" w:hAnsi="Arial" w:cs="Arial"/>
          <w:sz w:val="22"/>
          <w:szCs w:val="22"/>
        </w:rPr>
        <w:t xml:space="preserve">. 14th </w:t>
      </w:r>
      <w:proofErr w:type="spellStart"/>
      <w:r w:rsidRPr="008F78FB">
        <w:rPr>
          <w:rFonts w:ascii="Arial" w:hAnsi="Arial" w:cs="Arial"/>
          <w:sz w:val="22"/>
          <w:szCs w:val="22"/>
        </w:rPr>
        <w:t>edn</w:t>
      </w:r>
      <w:proofErr w:type="spellEnd"/>
      <w:r w:rsidRPr="008F78FB">
        <w:rPr>
          <w:rFonts w:ascii="Arial" w:hAnsi="Arial" w:cs="Arial"/>
          <w:sz w:val="22"/>
          <w:szCs w:val="22"/>
        </w:rPr>
        <w:t>. Philadelphia: Elsevier.</w:t>
      </w:r>
    </w:p>
    <w:p w14:paraId="761CFC74" w14:textId="77777777" w:rsidR="008F78FB" w:rsidRPr="008F78FB" w:rsidRDefault="008F78FB" w:rsidP="008F78FB">
      <w:pPr>
        <w:numPr>
          <w:ilvl w:val="0"/>
          <w:numId w:val="9"/>
        </w:numPr>
        <w:rPr>
          <w:rFonts w:ascii="Arial" w:hAnsi="Arial" w:cs="Arial"/>
          <w:sz w:val="22"/>
          <w:szCs w:val="22"/>
        </w:rPr>
      </w:pPr>
      <w:r w:rsidRPr="008F78FB">
        <w:rPr>
          <w:rFonts w:ascii="Arial" w:hAnsi="Arial" w:cs="Arial"/>
          <w:sz w:val="22"/>
          <w:szCs w:val="22"/>
        </w:rPr>
        <w:t>Marieb, E.N. and Hoehn, K. (2020) </w:t>
      </w:r>
      <w:r w:rsidRPr="008F78FB">
        <w:rPr>
          <w:rFonts w:ascii="Arial" w:hAnsi="Arial" w:cs="Arial"/>
          <w:i/>
          <w:iCs/>
          <w:sz w:val="22"/>
          <w:szCs w:val="22"/>
        </w:rPr>
        <w:t>Human anatomy &amp; physiology</w:t>
      </w:r>
      <w:r w:rsidRPr="008F78FB">
        <w:rPr>
          <w:rFonts w:ascii="Arial" w:hAnsi="Arial" w:cs="Arial"/>
          <w:sz w:val="22"/>
          <w:szCs w:val="22"/>
        </w:rPr>
        <w:t xml:space="preserve">. 11th </w:t>
      </w:r>
      <w:proofErr w:type="spellStart"/>
      <w:r w:rsidRPr="008F78FB">
        <w:rPr>
          <w:rFonts w:ascii="Arial" w:hAnsi="Arial" w:cs="Arial"/>
          <w:sz w:val="22"/>
          <w:szCs w:val="22"/>
        </w:rPr>
        <w:t>edn</w:t>
      </w:r>
      <w:proofErr w:type="spellEnd"/>
      <w:r w:rsidRPr="008F78FB">
        <w:rPr>
          <w:rFonts w:ascii="Arial" w:hAnsi="Arial" w:cs="Arial"/>
          <w:sz w:val="22"/>
          <w:szCs w:val="22"/>
        </w:rPr>
        <w:t>. San Francisco: Pearson.</w:t>
      </w:r>
    </w:p>
    <w:p w14:paraId="79EA3CBA" w14:textId="3D3590B7" w:rsidR="0091706F" w:rsidRPr="008F78FB" w:rsidRDefault="0091706F" w:rsidP="002A528D">
      <w:pPr>
        <w:rPr>
          <w:rFonts w:ascii="Arial" w:hAnsi="Arial" w:cs="Arial"/>
          <w:sz w:val="22"/>
          <w:szCs w:val="22"/>
        </w:rPr>
      </w:pPr>
    </w:p>
    <w:sectPr w:rsidR="0091706F" w:rsidRPr="008F78F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3005C" w14:textId="77777777" w:rsidR="00636B53" w:rsidRDefault="00636B53" w:rsidP="00B93F4D">
      <w:pPr>
        <w:spacing w:after="0" w:line="240" w:lineRule="auto"/>
      </w:pPr>
      <w:r>
        <w:separator/>
      </w:r>
    </w:p>
  </w:endnote>
  <w:endnote w:type="continuationSeparator" w:id="0">
    <w:p w14:paraId="0272B9D1" w14:textId="77777777" w:rsidR="00636B53" w:rsidRDefault="00636B53" w:rsidP="00B9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73B9D" w14:textId="77777777" w:rsidR="00636B53" w:rsidRDefault="00636B53" w:rsidP="00B93F4D">
      <w:pPr>
        <w:spacing w:after="0" w:line="240" w:lineRule="auto"/>
      </w:pPr>
      <w:r>
        <w:separator/>
      </w:r>
    </w:p>
  </w:footnote>
  <w:footnote w:type="continuationSeparator" w:id="0">
    <w:p w14:paraId="4D1FC5A3" w14:textId="77777777" w:rsidR="00636B53" w:rsidRDefault="00636B53" w:rsidP="00B93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5C2D" w14:textId="77777777" w:rsidR="00E2546F" w:rsidRPr="00E2546F" w:rsidRDefault="00B93F4D">
    <w:pPr>
      <w:pStyle w:val="Header"/>
      <w:rPr>
        <w:rFonts w:ascii="Arial" w:hAnsi="Arial" w:cs="Arial"/>
        <w:sz w:val="22"/>
        <w:szCs w:val="22"/>
      </w:rPr>
    </w:pPr>
    <w:r w:rsidRPr="00E2546F">
      <w:rPr>
        <w:rFonts w:ascii="Arial" w:hAnsi="Arial" w:cs="Arial"/>
        <w:sz w:val="22"/>
        <w:szCs w:val="22"/>
      </w:rPr>
      <w:t>Nazia Begum</w:t>
    </w:r>
  </w:p>
  <w:p w14:paraId="1E431FF0" w14:textId="77777777" w:rsidR="00E2546F" w:rsidRPr="00E2546F" w:rsidRDefault="00E2546F">
    <w:pPr>
      <w:pStyle w:val="Header"/>
      <w:rPr>
        <w:rFonts w:ascii="Arial" w:hAnsi="Arial" w:cs="Arial"/>
        <w:sz w:val="22"/>
        <w:szCs w:val="22"/>
      </w:rPr>
    </w:pPr>
    <w:r w:rsidRPr="00E2546F">
      <w:rPr>
        <w:rFonts w:ascii="Arial" w:hAnsi="Arial" w:cs="Arial"/>
        <w:sz w:val="22"/>
        <w:szCs w:val="22"/>
      </w:rPr>
      <w:t>Student number- 2506373</w:t>
    </w:r>
  </w:p>
  <w:p w14:paraId="7F5E354A" w14:textId="77777777" w:rsidR="00E2546F" w:rsidRPr="00E2546F" w:rsidRDefault="00E2546F">
    <w:pPr>
      <w:pStyle w:val="Header"/>
      <w:rPr>
        <w:rFonts w:ascii="Arial" w:hAnsi="Arial" w:cs="Arial"/>
        <w:sz w:val="22"/>
        <w:szCs w:val="22"/>
      </w:rPr>
    </w:pPr>
    <w:r w:rsidRPr="00E2546F">
      <w:rPr>
        <w:rFonts w:ascii="Arial" w:hAnsi="Arial" w:cs="Arial"/>
        <w:sz w:val="22"/>
        <w:szCs w:val="22"/>
      </w:rPr>
      <w:t>Module code-BMHP5023</w:t>
    </w:r>
  </w:p>
  <w:p w14:paraId="37438250" w14:textId="77777777" w:rsidR="00E2546F" w:rsidRPr="00E2546F" w:rsidRDefault="00E2546F">
    <w:pPr>
      <w:pStyle w:val="Header"/>
      <w:rPr>
        <w:rFonts w:ascii="Arial" w:hAnsi="Arial" w:cs="Arial"/>
        <w:sz w:val="22"/>
        <w:szCs w:val="22"/>
      </w:rPr>
    </w:pPr>
    <w:r w:rsidRPr="00E2546F">
      <w:rPr>
        <w:rFonts w:ascii="Arial" w:hAnsi="Arial" w:cs="Arial"/>
        <w:sz w:val="22"/>
        <w:szCs w:val="22"/>
      </w:rPr>
      <w:t xml:space="preserve">Lecturer- Samuel </w:t>
    </w:r>
    <w:proofErr w:type="spellStart"/>
    <w:r w:rsidRPr="00E2546F">
      <w:rPr>
        <w:rFonts w:ascii="Arial" w:hAnsi="Arial" w:cs="Arial"/>
        <w:sz w:val="22"/>
        <w:szCs w:val="22"/>
      </w:rPr>
      <w:t>assan</w:t>
    </w:r>
    <w:proofErr w:type="spellEnd"/>
  </w:p>
  <w:p w14:paraId="5DA3C894" w14:textId="77777777" w:rsidR="00E2546F" w:rsidRPr="00E2546F" w:rsidRDefault="00E2546F">
    <w:pPr>
      <w:pStyle w:val="Header"/>
      <w:rPr>
        <w:rFonts w:ascii="Arial" w:hAnsi="Arial" w:cs="Arial"/>
        <w:sz w:val="22"/>
        <w:szCs w:val="22"/>
      </w:rPr>
    </w:pPr>
    <w:r w:rsidRPr="00E2546F">
      <w:rPr>
        <w:rFonts w:ascii="Arial" w:hAnsi="Arial" w:cs="Arial"/>
        <w:sz w:val="22"/>
        <w:szCs w:val="22"/>
      </w:rPr>
      <w:t>Module-introduction to psychology</w:t>
    </w:r>
  </w:p>
  <w:p w14:paraId="1C398AB9" w14:textId="04245488" w:rsidR="00B93F4D" w:rsidRPr="00E2546F" w:rsidRDefault="00E2546F">
    <w:pPr>
      <w:pStyle w:val="Header"/>
      <w:rPr>
        <w:rFonts w:ascii="Arial" w:hAnsi="Arial" w:cs="Arial"/>
        <w:sz w:val="22"/>
        <w:szCs w:val="22"/>
      </w:rPr>
    </w:pPr>
    <w:r w:rsidRPr="00E2546F">
      <w:rPr>
        <w:rFonts w:ascii="Arial" w:hAnsi="Arial" w:cs="Arial"/>
        <w:sz w:val="22"/>
        <w:szCs w:val="22"/>
      </w:rPr>
      <w:t>Written assignment (case study)</w:t>
    </w:r>
    <w:r w:rsidR="00B93F4D" w:rsidRPr="00E2546F">
      <w:rPr>
        <w:rFonts w:ascii="Arial" w:hAnsi="Arial" w:cs="Arial"/>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DEF"/>
    <w:multiLevelType w:val="multilevel"/>
    <w:tmpl w:val="EAC0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F0537F"/>
    <w:multiLevelType w:val="multilevel"/>
    <w:tmpl w:val="E2F2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64CA9"/>
    <w:multiLevelType w:val="multilevel"/>
    <w:tmpl w:val="4FBE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B30DD"/>
    <w:multiLevelType w:val="multilevel"/>
    <w:tmpl w:val="79FA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83910"/>
    <w:multiLevelType w:val="multilevel"/>
    <w:tmpl w:val="9CDC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66044"/>
    <w:multiLevelType w:val="multilevel"/>
    <w:tmpl w:val="BF98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ED0D3B"/>
    <w:multiLevelType w:val="hybridMultilevel"/>
    <w:tmpl w:val="20C484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9601FB"/>
    <w:multiLevelType w:val="multilevel"/>
    <w:tmpl w:val="58006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B54311"/>
    <w:multiLevelType w:val="multilevel"/>
    <w:tmpl w:val="45867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2969BC"/>
    <w:multiLevelType w:val="multilevel"/>
    <w:tmpl w:val="41E4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0713768">
    <w:abstractNumId w:val="5"/>
  </w:num>
  <w:num w:numId="2" w16cid:durableId="956983752">
    <w:abstractNumId w:val="7"/>
  </w:num>
  <w:num w:numId="3" w16cid:durableId="1240483309">
    <w:abstractNumId w:val="8"/>
  </w:num>
  <w:num w:numId="4" w16cid:durableId="840395059">
    <w:abstractNumId w:val="1"/>
  </w:num>
  <w:num w:numId="5" w16cid:durableId="1610241119">
    <w:abstractNumId w:val="4"/>
  </w:num>
  <w:num w:numId="6" w16cid:durableId="1913350346">
    <w:abstractNumId w:val="9"/>
  </w:num>
  <w:num w:numId="7" w16cid:durableId="245843225">
    <w:abstractNumId w:val="2"/>
  </w:num>
  <w:num w:numId="8" w16cid:durableId="49430372">
    <w:abstractNumId w:val="0"/>
  </w:num>
  <w:num w:numId="9" w16cid:durableId="540674928">
    <w:abstractNumId w:val="3"/>
  </w:num>
  <w:num w:numId="10" w16cid:durableId="11951935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28D"/>
    <w:rsid w:val="002A528D"/>
    <w:rsid w:val="00630378"/>
    <w:rsid w:val="00636B53"/>
    <w:rsid w:val="008029F3"/>
    <w:rsid w:val="00803AEB"/>
    <w:rsid w:val="008F78FB"/>
    <w:rsid w:val="0091706F"/>
    <w:rsid w:val="00987729"/>
    <w:rsid w:val="00B93F4D"/>
    <w:rsid w:val="00D7349A"/>
    <w:rsid w:val="00E25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69A5"/>
  <w15:chartTrackingRefBased/>
  <w15:docId w15:val="{AB0374B6-A798-4663-B876-174AB6B5E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2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2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2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2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2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2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2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2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2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2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2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2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2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2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2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2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2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28D"/>
    <w:rPr>
      <w:rFonts w:eastAsiaTheme="majorEastAsia" w:cstheme="majorBidi"/>
      <w:color w:val="272727" w:themeColor="text1" w:themeTint="D8"/>
    </w:rPr>
  </w:style>
  <w:style w:type="paragraph" w:styleId="Title">
    <w:name w:val="Title"/>
    <w:basedOn w:val="Normal"/>
    <w:next w:val="Normal"/>
    <w:link w:val="TitleChar"/>
    <w:uiPriority w:val="10"/>
    <w:qFormat/>
    <w:rsid w:val="002A52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2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2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2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28D"/>
    <w:pPr>
      <w:spacing w:before="160"/>
      <w:jc w:val="center"/>
    </w:pPr>
    <w:rPr>
      <w:i/>
      <w:iCs/>
      <w:color w:val="404040" w:themeColor="text1" w:themeTint="BF"/>
    </w:rPr>
  </w:style>
  <w:style w:type="character" w:customStyle="1" w:styleId="QuoteChar">
    <w:name w:val="Quote Char"/>
    <w:basedOn w:val="DefaultParagraphFont"/>
    <w:link w:val="Quote"/>
    <w:uiPriority w:val="29"/>
    <w:rsid w:val="002A528D"/>
    <w:rPr>
      <w:i/>
      <w:iCs/>
      <w:color w:val="404040" w:themeColor="text1" w:themeTint="BF"/>
    </w:rPr>
  </w:style>
  <w:style w:type="paragraph" w:styleId="ListParagraph">
    <w:name w:val="List Paragraph"/>
    <w:basedOn w:val="Normal"/>
    <w:uiPriority w:val="34"/>
    <w:qFormat/>
    <w:rsid w:val="002A528D"/>
    <w:pPr>
      <w:ind w:left="720"/>
      <w:contextualSpacing/>
    </w:pPr>
  </w:style>
  <w:style w:type="character" w:styleId="IntenseEmphasis">
    <w:name w:val="Intense Emphasis"/>
    <w:basedOn w:val="DefaultParagraphFont"/>
    <w:uiPriority w:val="21"/>
    <w:qFormat/>
    <w:rsid w:val="002A528D"/>
    <w:rPr>
      <w:i/>
      <w:iCs/>
      <w:color w:val="0F4761" w:themeColor="accent1" w:themeShade="BF"/>
    </w:rPr>
  </w:style>
  <w:style w:type="paragraph" w:styleId="IntenseQuote">
    <w:name w:val="Intense Quote"/>
    <w:basedOn w:val="Normal"/>
    <w:next w:val="Normal"/>
    <w:link w:val="IntenseQuoteChar"/>
    <w:uiPriority w:val="30"/>
    <w:qFormat/>
    <w:rsid w:val="002A52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28D"/>
    <w:rPr>
      <w:i/>
      <w:iCs/>
      <w:color w:val="0F4761" w:themeColor="accent1" w:themeShade="BF"/>
    </w:rPr>
  </w:style>
  <w:style w:type="character" w:styleId="IntenseReference">
    <w:name w:val="Intense Reference"/>
    <w:basedOn w:val="DefaultParagraphFont"/>
    <w:uiPriority w:val="32"/>
    <w:qFormat/>
    <w:rsid w:val="002A528D"/>
    <w:rPr>
      <w:b/>
      <w:bCs/>
      <w:smallCaps/>
      <w:color w:val="0F4761" w:themeColor="accent1" w:themeShade="BF"/>
      <w:spacing w:val="5"/>
    </w:rPr>
  </w:style>
  <w:style w:type="character" w:styleId="Hyperlink">
    <w:name w:val="Hyperlink"/>
    <w:basedOn w:val="DefaultParagraphFont"/>
    <w:uiPriority w:val="99"/>
    <w:unhideWhenUsed/>
    <w:rsid w:val="002A528D"/>
    <w:rPr>
      <w:color w:val="467886" w:themeColor="hyperlink"/>
      <w:u w:val="single"/>
    </w:rPr>
  </w:style>
  <w:style w:type="character" w:styleId="UnresolvedMention">
    <w:name w:val="Unresolved Mention"/>
    <w:basedOn w:val="DefaultParagraphFont"/>
    <w:uiPriority w:val="99"/>
    <w:semiHidden/>
    <w:unhideWhenUsed/>
    <w:rsid w:val="002A528D"/>
    <w:rPr>
      <w:color w:val="605E5C"/>
      <w:shd w:val="clear" w:color="auto" w:fill="E1DFDD"/>
    </w:rPr>
  </w:style>
  <w:style w:type="paragraph" w:styleId="Header">
    <w:name w:val="header"/>
    <w:basedOn w:val="Normal"/>
    <w:link w:val="HeaderChar"/>
    <w:uiPriority w:val="99"/>
    <w:unhideWhenUsed/>
    <w:rsid w:val="00B93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F4D"/>
  </w:style>
  <w:style w:type="paragraph" w:styleId="Footer">
    <w:name w:val="footer"/>
    <w:basedOn w:val="Normal"/>
    <w:link w:val="FooterChar"/>
    <w:uiPriority w:val="99"/>
    <w:unhideWhenUsed/>
    <w:rsid w:val="00B93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inasthm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2393</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Begum (2506373)</dc:creator>
  <cp:keywords/>
  <dc:description/>
  <cp:lastModifiedBy>Nazia Begum (2506373)</cp:lastModifiedBy>
  <cp:revision>2</cp:revision>
  <dcterms:created xsi:type="dcterms:W3CDTF">2026-10-25T17:55:00Z</dcterms:created>
  <dcterms:modified xsi:type="dcterms:W3CDTF">2026-10-25T17:55:00Z</dcterms:modified>
</cp:coreProperties>
</file>