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786C5" w14:textId="77777777" w:rsidR="003355F1" w:rsidRPr="00CF3DDD" w:rsidRDefault="003355F1" w:rsidP="00114F0D">
      <w:pPr>
        <w:spacing w:line="360" w:lineRule="auto"/>
        <w:rPr>
          <w:rFonts w:cs="Times New Roman"/>
          <w:sz w:val="32"/>
        </w:rPr>
      </w:pPr>
      <w:bookmarkStart w:id="0" w:name="_Toc209310546"/>
    </w:p>
    <w:p w14:paraId="7BD9E371" w14:textId="77777777" w:rsidR="003355F1" w:rsidRPr="00CF3DDD" w:rsidRDefault="003355F1" w:rsidP="00CF3DDD">
      <w:pPr>
        <w:spacing w:line="360" w:lineRule="auto"/>
        <w:ind w:left="1440" w:firstLine="720"/>
        <w:rPr>
          <w:rFonts w:cs="Times New Roman"/>
          <w:sz w:val="32"/>
        </w:rPr>
      </w:pPr>
    </w:p>
    <w:p w14:paraId="70F768DF" w14:textId="2D462EDC" w:rsidR="00D964C9" w:rsidRPr="00CF3DDD" w:rsidRDefault="00D964C9" w:rsidP="00CF3DDD">
      <w:pPr>
        <w:spacing w:line="360" w:lineRule="auto"/>
        <w:ind w:left="1440" w:firstLine="720"/>
        <w:rPr>
          <w:rFonts w:cs="Times New Roman"/>
          <w:sz w:val="32"/>
        </w:rPr>
      </w:pPr>
      <w:r w:rsidRPr="00CF3DDD">
        <w:rPr>
          <w:rFonts w:cs="Times New Roman"/>
          <w:noProof/>
        </w:rPr>
        <w:drawing>
          <wp:inline distT="0" distB="0" distL="0" distR="0" wp14:anchorId="3713BB2C" wp14:editId="30368B6C">
            <wp:extent cx="2877820" cy="1134110"/>
            <wp:effectExtent l="133350" t="114300" r="132080" b="1612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7820" cy="11341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bookmarkEnd w:id="0"/>
    </w:p>
    <w:p w14:paraId="5E7F38E8" w14:textId="77777777" w:rsidR="00D964C9" w:rsidRPr="00CF3DDD" w:rsidRDefault="00D964C9" w:rsidP="00CF3DDD">
      <w:pPr>
        <w:spacing w:line="360" w:lineRule="auto"/>
        <w:rPr>
          <w:rFonts w:cs="Times New Roman"/>
          <w:sz w:val="40"/>
          <w:szCs w:val="40"/>
        </w:rPr>
      </w:pPr>
    </w:p>
    <w:p w14:paraId="51B70CE6" w14:textId="77777777" w:rsidR="00D964C9" w:rsidRPr="00CF3DDD" w:rsidRDefault="00D964C9" w:rsidP="00CF3DDD">
      <w:pPr>
        <w:spacing w:line="360" w:lineRule="auto"/>
        <w:rPr>
          <w:rFonts w:cs="Times New Roman"/>
          <w:b/>
          <w:bCs/>
          <w:sz w:val="40"/>
          <w:szCs w:val="40"/>
        </w:rPr>
      </w:pPr>
      <w:r w:rsidRPr="00CF3DDD">
        <w:rPr>
          <w:rFonts w:cs="Times New Roman"/>
          <w:b/>
          <w:bCs/>
          <w:sz w:val="40"/>
          <w:szCs w:val="40"/>
        </w:rPr>
        <w:t>Title: Impact of Brand Equity on Brand Loyalty with Mediating Effects of Brand Trust and Brand Love</w:t>
      </w:r>
    </w:p>
    <w:p w14:paraId="7676AD9E" w14:textId="77777777" w:rsidR="003355F1" w:rsidRPr="00CF3DDD" w:rsidRDefault="003355F1" w:rsidP="00CF3DDD">
      <w:pPr>
        <w:spacing w:line="360" w:lineRule="auto"/>
        <w:rPr>
          <w:rFonts w:cs="Times New Roman"/>
          <w:b/>
          <w:bCs/>
          <w:sz w:val="52"/>
          <w:szCs w:val="40"/>
        </w:rPr>
      </w:pPr>
    </w:p>
    <w:tbl>
      <w:tblPr>
        <w:tblStyle w:val="TableGrid"/>
        <w:tblW w:w="0" w:type="auto"/>
        <w:tblLook w:val="04A0" w:firstRow="1" w:lastRow="0" w:firstColumn="1" w:lastColumn="0" w:noHBand="0" w:noVBand="1"/>
      </w:tblPr>
      <w:tblGrid>
        <w:gridCol w:w="3694"/>
        <w:gridCol w:w="3694"/>
      </w:tblGrid>
      <w:tr w:rsidR="00D964C9" w:rsidRPr="00CF3DDD" w14:paraId="0E1C570E" w14:textId="77777777" w:rsidTr="00D33AF4">
        <w:trPr>
          <w:trHeight w:val="292"/>
        </w:trPr>
        <w:tc>
          <w:tcPr>
            <w:tcW w:w="3694" w:type="dxa"/>
          </w:tcPr>
          <w:p w14:paraId="41EF6CFA" w14:textId="77777777" w:rsidR="00D964C9" w:rsidRPr="00CF3DDD" w:rsidRDefault="00D964C9" w:rsidP="00CF3DDD">
            <w:pPr>
              <w:spacing w:line="360" w:lineRule="auto"/>
              <w:rPr>
                <w:rFonts w:cs="Times New Roman"/>
                <w:b/>
                <w:bCs/>
                <w:szCs w:val="24"/>
              </w:rPr>
            </w:pPr>
            <w:r w:rsidRPr="00CF3DDD">
              <w:rPr>
                <w:rFonts w:cs="Times New Roman"/>
                <w:b/>
                <w:bCs/>
                <w:szCs w:val="24"/>
              </w:rPr>
              <w:t>Name</w:t>
            </w:r>
          </w:p>
        </w:tc>
        <w:tc>
          <w:tcPr>
            <w:tcW w:w="3694" w:type="dxa"/>
          </w:tcPr>
          <w:p w14:paraId="19347FED" w14:textId="77777777" w:rsidR="00D964C9" w:rsidRPr="00CF3DDD" w:rsidRDefault="00D964C9" w:rsidP="00CF3DDD">
            <w:pPr>
              <w:spacing w:line="360" w:lineRule="auto"/>
              <w:rPr>
                <w:rFonts w:cs="Times New Roman"/>
                <w:b/>
                <w:bCs/>
                <w:szCs w:val="24"/>
              </w:rPr>
            </w:pPr>
            <w:r w:rsidRPr="00CF3DDD">
              <w:rPr>
                <w:rFonts w:cs="Times New Roman"/>
                <w:b/>
                <w:bCs/>
                <w:szCs w:val="24"/>
              </w:rPr>
              <w:t>Teffy Susan Daniel</w:t>
            </w:r>
          </w:p>
        </w:tc>
      </w:tr>
      <w:tr w:rsidR="00D964C9" w:rsidRPr="00CF3DDD" w14:paraId="33A41F18" w14:textId="77777777" w:rsidTr="00D33AF4">
        <w:trPr>
          <w:trHeight w:val="281"/>
        </w:trPr>
        <w:tc>
          <w:tcPr>
            <w:tcW w:w="3694" w:type="dxa"/>
          </w:tcPr>
          <w:p w14:paraId="70447126" w14:textId="77777777" w:rsidR="00D964C9" w:rsidRPr="00CF3DDD" w:rsidRDefault="00D964C9" w:rsidP="00CF3DDD">
            <w:pPr>
              <w:spacing w:line="360" w:lineRule="auto"/>
              <w:rPr>
                <w:rFonts w:cs="Times New Roman"/>
                <w:b/>
                <w:bCs/>
                <w:szCs w:val="24"/>
              </w:rPr>
            </w:pPr>
            <w:r w:rsidRPr="00CF3DDD">
              <w:rPr>
                <w:rFonts w:cs="Times New Roman"/>
                <w:b/>
                <w:bCs/>
                <w:szCs w:val="24"/>
              </w:rPr>
              <w:t>Module No.</w:t>
            </w:r>
          </w:p>
        </w:tc>
        <w:tc>
          <w:tcPr>
            <w:tcW w:w="3694" w:type="dxa"/>
          </w:tcPr>
          <w:p w14:paraId="0CB5C06F" w14:textId="77777777" w:rsidR="00D964C9" w:rsidRPr="00CF3DDD" w:rsidRDefault="00D964C9" w:rsidP="00CF3DDD">
            <w:pPr>
              <w:spacing w:line="360" w:lineRule="auto"/>
              <w:rPr>
                <w:rFonts w:cs="Times New Roman"/>
                <w:b/>
                <w:bCs/>
                <w:szCs w:val="24"/>
              </w:rPr>
            </w:pPr>
            <w:r w:rsidRPr="00CF3DDD">
              <w:rPr>
                <w:rFonts w:cs="Times New Roman"/>
                <w:b/>
                <w:bCs/>
                <w:szCs w:val="24"/>
              </w:rPr>
              <w:t>BMMB7003 SWAN</w:t>
            </w:r>
          </w:p>
        </w:tc>
      </w:tr>
      <w:tr w:rsidR="00D964C9" w:rsidRPr="00CF3DDD" w14:paraId="3657A9BF" w14:textId="77777777" w:rsidTr="00D33AF4">
        <w:trPr>
          <w:trHeight w:val="292"/>
        </w:trPr>
        <w:tc>
          <w:tcPr>
            <w:tcW w:w="3694" w:type="dxa"/>
          </w:tcPr>
          <w:p w14:paraId="3A499B1C" w14:textId="77777777" w:rsidR="00D964C9" w:rsidRPr="00CF3DDD" w:rsidRDefault="00D964C9" w:rsidP="00CF3DDD">
            <w:pPr>
              <w:spacing w:line="360" w:lineRule="auto"/>
              <w:rPr>
                <w:rFonts w:cs="Times New Roman"/>
                <w:b/>
                <w:bCs/>
                <w:szCs w:val="24"/>
              </w:rPr>
            </w:pPr>
            <w:r w:rsidRPr="00CF3DDD">
              <w:rPr>
                <w:rFonts w:cs="Times New Roman"/>
                <w:b/>
                <w:bCs/>
                <w:szCs w:val="24"/>
              </w:rPr>
              <w:t>Subject Area</w:t>
            </w:r>
          </w:p>
        </w:tc>
        <w:tc>
          <w:tcPr>
            <w:tcW w:w="3694" w:type="dxa"/>
          </w:tcPr>
          <w:p w14:paraId="34D04E46" w14:textId="77777777" w:rsidR="00D964C9" w:rsidRPr="00CF3DDD" w:rsidRDefault="00D964C9" w:rsidP="00CF3DDD">
            <w:pPr>
              <w:spacing w:line="360" w:lineRule="auto"/>
              <w:rPr>
                <w:rFonts w:cs="Times New Roman"/>
                <w:b/>
                <w:bCs/>
                <w:szCs w:val="24"/>
              </w:rPr>
            </w:pPr>
            <w:r w:rsidRPr="00CF3DDD">
              <w:rPr>
                <w:rFonts w:cs="Times New Roman"/>
                <w:b/>
                <w:bCs/>
                <w:szCs w:val="24"/>
              </w:rPr>
              <w:t>Marketing</w:t>
            </w:r>
          </w:p>
        </w:tc>
      </w:tr>
      <w:tr w:rsidR="00D964C9" w:rsidRPr="00CF3DDD" w14:paraId="561DCC6B" w14:textId="77777777" w:rsidTr="00D33AF4">
        <w:trPr>
          <w:trHeight w:val="281"/>
        </w:trPr>
        <w:tc>
          <w:tcPr>
            <w:tcW w:w="3694" w:type="dxa"/>
          </w:tcPr>
          <w:p w14:paraId="5C17E7D1" w14:textId="77777777" w:rsidR="00D964C9" w:rsidRPr="00CF3DDD" w:rsidRDefault="00D964C9" w:rsidP="00CF3DDD">
            <w:pPr>
              <w:spacing w:line="360" w:lineRule="auto"/>
              <w:rPr>
                <w:rFonts w:cs="Times New Roman"/>
                <w:b/>
                <w:bCs/>
                <w:szCs w:val="24"/>
              </w:rPr>
            </w:pPr>
            <w:r w:rsidRPr="00CF3DDD">
              <w:rPr>
                <w:rFonts w:cs="Times New Roman"/>
                <w:b/>
                <w:bCs/>
                <w:szCs w:val="24"/>
              </w:rPr>
              <w:t>Company Name</w:t>
            </w:r>
          </w:p>
        </w:tc>
        <w:tc>
          <w:tcPr>
            <w:tcW w:w="3694" w:type="dxa"/>
          </w:tcPr>
          <w:p w14:paraId="1C251831" w14:textId="77777777" w:rsidR="00D964C9" w:rsidRPr="00CF3DDD" w:rsidRDefault="00D964C9" w:rsidP="00CF3DDD">
            <w:pPr>
              <w:spacing w:line="360" w:lineRule="auto"/>
              <w:rPr>
                <w:rFonts w:cs="Times New Roman"/>
                <w:b/>
                <w:bCs/>
                <w:szCs w:val="24"/>
              </w:rPr>
            </w:pPr>
            <w:r w:rsidRPr="00CF3DDD">
              <w:rPr>
                <w:rFonts w:cs="Times New Roman"/>
                <w:b/>
                <w:bCs/>
                <w:szCs w:val="24"/>
              </w:rPr>
              <w:t>Nestle</w:t>
            </w:r>
          </w:p>
        </w:tc>
      </w:tr>
      <w:tr w:rsidR="003355F1" w:rsidRPr="00CF3DDD" w14:paraId="1F34BCBA" w14:textId="77777777" w:rsidTr="00D33AF4">
        <w:trPr>
          <w:trHeight w:val="281"/>
        </w:trPr>
        <w:tc>
          <w:tcPr>
            <w:tcW w:w="3694" w:type="dxa"/>
          </w:tcPr>
          <w:p w14:paraId="5037FCB0" w14:textId="77777777" w:rsidR="003355F1" w:rsidRPr="00CF3DDD" w:rsidRDefault="003355F1" w:rsidP="00CF3DDD">
            <w:pPr>
              <w:spacing w:line="360" w:lineRule="auto"/>
              <w:rPr>
                <w:rFonts w:cs="Times New Roman"/>
                <w:b/>
                <w:bCs/>
                <w:szCs w:val="24"/>
              </w:rPr>
            </w:pPr>
            <w:r w:rsidRPr="00CF3DDD">
              <w:rPr>
                <w:rFonts w:cs="Times New Roman"/>
                <w:b/>
                <w:bCs/>
                <w:szCs w:val="24"/>
              </w:rPr>
              <w:t xml:space="preserve">Supervisor </w:t>
            </w:r>
          </w:p>
        </w:tc>
        <w:tc>
          <w:tcPr>
            <w:tcW w:w="3694" w:type="dxa"/>
          </w:tcPr>
          <w:p w14:paraId="0EE5C149" w14:textId="77777777" w:rsidR="003355F1" w:rsidRPr="00CF3DDD" w:rsidRDefault="003355F1" w:rsidP="00CF3DDD">
            <w:pPr>
              <w:spacing w:line="360" w:lineRule="auto"/>
              <w:rPr>
                <w:rFonts w:cs="Times New Roman"/>
                <w:b/>
                <w:bCs/>
                <w:szCs w:val="24"/>
              </w:rPr>
            </w:pPr>
            <w:r w:rsidRPr="00CF3DDD">
              <w:rPr>
                <w:rFonts w:cs="Times New Roman"/>
                <w:b/>
                <w:bCs/>
                <w:szCs w:val="24"/>
              </w:rPr>
              <w:t xml:space="preserve">Daniela Hellyer </w:t>
            </w:r>
          </w:p>
        </w:tc>
      </w:tr>
      <w:tr w:rsidR="003355F1" w:rsidRPr="00CF3DDD" w14:paraId="732B5D05" w14:textId="77777777" w:rsidTr="00D33AF4">
        <w:trPr>
          <w:trHeight w:val="281"/>
        </w:trPr>
        <w:tc>
          <w:tcPr>
            <w:tcW w:w="3694" w:type="dxa"/>
          </w:tcPr>
          <w:p w14:paraId="4538EFAE" w14:textId="77777777" w:rsidR="003355F1" w:rsidRPr="00CF3DDD" w:rsidRDefault="003355F1" w:rsidP="00CF3DDD">
            <w:pPr>
              <w:spacing w:line="360" w:lineRule="auto"/>
              <w:rPr>
                <w:rFonts w:cs="Times New Roman"/>
                <w:b/>
                <w:bCs/>
                <w:szCs w:val="24"/>
              </w:rPr>
            </w:pPr>
            <w:r w:rsidRPr="00CF3DDD">
              <w:rPr>
                <w:rFonts w:cs="Times New Roman"/>
                <w:b/>
                <w:bCs/>
                <w:szCs w:val="24"/>
              </w:rPr>
              <w:t xml:space="preserve">Submission date </w:t>
            </w:r>
          </w:p>
        </w:tc>
        <w:tc>
          <w:tcPr>
            <w:tcW w:w="3694" w:type="dxa"/>
          </w:tcPr>
          <w:p w14:paraId="344FC452" w14:textId="77777777" w:rsidR="003355F1" w:rsidRPr="00CF3DDD" w:rsidRDefault="003355F1" w:rsidP="00CF3DDD">
            <w:pPr>
              <w:spacing w:line="360" w:lineRule="auto"/>
              <w:rPr>
                <w:rFonts w:cs="Times New Roman"/>
                <w:b/>
                <w:bCs/>
                <w:szCs w:val="24"/>
              </w:rPr>
            </w:pPr>
            <w:r w:rsidRPr="00CF3DDD">
              <w:rPr>
                <w:rFonts w:cs="Times New Roman"/>
                <w:b/>
                <w:bCs/>
                <w:szCs w:val="24"/>
              </w:rPr>
              <w:t>26/09/2025</w:t>
            </w:r>
          </w:p>
        </w:tc>
      </w:tr>
    </w:tbl>
    <w:p w14:paraId="619C83D9" w14:textId="77777777" w:rsidR="00D964C9" w:rsidRPr="00CF3DDD" w:rsidRDefault="00D964C9" w:rsidP="00CF3DDD">
      <w:pPr>
        <w:spacing w:line="360" w:lineRule="auto"/>
        <w:rPr>
          <w:rFonts w:cs="Times New Roman"/>
        </w:rPr>
      </w:pPr>
    </w:p>
    <w:p w14:paraId="4C7AFF90" w14:textId="02C899F9" w:rsidR="00A91291" w:rsidRDefault="00A91291" w:rsidP="00CF3DDD">
      <w:pPr>
        <w:spacing w:line="360" w:lineRule="auto"/>
        <w:rPr>
          <w:rFonts w:cs="Times New Roman"/>
        </w:rPr>
      </w:pPr>
    </w:p>
    <w:p w14:paraId="64C78959" w14:textId="77777777" w:rsidR="00114F0D" w:rsidRPr="00CF3DDD" w:rsidRDefault="00114F0D" w:rsidP="00CF3DDD">
      <w:pPr>
        <w:spacing w:line="360" w:lineRule="auto"/>
        <w:rPr>
          <w:rFonts w:cs="Times New Roman"/>
        </w:rPr>
      </w:pPr>
    </w:p>
    <w:p w14:paraId="25AB0816" w14:textId="77777777" w:rsidR="00A91291" w:rsidRPr="00CF3DDD" w:rsidRDefault="00A91291" w:rsidP="00CF3DDD">
      <w:pPr>
        <w:spacing w:line="360" w:lineRule="auto"/>
        <w:rPr>
          <w:rFonts w:cs="Times New Roman"/>
        </w:rPr>
      </w:pPr>
    </w:p>
    <w:p w14:paraId="1FA23630" w14:textId="378F69F4" w:rsidR="00A91291" w:rsidRPr="00CF3DDD" w:rsidRDefault="006F5877" w:rsidP="00CF3DDD">
      <w:pPr>
        <w:spacing w:line="360" w:lineRule="auto"/>
        <w:rPr>
          <w:rFonts w:cs="Times New Roman"/>
        </w:rPr>
      </w:pPr>
      <w:r w:rsidRPr="00CF3DDD">
        <w:rPr>
          <w:rFonts w:cs="Times New Roman"/>
        </w:rPr>
        <w:fldChar w:fldCharType="begin"/>
      </w:r>
      <w:r w:rsidRPr="00CF3DDD">
        <w:rPr>
          <w:rFonts w:cs="Times New Roman"/>
        </w:rPr>
        <w:instrText>TOC \o "1-3" \h \z \u \p "......"</w:instrText>
      </w:r>
      <w:r w:rsidR="00804A4E">
        <w:rPr>
          <w:rFonts w:cs="Times New Roman"/>
        </w:rPr>
        <w:fldChar w:fldCharType="separate"/>
      </w:r>
      <w:r w:rsidRPr="00CF3DDD">
        <w:rPr>
          <w:rFonts w:cs="Times New Roman"/>
        </w:rPr>
        <w:fldChar w:fldCharType="end"/>
      </w:r>
      <w:r w:rsidRPr="00CF3DDD">
        <w:rPr>
          <w:rFonts w:cs="Times New Roman"/>
        </w:rPr>
        <w:fldChar w:fldCharType="begin"/>
      </w:r>
      <w:r w:rsidRPr="00CF3DDD">
        <w:rPr>
          <w:rFonts w:cs="Times New Roman"/>
        </w:rPr>
        <w:instrText>TOC \o "1-3" \h \z \u</w:instrText>
      </w:r>
      <w:r w:rsidR="00804A4E">
        <w:rPr>
          <w:rFonts w:cs="Times New Roman"/>
        </w:rPr>
        <w:fldChar w:fldCharType="separate"/>
      </w:r>
      <w:r w:rsidRPr="00CF3DDD">
        <w:rPr>
          <w:rFonts w:cs="Times New Roman"/>
        </w:rPr>
        <w:fldChar w:fldCharType="end"/>
      </w:r>
      <w:r w:rsidRPr="00CF3DDD">
        <w:rPr>
          <w:rFonts w:cs="Times New Roman"/>
        </w:rPr>
        <w:fldChar w:fldCharType="begin"/>
      </w:r>
      <w:r w:rsidRPr="00CF3DDD">
        <w:rPr>
          <w:rFonts w:cs="Times New Roman"/>
        </w:rPr>
        <w:instrText>TOC \o "1-3" \h \z \u</w:instrText>
      </w:r>
      <w:r w:rsidR="00804A4E">
        <w:rPr>
          <w:rFonts w:cs="Times New Roman"/>
        </w:rPr>
        <w:fldChar w:fldCharType="separate"/>
      </w:r>
      <w:r w:rsidRPr="00CF3DDD">
        <w:rPr>
          <w:rFonts w:cs="Times New Roman"/>
        </w:rPr>
        <w:fldChar w:fldCharType="end"/>
      </w:r>
    </w:p>
    <w:p w14:paraId="2D059C05" w14:textId="77777777" w:rsidR="00A91291" w:rsidRPr="00CF3DDD" w:rsidRDefault="00A91291" w:rsidP="00CF3DDD">
      <w:pPr>
        <w:spacing w:line="360" w:lineRule="auto"/>
        <w:rPr>
          <w:rFonts w:cs="Times New Roman"/>
          <w:b/>
          <w:bCs/>
        </w:rPr>
      </w:pPr>
      <w:r w:rsidRPr="00CF3DDD">
        <w:rPr>
          <w:rFonts w:cs="Times New Roman"/>
          <w:b/>
          <w:bCs/>
        </w:rPr>
        <w:lastRenderedPageBreak/>
        <w:t>DECLARATION</w:t>
      </w:r>
    </w:p>
    <w:p w14:paraId="4B3F285C" w14:textId="77777777" w:rsidR="00A91291" w:rsidRPr="00CF3DDD" w:rsidRDefault="00A91291" w:rsidP="00CF3DDD">
      <w:pPr>
        <w:spacing w:line="360" w:lineRule="auto"/>
        <w:rPr>
          <w:rFonts w:cs="Times New Roman"/>
        </w:rPr>
      </w:pPr>
      <w:r w:rsidRPr="00CF3DDD">
        <w:rPr>
          <w:rFonts w:cs="Times New Roman"/>
        </w:rPr>
        <w:t>​</w:t>
      </w:r>
    </w:p>
    <w:p w14:paraId="50FC2245" w14:textId="77777777" w:rsidR="00A91291" w:rsidRPr="00CF3DDD" w:rsidRDefault="00A91291" w:rsidP="00CF3DDD">
      <w:pPr>
        <w:spacing w:line="360" w:lineRule="auto"/>
        <w:rPr>
          <w:rFonts w:cs="Times New Roman"/>
        </w:rPr>
      </w:pPr>
      <w:r w:rsidRPr="00CF3DDD">
        <w:rPr>
          <w:rFonts w:cs="Times New Roman"/>
        </w:rPr>
        <w:t>This work has not previously been accepted in substance for any degree and is not being concurrently submitted in candidature for any degree.​</w:t>
      </w:r>
    </w:p>
    <w:p w14:paraId="73BB8A87" w14:textId="77777777" w:rsidR="00A91291" w:rsidRPr="00CF3DDD" w:rsidRDefault="00A91291" w:rsidP="00CF3DDD">
      <w:pPr>
        <w:spacing w:line="360" w:lineRule="auto"/>
        <w:rPr>
          <w:rFonts w:cs="Times New Roman"/>
        </w:rPr>
      </w:pPr>
      <w:r w:rsidRPr="00CF3DDD">
        <w:rPr>
          <w:rFonts w:cs="Times New Roman"/>
        </w:rPr>
        <w:t xml:space="preserve"> </w:t>
      </w:r>
    </w:p>
    <w:p w14:paraId="7CBE5899" w14:textId="77777777" w:rsidR="00A91291" w:rsidRPr="00CF3DDD" w:rsidRDefault="00A91291" w:rsidP="00CF3DDD">
      <w:pPr>
        <w:spacing w:line="360" w:lineRule="auto"/>
        <w:rPr>
          <w:rFonts w:cs="Times New Roman"/>
        </w:rPr>
      </w:pPr>
      <w:r w:rsidRPr="00CF3DDD">
        <w:rPr>
          <w:rFonts w:cs="Times New Roman"/>
        </w:rPr>
        <w:t xml:space="preserve">                      </w:t>
      </w:r>
    </w:p>
    <w:p w14:paraId="2D59D3A7" w14:textId="77777777" w:rsidR="00A91291" w:rsidRPr="00CF3DDD" w:rsidRDefault="00A91291" w:rsidP="00CF3DDD">
      <w:pPr>
        <w:spacing w:line="360" w:lineRule="auto"/>
        <w:rPr>
          <w:rFonts w:cs="Times New Roman"/>
        </w:rPr>
      </w:pPr>
      <w:r w:rsidRPr="00CF3DDD">
        <w:rPr>
          <w:rFonts w:cs="Times New Roman"/>
        </w:rPr>
        <w:t>Signed TEFFY SUSAN DANIEL (candidate)​</w:t>
      </w:r>
    </w:p>
    <w:p w14:paraId="6A198110" w14:textId="77777777" w:rsidR="00A91291" w:rsidRPr="00CF3DDD" w:rsidRDefault="00A91291" w:rsidP="00CF3DDD">
      <w:pPr>
        <w:spacing w:line="360" w:lineRule="auto"/>
        <w:rPr>
          <w:rFonts w:cs="Times New Roman"/>
        </w:rPr>
      </w:pPr>
      <w:r w:rsidRPr="00CF3DDD">
        <w:rPr>
          <w:rFonts w:cs="Times New Roman"/>
        </w:rPr>
        <w:t xml:space="preserve"> </w:t>
      </w:r>
    </w:p>
    <w:p w14:paraId="6F792305" w14:textId="77777777" w:rsidR="00A91291" w:rsidRPr="00CF3DDD" w:rsidRDefault="00A91291" w:rsidP="00CF3DDD">
      <w:pPr>
        <w:spacing w:line="360" w:lineRule="auto"/>
        <w:rPr>
          <w:rFonts w:cs="Times New Roman"/>
        </w:rPr>
      </w:pPr>
      <w:r w:rsidRPr="00CF3DDD">
        <w:rPr>
          <w:rFonts w:cs="Times New Roman"/>
        </w:rPr>
        <w:t>Date 26/09/2025</w:t>
      </w:r>
    </w:p>
    <w:p w14:paraId="070D7FC8" w14:textId="7E8F2145" w:rsidR="00A91291" w:rsidRPr="00CF3DDD" w:rsidRDefault="00A91291" w:rsidP="00CF3DDD">
      <w:pPr>
        <w:spacing w:line="360" w:lineRule="auto"/>
        <w:rPr>
          <w:rFonts w:cs="Times New Roman"/>
        </w:rPr>
      </w:pPr>
      <w:r w:rsidRPr="00CF3DDD">
        <w:rPr>
          <w:rFonts w:cs="Times New Roman"/>
        </w:rPr>
        <w:t xml:space="preserve"> </w:t>
      </w:r>
    </w:p>
    <w:p w14:paraId="2BEBC3F8" w14:textId="77777777" w:rsidR="00A91291" w:rsidRPr="00CF3DDD" w:rsidRDefault="00A91291" w:rsidP="00CF3DDD">
      <w:pPr>
        <w:spacing w:line="360" w:lineRule="auto"/>
        <w:rPr>
          <w:rFonts w:cs="Times New Roman"/>
        </w:rPr>
      </w:pPr>
      <w:r w:rsidRPr="00CF3DDD">
        <w:rPr>
          <w:rFonts w:cs="Times New Roman"/>
        </w:rPr>
        <w:t>STATEMENT 1​</w:t>
      </w:r>
    </w:p>
    <w:p w14:paraId="0EC9D04C" w14:textId="77777777" w:rsidR="00A91291" w:rsidRPr="00CF3DDD" w:rsidRDefault="00A91291" w:rsidP="00CF3DDD">
      <w:pPr>
        <w:spacing w:line="360" w:lineRule="auto"/>
        <w:rPr>
          <w:rFonts w:cs="Times New Roman"/>
        </w:rPr>
      </w:pPr>
      <w:r w:rsidRPr="00CF3DDD">
        <w:rPr>
          <w:rFonts w:cs="Times New Roman"/>
        </w:rPr>
        <w:t xml:space="preserve"> </w:t>
      </w:r>
    </w:p>
    <w:p w14:paraId="6F48A6DC" w14:textId="77777777" w:rsidR="00A91291" w:rsidRPr="00CF3DDD" w:rsidRDefault="00A91291" w:rsidP="00CF3DDD">
      <w:pPr>
        <w:spacing w:line="360" w:lineRule="auto"/>
        <w:rPr>
          <w:rFonts w:cs="Times New Roman"/>
        </w:rPr>
      </w:pPr>
      <w:r w:rsidRPr="00CF3DDD">
        <w:rPr>
          <w:rFonts w:cs="Times New Roman"/>
        </w:rPr>
        <w:t>This work is the result of my own investigations, except where otherwise stated.</w:t>
      </w:r>
    </w:p>
    <w:p w14:paraId="5136290D" w14:textId="77777777" w:rsidR="00A91291" w:rsidRPr="00CF3DDD" w:rsidRDefault="00A91291" w:rsidP="00CF3DDD">
      <w:pPr>
        <w:spacing w:line="360" w:lineRule="auto"/>
        <w:rPr>
          <w:rFonts w:cs="Times New Roman"/>
        </w:rPr>
      </w:pPr>
      <w:r w:rsidRPr="00CF3DDD">
        <w:rPr>
          <w:rFonts w:cs="Times New Roman"/>
        </w:rPr>
        <w:t xml:space="preserve"> </w:t>
      </w:r>
    </w:p>
    <w:p w14:paraId="25D1BD8D" w14:textId="77777777" w:rsidR="00A91291" w:rsidRPr="00CF3DDD" w:rsidRDefault="00A91291" w:rsidP="00CF3DDD">
      <w:pPr>
        <w:spacing w:line="360" w:lineRule="auto"/>
        <w:rPr>
          <w:rFonts w:cs="Times New Roman"/>
        </w:rPr>
      </w:pPr>
      <w:r w:rsidRPr="00CF3DDD">
        <w:rPr>
          <w:rFonts w:cs="Times New Roman"/>
        </w:rPr>
        <w:t>Other sources are acknowledged by footnotes giving explicit references.  A bibliography is appended.</w:t>
      </w:r>
    </w:p>
    <w:p w14:paraId="7A619E4A" w14:textId="77777777" w:rsidR="00A91291" w:rsidRPr="00CF3DDD" w:rsidRDefault="00A91291" w:rsidP="00CF3DDD">
      <w:pPr>
        <w:spacing w:line="360" w:lineRule="auto"/>
        <w:rPr>
          <w:rFonts w:cs="Times New Roman"/>
        </w:rPr>
      </w:pPr>
      <w:r w:rsidRPr="00CF3DDD">
        <w:rPr>
          <w:rFonts w:cs="Times New Roman"/>
        </w:rPr>
        <w:t xml:space="preserve"> </w:t>
      </w:r>
    </w:p>
    <w:p w14:paraId="0E027572" w14:textId="77777777" w:rsidR="00A91291" w:rsidRPr="00CF3DDD" w:rsidRDefault="00A91291" w:rsidP="00CF3DDD">
      <w:pPr>
        <w:spacing w:line="360" w:lineRule="auto"/>
        <w:rPr>
          <w:rFonts w:cs="Times New Roman"/>
        </w:rPr>
      </w:pPr>
      <w:r w:rsidRPr="00CF3DDD">
        <w:rPr>
          <w:rFonts w:cs="Times New Roman"/>
        </w:rPr>
        <w:t xml:space="preserve"> </w:t>
      </w:r>
    </w:p>
    <w:p w14:paraId="0F6053EF" w14:textId="77777777" w:rsidR="00A91291" w:rsidRPr="00CF3DDD" w:rsidRDefault="00A91291" w:rsidP="00CF3DDD">
      <w:pPr>
        <w:spacing w:line="360" w:lineRule="auto"/>
        <w:rPr>
          <w:rFonts w:cs="Times New Roman"/>
        </w:rPr>
      </w:pPr>
      <w:r w:rsidRPr="00CF3DDD">
        <w:rPr>
          <w:rFonts w:cs="Times New Roman"/>
        </w:rPr>
        <w:t>Signed TEFFY SUSAN DANIEL (candidate)​</w:t>
      </w:r>
    </w:p>
    <w:p w14:paraId="7D80B02B" w14:textId="77777777" w:rsidR="00A91291" w:rsidRPr="00CF3DDD" w:rsidRDefault="00A91291" w:rsidP="00CF3DDD">
      <w:pPr>
        <w:spacing w:line="360" w:lineRule="auto"/>
        <w:rPr>
          <w:rFonts w:cs="Times New Roman"/>
        </w:rPr>
      </w:pPr>
      <w:r w:rsidRPr="00CF3DDD">
        <w:rPr>
          <w:rFonts w:cs="Times New Roman"/>
        </w:rPr>
        <w:t xml:space="preserve"> </w:t>
      </w:r>
    </w:p>
    <w:p w14:paraId="4CF3523D" w14:textId="77777777" w:rsidR="00A91291" w:rsidRPr="00CF3DDD" w:rsidRDefault="00A91291" w:rsidP="00CF3DDD">
      <w:pPr>
        <w:spacing w:line="360" w:lineRule="auto"/>
        <w:rPr>
          <w:rFonts w:cs="Times New Roman"/>
        </w:rPr>
      </w:pPr>
      <w:r w:rsidRPr="00CF3DDD">
        <w:rPr>
          <w:rFonts w:cs="Times New Roman"/>
        </w:rPr>
        <w:t>Date 29/09/2025</w:t>
      </w:r>
    </w:p>
    <w:p w14:paraId="2DA6C84D" w14:textId="77777777" w:rsidR="00A91291" w:rsidRPr="00CF3DDD" w:rsidRDefault="00A91291" w:rsidP="00CF3DDD">
      <w:pPr>
        <w:spacing w:line="360" w:lineRule="auto"/>
        <w:rPr>
          <w:rFonts w:cs="Times New Roman"/>
        </w:rPr>
      </w:pPr>
      <w:r w:rsidRPr="00CF3DDD">
        <w:rPr>
          <w:rFonts w:cs="Times New Roman"/>
        </w:rPr>
        <w:t xml:space="preserve"> </w:t>
      </w:r>
    </w:p>
    <w:p w14:paraId="725EF927" w14:textId="77777777" w:rsidR="00A91291" w:rsidRPr="00CF3DDD" w:rsidRDefault="00A91291" w:rsidP="00CF3DDD">
      <w:pPr>
        <w:spacing w:line="360" w:lineRule="auto"/>
        <w:rPr>
          <w:rFonts w:cs="Times New Roman"/>
        </w:rPr>
      </w:pPr>
      <w:r w:rsidRPr="00CF3DDD">
        <w:rPr>
          <w:rFonts w:cs="Times New Roman"/>
        </w:rPr>
        <w:t xml:space="preserve"> </w:t>
      </w:r>
    </w:p>
    <w:p w14:paraId="40893C70" w14:textId="77777777" w:rsidR="00A91291" w:rsidRPr="00CF3DDD" w:rsidRDefault="00A91291" w:rsidP="00CF3DDD">
      <w:pPr>
        <w:spacing w:line="360" w:lineRule="auto"/>
        <w:rPr>
          <w:rFonts w:cs="Times New Roman"/>
        </w:rPr>
      </w:pPr>
      <w:r w:rsidRPr="00CF3DDD">
        <w:rPr>
          <w:rFonts w:cs="Times New Roman"/>
        </w:rPr>
        <w:lastRenderedPageBreak/>
        <w:t>STATEMENT 2​</w:t>
      </w:r>
    </w:p>
    <w:p w14:paraId="6BE0647C" w14:textId="77777777" w:rsidR="00A91291" w:rsidRPr="00CF3DDD" w:rsidRDefault="00A91291" w:rsidP="00CF3DDD">
      <w:pPr>
        <w:spacing w:line="360" w:lineRule="auto"/>
        <w:rPr>
          <w:rFonts w:cs="Times New Roman"/>
        </w:rPr>
      </w:pPr>
      <w:r w:rsidRPr="00CF3DDD">
        <w:rPr>
          <w:rFonts w:cs="Times New Roman"/>
        </w:rPr>
        <w:t xml:space="preserve"> </w:t>
      </w:r>
    </w:p>
    <w:p w14:paraId="1A7BD40C" w14:textId="77777777" w:rsidR="00A91291" w:rsidRPr="00CF3DDD" w:rsidRDefault="00A91291" w:rsidP="00CF3DDD">
      <w:pPr>
        <w:spacing w:line="360" w:lineRule="auto"/>
        <w:rPr>
          <w:rFonts w:cs="Times New Roman"/>
        </w:rPr>
      </w:pPr>
      <w:r>
        <w:t>I hereby give consent for my work, if accepted, to be available for photocopying and for inter-library loan, and for the title and summary to be made available to outside organisations.​</w:t>
      </w:r>
    </w:p>
    <w:p w14:paraId="7B3BE110" w14:textId="0EF25294" w:rsidR="00A91291" w:rsidRPr="00CF3DDD" w:rsidRDefault="00A91291" w:rsidP="00CF3DDD">
      <w:pPr>
        <w:spacing w:line="360" w:lineRule="auto"/>
        <w:rPr>
          <w:rFonts w:cs="Times New Roman"/>
        </w:rPr>
      </w:pPr>
      <w:r w:rsidRPr="00CF3DDD">
        <w:rPr>
          <w:rFonts w:cs="Times New Roman"/>
        </w:rPr>
        <w:t xml:space="preserve"> </w:t>
      </w:r>
    </w:p>
    <w:p w14:paraId="43362078" w14:textId="77777777" w:rsidR="00A91291" w:rsidRPr="00CF3DDD" w:rsidRDefault="00A91291" w:rsidP="00CF3DDD">
      <w:pPr>
        <w:spacing w:line="360" w:lineRule="auto"/>
        <w:rPr>
          <w:rFonts w:cs="Times New Roman"/>
        </w:rPr>
      </w:pPr>
      <w:r w:rsidRPr="00CF3DDD">
        <w:rPr>
          <w:rFonts w:cs="Times New Roman"/>
        </w:rPr>
        <w:t>Signed TEFFY SUSAN DANIEL (candidate)​</w:t>
      </w:r>
    </w:p>
    <w:p w14:paraId="0E88669A" w14:textId="77777777" w:rsidR="00A91291" w:rsidRPr="00CF3DDD" w:rsidRDefault="00A91291" w:rsidP="00CF3DDD">
      <w:pPr>
        <w:spacing w:line="360" w:lineRule="auto"/>
        <w:rPr>
          <w:rFonts w:cs="Times New Roman"/>
        </w:rPr>
      </w:pPr>
      <w:r w:rsidRPr="00CF3DDD">
        <w:rPr>
          <w:rFonts w:cs="Times New Roman"/>
        </w:rPr>
        <w:t xml:space="preserve"> </w:t>
      </w:r>
    </w:p>
    <w:p w14:paraId="21D4CE9B" w14:textId="77777777" w:rsidR="00A91291" w:rsidRPr="00CF3DDD" w:rsidRDefault="00A91291" w:rsidP="00CF3DDD">
      <w:pPr>
        <w:spacing w:line="360" w:lineRule="auto"/>
        <w:rPr>
          <w:rFonts w:cs="Times New Roman"/>
        </w:rPr>
      </w:pPr>
      <w:r w:rsidRPr="00CF3DDD">
        <w:rPr>
          <w:rFonts w:cs="Times New Roman"/>
        </w:rPr>
        <w:t>Date 26/09/2025</w:t>
      </w:r>
    </w:p>
    <w:p w14:paraId="7C06CDAC" w14:textId="77777777" w:rsidR="00A91291" w:rsidRPr="00CF3DDD" w:rsidRDefault="00A91291" w:rsidP="00CF3DDD">
      <w:pPr>
        <w:spacing w:line="360" w:lineRule="auto"/>
        <w:rPr>
          <w:rFonts w:cs="Times New Roman"/>
        </w:rPr>
      </w:pPr>
    </w:p>
    <w:p w14:paraId="5A7D6AB0" w14:textId="1D2DE5F2" w:rsidR="00A91291" w:rsidRPr="00CF3DDD" w:rsidRDefault="00A91291" w:rsidP="00CF3DDD">
      <w:pPr>
        <w:spacing w:line="360" w:lineRule="auto"/>
        <w:rPr>
          <w:rFonts w:cs="Times New Roman"/>
        </w:rPr>
      </w:pPr>
    </w:p>
    <w:p w14:paraId="04DB361B" w14:textId="68B75E55" w:rsidR="0010486B" w:rsidRPr="00CF3DDD" w:rsidRDefault="0010486B" w:rsidP="00CF3DDD">
      <w:pPr>
        <w:spacing w:line="360" w:lineRule="auto"/>
        <w:rPr>
          <w:rFonts w:cs="Times New Roman"/>
        </w:rPr>
      </w:pPr>
    </w:p>
    <w:p w14:paraId="5DAAC961" w14:textId="66FB9D9C" w:rsidR="0010486B" w:rsidRPr="00CF3DDD" w:rsidRDefault="0010486B" w:rsidP="00CF3DDD">
      <w:pPr>
        <w:spacing w:line="360" w:lineRule="auto"/>
        <w:rPr>
          <w:rFonts w:cs="Times New Roman"/>
        </w:rPr>
      </w:pPr>
    </w:p>
    <w:p w14:paraId="5DDA5604" w14:textId="27C9473E" w:rsidR="0010486B" w:rsidRPr="00CF3DDD" w:rsidRDefault="0010486B" w:rsidP="00CF3DDD">
      <w:pPr>
        <w:spacing w:line="360" w:lineRule="auto"/>
        <w:rPr>
          <w:rFonts w:cs="Times New Roman"/>
        </w:rPr>
      </w:pPr>
    </w:p>
    <w:p w14:paraId="6FBEEDDC" w14:textId="139F0C1B" w:rsidR="0010486B" w:rsidRPr="00CF3DDD" w:rsidRDefault="0010486B" w:rsidP="00CF3DDD">
      <w:pPr>
        <w:spacing w:line="360" w:lineRule="auto"/>
        <w:rPr>
          <w:rFonts w:cs="Times New Roman"/>
        </w:rPr>
      </w:pPr>
    </w:p>
    <w:p w14:paraId="57A02506" w14:textId="378A8663" w:rsidR="0010486B" w:rsidRPr="00CF3DDD" w:rsidRDefault="0010486B" w:rsidP="00CF3DDD">
      <w:pPr>
        <w:spacing w:line="360" w:lineRule="auto"/>
        <w:rPr>
          <w:rFonts w:cs="Times New Roman"/>
        </w:rPr>
      </w:pPr>
    </w:p>
    <w:p w14:paraId="58525244" w14:textId="65F3C165" w:rsidR="0010486B" w:rsidRPr="00CF3DDD" w:rsidRDefault="0010486B" w:rsidP="00CF3DDD">
      <w:pPr>
        <w:spacing w:line="360" w:lineRule="auto"/>
        <w:rPr>
          <w:rFonts w:cs="Times New Roman"/>
        </w:rPr>
      </w:pPr>
    </w:p>
    <w:p w14:paraId="534F370D" w14:textId="41366B26" w:rsidR="0010486B" w:rsidRPr="00CF3DDD" w:rsidRDefault="0010486B" w:rsidP="00CF3DDD">
      <w:pPr>
        <w:spacing w:line="360" w:lineRule="auto"/>
        <w:rPr>
          <w:rFonts w:cs="Times New Roman"/>
        </w:rPr>
      </w:pPr>
    </w:p>
    <w:p w14:paraId="5FB9561D" w14:textId="2A6E6144" w:rsidR="0010486B" w:rsidRPr="00CF3DDD" w:rsidRDefault="0010486B" w:rsidP="00CF3DDD">
      <w:pPr>
        <w:spacing w:line="360" w:lineRule="auto"/>
        <w:rPr>
          <w:rFonts w:cs="Times New Roman"/>
        </w:rPr>
      </w:pPr>
    </w:p>
    <w:p w14:paraId="67963F4C" w14:textId="54C7C302" w:rsidR="0010486B" w:rsidRPr="00CF3DDD" w:rsidRDefault="0010486B" w:rsidP="00CF3DDD">
      <w:pPr>
        <w:spacing w:line="360" w:lineRule="auto"/>
        <w:rPr>
          <w:rFonts w:cs="Times New Roman"/>
        </w:rPr>
      </w:pPr>
    </w:p>
    <w:p w14:paraId="0E911998" w14:textId="77777777" w:rsidR="0010486B" w:rsidRPr="00CF3DDD" w:rsidRDefault="0010486B" w:rsidP="00CF3DDD">
      <w:pPr>
        <w:spacing w:line="360" w:lineRule="auto"/>
        <w:rPr>
          <w:rFonts w:cs="Times New Roman"/>
        </w:rPr>
      </w:pPr>
    </w:p>
    <w:p w14:paraId="1872C765" w14:textId="6D391759" w:rsidR="007956D7" w:rsidRPr="00CF3DDD" w:rsidRDefault="007956D7" w:rsidP="00CF3DDD">
      <w:pPr>
        <w:pStyle w:val="Heading1"/>
        <w:spacing w:line="360" w:lineRule="auto"/>
        <w:ind w:left="0"/>
        <w:rPr>
          <w:rFonts w:cs="Times New Roman"/>
        </w:rPr>
      </w:pPr>
      <w:bookmarkStart w:id="1" w:name="_Toc209310557"/>
      <w:r w:rsidRPr="00CF3DDD">
        <w:rPr>
          <w:rFonts w:cs="Times New Roman"/>
        </w:rPr>
        <w:lastRenderedPageBreak/>
        <w:t>Abstract</w:t>
      </w:r>
      <w:bookmarkEnd w:id="1"/>
    </w:p>
    <w:p w14:paraId="06581EEC" w14:textId="77777777" w:rsidR="007956D7" w:rsidRPr="00CF3DDD" w:rsidRDefault="007956D7" w:rsidP="00CF3DDD">
      <w:pPr>
        <w:spacing w:before="100" w:beforeAutospacing="1" w:after="100" w:afterAutospacing="1" w:line="360" w:lineRule="auto"/>
        <w:outlineLvl w:val="1"/>
        <w:rPr>
          <w:rFonts w:eastAsia="Times New Roman" w:cs="Times New Roman"/>
          <w:szCs w:val="24"/>
        </w:rPr>
      </w:pPr>
      <w:r>
        <w:t>This dissertation investigates the relationship between brand equity and brand loyalty, with particular attention to the mediating roles of brand trust and brand love. The study is grounded in the growing recognition that consumer perceptions of brand value extend beyond functional attributes and increasingly encompass emotional and relational factors. Drawing upon established theories of consumer behaviour and relationship marketing, the research explores how brand equity influences customer loyalty and how this effect is strengthened when trust and emotional attachment are present.</w:t>
      </w:r>
    </w:p>
    <w:p w14:paraId="7DA7042B" w14:textId="77777777" w:rsidR="007956D7" w:rsidRPr="00CF3DDD" w:rsidRDefault="007956D7" w:rsidP="00CF3DDD">
      <w:pPr>
        <w:spacing w:before="100" w:beforeAutospacing="1" w:after="100" w:afterAutospacing="1" w:line="360" w:lineRule="auto"/>
        <w:outlineLvl w:val="1"/>
        <w:rPr>
          <w:rFonts w:eastAsia="Times New Roman" w:cs="Times New Roman"/>
          <w:szCs w:val="24"/>
        </w:rPr>
      </w:pPr>
      <w:r>
        <w:t>A quantitative research design was employed, using a structured survey administered to Nestlé consumers in the United Kingdom. Data were collected through a convenience sampling method, with responses analysed using reliability testing, correlation, and regression models. The findings demonstrate that brand equity has a significant and positive association with brand trust and brand love. Moreover, both mediators were shown to enhance the relationship between brand equity and brand loyalty, though the direct effect of brand equity on loyalty was weaker than its indirect effects through trust and love. These results highlight that loyalty is not simply a function of perceived value however is shaped by deeper psychological and emotional dimensions.</w:t>
      </w:r>
    </w:p>
    <w:p w14:paraId="0B57EDEB" w14:textId="77777777" w:rsidR="007956D7" w:rsidRPr="00CF3DDD" w:rsidRDefault="007956D7" w:rsidP="00CF3DDD">
      <w:pPr>
        <w:spacing w:before="100" w:beforeAutospacing="1" w:after="100" w:afterAutospacing="1" w:line="360" w:lineRule="auto"/>
        <w:outlineLvl w:val="1"/>
        <w:rPr>
          <w:rFonts w:eastAsia="Times New Roman" w:cs="Times New Roman"/>
          <w:szCs w:val="24"/>
        </w:rPr>
      </w:pPr>
      <w:bookmarkStart w:id="2" w:name="_Toc209192995"/>
      <w:bookmarkStart w:id="3" w:name="_Toc209310560"/>
      <w:r w:rsidRPr="00CF3DDD">
        <w:rPr>
          <w:rFonts w:eastAsia="Times New Roman" w:cs="Times New Roman"/>
          <w:szCs w:val="24"/>
        </w:rPr>
        <w:t>The study makes both theoretical and practical contributions. From a theoretical perspective, it extends existing brand management literature by integrating trust and love as mediating mechanisms in the brand equity–loyalty relationship. From a managerial standpoint, the research offers insights for brand strategists, stressing the importance of cultivating emotional bonds and fostering consumer trust to sustain long-term loyalty. Limitations such as reliance on self-reported data and a cross-sectional design suggest directions for future research, including longitudinal studies and cross-cultural comparisons.</w:t>
      </w:r>
      <w:bookmarkEnd w:id="2"/>
      <w:bookmarkEnd w:id="3"/>
    </w:p>
    <w:p w14:paraId="474F136F" w14:textId="08527F98" w:rsidR="00ED7B41" w:rsidRPr="00CF3DDD" w:rsidRDefault="00110F74" w:rsidP="00CF3DDD">
      <w:pPr>
        <w:pStyle w:val="Heading3"/>
        <w:spacing w:line="360" w:lineRule="auto"/>
      </w:pPr>
      <w:bookmarkStart w:id="4" w:name="_Toc209310561"/>
      <w:r w:rsidRPr="00CF3DDD">
        <w:t>Methodology/Design</w:t>
      </w:r>
      <w:bookmarkEnd w:id="4"/>
    </w:p>
    <w:p w14:paraId="3FA9529B" w14:textId="011BA359" w:rsidR="00110F74" w:rsidRPr="00CF3DDD" w:rsidRDefault="00110F74" w:rsidP="00CF3DDD">
      <w:pPr>
        <w:spacing w:line="360" w:lineRule="auto"/>
        <w:rPr>
          <w:rFonts w:cs="Times New Roman"/>
        </w:rPr>
      </w:pPr>
      <w:r>
        <w:t>The data were collected from 467 respondents in May. Convenience sampling technique was used to collect data and respondents were asked to complete a questionnaire through Google Forms.</w:t>
      </w:r>
    </w:p>
    <w:p w14:paraId="1C562D07" w14:textId="77777777" w:rsidR="0010486B" w:rsidRPr="00CF3DDD" w:rsidRDefault="0010486B" w:rsidP="00CF3DDD">
      <w:pPr>
        <w:spacing w:line="360" w:lineRule="auto"/>
        <w:rPr>
          <w:rFonts w:cs="Times New Roman"/>
        </w:rPr>
      </w:pPr>
    </w:p>
    <w:p w14:paraId="5DD2D082" w14:textId="749C182B" w:rsidR="00110F74" w:rsidRPr="00CF3DDD" w:rsidRDefault="00110F74" w:rsidP="00CF3DDD">
      <w:pPr>
        <w:pStyle w:val="Heading3"/>
        <w:spacing w:line="360" w:lineRule="auto"/>
      </w:pPr>
      <w:bookmarkStart w:id="5" w:name="_Toc209310562"/>
      <w:r w:rsidRPr="00CF3DDD">
        <w:lastRenderedPageBreak/>
        <w:t>Findings:</w:t>
      </w:r>
      <w:bookmarkEnd w:id="5"/>
    </w:p>
    <w:p w14:paraId="7B960103" w14:textId="77777777" w:rsidR="00F93EAF" w:rsidRPr="00CF3DDD" w:rsidRDefault="00F93EAF" w:rsidP="00CF3DDD">
      <w:pPr>
        <w:spacing w:line="360" w:lineRule="auto"/>
        <w:rPr>
          <w:rFonts w:cs="Times New Roman"/>
        </w:rPr>
      </w:pPr>
      <w:r w:rsidRPr="00CF3DDD">
        <w:rPr>
          <w:rFonts w:cs="Times New Roman"/>
        </w:rPr>
        <w:t xml:space="preserve">The findings indicate that brand equity positively influences brand loyalty, with brand trust and brand love serving as a </w:t>
      </w:r>
      <w:r w:rsidR="002A553F" w:rsidRPr="00CF3DDD">
        <w:rPr>
          <w:rFonts w:cs="Times New Roman"/>
        </w:rPr>
        <w:t>key mediator</w:t>
      </w:r>
      <w:r w:rsidRPr="00CF3DDD">
        <w:rPr>
          <w:rFonts w:cs="Times New Roman"/>
        </w:rPr>
        <w:t xml:space="preserve"> that explains the relationship between brand equity and brand loyalty.</w:t>
      </w:r>
    </w:p>
    <w:p w14:paraId="44B1BE9C" w14:textId="066D7EC3" w:rsidR="00110F74" w:rsidRPr="00CF3DDD" w:rsidRDefault="00110F74" w:rsidP="00CF3DDD">
      <w:pPr>
        <w:pStyle w:val="Heading3"/>
        <w:spacing w:line="360" w:lineRule="auto"/>
      </w:pPr>
      <w:bookmarkStart w:id="6" w:name="_Toc209310563"/>
      <w:r w:rsidRPr="00CF3DDD">
        <w:t>Limitations/Future directions:</w:t>
      </w:r>
      <w:bookmarkEnd w:id="6"/>
    </w:p>
    <w:p w14:paraId="71EA3D83" w14:textId="77777777" w:rsidR="00110F74" w:rsidRPr="00CF3DDD" w:rsidRDefault="00110F74" w:rsidP="00CF3DDD">
      <w:pPr>
        <w:spacing w:line="360" w:lineRule="auto"/>
        <w:rPr>
          <w:rFonts w:cs="Times New Roman"/>
        </w:rPr>
      </w:pPr>
      <w:r>
        <w:t>The data were collected through convenience sampling therefore I suggest to use different sampling techniques in the future to get variable results.</w:t>
      </w:r>
    </w:p>
    <w:p w14:paraId="4246B86F" w14:textId="024DEAF7" w:rsidR="00110F74" w:rsidRPr="00CF3DDD" w:rsidRDefault="00110F74" w:rsidP="00CF3DDD">
      <w:pPr>
        <w:pStyle w:val="Heading3"/>
        <w:spacing w:line="360" w:lineRule="auto"/>
      </w:pPr>
      <w:bookmarkStart w:id="7" w:name="_Toc209310564"/>
      <w:r w:rsidRPr="00CF3DDD">
        <w:t>Key Words:</w:t>
      </w:r>
      <w:bookmarkEnd w:id="7"/>
    </w:p>
    <w:p w14:paraId="2E1E5F41" w14:textId="77777777" w:rsidR="002A553F" w:rsidRPr="00CF3DDD" w:rsidRDefault="002A553F" w:rsidP="00CF3DDD">
      <w:pPr>
        <w:spacing w:line="360" w:lineRule="auto"/>
        <w:rPr>
          <w:rFonts w:cs="Times New Roman"/>
        </w:rPr>
      </w:pPr>
      <w:r w:rsidRPr="00CF3DDD">
        <w:rPr>
          <w:rFonts w:cs="Times New Roman"/>
        </w:rPr>
        <w:t>Nestle, Brand Trust, Brand Love, Brand Loyalty, Brand Equity</w:t>
      </w:r>
    </w:p>
    <w:p w14:paraId="5E390DCA" w14:textId="0FCFA1CF" w:rsidR="00110F74" w:rsidRPr="00CF3DDD" w:rsidRDefault="00110F74" w:rsidP="00CF3DDD">
      <w:pPr>
        <w:pStyle w:val="Heading3"/>
        <w:spacing w:line="360" w:lineRule="auto"/>
      </w:pPr>
      <w:bookmarkStart w:id="8" w:name="_Toc209310565"/>
      <w:r w:rsidRPr="00CF3DDD">
        <w:t>Paper Type:</w:t>
      </w:r>
      <w:bookmarkEnd w:id="8"/>
    </w:p>
    <w:p w14:paraId="4DD2DBAB" w14:textId="77777777" w:rsidR="00110F74" w:rsidRPr="00CF3DDD" w:rsidRDefault="002A553F" w:rsidP="00CF3DDD">
      <w:pPr>
        <w:spacing w:line="360" w:lineRule="auto"/>
        <w:rPr>
          <w:rFonts w:cs="Times New Roman"/>
        </w:rPr>
      </w:pPr>
      <w:r w:rsidRPr="00CF3DDD">
        <w:rPr>
          <w:rFonts w:cs="Times New Roman"/>
        </w:rPr>
        <w:t>Dissertation</w:t>
      </w:r>
    </w:p>
    <w:p w14:paraId="2D420E6E" w14:textId="77777777" w:rsidR="00A91291" w:rsidRPr="00CF3DDD" w:rsidRDefault="00A91291" w:rsidP="00CF3DDD">
      <w:pPr>
        <w:spacing w:line="360" w:lineRule="auto"/>
        <w:rPr>
          <w:rFonts w:cs="Times New Roman"/>
        </w:rPr>
      </w:pPr>
    </w:p>
    <w:p w14:paraId="5A306D99" w14:textId="77777777" w:rsidR="00A91291" w:rsidRPr="00CF3DDD" w:rsidRDefault="00A91291" w:rsidP="00CF3DDD">
      <w:pPr>
        <w:spacing w:line="360" w:lineRule="auto"/>
        <w:rPr>
          <w:rFonts w:cs="Times New Roman"/>
        </w:rPr>
      </w:pPr>
    </w:p>
    <w:p w14:paraId="179FFFC1" w14:textId="77777777" w:rsidR="00A91291" w:rsidRPr="00CF3DDD" w:rsidRDefault="00A91291" w:rsidP="00CF3DDD">
      <w:pPr>
        <w:spacing w:line="360" w:lineRule="auto"/>
        <w:rPr>
          <w:rFonts w:cs="Times New Roman"/>
        </w:rPr>
      </w:pPr>
    </w:p>
    <w:p w14:paraId="70233E3E" w14:textId="77777777" w:rsidR="003F516D" w:rsidRPr="00CF3DDD" w:rsidRDefault="003F516D" w:rsidP="00CF3DDD">
      <w:pPr>
        <w:spacing w:line="360" w:lineRule="auto"/>
        <w:rPr>
          <w:rFonts w:cs="Times New Roman"/>
        </w:rPr>
      </w:pPr>
    </w:p>
    <w:p w14:paraId="49D5AD0D" w14:textId="77777777" w:rsidR="0010486B" w:rsidRPr="00CF3DDD" w:rsidRDefault="0010486B" w:rsidP="00CF3DDD">
      <w:pPr>
        <w:pStyle w:val="Heading1"/>
        <w:spacing w:line="360" w:lineRule="auto"/>
        <w:rPr>
          <w:rFonts w:cs="Times New Roman"/>
          <w:bCs/>
        </w:rPr>
      </w:pPr>
    </w:p>
    <w:p w14:paraId="6C1AB012" w14:textId="77777777" w:rsidR="0010486B" w:rsidRPr="00CF3DDD" w:rsidRDefault="0010486B" w:rsidP="00CF3DDD">
      <w:pPr>
        <w:pStyle w:val="Heading1"/>
        <w:spacing w:line="360" w:lineRule="auto"/>
        <w:rPr>
          <w:rFonts w:cs="Times New Roman"/>
          <w:bCs/>
        </w:rPr>
      </w:pPr>
    </w:p>
    <w:p w14:paraId="7E60FE80" w14:textId="77777777" w:rsidR="0010486B" w:rsidRPr="00CF3DDD" w:rsidRDefault="0010486B" w:rsidP="00CF3DDD">
      <w:pPr>
        <w:pStyle w:val="Heading1"/>
        <w:spacing w:line="360" w:lineRule="auto"/>
        <w:rPr>
          <w:rFonts w:cs="Times New Roman"/>
          <w:bCs/>
        </w:rPr>
      </w:pPr>
    </w:p>
    <w:p w14:paraId="44B905EB" w14:textId="1EBD99DF" w:rsidR="0010486B" w:rsidRPr="00CF3DDD" w:rsidRDefault="0010486B" w:rsidP="00CF3DDD">
      <w:pPr>
        <w:pStyle w:val="Heading1"/>
        <w:spacing w:line="360" w:lineRule="auto"/>
        <w:rPr>
          <w:rFonts w:cs="Times New Roman"/>
          <w:bCs/>
        </w:rPr>
      </w:pPr>
    </w:p>
    <w:p w14:paraId="6AC4C817" w14:textId="77777777" w:rsidR="0010486B" w:rsidRPr="00CF3DDD" w:rsidRDefault="0010486B" w:rsidP="00CF3DDD">
      <w:pPr>
        <w:spacing w:line="360" w:lineRule="auto"/>
        <w:rPr>
          <w:rFonts w:cs="Times New Roman"/>
        </w:rPr>
      </w:pPr>
    </w:p>
    <w:p w14:paraId="1317B408" w14:textId="0659F92E" w:rsidR="003F516D" w:rsidRPr="00CF3DDD" w:rsidRDefault="003F516D" w:rsidP="00CF3DDD">
      <w:pPr>
        <w:pStyle w:val="Heading1"/>
        <w:spacing w:line="360" w:lineRule="auto"/>
        <w:rPr>
          <w:rFonts w:cs="Times New Roman"/>
          <w:bCs/>
        </w:rPr>
      </w:pPr>
      <w:r w:rsidRPr="00CF3DDD">
        <w:rPr>
          <w:rFonts w:cs="Times New Roman"/>
          <w:bCs/>
        </w:rPr>
        <w:lastRenderedPageBreak/>
        <w:t>Acknowledgements</w:t>
      </w:r>
    </w:p>
    <w:p w14:paraId="0F6252C7" w14:textId="77777777" w:rsidR="003F516D" w:rsidRPr="00CF3DDD" w:rsidRDefault="003F516D" w:rsidP="00CF3DDD">
      <w:pPr>
        <w:spacing w:line="360" w:lineRule="auto"/>
        <w:rPr>
          <w:rFonts w:cs="Times New Roman"/>
        </w:rPr>
      </w:pPr>
    </w:p>
    <w:p w14:paraId="22D7A193" w14:textId="13E08691" w:rsidR="003F516D" w:rsidRPr="00CF3DDD" w:rsidRDefault="003F516D" w:rsidP="00CF3DDD">
      <w:pPr>
        <w:spacing w:line="360" w:lineRule="auto"/>
        <w:rPr>
          <w:rFonts w:cs="Times New Roman"/>
        </w:rPr>
      </w:pPr>
      <w:r w:rsidRPr="00CF3DDD">
        <w:rPr>
          <w:rFonts w:cs="Times New Roman"/>
        </w:rPr>
        <w:t>I would like to express my sincere gratitude to my supervisor, Daniela Hellyer, for her invaluable guidance, encouragement, and support throughout the course of this dissertation.</w:t>
      </w:r>
    </w:p>
    <w:p w14:paraId="4F1EB008" w14:textId="279722BF" w:rsidR="003F516D" w:rsidRPr="00CF3DDD" w:rsidRDefault="003F516D" w:rsidP="00CF3DDD">
      <w:pPr>
        <w:spacing w:line="360" w:lineRule="auto"/>
        <w:rPr>
          <w:rFonts w:cs="Times New Roman"/>
        </w:rPr>
      </w:pPr>
      <w:r>
        <w:t>I am altherefore grateful to my lecturers and colleagues at the University of Wales Trinity Saint David for their insights and assistance.</w:t>
      </w:r>
    </w:p>
    <w:p w14:paraId="67540F40" w14:textId="77777777" w:rsidR="003F516D" w:rsidRPr="00CF3DDD" w:rsidRDefault="003F516D" w:rsidP="00CF3DDD">
      <w:pPr>
        <w:spacing w:line="360" w:lineRule="auto"/>
        <w:rPr>
          <w:rFonts w:cs="Times New Roman"/>
        </w:rPr>
      </w:pPr>
      <w:r w:rsidRPr="00CF3DDD">
        <w:rPr>
          <w:rFonts w:cs="Times New Roman"/>
        </w:rPr>
        <w:t>Finally, I wish to thank my family and friends for their patience, understanding, and encouragement during this academic journey.</w:t>
      </w:r>
    </w:p>
    <w:p w14:paraId="1ED9FD1E" w14:textId="77777777" w:rsidR="003F516D" w:rsidRPr="00CF3DDD" w:rsidRDefault="003F516D" w:rsidP="00CF3DDD">
      <w:pPr>
        <w:spacing w:line="360" w:lineRule="auto"/>
        <w:rPr>
          <w:rFonts w:cs="Times New Roman"/>
        </w:rPr>
      </w:pPr>
    </w:p>
    <w:p w14:paraId="74BEA881" w14:textId="0924E8A8" w:rsidR="003F516D" w:rsidRPr="00CF3DDD" w:rsidRDefault="003F516D" w:rsidP="00CF3DDD">
      <w:pPr>
        <w:spacing w:line="360" w:lineRule="auto"/>
        <w:rPr>
          <w:rFonts w:cs="Times New Roman"/>
        </w:rPr>
      </w:pPr>
    </w:p>
    <w:p w14:paraId="67FE382A" w14:textId="77777777" w:rsidR="0010486B" w:rsidRPr="00CF3DDD" w:rsidRDefault="0010486B" w:rsidP="00CF3DDD">
      <w:pPr>
        <w:spacing w:line="360" w:lineRule="auto"/>
        <w:rPr>
          <w:rFonts w:cs="Times New Roman"/>
        </w:rPr>
      </w:pPr>
    </w:p>
    <w:p w14:paraId="03D60191" w14:textId="77777777" w:rsidR="003F516D" w:rsidRPr="00CF3DDD" w:rsidRDefault="003F516D" w:rsidP="00CF3DDD">
      <w:pPr>
        <w:spacing w:line="360" w:lineRule="auto"/>
        <w:rPr>
          <w:rFonts w:cs="Times New Roman"/>
        </w:rPr>
      </w:pPr>
    </w:p>
    <w:p w14:paraId="4406D69E" w14:textId="1A3D1085" w:rsidR="003F516D" w:rsidRPr="00CF3DDD" w:rsidRDefault="003F516D" w:rsidP="00CF3DDD">
      <w:pPr>
        <w:spacing w:line="360" w:lineRule="auto"/>
        <w:rPr>
          <w:rFonts w:cs="Times New Roman"/>
        </w:rPr>
      </w:pPr>
    </w:p>
    <w:p w14:paraId="33AF8307" w14:textId="6F426CAC" w:rsidR="0010486B" w:rsidRPr="00CF3DDD" w:rsidRDefault="0010486B" w:rsidP="00CF3DDD">
      <w:pPr>
        <w:spacing w:line="360" w:lineRule="auto"/>
        <w:rPr>
          <w:rFonts w:cs="Times New Roman"/>
        </w:rPr>
      </w:pPr>
    </w:p>
    <w:p w14:paraId="624FE71C" w14:textId="2E621B47" w:rsidR="0010486B" w:rsidRPr="00CF3DDD" w:rsidRDefault="0010486B" w:rsidP="00CF3DDD">
      <w:pPr>
        <w:spacing w:line="360" w:lineRule="auto"/>
        <w:rPr>
          <w:rFonts w:cs="Times New Roman"/>
        </w:rPr>
      </w:pPr>
    </w:p>
    <w:p w14:paraId="04BD412C" w14:textId="6B79E84F" w:rsidR="0010486B" w:rsidRPr="00CF3DDD" w:rsidRDefault="0010486B" w:rsidP="00CF3DDD">
      <w:pPr>
        <w:spacing w:line="360" w:lineRule="auto"/>
        <w:rPr>
          <w:rFonts w:cs="Times New Roman"/>
        </w:rPr>
      </w:pPr>
    </w:p>
    <w:p w14:paraId="3ED208CC" w14:textId="1AA85BBE" w:rsidR="0010486B" w:rsidRPr="00CF3DDD" w:rsidRDefault="0010486B" w:rsidP="00CF3DDD">
      <w:pPr>
        <w:spacing w:line="360" w:lineRule="auto"/>
        <w:rPr>
          <w:rFonts w:cs="Times New Roman"/>
        </w:rPr>
      </w:pPr>
    </w:p>
    <w:p w14:paraId="47D45580" w14:textId="37E0E24C" w:rsidR="0010486B" w:rsidRPr="00CF3DDD" w:rsidRDefault="0010486B" w:rsidP="00CF3DDD">
      <w:pPr>
        <w:spacing w:line="360" w:lineRule="auto"/>
        <w:rPr>
          <w:rFonts w:cs="Times New Roman"/>
        </w:rPr>
      </w:pPr>
    </w:p>
    <w:p w14:paraId="49564C6F" w14:textId="0EBF1B77" w:rsidR="0010486B" w:rsidRPr="00CF3DDD" w:rsidRDefault="0010486B" w:rsidP="00CF3DDD">
      <w:pPr>
        <w:spacing w:line="360" w:lineRule="auto"/>
        <w:rPr>
          <w:rFonts w:cs="Times New Roman"/>
        </w:rPr>
      </w:pPr>
    </w:p>
    <w:p w14:paraId="548D4F3D" w14:textId="6C1CCA75" w:rsidR="0010486B" w:rsidRDefault="0010486B" w:rsidP="00CF3DDD">
      <w:pPr>
        <w:spacing w:line="360" w:lineRule="auto"/>
        <w:rPr>
          <w:rFonts w:cs="Times New Roman"/>
        </w:rPr>
      </w:pPr>
    </w:p>
    <w:p w14:paraId="278FD8E0" w14:textId="547FD248" w:rsidR="002B707D" w:rsidRDefault="002B707D" w:rsidP="00CF3DDD">
      <w:pPr>
        <w:spacing w:line="360" w:lineRule="auto"/>
        <w:rPr>
          <w:rFonts w:cs="Times New Roman"/>
        </w:rPr>
      </w:pPr>
    </w:p>
    <w:p w14:paraId="46B2E3E1" w14:textId="77777777" w:rsidR="002B707D" w:rsidRPr="00CF3DDD" w:rsidRDefault="002B707D" w:rsidP="00CF3DDD">
      <w:pPr>
        <w:spacing w:line="360" w:lineRule="auto"/>
        <w:rPr>
          <w:rFonts w:cs="Times New Roman"/>
        </w:rPr>
      </w:pPr>
    </w:p>
    <w:sdt>
      <w:sdtPr>
        <w:rPr>
          <w:rFonts w:ascii="Times New Roman" w:eastAsiaTheme="minorHAnsi" w:hAnsi="Times New Roman" w:cs="Times New Roman"/>
          <w:color w:val="auto"/>
          <w:sz w:val="22"/>
          <w:szCs w:val="22"/>
        </w:rPr>
        <w:id w:val="-1573737904"/>
        <w:docPartObj>
          <w:docPartGallery w:val="Table of Contents"/>
          <w:docPartUnique/>
        </w:docPartObj>
      </w:sdtPr>
      <w:sdtEndPr>
        <w:rPr>
          <w:noProof/>
          <w:sz w:val="24"/>
        </w:rPr>
      </w:sdtEndPr>
      <w:sdtContent>
        <w:p w14:paraId="5564350D" w14:textId="77777777" w:rsidR="00D964C9" w:rsidRPr="00CF3DDD" w:rsidRDefault="00D964C9" w:rsidP="00CF3DDD">
          <w:pPr>
            <w:pStyle w:val="TOCHeading"/>
            <w:spacing w:line="360" w:lineRule="auto"/>
            <w:rPr>
              <w:rFonts w:ascii="Times New Roman" w:hAnsi="Times New Roman" w:cs="Times New Roman"/>
            </w:rPr>
          </w:pPr>
          <w:r w:rsidRPr="00CF3DDD">
            <w:rPr>
              <w:rFonts w:ascii="Times New Roman" w:hAnsi="Times New Roman" w:cs="Times New Roman"/>
            </w:rPr>
            <w:t>Table of Contents</w:t>
          </w:r>
        </w:p>
        <w:p w14:paraId="005422C5" w14:textId="77777777" w:rsidR="0052191A" w:rsidRPr="00CF3DDD" w:rsidRDefault="00D964C9" w:rsidP="00CF3DDD">
          <w:pPr>
            <w:pStyle w:val="TOC1"/>
            <w:tabs>
              <w:tab w:val="right" w:leader="dot" w:pos="9350"/>
            </w:tabs>
            <w:spacing w:line="360" w:lineRule="auto"/>
            <w:rPr>
              <w:rFonts w:eastAsiaTheme="minorEastAsia" w:cs="Times New Roman"/>
              <w:noProof/>
              <w:kern w:val="2"/>
              <w:szCs w:val="24"/>
              <w14:ligatures w14:val="standardContextual"/>
            </w:rPr>
          </w:pPr>
          <w:r w:rsidRPr="00CF3DDD">
            <w:rPr>
              <w:rFonts w:cs="Times New Roman"/>
            </w:rPr>
            <w:fldChar w:fldCharType="begin"/>
          </w:r>
          <w:r w:rsidRPr="00CF3DDD">
            <w:rPr>
              <w:rFonts w:cs="Times New Roman"/>
            </w:rPr>
            <w:instrText xml:space="preserve"> TOC \o "1-3" \h \z \u </w:instrText>
          </w:r>
          <w:r w:rsidRPr="00CF3DDD">
            <w:rPr>
              <w:rFonts w:cs="Times New Roman"/>
            </w:rPr>
            <w:fldChar w:fldCharType="separate"/>
          </w:r>
          <w:hyperlink w:anchor="_Toc209310546" w:history="1">
            <w:bookmarkStart w:id="9" w:name="_Hlk209742598"/>
            <w:r w:rsidR="0052191A" w:rsidRPr="00CF3DDD">
              <w:rPr>
                <w:rFonts w:cs="Times New Roman"/>
                <w:noProof/>
                <w:webHidden/>
              </w:rPr>
              <w:tab/>
            </w:r>
            <w:bookmarkEnd w:id="9"/>
            <w:r w:rsidR="0052191A" w:rsidRPr="00CF3DDD">
              <w:rPr>
                <w:rFonts w:cs="Times New Roman"/>
                <w:noProof/>
                <w:webHidden/>
              </w:rPr>
              <w:fldChar w:fldCharType="begin"/>
            </w:r>
            <w:r w:rsidR="0052191A" w:rsidRPr="00CF3DDD">
              <w:rPr>
                <w:rFonts w:cs="Times New Roman"/>
                <w:noProof/>
                <w:webHidden/>
              </w:rPr>
              <w:instrText xml:space="preserve"> PAGEREF _Toc209310546 \h </w:instrText>
            </w:r>
            <w:r w:rsidR="0052191A" w:rsidRPr="00CF3DDD">
              <w:rPr>
                <w:rFonts w:cs="Times New Roman"/>
                <w:noProof/>
                <w:webHidden/>
              </w:rPr>
            </w:r>
            <w:r w:rsidR="0052191A" w:rsidRPr="00CF3DDD">
              <w:rPr>
                <w:rFonts w:cs="Times New Roman"/>
                <w:noProof/>
                <w:webHidden/>
              </w:rPr>
              <w:fldChar w:fldCharType="separate"/>
            </w:r>
            <w:r w:rsidR="0052191A" w:rsidRPr="00CF3DDD">
              <w:rPr>
                <w:rFonts w:cs="Times New Roman"/>
                <w:noProof/>
                <w:webHidden/>
              </w:rPr>
              <w:t>1</w:t>
            </w:r>
            <w:r w:rsidR="0052191A" w:rsidRPr="00CF3DDD">
              <w:rPr>
                <w:rFonts w:cs="Times New Roman"/>
                <w:noProof/>
                <w:webHidden/>
              </w:rPr>
              <w:fldChar w:fldCharType="end"/>
            </w:r>
          </w:hyperlink>
        </w:p>
        <w:p w14:paraId="54153505" w14:textId="4B2855E9" w:rsidR="00567509" w:rsidRDefault="00804A4E" w:rsidP="00567509">
          <w:pPr>
            <w:pStyle w:val="TOC1"/>
            <w:tabs>
              <w:tab w:val="right" w:leader="dot" w:pos="9350"/>
            </w:tabs>
            <w:spacing w:line="360" w:lineRule="auto"/>
            <w:rPr>
              <w:rFonts w:cs="Times New Roman"/>
              <w:noProof/>
            </w:rPr>
          </w:pPr>
          <w:hyperlink w:anchor="_Toc209310547" w:history="1">
            <w:r w:rsidR="0052191A" w:rsidRPr="00CF3DDD">
              <w:rPr>
                <w:rStyle w:val="Hyperlink"/>
                <w:rFonts w:cs="Times New Roman"/>
                <w:noProof/>
              </w:rPr>
              <w:t xml:space="preserve">Declaration </w:t>
            </w:r>
            <w:r w:rsidR="0052191A" w:rsidRPr="00CF3DDD">
              <w:rPr>
                <w:rFonts w:cs="Times New Roman"/>
                <w:noProof/>
                <w:webHidden/>
              </w:rPr>
              <w:tab/>
            </w:r>
            <w:r w:rsidR="00567509">
              <w:rPr>
                <w:rFonts w:cs="Times New Roman"/>
                <w:noProof/>
                <w:webHidden/>
              </w:rPr>
              <w:t>2</w:t>
            </w:r>
          </w:hyperlink>
        </w:p>
        <w:p w14:paraId="4A3F1C92" w14:textId="1FC39EF6" w:rsidR="00567509" w:rsidRDefault="00567509" w:rsidP="00567509">
          <w:r>
            <w:t xml:space="preserve">statement1 </w:t>
          </w:r>
          <w:r w:rsidRPr="00567509">
            <w:rPr>
              <w:webHidden/>
            </w:rPr>
            <w:tab/>
          </w:r>
          <w:r w:rsidRPr="00567509">
            <w:rPr>
              <w:webHidden/>
            </w:rPr>
            <w:tab/>
          </w:r>
          <w:r w:rsidRPr="00567509">
            <w:rPr>
              <w:webHidden/>
            </w:rPr>
            <w:tab/>
          </w:r>
          <w:r>
            <w:rPr>
              <w:webHidden/>
            </w:rPr>
            <w:t xml:space="preserve">                                                                                                          2</w:t>
          </w:r>
          <w:r>
            <w:t xml:space="preserve">                                                </w:t>
          </w:r>
        </w:p>
        <w:p w14:paraId="3FE366DC" w14:textId="60C9D41A" w:rsidR="00567509" w:rsidRPr="00567509" w:rsidRDefault="00567509" w:rsidP="00567509">
          <w:r>
            <w:t>statement 2</w:t>
          </w:r>
          <w:r w:rsidRPr="00567509">
            <w:rPr>
              <w:webHidden/>
            </w:rPr>
            <w:tab/>
          </w:r>
          <w:r>
            <w:t xml:space="preserve">                                                                                                                                  3          </w:t>
          </w:r>
        </w:p>
        <w:p w14:paraId="7C1D91FE" w14:textId="186E7A19" w:rsidR="003F516D" w:rsidRPr="00CF3DDD" w:rsidRDefault="00804A4E" w:rsidP="00CF3DDD">
          <w:pPr>
            <w:pStyle w:val="TOC1"/>
            <w:tabs>
              <w:tab w:val="right" w:leader="dot" w:pos="9350"/>
            </w:tabs>
            <w:spacing w:line="360" w:lineRule="auto"/>
            <w:rPr>
              <w:rFonts w:cs="Times New Roman"/>
              <w:noProof/>
            </w:rPr>
          </w:pPr>
          <w:hyperlink w:anchor="_Toc209310557" w:history="1">
            <w:r w:rsidR="0052191A" w:rsidRPr="00CF3DDD">
              <w:rPr>
                <w:rStyle w:val="Hyperlink"/>
                <w:rFonts w:cs="Times New Roman"/>
                <w:noProof/>
              </w:rPr>
              <w:t>Abstract</w:t>
            </w:r>
            <w:r w:rsidR="0052191A" w:rsidRPr="00CF3DDD">
              <w:rPr>
                <w:rFonts w:cs="Times New Roman"/>
                <w:noProof/>
                <w:webHidden/>
              </w:rPr>
              <w:tab/>
            </w:r>
            <w:r w:rsidR="00567509">
              <w:rPr>
                <w:rFonts w:cs="Times New Roman"/>
                <w:noProof/>
                <w:webHidden/>
              </w:rPr>
              <w:t>4</w:t>
            </w:r>
          </w:hyperlink>
          <w:r w:rsidR="00567509">
            <w:rPr>
              <w:rFonts w:cs="Times New Roman"/>
              <w:noProof/>
            </w:rPr>
            <w:tab/>
          </w:r>
        </w:p>
        <w:p w14:paraId="1576B72F" w14:textId="05334263"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61" w:history="1">
            <w:r w:rsidR="0052191A" w:rsidRPr="00CF3DDD">
              <w:rPr>
                <w:rStyle w:val="Hyperlink"/>
                <w:rFonts w:cs="Times New Roman"/>
                <w:noProof/>
              </w:rPr>
              <w:t>Methodology/Design</w:t>
            </w:r>
            <w:r w:rsidR="0052191A" w:rsidRPr="00CF3DDD">
              <w:rPr>
                <w:rFonts w:cs="Times New Roman"/>
                <w:noProof/>
                <w:webHidden/>
              </w:rPr>
              <w:tab/>
            </w:r>
            <w:r w:rsidR="004E679F" w:rsidRPr="00CF3DDD">
              <w:rPr>
                <w:rFonts w:cs="Times New Roman"/>
                <w:noProof/>
                <w:webHidden/>
              </w:rPr>
              <w:t>4</w:t>
            </w:r>
          </w:hyperlink>
        </w:p>
        <w:p w14:paraId="065E4DEF" w14:textId="345C4402"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62" w:history="1">
            <w:r w:rsidR="0052191A" w:rsidRPr="00CF3DDD">
              <w:rPr>
                <w:rStyle w:val="Hyperlink"/>
                <w:rFonts w:cs="Times New Roman"/>
                <w:noProof/>
              </w:rPr>
              <w:t>Findings:</w:t>
            </w:r>
            <w:r w:rsidR="0052191A" w:rsidRPr="00CF3DDD">
              <w:rPr>
                <w:rFonts w:cs="Times New Roman"/>
                <w:noProof/>
                <w:webHidden/>
              </w:rPr>
              <w:tab/>
            </w:r>
            <w:r w:rsidR="004E679F" w:rsidRPr="00CF3DDD">
              <w:rPr>
                <w:rFonts w:cs="Times New Roman"/>
                <w:noProof/>
                <w:webHidden/>
              </w:rPr>
              <w:t>5</w:t>
            </w:r>
          </w:hyperlink>
        </w:p>
        <w:p w14:paraId="6AE084B7" w14:textId="5A4F518B"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63" w:history="1">
            <w:r w:rsidR="0052191A" w:rsidRPr="00CF3DDD">
              <w:rPr>
                <w:rStyle w:val="Hyperlink"/>
                <w:rFonts w:cs="Times New Roman"/>
                <w:noProof/>
              </w:rPr>
              <w:t>Limitations/Future directions:</w:t>
            </w:r>
            <w:r w:rsidR="0052191A" w:rsidRPr="00CF3DDD">
              <w:rPr>
                <w:rFonts w:cs="Times New Roman"/>
                <w:noProof/>
                <w:webHidden/>
              </w:rPr>
              <w:tab/>
            </w:r>
            <w:r w:rsidR="004E679F" w:rsidRPr="00CF3DDD">
              <w:rPr>
                <w:rFonts w:cs="Times New Roman"/>
                <w:noProof/>
                <w:webHidden/>
              </w:rPr>
              <w:t>5</w:t>
            </w:r>
          </w:hyperlink>
        </w:p>
        <w:p w14:paraId="425057D7" w14:textId="5E45CC81"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64" w:history="1">
            <w:r w:rsidR="0052191A" w:rsidRPr="00CF3DDD">
              <w:rPr>
                <w:rStyle w:val="Hyperlink"/>
                <w:rFonts w:cs="Times New Roman"/>
                <w:noProof/>
              </w:rPr>
              <w:t>Key Words:</w:t>
            </w:r>
            <w:r w:rsidR="0052191A" w:rsidRPr="00CF3DDD">
              <w:rPr>
                <w:rFonts w:cs="Times New Roman"/>
                <w:noProof/>
                <w:webHidden/>
              </w:rPr>
              <w:tab/>
            </w:r>
            <w:r w:rsidR="004E679F" w:rsidRPr="00CF3DDD">
              <w:rPr>
                <w:rFonts w:cs="Times New Roman"/>
                <w:noProof/>
                <w:webHidden/>
              </w:rPr>
              <w:t>5</w:t>
            </w:r>
          </w:hyperlink>
        </w:p>
        <w:p w14:paraId="1F46BA95" w14:textId="5E854D57" w:rsidR="0052191A" w:rsidRPr="00CF3DDD" w:rsidRDefault="00804A4E" w:rsidP="00CF3DDD">
          <w:pPr>
            <w:pStyle w:val="TOC3"/>
            <w:tabs>
              <w:tab w:val="right" w:leader="dot" w:pos="9350"/>
            </w:tabs>
            <w:spacing w:line="360" w:lineRule="auto"/>
            <w:rPr>
              <w:rFonts w:cs="Times New Roman"/>
              <w:noProof/>
            </w:rPr>
          </w:pPr>
          <w:hyperlink w:anchor="_Toc209310565" w:history="1">
            <w:r w:rsidR="0052191A" w:rsidRPr="00CF3DDD">
              <w:rPr>
                <w:rStyle w:val="Hyperlink"/>
                <w:rFonts w:cs="Times New Roman"/>
                <w:noProof/>
              </w:rPr>
              <w:t>Paper Type:</w:t>
            </w:r>
            <w:r w:rsidR="0052191A" w:rsidRPr="00CF3DDD">
              <w:rPr>
                <w:rFonts w:cs="Times New Roman"/>
                <w:noProof/>
                <w:webHidden/>
              </w:rPr>
              <w:tab/>
            </w:r>
            <w:r w:rsidR="0010486B" w:rsidRPr="00CF3DDD">
              <w:rPr>
                <w:rFonts w:cs="Times New Roman"/>
                <w:noProof/>
                <w:webHidden/>
              </w:rPr>
              <w:t>5</w:t>
            </w:r>
          </w:hyperlink>
        </w:p>
        <w:p w14:paraId="7770BA0C" w14:textId="4E3596CB" w:rsidR="00156410" w:rsidRPr="00CF3DDD" w:rsidRDefault="00156410" w:rsidP="00CF3DDD">
          <w:pPr>
            <w:pStyle w:val="TOC3"/>
            <w:tabs>
              <w:tab w:val="right" w:leader="dot" w:pos="9350"/>
            </w:tabs>
            <w:spacing w:line="360" w:lineRule="auto"/>
            <w:rPr>
              <w:rFonts w:cs="Times New Roman"/>
              <w:noProof/>
            </w:rPr>
          </w:pPr>
          <w:r w:rsidRPr="00CF3DDD">
            <w:rPr>
              <w:rFonts w:cs="Times New Roman"/>
            </w:rPr>
            <w:t>Acknowledgements</w:t>
          </w:r>
          <w:hyperlink w:anchor="_Toc209310565" w:history="1">
            <w:r w:rsidR="0010486B" w:rsidRPr="00CF3DDD">
              <w:rPr>
                <w:rStyle w:val="Hyperlink"/>
                <w:rFonts w:cs="Times New Roman"/>
                <w:noProof/>
              </w:rPr>
              <w:t>:</w:t>
            </w:r>
            <w:r w:rsidR="0010486B" w:rsidRPr="00CF3DDD">
              <w:rPr>
                <w:rFonts w:cs="Times New Roman"/>
                <w:noProof/>
                <w:webHidden/>
              </w:rPr>
              <w:tab/>
              <w:t>6</w:t>
            </w:r>
          </w:hyperlink>
        </w:p>
        <w:p w14:paraId="3A9E48FC" w14:textId="725A7FB2" w:rsidR="0052191A" w:rsidRPr="00CF3DDD" w:rsidRDefault="00804A4E" w:rsidP="00CF3DDD">
          <w:pPr>
            <w:pStyle w:val="TOC1"/>
            <w:tabs>
              <w:tab w:val="right" w:leader="dot" w:pos="9350"/>
            </w:tabs>
            <w:spacing w:line="360" w:lineRule="auto"/>
            <w:rPr>
              <w:rFonts w:eastAsiaTheme="minorEastAsia" w:cs="Times New Roman"/>
              <w:noProof/>
              <w:kern w:val="2"/>
              <w:szCs w:val="24"/>
              <w14:ligatures w14:val="standardContextual"/>
            </w:rPr>
          </w:pPr>
          <w:hyperlink w:anchor="_Toc209310566" w:history="1">
            <w:r w:rsidR="0052191A" w:rsidRPr="00CF3DDD">
              <w:rPr>
                <w:rStyle w:val="Hyperlink"/>
                <w:rFonts w:cs="Times New Roman"/>
                <w:noProof/>
              </w:rPr>
              <w:t>List Of Figures</w:t>
            </w:r>
            <w:r w:rsidR="0052191A" w:rsidRPr="00CF3DDD">
              <w:rPr>
                <w:rFonts w:cs="Times New Roman"/>
                <w:noProof/>
                <w:webHidden/>
              </w:rPr>
              <w:tab/>
            </w:r>
            <w:r w:rsidR="004E679F" w:rsidRPr="00CF3DDD">
              <w:rPr>
                <w:rFonts w:cs="Times New Roman"/>
                <w:noProof/>
                <w:webHidden/>
              </w:rPr>
              <w:t>10</w:t>
            </w:r>
          </w:hyperlink>
        </w:p>
        <w:p w14:paraId="6562B14E" w14:textId="5EF9FF95" w:rsidR="0052191A" w:rsidRPr="00CF3DDD" w:rsidRDefault="00804A4E" w:rsidP="00CF3DDD">
          <w:pPr>
            <w:pStyle w:val="TOC1"/>
            <w:tabs>
              <w:tab w:val="right" w:leader="dot" w:pos="9350"/>
            </w:tabs>
            <w:spacing w:line="360" w:lineRule="auto"/>
            <w:rPr>
              <w:rFonts w:eastAsiaTheme="minorEastAsia" w:cs="Times New Roman"/>
              <w:noProof/>
              <w:kern w:val="2"/>
              <w:szCs w:val="24"/>
              <w14:ligatures w14:val="standardContextual"/>
            </w:rPr>
          </w:pPr>
          <w:hyperlink w:anchor="_Toc209310567" w:history="1">
            <w:r w:rsidR="0052191A" w:rsidRPr="00CF3DDD">
              <w:rPr>
                <w:rStyle w:val="Hyperlink"/>
                <w:rFonts w:cs="Times New Roman"/>
                <w:noProof/>
              </w:rPr>
              <w:t>List of Tables</w:t>
            </w:r>
            <w:r w:rsidR="0052191A" w:rsidRPr="00CF3DDD">
              <w:rPr>
                <w:rFonts w:cs="Times New Roman"/>
                <w:noProof/>
                <w:webHidden/>
              </w:rPr>
              <w:tab/>
            </w:r>
            <w:r w:rsidR="004E679F" w:rsidRPr="00CF3DDD">
              <w:rPr>
                <w:rFonts w:cs="Times New Roman"/>
                <w:noProof/>
                <w:webHidden/>
              </w:rPr>
              <w:t>10</w:t>
            </w:r>
          </w:hyperlink>
        </w:p>
        <w:p w14:paraId="1638DB4D" w14:textId="3D20A957" w:rsidR="0052191A" w:rsidRPr="00CF3DDD" w:rsidRDefault="00804A4E" w:rsidP="00CF3DDD">
          <w:pPr>
            <w:pStyle w:val="TOC1"/>
            <w:tabs>
              <w:tab w:val="right" w:leader="dot" w:pos="9350"/>
            </w:tabs>
            <w:spacing w:line="360" w:lineRule="auto"/>
            <w:rPr>
              <w:rFonts w:eastAsiaTheme="minorEastAsia" w:cs="Times New Roman"/>
              <w:noProof/>
              <w:kern w:val="2"/>
              <w:szCs w:val="24"/>
              <w14:ligatures w14:val="standardContextual"/>
            </w:rPr>
          </w:pPr>
          <w:hyperlink w:anchor="_Toc209310568" w:history="1">
            <w:r w:rsidR="0052191A" w:rsidRPr="00CF3DDD">
              <w:rPr>
                <w:rStyle w:val="Hyperlink"/>
                <w:rFonts w:cs="Times New Roman"/>
                <w:noProof/>
              </w:rPr>
              <w:t>Chapter 1: Introduction</w:t>
            </w:r>
            <w:r w:rsidR="0052191A" w:rsidRPr="00CF3DDD">
              <w:rPr>
                <w:rFonts w:cs="Times New Roman"/>
                <w:noProof/>
                <w:webHidden/>
              </w:rPr>
              <w:tab/>
            </w:r>
            <w:r w:rsidR="004E679F" w:rsidRPr="00CF3DDD">
              <w:rPr>
                <w:rFonts w:cs="Times New Roman"/>
                <w:noProof/>
                <w:webHidden/>
              </w:rPr>
              <w:t>12</w:t>
            </w:r>
          </w:hyperlink>
        </w:p>
        <w:p w14:paraId="1E41C3E9" w14:textId="1F50253C"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569" w:history="1">
            <w:r w:rsidR="0052191A" w:rsidRPr="00CF3DDD">
              <w:rPr>
                <w:rStyle w:val="Hyperlink"/>
                <w:rFonts w:cs="Times New Roman"/>
                <w:noProof/>
              </w:rPr>
              <w:t>1.1 Background of the Study</w:t>
            </w:r>
            <w:r w:rsidR="0052191A" w:rsidRPr="00CF3DDD">
              <w:rPr>
                <w:rFonts w:cs="Times New Roman"/>
                <w:noProof/>
                <w:webHidden/>
              </w:rPr>
              <w:tab/>
            </w:r>
            <w:r w:rsidR="004E679F" w:rsidRPr="00CF3DDD">
              <w:rPr>
                <w:rFonts w:cs="Times New Roman"/>
                <w:noProof/>
                <w:webHidden/>
              </w:rPr>
              <w:t>12</w:t>
            </w:r>
          </w:hyperlink>
        </w:p>
        <w:p w14:paraId="5C057831" w14:textId="33DB1F19"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570" w:history="1">
            <w:r w:rsidR="0052191A" w:rsidRPr="00CF3DDD">
              <w:rPr>
                <w:rStyle w:val="Hyperlink"/>
                <w:rFonts w:cs="Times New Roman"/>
                <w:noProof/>
              </w:rPr>
              <w:t>1.2 Research Focus</w:t>
            </w:r>
            <w:r w:rsidR="0052191A" w:rsidRPr="00CF3DDD">
              <w:rPr>
                <w:rFonts w:cs="Times New Roman"/>
                <w:noProof/>
                <w:webHidden/>
              </w:rPr>
              <w:tab/>
            </w:r>
            <w:r w:rsidR="004E679F" w:rsidRPr="00CF3DDD">
              <w:rPr>
                <w:rFonts w:cs="Times New Roman"/>
                <w:noProof/>
                <w:webHidden/>
              </w:rPr>
              <w:t>13</w:t>
            </w:r>
          </w:hyperlink>
        </w:p>
        <w:p w14:paraId="58E0D2A1" w14:textId="0E4FE874"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571" w:history="1">
            <w:r w:rsidR="0052191A" w:rsidRPr="00CF3DDD">
              <w:rPr>
                <w:rStyle w:val="Hyperlink"/>
                <w:rFonts w:cs="Times New Roman"/>
                <w:noProof/>
              </w:rPr>
              <w:t>1.3 Rationale for the Study</w:t>
            </w:r>
            <w:r w:rsidR="0052191A" w:rsidRPr="00CF3DDD">
              <w:rPr>
                <w:rFonts w:cs="Times New Roman"/>
                <w:noProof/>
                <w:webHidden/>
              </w:rPr>
              <w:tab/>
            </w:r>
            <w:r w:rsidR="004E679F" w:rsidRPr="00CF3DDD">
              <w:rPr>
                <w:rFonts w:cs="Times New Roman"/>
                <w:noProof/>
                <w:webHidden/>
              </w:rPr>
              <w:t>14</w:t>
            </w:r>
          </w:hyperlink>
        </w:p>
        <w:p w14:paraId="43FD5ABB" w14:textId="7B389B93"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572" w:history="1">
            <w:r w:rsidR="0052191A" w:rsidRPr="00CF3DDD">
              <w:rPr>
                <w:rStyle w:val="Hyperlink"/>
                <w:rFonts w:cs="Times New Roman"/>
                <w:noProof/>
              </w:rPr>
              <w:t>1.4 Research Aim and Objectives</w:t>
            </w:r>
            <w:r w:rsidR="0052191A" w:rsidRPr="00CF3DDD">
              <w:rPr>
                <w:rFonts w:cs="Times New Roman"/>
                <w:noProof/>
                <w:webHidden/>
              </w:rPr>
              <w:tab/>
            </w:r>
            <w:r w:rsidR="004E679F" w:rsidRPr="00CF3DDD">
              <w:rPr>
                <w:rFonts w:cs="Times New Roman"/>
                <w:noProof/>
                <w:webHidden/>
              </w:rPr>
              <w:t>16</w:t>
            </w:r>
          </w:hyperlink>
        </w:p>
        <w:p w14:paraId="698E9584" w14:textId="2A8D72BA"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73" w:history="1">
            <w:r w:rsidR="0052191A" w:rsidRPr="00CF3DDD">
              <w:rPr>
                <w:rStyle w:val="Hyperlink"/>
                <w:rFonts w:cs="Times New Roman"/>
                <w:noProof/>
              </w:rPr>
              <w:t>1.4.1 Research Aim</w:t>
            </w:r>
            <w:r w:rsidR="0052191A" w:rsidRPr="00CF3DDD">
              <w:rPr>
                <w:rFonts w:cs="Times New Roman"/>
                <w:noProof/>
                <w:webHidden/>
              </w:rPr>
              <w:tab/>
            </w:r>
            <w:r w:rsidR="004E679F" w:rsidRPr="00CF3DDD">
              <w:rPr>
                <w:rFonts w:cs="Times New Roman"/>
                <w:noProof/>
                <w:webHidden/>
              </w:rPr>
              <w:t>16</w:t>
            </w:r>
          </w:hyperlink>
        </w:p>
        <w:p w14:paraId="1E0AE423" w14:textId="54D5F6AD"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74" w:history="1">
            <w:r w:rsidR="0052191A" w:rsidRPr="00CF3DDD">
              <w:rPr>
                <w:rStyle w:val="Hyperlink"/>
                <w:rFonts w:cs="Times New Roman"/>
                <w:noProof/>
              </w:rPr>
              <w:t>1.4.2 Research Objectives</w:t>
            </w:r>
            <w:r w:rsidR="0052191A" w:rsidRPr="00CF3DDD">
              <w:rPr>
                <w:rFonts w:cs="Times New Roman"/>
                <w:noProof/>
                <w:webHidden/>
              </w:rPr>
              <w:tab/>
            </w:r>
            <w:r w:rsidR="004E679F" w:rsidRPr="00CF3DDD">
              <w:rPr>
                <w:rFonts w:cs="Times New Roman"/>
                <w:noProof/>
                <w:webHidden/>
              </w:rPr>
              <w:t>16</w:t>
            </w:r>
          </w:hyperlink>
        </w:p>
        <w:p w14:paraId="22DEDDDF" w14:textId="559969AF"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575" w:history="1">
            <w:r w:rsidR="0052191A" w:rsidRPr="00CF3DDD">
              <w:rPr>
                <w:rStyle w:val="Hyperlink"/>
                <w:rFonts w:cs="Times New Roman"/>
                <w:noProof/>
              </w:rPr>
              <w:t>1.5 Research Questions and Hypotheses</w:t>
            </w:r>
            <w:r w:rsidR="0052191A" w:rsidRPr="00CF3DDD">
              <w:rPr>
                <w:rFonts w:cs="Times New Roman"/>
                <w:noProof/>
                <w:webHidden/>
              </w:rPr>
              <w:tab/>
            </w:r>
            <w:r w:rsidR="004E679F" w:rsidRPr="00CF3DDD">
              <w:rPr>
                <w:rFonts w:cs="Times New Roman"/>
                <w:noProof/>
                <w:webHidden/>
              </w:rPr>
              <w:t>17</w:t>
            </w:r>
          </w:hyperlink>
        </w:p>
        <w:p w14:paraId="5AF26E9B" w14:textId="6AC857D8"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76" w:history="1">
            <w:r w:rsidR="0052191A" w:rsidRPr="00CF3DDD">
              <w:rPr>
                <w:rStyle w:val="Hyperlink"/>
                <w:rFonts w:cs="Times New Roman"/>
                <w:noProof/>
              </w:rPr>
              <w:t>1.5.1 Research Questions</w:t>
            </w:r>
            <w:r w:rsidR="0052191A" w:rsidRPr="00CF3DDD">
              <w:rPr>
                <w:rFonts w:cs="Times New Roman"/>
                <w:noProof/>
                <w:webHidden/>
              </w:rPr>
              <w:tab/>
            </w:r>
            <w:r w:rsidR="004E679F" w:rsidRPr="00CF3DDD">
              <w:rPr>
                <w:rFonts w:cs="Times New Roman"/>
                <w:noProof/>
                <w:webHidden/>
              </w:rPr>
              <w:t>17</w:t>
            </w:r>
          </w:hyperlink>
        </w:p>
        <w:p w14:paraId="218A0BCC" w14:textId="39A1200F"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77" w:history="1">
            <w:r w:rsidR="0052191A" w:rsidRPr="00CF3DDD">
              <w:rPr>
                <w:rStyle w:val="Hyperlink"/>
                <w:rFonts w:cs="Times New Roman"/>
                <w:noProof/>
              </w:rPr>
              <w:t>1.5.2 Hypotheses</w:t>
            </w:r>
            <w:r w:rsidR="0052191A" w:rsidRPr="00CF3DDD">
              <w:rPr>
                <w:rFonts w:cs="Times New Roman"/>
                <w:noProof/>
                <w:webHidden/>
              </w:rPr>
              <w:tab/>
            </w:r>
            <w:r w:rsidR="004E679F" w:rsidRPr="00CF3DDD">
              <w:rPr>
                <w:rFonts w:cs="Times New Roman"/>
                <w:noProof/>
                <w:webHidden/>
              </w:rPr>
              <w:t>17</w:t>
            </w:r>
          </w:hyperlink>
        </w:p>
        <w:p w14:paraId="47F362A2" w14:textId="2093D3C1"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578" w:history="1">
            <w:r w:rsidR="0052191A" w:rsidRPr="00CF3DDD">
              <w:rPr>
                <w:rStyle w:val="Hyperlink"/>
                <w:rFonts w:cs="Times New Roman"/>
                <w:noProof/>
              </w:rPr>
              <w:t>1.6 Significance of the Study</w:t>
            </w:r>
            <w:r w:rsidR="0052191A" w:rsidRPr="00CF3DDD">
              <w:rPr>
                <w:rFonts w:cs="Times New Roman"/>
                <w:noProof/>
                <w:webHidden/>
              </w:rPr>
              <w:tab/>
            </w:r>
            <w:r w:rsidR="00B227D5" w:rsidRPr="00CF3DDD">
              <w:rPr>
                <w:rFonts w:cs="Times New Roman"/>
                <w:noProof/>
                <w:webHidden/>
              </w:rPr>
              <w:t>17</w:t>
            </w:r>
          </w:hyperlink>
        </w:p>
        <w:p w14:paraId="5F1BAC4E" w14:textId="73592792"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579" w:history="1">
            <w:r w:rsidR="0052191A" w:rsidRPr="00CF3DDD">
              <w:rPr>
                <w:rStyle w:val="Hyperlink"/>
                <w:rFonts w:cs="Times New Roman"/>
                <w:noProof/>
              </w:rPr>
              <w:t>1.7 Scope and Delimitations</w:t>
            </w:r>
            <w:r w:rsidR="0052191A" w:rsidRPr="00CF3DDD">
              <w:rPr>
                <w:rFonts w:cs="Times New Roman"/>
                <w:noProof/>
                <w:webHidden/>
              </w:rPr>
              <w:tab/>
            </w:r>
            <w:r w:rsidR="00B227D5" w:rsidRPr="00CF3DDD">
              <w:rPr>
                <w:rFonts w:cs="Times New Roman"/>
                <w:noProof/>
                <w:webHidden/>
              </w:rPr>
              <w:t>20</w:t>
            </w:r>
          </w:hyperlink>
        </w:p>
        <w:p w14:paraId="43AE02CE" w14:textId="00F24B82"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580" w:history="1">
            <w:r w:rsidR="0052191A" w:rsidRPr="00CF3DDD">
              <w:rPr>
                <w:rStyle w:val="Hyperlink"/>
                <w:rFonts w:cs="Times New Roman"/>
                <w:noProof/>
              </w:rPr>
              <w:t>1.8 Structure of the Dissertation</w:t>
            </w:r>
            <w:r w:rsidR="0052191A" w:rsidRPr="00CF3DDD">
              <w:rPr>
                <w:rFonts w:cs="Times New Roman"/>
                <w:noProof/>
                <w:webHidden/>
              </w:rPr>
              <w:tab/>
            </w:r>
            <w:r w:rsidR="00B227D5" w:rsidRPr="00CF3DDD">
              <w:rPr>
                <w:rFonts w:cs="Times New Roman"/>
                <w:noProof/>
                <w:webHidden/>
              </w:rPr>
              <w:t>20</w:t>
            </w:r>
          </w:hyperlink>
        </w:p>
        <w:p w14:paraId="05AE63D8" w14:textId="739A33E8" w:rsidR="0052191A" w:rsidRPr="00CF3DDD" w:rsidRDefault="00804A4E" w:rsidP="00CF3DDD">
          <w:pPr>
            <w:pStyle w:val="TOC1"/>
            <w:tabs>
              <w:tab w:val="right" w:leader="dot" w:pos="9350"/>
            </w:tabs>
            <w:spacing w:line="360" w:lineRule="auto"/>
            <w:rPr>
              <w:rFonts w:eastAsiaTheme="minorEastAsia" w:cs="Times New Roman"/>
              <w:noProof/>
              <w:kern w:val="2"/>
              <w:szCs w:val="24"/>
              <w14:ligatures w14:val="standardContextual"/>
            </w:rPr>
          </w:pPr>
          <w:hyperlink w:anchor="_Toc209310581" w:history="1">
            <w:r w:rsidR="0052191A" w:rsidRPr="00CF3DDD">
              <w:rPr>
                <w:rStyle w:val="Hyperlink"/>
                <w:rFonts w:cs="Times New Roman"/>
                <w:noProof/>
              </w:rPr>
              <w:t>Chapter 2: Literature Review</w:t>
            </w:r>
            <w:r w:rsidR="0052191A" w:rsidRPr="00CF3DDD">
              <w:rPr>
                <w:rFonts w:cs="Times New Roman"/>
                <w:noProof/>
                <w:webHidden/>
              </w:rPr>
              <w:tab/>
            </w:r>
            <w:r w:rsidR="00373363" w:rsidRPr="00CF3DDD">
              <w:rPr>
                <w:rFonts w:cs="Times New Roman"/>
                <w:noProof/>
                <w:webHidden/>
              </w:rPr>
              <w:t>22</w:t>
            </w:r>
          </w:hyperlink>
        </w:p>
        <w:p w14:paraId="0E390221" w14:textId="1CE568C6"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82" w:history="1">
            <w:r w:rsidR="0052191A" w:rsidRPr="00CF3DDD">
              <w:rPr>
                <w:rStyle w:val="Hyperlink"/>
                <w:rFonts w:cs="Times New Roman"/>
                <w:noProof/>
              </w:rPr>
              <w:t>2.1 Establishing the Conceptual Groundwork for Brand-Centric Consumer Behavior</w:t>
            </w:r>
            <w:r w:rsidR="0052191A" w:rsidRPr="00CF3DDD">
              <w:rPr>
                <w:rFonts w:cs="Times New Roman"/>
                <w:noProof/>
                <w:webHidden/>
              </w:rPr>
              <w:tab/>
            </w:r>
            <w:r w:rsidR="00373363" w:rsidRPr="00CF3DDD">
              <w:rPr>
                <w:rFonts w:cs="Times New Roman"/>
                <w:noProof/>
                <w:webHidden/>
              </w:rPr>
              <w:t>22</w:t>
            </w:r>
          </w:hyperlink>
        </w:p>
        <w:p w14:paraId="3C13695B" w14:textId="3664BB05"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83" w:history="1">
            <w:r w:rsidR="0052191A" w:rsidRPr="00CF3DDD">
              <w:rPr>
                <w:rStyle w:val="Hyperlink"/>
                <w:rFonts w:cs="Times New Roman"/>
                <w:noProof/>
              </w:rPr>
              <w:t>2.2 Branding and Consumer Behavior: Theoretical and Practical Perspectives</w:t>
            </w:r>
            <w:r w:rsidR="0052191A" w:rsidRPr="00CF3DDD">
              <w:rPr>
                <w:rFonts w:cs="Times New Roman"/>
                <w:noProof/>
                <w:webHidden/>
              </w:rPr>
              <w:tab/>
            </w:r>
            <w:r w:rsidR="00373363" w:rsidRPr="00CF3DDD">
              <w:rPr>
                <w:rFonts w:cs="Times New Roman"/>
                <w:noProof/>
                <w:webHidden/>
              </w:rPr>
              <w:t>22</w:t>
            </w:r>
          </w:hyperlink>
        </w:p>
        <w:p w14:paraId="4FBD98D5" w14:textId="74A9B8B9"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84" w:history="1">
            <w:r w:rsidR="0052191A" w:rsidRPr="00CF3DDD">
              <w:rPr>
                <w:rStyle w:val="Hyperlink"/>
                <w:rFonts w:cs="Times New Roman"/>
                <w:noProof/>
              </w:rPr>
              <w:t>2.3 Theoretical Foundations of Brand Equity and Related Constructs</w:t>
            </w:r>
            <w:r w:rsidR="0052191A" w:rsidRPr="00CF3DDD">
              <w:rPr>
                <w:rFonts w:cs="Times New Roman"/>
                <w:noProof/>
                <w:webHidden/>
              </w:rPr>
              <w:tab/>
            </w:r>
          </w:hyperlink>
          <w:r w:rsidR="00373363" w:rsidRPr="00CF3DDD">
            <w:rPr>
              <w:rFonts w:cs="Times New Roman"/>
              <w:noProof/>
            </w:rPr>
            <w:t>24</w:t>
          </w:r>
        </w:p>
        <w:p w14:paraId="379CF5E0" w14:textId="2FE7D861"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585" w:history="1">
            <w:r w:rsidR="0052191A" w:rsidRPr="00CF3DDD">
              <w:rPr>
                <w:rStyle w:val="Hyperlink"/>
                <w:rFonts w:cs="Times New Roman"/>
                <w:noProof/>
              </w:rPr>
              <w:t>2.4 Theoretical Models Supporting Brand Equity</w:t>
            </w:r>
            <w:r w:rsidR="0052191A" w:rsidRPr="00CF3DDD">
              <w:rPr>
                <w:rFonts w:cs="Times New Roman"/>
                <w:noProof/>
                <w:webHidden/>
              </w:rPr>
              <w:tab/>
            </w:r>
          </w:hyperlink>
          <w:r w:rsidR="00373363" w:rsidRPr="00CF3DDD">
            <w:rPr>
              <w:rFonts w:cs="Times New Roman"/>
              <w:noProof/>
            </w:rPr>
            <w:t>24</w:t>
          </w:r>
        </w:p>
        <w:p w14:paraId="1B916BB1" w14:textId="3918C491"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86" w:history="1">
            <w:r w:rsidR="0052191A" w:rsidRPr="00CF3DDD">
              <w:rPr>
                <w:rStyle w:val="Hyperlink"/>
                <w:rFonts w:cs="Times New Roman"/>
                <w:noProof/>
              </w:rPr>
              <w:t xml:space="preserve">2.4.1 Aaker’s Brand Equity Model (1991) – </w:t>
            </w:r>
            <w:r w:rsidR="0052191A" w:rsidRPr="00CF3DDD">
              <w:rPr>
                <w:rStyle w:val="Hyperlink"/>
                <w:rFonts w:cs="Times New Roman"/>
                <w:i/>
                <w:iCs/>
                <w:noProof/>
              </w:rPr>
              <w:t>Foundational Theory for Brand Equity</w:t>
            </w:r>
            <w:r w:rsidR="0052191A" w:rsidRPr="00CF3DDD">
              <w:rPr>
                <w:rFonts w:cs="Times New Roman"/>
                <w:noProof/>
                <w:webHidden/>
              </w:rPr>
              <w:tab/>
            </w:r>
            <w:r w:rsidR="00373363" w:rsidRPr="00CF3DDD">
              <w:rPr>
                <w:rFonts w:cs="Times New Roman"/>
                <w:noProof/>
                <w:webHidden/>
              </w:rPr>
              <w:t>24</w:t>
            </w:r>
          </w:hyperlink>
        </w:p>
        <w:p w14:paraId="34DD2C8F" w14:textId="47ACF9CD"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87" w:history="1">
            <w:r w:rsidR="0052191A" w:rsidRPr="00CF3DDD">
              <w:rPr>
                <w:rStyle w:val="Hyperlink"/>
                <w:rFonts w:cs="Times New Roman"/>
                <w:noProof/>
              </w:rPr>
              <w:t xml:space="preserve">2.4.2 Keller’s Customer-Based Brand Equity (CBBE) Model (1993) – </w:t>
            </w:r>
            <w:r w:rsidR="0052191A" w:rsidRPr="00CF3DDD">
              <w:rPr>
                <w:rStyle w:val="Hyperlink"/>
                <w:rFonts w:cs="Times New Roman"/>
                <w:i/>
                <w:iCs/>
                <w:noProof/>
              </w:rPr>
              <w:t>Link Between Brand Equity and Consumer Behavior</w:t>
            </w:r>
            <w:r w:rsidR="0052191A" w:rsidRPr="00CF3DDD">
              <w:rPr>
                <w:rFonts w:cs="Times New Roman"/>
                <w:noProof/>
                <w:webHidden/>
              </w:rPr>
              <w:tab/>
            </w:r>
            <w:r w:rsidR="00373363" w:rsidRPr="00CF3DDD">
              <w:rPr>
                <w:rFonts w:cs="Times New Roman"/>
                <w:noProof/>
                <w:webHidden/>
              </w:rPr>
              <w:t>25</w:t>
            </w:r>
          </w:hyperlink>
        </w:p>
        <w:p w14:paraId="240339D3" w14:textId="033F8DEF"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88" w:history="1">
            <w:r w:rsidR="0052191A" w:rsidRPr="00CF3DDD">
              <w:rPr>
                <w:rStyle w:val="Hyperlink"/>
                <w:rFonts w:cs="Times New Roman"/>
                <w:noProof/>
              </w:rPr>
              <w:t xml:space="preserve">2.4.3 Yoo and Donthu’s Multidimensional Brand Equity Scale (2001) – </w:t>
            </w:r>
            <w:r w:rsidR="0052191A" w:rsidRPr="00CF3DDD">
              <w:rPr>
                <w:rStyle w:val="Hyperlink"/>
                <w:rFonts w:cs="Times New Roman"/>
                <w:i/>
                <w:iCs/>
                <w:noProof/>
              </w:rPr>
              <w:t>Empirical Application of Brand Equity</w:t>
            </w:r>
            <w:r w:rsidR="0052191A" w:rsidRPr="00CF3DDD">
              <w:rPr>
                <w:rFonts w:cs="Times New Roman"/>
                <w:noProof/>
                <w:webHidden/>
              </w:rPr>
              <w:tab/>
            </w:r>
            <w:r w:rsidR="00373363" w:rsidRPr="00CF3DDD">
              <w:rPr>
                <w:rFonts w:cs="Times New Roman"/>
                <w:noProof/>
                <w:webHidden/>
              </w:rPr>
              <w:t>25</w:t>
            </w:r>
          </w:hyperlink>
        </w:p>
        <w:p w14:paraId="2ACE1F42" w14:textId="676B9189"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589" w:history="1">
            <w:r w:rsidR="0052191A" w:rsidRPr="00CF3DDD">
              <w:rPr>
                <w:rStyle w:val="Hyperlink"/>
                <w:rFonts w:cs="Times New Roman"/>
                <w:noProof/>
              </w:rPr>
              <w:t>2.5 Theoretical Models Explaining Brand Loyalty</w:t>
            </w:r>
            <w:r w:rsidR="0052191A" w:rsidRPr="00CF3DDD">
              <w:rPr>
                <w:rFonts w:cs="Times New Roman"/>
                <w:noProof/>
                <w:webHidden/>
              </w:rPr>
              <w:tab/>
            </w:r>
            <w:r w:rsidR="00373363" w:rsidRPr="00CF3DDD">
              <w:rPr>
                <w:rFonts w:cs="Times New Roman"/>
                <w:noProof/>
                <w:webHidden/>
              </w:rPr>
              <w:t>25</w:t>
            </w:r>
          </w:hyperlink>
        </w:p>
        <w:p w14:paraId="4091E504" w14:textId="30A90F92"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90" w:history="1">
            <w:r w:rsidR="0052191A" w:rsidRPr="00CF3DDD">
              <w:rPr>
                <w:rStyle w:val="Hyperlink"/>
                <w:rFonts w:cs="Times New Roman"/>
                <w:noProof/>
              </w:rPr>
              <w:t>2.5.1 Dick and Basu’s Loyalty Model (2017) – Cognitive, Affective Approach to Loyalty</w:t>
            </w:r>
            <w:r w:rsidR="0052191A" w:rsidRPr="00CF3DDD">
              <w:rPr>
                <w:rFonts w:cs="Times New Roman"/>
                <w:noProof/>
                <w:webHidden/>
              </w:rPr>
              <w:tab/>
            </w:r>
            <w:r w:rsidR="00373363" w:rsidRPr="00CF3DDD">
              <w:rPr>
                <w:rFonts w:cs="Times New Roman"/>
                <w:noProof/>
                <w:webHidden/>
              </w:rPr>
              <w:t>25</w:t>
            </w:r>
          </w:hyperlink>
        </w:p>
        <w:p w14:paraId="380BB394" w14:textId="64E3B0D0"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91" w:history="1">
            <w:r w:rsidR="0052191A" w:rsidRPr="00CF3DDD">
              <w:rPr>
                <w:rStyle w:val="Hyperlink"/>
                <w:rFonts w:cs="Times New Roman"/>
                <w:noProof/>
              </w:rPr>
              <w:t xml:space="preserve">2.5.2 Oliver’s Four-Stage Loyalty Model (1999) – </w:t>
            </w:r>
            <w:r w:rsidR="0052191A" w:rsidRPr="00CF3DDD">
              <w:rPr>
                <w:rStyle w:val="Hyperlink"/>
                <w:rFonts w:cs="Times New Roman"/>
                <w:i/>
                <w:iCs/>
                <w:noProof/>
              </w:rPr>
              <w:t>Pathway from Cognition to Action</w:t>
            </w:r>
            <w:r w:rsidR="0052191A" w:rsidRPr="00CF3DDD">
              <w:rPr>
                <w:rFonts w:cs="Times New Roman"/>
                <w:noProof/>
                <w:webHidden/>
              </w:rPr>
              <w:tab/>
            </w:r>
          </w:hyperlink>
          <w:r w:rsidR="00373363" w:rsidRPr="00CF3DDD">
            <w:rPr>
              <w:rFonts w:cs="Times New Roman"/>
              <w:noProof/>
            </w:rPr>
            <w:t>26</w:t>
          </w:r>
        </w:p>
        <w:p w14:paraId="33F50889" w14:textId="26029A42"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592" w:history="1">
            <w:r w:rsidR="0052191A" w:rsidRPr="00CF3DDD">
              <w:rPr>
                <w:rStyle w:val="Hyperlink"/>
                <w:rFonts w:cs="Times New Roman"/>
                <w:noProof/>
              </w:rPr>
              <w:t>2.6 Theoretical Perspectives on Brand Trust</w:t>
            </w:r>
            <w:r w:rsidR="0052191A" w:rsidRPr="00CF3DDD">
              <w:rPr>
                <w:rFonts w:cs="Times New Roman"/>
                <w:noProof/>
                <w:webHidden/>
              </w:rPr>
              <w:tab/>
            </w:r>
          </w:hyperlink>
          <w:r w:rsidR="00373363" w:rsidRPr="00CF3DDD">
            <w:rPr>
              <w:rFonts w:cs="Times New Roman"/>
              <w:noProof/>
            </w:rPr>
            <w:t>26</w:t>
          </w:r>
        </w:p>
        <w:p w14:paraId="5A554C74" w14:textId="7BA9FD10"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93" w:history="1">
            <w:r w:rsidR="0052191A" w:rsidRPr="00CF3DDD">
              <w:rPr>
                <w:rStyle w:val="Hyperlink"/>
                <w:rFonts w:cs="Times New Roman"/>
                <w:noProof/>
              </w:rPr>
              <w:t xml:space="preserve">2.6.1 Chaudhuri and Holbrook’s Brand Trust Model (2001) – </w:t>
            </w:r>
            <w:r w:rsidR="0052191A" w:rsidRPr="00CF3DDD">
              <w:rPr>
                <w:rStyle w:val="Hyperlink"/>
                <w:rFonts w:cs="Times New Roman"/>
                <w:i/>
                <w:iCs/>
                <w:noProof/>
              </w:rPr>
              <w:t>Trust as a Loyalty Driver</w:t>
            </w:r>
            <w:r w:rsidR="0052191A" w:rsidRPr="00CF3DDD">
              <w:rPr>
                <w:rFonts w:cs="Times New Roman"/>
                <w:noProof/>
                <w:webHidden/>
              </w:rPr>
              <w:tab/>
            </w:r>
          </w:hyperlink>
          <w:r w:rsidR="00373363" w:rsidRPr="00CF3DDD">
            <w:rPr>
              <w:rFonts w:cs="Times New Roman"/>
              <w:noProof/>
            </w:rPr>
            <w:t>26</w:t>
          </w:r>
        </w:p>
        <w:p w14:paraId="1562F26F" w14:textId="105B489F"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594" w:history="1">
            <w:r w:rsidR="0052191A" w:rsidRPr="00CF3DDD">
              <w:rPr>
                <w:rStyle w:val="Hyperlink"/>
                <w:rFonts w:cs="Times New Roman"/>
                <w:noProof/>
              </w:rPr>
              <w:t>2.7 Theoretical Perspectives on Brand Love</w:t>
            </w:r>
            <w:r w:rsidR="0052191A" w:rsidRPr="00CF3DDD">
              <w:rPr>
                <w:rFonts w:cs="Times New Roman"/>
                <w:noProof/>
                <w:webHidden/>
              </w:rPr>
              <w:tab/>
            </w:r>
          </w:hyperlink>
          <w:r w:rsidR="00373363" w:rsidRPr="00CF3DDD">
            <w:rPr>
              <w:rFonts w:cs="Times New Roman"/>
              <w:noProof/>
            </w:rPr>
            <w:t>26</w:t>
          </w:r>
        </w:p>
        <w:p w14:paraId="0FFB3C35" w14:textId="78AB8095"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95" w:history="1">
            <w:r w:rsidR="0052191A" w:rsidRPr="00CF3DDD">
              <w:rPr>
                <w:rStyle w:val="Hyperlink"/>
                <w:rFonts w:cs="Times New Roman"/>
                <w:noProof/>
              </w:rPr>
              <w:t xml:space="preserve">2.7.1 Carroll and Ahuvia’s Brand Love Model (2006) – </w:t>
            </w:r>
            <w:r w:rsidR="0052191A" w:rsidRPr="00CF3DDD">
              <w:rPr>
                <w:rStyle w:val="Hyperlink"/>
                <w:rFonts w:cs="Times New Roman"/>
                <w:i/>
                <w:iCs/>
                <w:noProof/>
              </w:rPr>
              <w:t>Core Framework for Brand Love</w:t>
            </w:r>
            <w:r w:rsidR="0052191A" w:rsidRPr="00CF3DDD">
              <w:rPr>
                <w:rFonts w:cs="Times New Roman"/>
                <w:noProof/>
                <w:webHidden/>
              </w:rPr>
              <w:tab/>
            </w:r>
          </w:hyperlink>
          <w:r w:rsidR="00373363" w:rsidRPr="00CF3DDD">
            <w:rPr>
              <w:rFonts w:cs="Times New Roman"/>
              <w:noProof/>
            </w:rPr>
            <w:t>27</w:t>
          </w:r>
        </w:p>
        <w:p w14:paraId="3441735A" w14:textId="0FCE26CE"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596" w:history="1">
            <w:r w:rsidR="0052191A" w:rsidRPr="00CF3DDD">
              <w:rPr>
                <w:rStyle w:val="Hyperlink"/>
                <w:rFonts w:cs="Times New Roman"/>
                <w:noProof/>
              </w:rPr>
              <w:t xml:space="preserve">2.7.2 Batra et al.’s Brand Love Framework (2012) – </w:t>
            </w:r>
            <w:r w:rsidR="0052191A" w:rsidRPr="00CF3DDD">
              <w:rPr>
                <w:rStyle w:val="Hyperlink"/>
                <w:rFonts w:cs="Times New Roman"/>
                <w:i/>
                <w:iCs/>
                <w:noProof/>
              </w:rPr>
              <w:t>Dimensions of Emotional Brand Relationships</w:t>
            </w:r>
            <w:r w:rsidR="0052191A" w:rsidRPr="00CF3DDD">
              <w:rPr>
                <w:rFonts w:cs="Times New Roman"/>
                <w:noProof/>
                <w:webHidden/>
              </w:rPr>
              <w:tab/>
            </w:r>
            <w:r w:rsidR="0052191A" w:rsidRPr="00CF3DDD">
              <w:rPr>
                <w:rFonts w:cs="Times New Roman"/>
                <w:noProof/>
                <w:webHidden/>
              </w:rPr>
              <w:fldChar w:fldCharType="begin"/>
            </w:r>
            <w:r w:rsidR="0052191A" w:rsidRPr="00CF3DDD">
              <w:rPr>
                <w:rFonts w:cs="Times New Roman"/>
                <w:noProof/>
                <w:webHidden/>
              </w:rPr>
              <w:instrText xml:space="preserve"> PAGEREF _Toc209310596 \h </w:instrText>
            </w:r>
            <w:r w:rsidR="0052191A" w:rsidRPr="00CF3DDD">
              <w:rPr>
                <w:rFonts w:cs="Times New Roman"/>
                <w:noProof/>
                <w:webHidden/>
              </w:rPr>
            </w:r>
            <w:r w:rsidR="0052191A" w:rsidRPr="00CF3DDD">
              <w:rPr>
                <w:rFonts w:cs="Times New Roman"/>
                <w:noProof/>
                <w:webHidden/>
              </w:rPr>
              <w:fldChar w:fldCharType="separate"/>
            </w:r>
            <w:r w:rsidR="0052191A" w:rsidRPr="00CF3DDD">
              <w:rPr>
                <w:rFonts w:cs="Times New Roman"/>
                <w:noProof/>
                <w:webHidden/>
              </w:rPr>
              <w:t>2</w:t>
            </w:r>
            <w:r w:rsidR="00373363" w:rsidRPr="00CF3DDD">
              <w:rPr>
                <w:rFonts w:cs="Times New Roman"/>
                <w:noProof/>
                <w:webHidden/>
              </w:rPr>
              <w:t>7</w:t>
            </w:r>
            <w:r w:rsidR="0052191A" w:rsidRPr="00CF3DDD">
              <w:rPr>
                <w:rFonts w:cs="Times New Roman"/>
                <w:noProof/>
                <w:webHidden/>
              </w:rPr>
              <w:fldChar w:fldCharType="end"/>
            </w:r>
          </w:hyperlink>
        </w:p>
        <w:p w14:paraId="4DF32314" w14:textId="4E48EDCE"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597" w:history="1">
            <w:r w:rsidR="0052191A" w:rsidRPr="00CF3DDD">
              <w:rPr>
                <w:rStyle w:val="Hyperlink"/>
                <w:rFonts w:cs="Times New Roman"/>
                <w:noProof/>
              </w:rPr>
              <w:t>2.8 Summary and Relevance to Research Framework</w:t>
            </w:r>
            <w:r w:rsidR="0052191A" w:rsidRPr="00CF3DDD">
              <w:rPr>
                <w:rFonts w:cs="Times New Roman"/>
                <w:noProof/>
                <w:webHidden/>
              </w:rPr>
              <w:tab/>
            </w:r>
            <w:r w:rsidR="00373363" w:rsidRPr="00CF3DDD">
              <w:rPr>
                <w:rFonts w:cs="Times New Roman"/>
                <w:noProof/>
                <w:webHidden/>
              </w:rPr>
              <w:t>27</w:t>
            </w:r>
          </w:hyperlink>
        </w:p>
        <w:p w14:paraId="039598E0" w14:textId="7C9EFB11"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598" w:history="1">
            <w:r w:rsidR="0052191A" w:rsidRPr="00CF3DDD">
              <w:rPr>
                <w:rStyle w:val="Hyperlink"/>
                <w:rFonts w:cs="Times New Roman"/>
                <w:noProof/>
              </w:rPr>
              <w:t>2.9 Brand Loyalty in FMCG Markets: Drivers, Dimensions, and Debates</w:t>
            </w:r>
            <w:r w:rsidR="0052191A" w:rsidRPr="00CF3DDD">
              <w:rPr>
                <w:rFonts w:cs="Times New Roman"/>
                <w:noProof/>
                <w:webHidden/>
              </w:rPr>
              <w:tab/>
            </w:r>
            <w:r w:rsidR="000B23C9" w:rsidRPr="00CF3DDD">
              <w:rPr>
                <w:rFonts w:cs="Times New Roman"/>
                <w:noProof/>
                <w:webHidden/>
              </w:rPr>
              <w:t>27</w:t>
            </w:r>
          </w:hyperlink>
        </w:p>
        <w:p w14:paraId="1D167E5A" w14:textId="09B6F815"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599" w:history="1">
            <w:r w:rsidR="0052191A" w:rsidRPr="00CF3DDD">
              <w:rPr>
                <w:rStyle w:val="Hyperlink"/>
                <w:rFonts w:cs="Times New Roman"/>
                <w:noProof/>
              </w:rPr>
              <w:t>2.10 Defining Brand Loyalty: Beyond Repetition</w:t>
            </w:r>
            <w:r w:rsidR="0052191A" w:rsidRPr="00CF3DDD">
              <w:rPr>
                <w:rFonts w:cs="Times New Roman"/>
                <w:noProof/>
                <w:webHidden/>
              </w:rPr>
              <w:tab/>
            </w:r>
            <w:r w:rsidR="000B23C9" w:rsidRPr="00CF3DDD">
              <w:rPr>
                <w:rFonts w:cs="Times New Roman"/>
                <w:noProof/>
                <w:webHidden/>
              </w:rPr>
              <w:t>28</w:t>
            </w:r>
          </w:hyperlink>
        </w:p>
        <w:p w14:paraId="02FA0649" w14:textId="084CA857"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00" w:history="1">
            <w:r w:rsidR="0052191A" w:rsidRPr="00CF3DDD">
              <w:rPr>
                <w:rStyle w:val="Hyperlink"/>
                <w:rFonts w:cs="Times New Roman"/>
                <w:noProof/>
              </w:rPr>
              <w:t>2.11 Dimensions of Brand Loyalty</w:t>
            </w:r>
            <w:r w:rsidR="0052191A" w:rsidRPr="00CF3DDD">
              <w:rPr>
                <w:rFonts w:cs="Times New Roman"/>
                <w:noProof/>
                <w:webHidden/>
              </w:rPr>
              <w:tab/>
            </w:r>
            <w:r w:rsidR="000B23C9" w:rsidRPr="00CF3DDD">
              <w:rPr>
                <w:rFonts w:cs="Times New Roman"/>
                <w:noProof/>
                <w:webHidden/>
              </w:rPr>
              <w:t>28</w:t>
            </w:r>
          </w:hyperlink>
        </w:p>
        <w:p w14:paraId="4CCFCBDA" w14:textId="669BCDA6"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01" w:history="1">
            <w:r w:rsidR="0052191A" w:rsidRPr="00CF3DDD">
              <w:rPr>
                <w:rStyle w:val="Hyperlink"/>
                <w:rFonts w:cs="Times New Roman"/>
                <w:noProof/>
              </w:rPr>
              <w:t>2.12 Brand Loyalty in FMCG: Challenges and Opportunities</w:t>
            </w:r>
            <w:r w:rsidR="0052191A" w:rsidRPr="00CF3DDD">
              <w:rPr>
                <w:rFonts w:cs="Times New Roman"/>
                <w:noProof/>
                <w:webHidden/>
              </w:rPr>
              <w:tab/>
            </w:r>
            <w:r w:rsidR="000B23C9" w:rsidRPr="00CF3DDD">
              <w:rPr>
                <w:rFonts w:cs="Times New Roman"/>
                <w:noProof/>
                <w:webHidden/>
              </w:rPr>
              <w:t>29</w:t>
            </w:r>
          </w:hyperlink>
        </w:p>
        <w:p w14:paraId="5ACC3FEA" w14:textId="65042C4A"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02" w:history="1">
            <w:r w:rsidR="0052191A" w:rsidRPr="00CF3DDD">
              <w:rPr>
                <w:rStyle w:val="Hyperlink"/>
                <w:rFonts w:cs="Times New Roman"/>
                <w:noProof/>
              </w:rPr>
              <w:t>2.13 Nestlé and the Loyalty Equation in the UK Market</w:t>
            </w:r>
            <w:r w:rsidR="0052191A" w:rsidRPr="00CF3DDD">
              <w:rPr>
                <w:rFonts w:cs="Times New Roman"/>
                <w:noProof/>
                <w:webHidden/>
              </w:rPr>
              <w:tab/>
            </w:r>
            <w:r w:rsidR="000B23C9" w:rsidRPr="00CF3DDD">
              <w:rPr>
                <w:rFonts w:cs="Times New Roman"/>
                <w:noProof/>
                <w:webHidden/>
              </w:rPr>
              <w:t>29</w:t>
            </w:r>
          </w:hyperlink>
        </w:p>
        <w:p w14:paraId="68BCDD0E" w14:textId="6A79D663"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03" w:history="1">
            <w:r w:rsidR="0052191A" w:rsidRPr="00CF3DDD">
              <w:rPr>
                <w:rStyle w:val="Hyperlink"/>
                <w:rFonts w:cs="Times New Roman"/>
                <w:noProof/>
              </w:rPr>
              <w:t>2.14 Mediating Role of Brand Trust in the Brand Equity–Loyalty Relationship</w:t>
            </w:r>
            <w:r w:rsidR="0052191A" w:rsidRPr="00CF3DDD">
              <w:rPr>
                <w:rFonts w:cs="Times New Roman"/>
                <w:noProof/>
                <w:webHidden/>
              </w:rPr>
              <w:tab/>
            </w:r>
            <w:r w:rsidR="000B23C9" w:rsidRPr="00CF3DDD">
              <w:rPr>
                <w:rFonts w:cs="Times New Roman"/>
                <w:noProof/>
                <w:webHidden/>
              </w:rPr>
              <w:t>30</w:t>
            </w:r>
          </w:hyperlink>
        </w:p>
        <w:p w14:paraId="30795541" w14:textId="244F1044"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04" w:history="1">
            <w:r w:rsidR="0052191A" w:rsidRPr="00CF3DDD">
              <w:rPr>
                <w:rStyle w:val="Hyperlink"/>
                <w:rFonts w:cs="Times New Roman"/>
                <w:noProof/>
              </w:rPr>
              <w:t>2.15 Conceptualizing Brand Trust</w:t>
            </w:r>
            <w:r w:rsidR="0052191A" w:rsidRPr="00CF3DDD">
              <w:rPr>
                <w:rFonts w:cs="Times New Roman"/>
                <w:noProof/>
                <w:webHidden/>
              </w:rPr>
              <w:tab/>
            </w:r>
            <w:r w:rsidR="000B23C9" w:rsidRPr="00CF3DDD">
              <w:rPr>
                <w:rFonts w:cs="Times New Roman"/>
                <w:noProof/>
                <w:webHidden/>
              </w:rPr>
              <w:t>30</w:t>
            </w:r>
          </w:hyperlink>
        </w:p>
        <w:p w14:paraId="39C8590F" w14:textId="37972728"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05" w:history="1">
            <w:r w:rsidR="0052191A" w:rsidRPr="00CF3DDD">
              <w:rPr>
                <w:rStyle w:val="Hyperlink"/>
                <w:rFonts w:cs="Times New Roman"/>
                <w:noProof/>
              </w:rPr>
              <w:t>2.16 Trust as a Mediator Between Brand Equity and Loyalty</w:t>
            </w:r>
            <w:r w:rsidR="0052191A" w:rsidRPr="00CF3DDD">
              <w:rPr>
                <w:rFonts w:cs="Times New Roman"/>
                <w:noProof/>
                <w:webHidden/>
              </w:rPr>
              <w:tab/>
            </w:r>
          </w:hyperlink>
          <w:r w:rsidR="000B23C9" w:rsidRPr="00CF3DDD">
            <w:rPr>
              <w:rFonts w:cs="Times New Roman"/>
              <w:noProof/>
            </w:rPr>
            <w:t>31</w:t>
          </w:r>
        </w:p>
        <w:p w14:paraId="560D6200" w14:textId="1ECD686B"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06" w:history="1">
            <w:r w:rsidR="0052191A" w:rsidRPr="00CF3DDD">
              <w:rPr>
                <w:rStyle w:val="Hyperlink"/>
                <w:rFonts w:cs="Times New Roman"/>
                <w:noProof/>
              </w:rPr>
              <w:t>2.17 Drivers of Brand Trust in FMCG: Nestlé’s Strategic Position</w:t>
            </w:r>
            <w:r w:rsidR="0052191A" w:rsidRPr="00CF3DDD">
              <w:rPr>
                <w:rFonts w:cs="Times New Roman"/>
                <w:noProof/>
                <w:webHidden/>
              </w:rPr>
              <w:tab/>
            </w:r>
          </w:hyperlink>
          <w:r w:rsidR="000B23C9" w:rsidRPr="00CF3DDD">
            <w:rPr>
              <w:rFonts w:cs="Times New Roman"/>
              <w:noProof/>
            </w:rPr>
            <w:t>31</w:t>
          </w:r>
        </w:p>
        <w:p w14:paraId="5A7573C3" w14:textId="48B94BC0"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07" w:history="1">
            <w:r w:rsidR="0052191A" w:rsidRPr="00CF3DDD">
              <w:rPr>
                <w:rStyle w:val="Hyperlink"/>
                <w:rFonts w:cs="Times New Roman"/>
                <w:noProof/>
              </w:rPr>
              <w:t>2.18 Nestlé and the Loyalty Equation: Trust as a Critical Link</w:t>
            </w:r>
            <w:r w:rsidR="0052191A" w:rsidRPr="00CF3DDD">
              <w:rPr>
                <w:rFonts w:cs="Times New Roman"/>
                <w:noProof/>
                <w:webHidden/>
              </w:rPr>
              <w:tab/>
            </w:r>
            <w:r w:rsidR="000B23C9" w:rsidRPr="00CF3DDD">
              <w:rPr>
                <w:rFonts w:cs="Times New Roman"/>
                <w:noProof/>
                <w:webHidden/>
              </w:rPr>
              <w:t>32</w:t>
            </w:r>
          </w:hyperlink>
        </w:p>
        <w:p w14:paraId="66E6F0E8" w14:textId="31313DF3"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08" w:history="1">
            <w:r w:rsidR="0052191A" w:rsidRPr="00CF3DDD">
              <w:rPr>
                <w:rStyle w:val="Hyperlink"/>
                <w:rFonts w:cs="Times New Roman"/>
                <w:noProof/>
              </w:rPr>
              <w:t>2.19 Mediating Role of Brand Love in the Brand Equity–Loyalty Relationship</w:t>
            </w:r>
            <w:r w:rsidR="0052191A" w:rsidRPr="00CF3DDD">
              <w:rPr>
                <w:rFonts w:cs="Times New Roman"/>
                <w:noProof/>
                <w:webHidden/>
              </w:rPr>
              <w:tab/>
            </w:r>
            <w:r w:rsidR="000B23C9" w:rsidRPr="00CF3DDD">
              <w:rPr>
                <w:rFonts w:cs="Times New Roman"/>
                <w:noProof/>
                <w:webHidden/>
              </w:rPr>
              <w:t>32</w:t>
            </w:r>
          </w:hyperlink>
        </w:p>
        <w:p w14:paraId="44B4D1CB" w14:textId="386F2164"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09" w:history="1">
            <w:r w:rsidR="0052191A" w:rsidRPr="00CF3DDD">
              <w:rPr>
                <w:rStyle w:val="Hyperlink"/>
                <w:rFonts w:cs="Times New Roman"/>
                <w:noProof/>
              </w:rPr>
              <w:t>2.20 Understanding Brand Love</w:t>
            </w:r>
            <w:r w:rsidR="0052191A" w:rsidRPr="00CF3DDD">
              <w:rPr>
                <w:rFonts w:cs="Times New Roman"/>
                <w:noProof/>
                <w:webHidden/>
              </w:rPr>
              <w:tab/>
            </w:r>
          </w:hyperlink>
          <w:r w:rsidR="000B23C9" w:rsidRPr="00CF3DDD">
            <w:rPr>
              <w:rFonts w:cs="Times New Roman"/>
              <w:noProof/>
            </w:rPr>
            <w:t>33</w:t>
          </w:r>
        </w:p>
        <w:p w14:paraId="67E12698" w14:textId="0C788DFE"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10" w:history="1">
            <w:r w:rsidR="0052191A" w:rsidRPr="00CF3DDD">
              <w:rPr>
                <w:rStyle w:val="Hyperlink"/>
                <w:rFonts w:cs="Times New Roman"/>
                <w:noProof/>
              </w:rPr>
              <w:t>2.21 Brand Love as a Mediator Between Equity and Loyalty</w:t>
            </w:r>
            <w:r w:rsidR="0052191A" w:rsidRPr="00CF3DDD">
              <w:rPr>
                <w:rFonts w:cs="Times New Roman"/>
                <w:noProof/>
                <w:webHidden/>
              </w:rPr>
              <w:tab/>
            </w:r>
          </w:hyperlink>
          <w:r w:rsidR="000B23C9" w:rsidRPr="00CF3DDD">
            <w:rPr>
              <w:rFonts w:cs="Times New Roman"/>
              <w:noProof/>
            </w:rPr>
            <w:t>33</w:t>
          </w:r>
        </w:p>
        <w:p w14:paraId="43928ADB" w14:textId="7BCECFF5"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11" w:history="1">
            <w:r w:rsidR="0052191A" w:rsidRPr="00CF3DDD">
              <w:rPr>
                <w:rStyle w:val="Hyperlink"/>
                <w:rFonts w:cs="Times New Roman"/>
                <w:noProof/>
              </w:rPr>
              <w:t>2.22 Nestlé and Emotional Branding in the UK</w:t>
            </w:r>
            <w:r w:rsidR="0052191A" w:rsidRPr="00CF3DDD">
              <w:rPr>
                <w:rFonts w:cs="Times New Roman"/>
                <w:noProof/>
                <w:webHidden/>
              </w:rPr>
              <w:tab/>
            </w:r>
            <w:r w:rsidR="000B23C9" w:rsidRPr="00CF3DDD">
              <w:rPr>
                <w:rFonts w:cs="Times New Roman"/>
                <w:noProof/>
                <w:webHidden/>
              </w:rPr>
              <w:t>34</w:t>
            </w:r>
          </w:hyperlink>
        </w:p>
        <w:p w14:paraId="67E5D424" w14:textId="7260023D"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12" w:history="1">
            <w:r w:rsidR="0052191A" w:rsidRPr="00CF3DDD">
              <w:rPr>
                <w:rStyle w:val="Hyperlink"/>
                <w:rFonts w:cs="Times New Roman"/>
                <w:noProof/>
              </w:rPr>
              <w:t>2.23 Interrelationships Between Constructs</w:t>
            </w:r>
            <w:r w:rsidR="0052191A" w:rsidRPr="00CF3DDD">
              <w:rPr>
                <w:rFonts w:cs="Times New Roman"/>
                <w:noProof/>
                <w:webHidden/>
              </w:rPr>
              <w:tab/>
            </w:r>
            <w:r w:rsidR="000B23C9" w:rsidRPr="00CF3DDD">
              <w:rPr>
                <w:rFonts w:cs="Times New Roman"/>
                <w:noProof/>
                <w:webHidden/>
              </w:rPr>
              <w:t>34</w:t>
            </w:r>
          </w:hyperlink>
        </w:p>
        <w:p w14:paraId="77084816" w14:textId="6EBC3179"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13" w:history="1">
            <w:r w:rsidR="0052191A" w:rsidRPr="00CF3DDD">
              <w:rPr>
                <w:rStyle w:val="Hyperlink"/>
                <w:rFonts w:cs="Times New Roman"/>
                <w:noProof/>
              </w:rPr>
              <w:t>2.24 Research Gap and Chapter Summary</w:t>
            </w:r>
            <w:r w:rsidR="0052191A" w:rsidRPr="00CF3DDD">
              <w:rPr>
                <w:rFonts w:cs="Times New Roman"/>
                <w:noProof/>
                <w:webHidden/>
              </w:rPr>
              <w:tab/>
            </w:r>
            <w:r w:rsidR="000B23C9" w:rsidRPr="00CF3DDD">
              <w:rPr>
                <w:rFonts w:cs="Times New Roman"/>
                <w:noProof/>
                <w:webHidden/>
              </w:rPr>
              <w:t>35</w:t>
            </w:r>
          </w:hyperlink>
        </w:p>
        <w:p w14:paraId="13C25A1F" w14:textId="7439F767" w:rsidR="0052191A" w:rsidRPr="00CF3DDD" w:rsidRDefault="00804A4E" w:rsidP="00CF3DDD">
          <w:pPr>
            <w:pStyle w:val="TOC1"/>
            <w:tabs>
              <w:tab w:val="right" w:leader="dot" w:pos="9350"/>
            </w:tabs>
            <w:spacing w:line="360" w:lineRule="auto"/>
            <w:rPr>
              <w:rFonts w:eastAsiaTheme="minorEastAsia" w:cs="Times New Roman"/>
              <w:noProof/>
              <w:kern w:val="2"/>
              <w:szCs w:val="24"/>
              <w14:ligatures w14:val="standardContextual"/>
            </w:rPr>
          </w:pPr>
          <w:hyperlink w:anchor="_Toc209310614" w:history="1">
            <w:r w:rsidR="0052191A" w:rsidRPr="00CF3DDD">
              <w:rPr>
                <w:rStyle w:val="Hyperlink"/>
                <w:rFonts w:cs="Times New Roman"/>
                <w:noProof/>
              </w:rPr>
              <w:t>Chapter 3: Research Methodology</w:t>
            </w:r>
            <w:r w:rsidR="0052191A" w:rsidRPr="00CF3DDD">
              <w:rPr>
                <w:rFonts w:cs="Times New Roman"/>
                <w:noProof/>
                <w:webHidden/>
              </w:rPr>
              <w:tab/>
            </w:r>
          </w:hyperlink>
          <w:r w:rsidR="004F627C" w:rsidRPr="00CF3DDD">
            <w:rPr>
              <w:rFonts w:cs="Times New Roman"/>
              <w:noProof/>
            </w:rPr>
            <w:t>37</w:t>
          </w:r>
        </w:p>
        <w:p w14:paraId="220820EB" w14:textId="7F2AB19C"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15" w:history="1">
            <w:r w:rsidR="0052191A" w:rsidRPr="00CF3DDD">
              <w:rPr>
                <w:rStyle w:val="Hyperlink"/>
                <w:rFonts w:cs="Times New Roman"/>
                <w:noProof/>
              </w:rPr>
              <w:t>3.1 Introduction</w:t>
            </w:r>
            <w:r w:rsidR="0052191A" w:rsidRPr="00CF3DDD">
              <w:rPr>
                <w:rFonts w:cs="Times New Roman"/>
                <w:noProof/>
                <w:webHidden/>
              </w:rPr>
              <w:tab/>
            </w:r>
          </w:hyperlink>
          <w:r w:rsidR="004F627C" w:rsidRPr="00CF3DDD">
            <w:rPr>
              <w:rFonts w:cs="Times New Roman"/>
              <w:noProof/>
            </w:rPr>
            <w:t>37</w:t>
          </w:r>
        </w:p>
        <w:p w14:paraId="2CE3A00E" w14:textId="4B5E2A88"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16" w:history="1">
            <w:r w:rsidR="0052191A" w:rsidRPr="00CF3DDD">
              <w:rPr>
                <w:rStyle w:val="Hyperlink"/>
                <w:rFonts w:cs="Times New Roman"/>
                <w:noProof/>
              </w:rPr>
              <w:t>3.2 Research Strategy</w:t>
            </w:r>
            <w:r w:rsidR="0052191A" w:rsidRPr="00CF3DDD">
              <w:rPr>
                <w:rFonts w:cs="Times New Roman"/>
                <w:noProof/>
                <w:webHidden/>
              </w:rPr>
              <w:tab/>
            </w:r>
          </w:hyperlink>
          <w:r w:rsidR="004F627C" w:rsidRPr="00CF3DDD">
            <w:rPr>
              <w:rFonts w:cs="Times New Roman"/>
              <w:noProof/>
            </w:rPr>
            <w:t>37</w:t>
          </w:r>
        </w:p>
        <w:p w14:paraId="337FF3E8" w14:textId="63421D08"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17" w:history="1">
            <w:r w:rsidR="0052191A" w:rsidRPr="00CF3DDD">
              <w:rPr>
                <w:rStyle w:val="Hyperlink"/>
                <w:rFonts w:cs="Times New Roman"/>
                <w:noProof/>
              </w:rPr>
              <w:t>3.3 Research Design</w:t>
            </w:r>
            <w:r w:rsidR="0052191A" w:rsidRPr="00CF3DDD">
              <w:rPr>
                <w:rFonts w:cs="Times New Roman"/>
                <w:noProof/>
                <w:webHidden/>
              </w:rPr>
              <w:tab/>
            </w:r>
            <w:r w:rsidR="004F627C" w:rsidRPr="00CF3DDD">
              <w:rPr>
                <w:rFonts w:cs="Times New Roman"/>
                <w:noProof/>
                <w:webHidden/>
              </w:rPr>
              <w:t>38</w:t>
            </w:r>
          </w:hyperlink>
        </w:p>
        <w:p w14:paraId="4EBCD54F" w14:textId="72FDE891"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18" w:history="1">
            <w:r w:rsidR="0052191A" w:rsidRPr="00CF3DDD">
              <w:rPr>
                <w:rStyle w:val="Hyperlink"/>
                <w:rFonts w:cs="Times New Roman"/>
                <w:noProof/>
              </w:rPr>
              <w:t>3.4 Research Paradigm (Philosophy)</w:t>
            </w:r>
            <w:r w:rsidR="0052191A" w:rsidRPr="00CF3DDD">
              <w:rPr>
                <w:rFonts w:cs="Times New Roman"/>
                <w:noProof/>
                <w:webHidden/>
              </w:rPr>
              <w:tab/>
            </w:r>
            <w:r w:rsidR="004F627C" w:rsidRPr="00CF3DDD">
              <w:rPr>
                <w:rFonts w:cs="Times New Roman"/>
                <w:noProof/>
                <w:webHidden/>
              </w:rPr>
              <w:t>39</w:t>
            </w:r>
          </w:hyperlink>
        </w:p>
        <w:p w14:paraId="3D502339" w14:textId="596613D3"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19" w:history="1">
            <w:r w:rsidR="0052191A" w:rsidRPr="00CF3DDD">
              <w:rPr>
                <w:rStyle w:val="Hyperlink"/>
                <w:rFonts w:cs="Times New Roman"/>
                <w:noProof/>
              </w:rPr>
              <w:t>3.5 Data Collection</w:t>
            </w:r>
            <w:r w:rsidR="0052191A" w:rsidRPr="00CF3DDD">
              <w:rPr>
                <w:rFonts w:cs="Times New Roman"/>
                <w:noProof/>
                <w:webHidden/>
              </w:rPr>
              <w:tab/>
            </w:r>
            <w:r w:rsidR="004F627C" w:rsidRPr="00CF3DDD">
              <w:rPr>
                <w:rFonts w:cs="Times New Roman"/>
                <w:noProof/>
                <w:webHidden/>
              </w:rPr>
              <w:t>40</w:t>
            </w:r>
          </w:hyperlink>
        </w:p>
        <w:p w14:paraId="46640E49" w14:textId="4C59C94E"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20" w:history="1">
            <w:r w:rsidR="0052191A" w:rsidRPr="00CF3DDD">
              <w:rPr>
                <w:rStyle w:val="Hyperlink"/>
                <w:rFonts w:cs="Times New Roman"/>
                <w:noProof/>
              </w:rPr>
              <w:t>3.6 Population and Sample</w:t>
            </w:r>
            <w:r w:rsidR="0052191A" w:rsidRPr="00CF3DDD">
              <w:rPr>
                <w:rFonts w:cs="Times New Roman"/>
                <w:noProof/>
                <w:webHidden/>
              </w:rPr>
              <w:tab/>
            </w:r>
            <w:r w:rsidR="004F627C" w:rsidRPr="00CF3DDD">
              <w:rPr>
                <w:rFonts w:cs="Times New Roman"/>
                <w:noProof/>
                <w:webHidden/>
              </w:rPr>
              <w:t>41</w:t>
            </w:r>
          </w:hyperlink>
        </w:p>
        <w:p w14:paraId="0784D26D" w14:textId="27D841A9"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21" w:history="1">
            <w:r w:rsidR="0052191A" w:rsidRPr="00CF3DDD">
              <w:rPr>
                <w:rStyle w:val="Hyperlink"/>
                <w:rFonts w:cs="Times New Roman"/>
                <w:noProof/>
              </w:rPr>
              <w:t>3.7 Data Analysis</w:t>
            </w:r>
            <w:r w:rsidR="0052191A" w:rsidRPr="00CF3DDD">
              <w:rPr>
                <w:rFonts w:cs="Times New Roman"/>
                <w:noProof/>
                <w:webHidden/>
              </w:rPr>
              <w:tab/>
            </w:r>
            <w:r w:rsidR="004F627C" w:rsidRPr="00CF3DDD">
              <w:rPr>
                <w:rFonts w:cs="Times New Roman"/>
                <w:noProof/>
                <w:webHidden/>
              </w:rPr>
              <w:t>42</w:t>
            </w:r>
          </w:hyperlink>
        </w:p>
        <w:p w14:paraId="0D895327" w14:textId="0F36DC33"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22" w:history="1">
            <w:r w:rsidR="0052191A" w:rsidRPr="00CF3DDD">
              <w:rPr>
                <w:rStyle w:val="Hyperlink"/>
                <w:rFonts w:cs="Times New Roman"/>
                <w:noProof/>
              </w:rPr>
              <w:t>3.8 Reliability and Validity</w:t>
            </w:r>
            <w:r w:rsidR="0052191A" w:rsidRPr="00CF3DDD">
              <w:rPr>
                <w:rFonts w:cs="Times New Roman"/>
                <w:noProof/>
                <w:webHidden/>
              </w:rPr>
              <w:tab/>
            </w:r>
            <w:r w:rsidR="004F627C" w:rsidRPr="00CF3DDD">
              <w:rPr>
                <w:rFonts w:cs="Times New Roman"/>
                <w:noProof/>
                <w:webHidden/>
              </w:rPr>
              <w:t>43</w:t>
            </w:r>
          </w:hyperlink>
        </w:p>
        <w:p w14:paraId="6847B171" w14:textId="1DB444B7"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23" w:history="1">
            <w:r w:rsidR="0052191A" w:rsidRPr="00CF3DDD">
              <w:rPr>
                <w:rStyle w:val="Hyperlink"/>
                <w:rFonts w:cs="Times New Roman"/>
                <w:noProof/>
              </w:rPr>
              <w:t>3.9 Limitations of Research</w:t>
            </w:r>
            <w:r w:rsidR="0052191A" w:rsidRPr="00CF3DDD">
              <w:rPr>
                <w:rFonts w:cs="Times New Roman"/>
                <w:noProof/>
                <w:webHidden/>
              </w:rPr>
              <w:tab/>
            </w:r>
            <w:r w:rsidR="004F627C" w:rsidRPr="00CF3DDD">
              <w:rPr>
                <w:rFonts w:cs="Times New Roman"/>
                <w:noProof/>
                <w:webHidden/>
              </w:rPr>
              <w:t>44</w:t>
            </w:r>
          </w:hyperlink>
        </w:p>
        <w:p w14:paraId="216F37AF" w14:textId="3C16E271"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24" w:history="1">
            <w:r w:rsidR="0052191A" w:rsidRPr="00CF3DDD">
              <w:rPr>
                <w:rStyle w:val="Hyperlink"/>
                <w:rFonts w:cs="Times New Roman"/>
                <w:noProof/>
              </w:rPr>
              <w:t>3.10 Research Ethics</w:t>
            </w:r>
            <w:r w:rsidR="0052191A" w:rsidRPr="00CF3DDD">
              <w:rPr>
                <w:rFonts w:cs="Times New Roman"/>
                <w:noProof/>
                <w:webHidden/>
              </w:rPr>
              <w:tab/>
            </w:r>
            <w:r w:rsidR="004F627C" w:rsidRPr="00CF3DDD">
              <w:rPr>
                <w:rFonts w:cs="Times New Roman"/>
                <w:noProof/>
                <w:webHidden/>
              </w:rPr>
              <w:t>45</w:t>
            </w:r>
          </w:hyperlink>
        </w:p>
        <w:p w14:paraId="42B8032D" w14:textId="2351F6C8" w:rsidR="0052191A" w:rsidRPr="00CF3DDD" w:rsidRDefault="00804A4E" w:rsidP="00CF3DDD">
          <w:pPr>
            <w:pStyle w:val="TOC1"/>
            <w:tabs>
              <w:tab w:val="right" w:leader="dot" w:pos="9350"/>
            </w:tabs>
            <w:spacing w:line="360" w:lineRule="auto"/>
            <w:rPr>
              <w:rFonts w:eastAsiaTheme="minorEastAsia" w:cs="Times New Roman"/>
              <w:noProof/>
              <w:kern w:val="2"/>
              <w:szCs w:val="24"/>
              <w14:ligatures w14:val="standardContextual"/>
            </w:rPr>
          </w:pPr>
          <w:hyperlink w:anchor="_Toc209310625" w:history="1">
            <w:r w:rsidR="0052191A" w:rsidRPr="00CF3DDD">
              <w:rPr>
                <w:rStyle w:val="Hyperlink"/>
                <w:rFonts w:cs="Times New Roman"/>
                <w:noProof/>
              </w:rPr>
              <w:t>Chapter 4: Data Analysis</w:t>
            </w:r>
            <w:r w:rsidR="0052191A" w:rsidRPr="00CF3DDD">
              <w:rPr>
                <w:rFonts w:cs="Times New Roman"/>
                <w:noProof/>
                <w:webHidden/>
              </w:rPr>
              <w:tab/>
            </w:r>
            <w:r w:rsidR="004F627C" w:rsidRPr="00CF3DDD">
              <w:rPr>
                <w:rFonts w:cs="Times New Roman"/>
                <w:noProof/>
                <w:webHidden/>
              </w:rPr>
              <w:t>46</w:t>
            </w:r>
          </w:hyperlink>
        </w:p>
        <w:p w14:paraId="285E9D95" w14:textId="551FFAFA"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26" w:history="1">
            <w:r w:rsidR="0052191A" w:rsidRPr="00CF3DDD">
              <w:rPr>
                <w:rStyle w:val="Hyperlink"/>
                <w:rFonts w:cs="Times New Roman"/>
                <w:noProof/>
              </w:rPr>
              <w:t>Data analysis Introduction</w:t>
            </w:r>
            <w:r w:rsidR="0052191A" w:rsidRPr="00CF3DDD">
              <w:rPr>
                <w:rFonts w:cs="Times New Roman"/>
                <w:noProof/>
                <w:webHidden/>
              </w:rPr>
              <w:tab/>
            </w:r>
            <w:r w:rsidR="004F627C" w:rsidRPr="00CF3DDD">
              <w:rPr>
                <w:rFonts w:cs="Times New Roman"/>
                <w:noProof/>
                <w:webHidden/>
              </w:rPr>
              <w:t>46</w:t>
            </w:r>
          </w:hyperlink>
        </w:p>
        <w:p w14:paraId="50D01480" w14:textId="78A287B2"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27" w:history="1">
            <w:r w:rsidR="0052191A" w:rsidRPr="00CF3DDD">
              <w:rPr>
                <w:rStyle w:val="Hyperlink"/>
                <w:rFonts w:cs="Times New Roman"/>
                <w:noProof/>
              </w:rPr>
              <w:t>4.1 Preliminary Data Analysis</w:t>
            </w:r>
            <w:r w:rsidR="0052191A" w:rsidRPr="00CF3DDD">
              <w:rPr>
                <w:rFonts w:cs="Times New Roman"/>
                <w:noProof/>
                <w:webHidden/>
              </w:rPr>
              <w:tab/>
            </w:r>
            <w:r w:rsidR="004F627C" w:rsidRPr="00CF3DDD">
              <w:rPr>
                <w:rFonts w:cs="Times New Roman"/>
                <w:noProof/>
                <w:webHidden/>
              </w:rPr>
              <w:t>4</w:t>
            </w:r>
            <w:r w:rsidR="00CF3DDD" w:rsidRPr="00CF3DDD">
              <w:rPr>
                <w:rFonts w:cs="Times New Roman"/>
                <w:noProof/>
                <w:webHidden/>
              </w:rPr>
              <w:t>6</w:t>
            </w:r>
          </w:hyperlink>
        </w:p>
        <w:p w14:paraId="59AF5541" w14:textId="75428750"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28" w:history="1">
            <w:r w:rsidR="0052191A" w:rsidRPr="00CF3DDD">
              <w:rPr>
                <w:rStyle w:val="Hyperlink"/>
                <w:rFonts w:cs="Times New Roman"/>
                <w:noProof/>
              </w:rPr>
              <w:t>4.2 Missing Values test</w:t>
            </w:r>
            <w:r w:rsidR="0052191A" w:rsidRPr="00CF3DDD">
              <w:rPr>
                <w:rFonts w:cs="Times New Roman"/>
                <w:noProof/>
                <w:webHidden/>
              </w:rPr>
              <w:tab/>
            </w:r>
            <w:r w:rsidR="004F627C" w:rsidRPr="00CF3DDD">
              <w:rPr>
                <w:rFonts w:cs="Times New Roman"/>
                <w:noProof/>
                <w:webHidden/>
              </w:rPr>
              <w:t>47</w:t>
            </w:r>
          </w:hyperlink>
        </w:p>
        <w:p w14:paraId="366687E3" w14:textId="2C9FA949"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29" w:history="1">
            <w:r w:rsidR="0052191A" w:rsidRPr="00CF3DDD">
              <w:rPr>
                <w:rStyle w:val="Hyperlink"/>
                <w:rFonts w:cs="Times New Roman"/>
                <w:noProof/>
              </w:rPr>
              <w:t>4.3 Demographics Test</w:t>
            </w:r>
            <w:r w:rsidR="0052191A" w:rsidRPr="00CF3DDD">
              <w:rPr>
                <w:rFonts w:cs="Times New Roman"/>
                <w:noProof/>
                <w:webHidden/>
              </w:rPr>
              <w:tab/>
            </w:r>
            <w:r w:rsidR="00CF3DDD" w:rsidRPr="00CF3DDD">
              <w:rPr>
                <w:rFonts w:cs="Times New Roman"/>
                <w:noProof/>
                <w:webHidden/>
              </w:rPr>
              <w:t>47</w:t>
            </w:r>
          </w:hyperlink>
        </w:p>
        <w:p w14:paraId="1677F12D" w14:textId="27BD884B"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31" w:history="1">
            <w:r w:rsidR="0052191A" w:rsidRPr="00CF3DDD">
              <w:rPr>
                <w:rFonts w:cs="Times New Roman"/>
                <w:noProof/>
                <w:webHidden/>
              </w:rPr>
              <w:tab/>
            </w:r>
          </w:hyperlink>
        </w:p>
        <w:p w14:paraId="126BF96F" w14:textId="1236B857"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32" w:history="1">
            <w:r w:rsidR="0052191A" w:rsidRPr="00CF3DDD">
              <w:rPr>
                <w:rStyle w:val="Hyperlink"/>
                <w:rFonts w:cs="Times New Roman"/>
                <w:noProof/>
              </w:rPr>
              <w:t>4.4 Outlier Test</w:t>
            </w:r>
            <w:r w:rsidR="0052191A" w:rsidRPr="00CF3DDD">
              <w:rPr>
                <w:rFonts w:cs="Times New Roman"/>
                <w:noProof/>
                <w:webHidden/>
              </w:rPr>
              <w:tab/>
            </w:r>
            <w:r w:rsidR="00CF3DDD" w:rsidRPr="00CF3DDD">
              <w:rPr>
                <w:rFonts w:cs="Times New Roman"/>
                <w:noProof/>
                <w:webHidden/>
              </w:rPr>
              <w:t>49</w:t>
            </w:r>
          </w:hyperlink>
        </w:p>
        <w:p w14:paraId="534CBFA3" w14:textId="26376508"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633" w:history="1">
            <w:r w:rsidR="0052191A" w:rsidRPr="00CF3DDD">
              <w:rPr>
                <w:rStyle w:val="Hyperlink"/>
                <w:rFonts w:cs="Times New Roman"/>
                <w:noProof/>
              </w:rPr>
              <w:t>4.4.1 Interpretation of Outlier test</w:t>
            </w:r>
            <w:r w:rsidR="0052191A" w:rsidRPr="00CF3DDD">
              <w:rPr>
                <w:rFonts w:cs="Times New Roman"/>
                <w:noProof/>
                <w:webHidden/>
              </w:rPr>
              <w:tab/>
            </w:r>
            <w:r w:rsidR="004F627C" w:rsidRPr="00CF3DDD">
              <w:rPr>
                <w:rFonts w:cs="Times New Roman"/>
                <w:noProof/>
                <w:webHidden/>
              </w:rPr>
              <w:t>5</w:t>
            </w:r>
            <w:r w:rsidR="00CF3DDD" w:rsidRPr="00CF3DDD">
              <w:rPr>
                <w:rFonts w:cs="Times New Roman"/>
                <w:noProof/>
                <w:webHidden/>
              </w:rPr>
              <w:t>1</w:t>
            </w:r>
          </w:hyperlink>
        </w:p>
        <w:p w14:paraId="42609F6A" w14:textId="6C007C06"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34" w:history="1">
            <w:r w:rsidR="0052191A" w:rsidRPr="00CF3DDD">
              <w:rPr>
                <w:rStyle w:val="Hyperlink"/>
                <w:rFonts w:cs="Times New Roman"/>
                <w:noProof/>
              </w:rPr>
              <w:t>4.5 Data Normality Test</w:t>
            </w:r>
            <w:r w:rsidR="0052191A" w:rsidRPr="00CF3DDD">
              <w:rPr>
                <w:rFonts w:cs="Times New Roman"/>
                <w:noProof/>
                <w:webHidden/>
              </w:rPr>
              <w:tab/>
            </w:r>
            <w:r w:rsidR="00CF3DDD" w:rsidRPr="00CF3DDD">
              <w:rPr>
                <w:rFonts w:cs="Times New Roman"/>
                <w:noProof/>
                <w:webHidden/>
              </w:rPr>
              <w:t>51</w:t>
            </w:r>
          </w:hyperlink>
        </w:p>
        <w:p w14:paraId="0FD07F20" w14:textId="552DE71D"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35" w:history="1">
            <w:r w:rsidR="0052191A" w:rsidRPr="00CF3DDD">
              <w:rPr>
                <w:rStyle w:val="Hyperlink"/>
                <w:rFonts w:cs="Times New Roman"/>
                <w:noProof/>
              </w:rPr>
              <w:t>4.5.1 Interpretation</w:t>
            </w:r>
            <w:r w:rsidR="0052191A" w:rsidRPr="00CF3DDD">
              <w:rPr>
                <w:rFonts w:cs="Times New Roman"/>
                <w:noProof/>
                <w:webHidden/>
              </w:rPr>
              <w:tab/>
            </w:r>
            <w:r w:rsidR="00CF3DDD" w:rsidRPr="00CF3DDD">
              <w:rPr>
                <w:rFonts w:cs="Times New Roman"/>
                <w:noProof/>
                <w:webHidden/>
              </w:rPr>
              <w:t>53</w:t>
            </w:r>
          </w:hyperlink>
        </w:p>
        <w:p w14:paraId="4CA9AB64" w14:textId="363738EA"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36" w:history="1">
            <w:r w:rsidR="0052191A" w:rsidRPr="00CF3DDD">
              <w:rPr>
                <w:rStyle w:val="Hyperlink"/>
                <w:rFonts w:cs="Times New Roman"/>
                <w:noProof/>
              </w:rPr>
              <w:t>4.6 Reliability Analysis</w:t>
            </w:r>
            <w:r w:rsidR="0052191A" w:rsidRPr="00CF3DDD">
              <w:rPr>
                <w:rFonts w:cs="Times New Roman"/>
                <w:noProof/>
                <w:webHidden/>
              </w:rPr>
              <w:tab/>
            </w:r>
            <w:r w:rsidR="00CF3DDD" w:rsidRPr="00CF3DDD">
              <w:rPr>
                <w:rFonts w:cs="Times New Roman"/>
                <w:noProof/>
                <w:webHidden/>
              </w:rPr>
              <w:t>53</w:t>
            </w:r>
          </w:hyperlink>
        </w:p>
        <w:p w14:paraId="24210115" w14:textId="153BC6A8"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637" w:history="1">
            <w:r w:rsidR="0052191A" w:rsidRPr="00CF3DDD">
              <w:rPr>
                <w:rStyle w:val="Hyperlink"/>
                <w:rFonts w:cs="Times New Roman"/>
                <w:noProof/>
              </w:rPr>
              <w:t>4.6.1 Reliability Analysis</w:t>
            </w:r>
            <w:r w:rsidR="0052191A" w:rsidRPr="00CF3DDD">
              <w:rPr>
                <w:rFonts w:cs="Times New Roman"/>
                <w:noProof/>
                <w:webHidden/>
              </w:rPr>
              <w:tab/>
            </w:r>
            <w:r w:rsidR="00CF3DDD" w:rsidRPr="00CF3DDD">
              <w:rPr>
                <w:rFonts w:cs="Times New Roman"/>
                <w:noProof/>
                <w:webHidden/>
              </w:rPr>
              <w:t>54</w:t>
            </w:r>
          </w:hyperlink>
        </w:p>
        <w:p w14:paraId="21334FBB" w14:textId="40F2BEAF"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638" w:history="1">
            <w:r w:rsidR="0052191A" w:rsidRPr="00CF3DDD">
              <w:rPr>
                <w:rStyle w:val="Hyperlink"/>
                <w:rFonts w:cs="Times New Roman"/>
                <w:noProof/>
              </w:rPr>
              <w:t>4.6.2 Interpretation of the Reliability Analysis results</w:t>
            </w:r>
            <w:r w:rsidR="0052191A" w:rsidRPr="00CF3DDD">
              <w:rPr>
                <w:rFonts w:cs="Times New Roman"/>
                <w:noProof/>
                <w:webHidden/>
              </w:rPr>
              <w:tab/>
            </w:r>
            <w:r w:rsidR="004F627C" w:rsidRPr="00CF3DDD">
              <w:rPr>
                <w:rFonts w:cs="Times New Roman"/>
                <w:noProof/>
                <w:webHidden/>
              </w:rPr>
              <w:t>5</w:t>
            </w:r>
            <w:r w:rsidR="00CF3DDD" w:rsidRPr="00CF3DDD">
              <w:rPr>
                <w:rFonts w:cs="Times New Roman"/>
                <w:noProof/>
                <w:webHidden/>
              </w:rPr>
              <w:t>5</w:t>
            </w:r>
          </w:hyperlink>
        </w:p>
        <w:p w14:paraId="48868F40" w14:textId="3E648B8A"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39" w:history="1">
            <w:r w:rsidR="0052191A" w:rsidRPr="00CF3DDD">
              <w:rPr>
                <w:rStyle w:val="Hyperlink"/>
                <w:rFonts w:cs="Times New Roman"/>
                <w:noProof/>
              </w:rPr>
              <w:t>4.7 Descriptive Statistics</w:t>
            </w:r>
            <w:r w:rsidR="0052191A" w:rsidRPr="00CF3DDD">
              <w:rPr>
                <w:rFonts w:cs="Times New Roman"/>
                <w:noProof/>
                <w:webHidden/>
              </w:rPr>
              <w:tab/>
            </w:r>
            <w:r w:rsidR="00CF3DDD" w:rsidRPr="00CF3DDD">
              <w:rPr>
                <w:rFonts w:cs="Times New Roman"/>
                <w:noProof/>
                <w:webHidden/>
              </w:rPr>
              <w:t>56</w:t>
            </w:r>
          </w:hyperlink>
        </w:p>
        <w:p w14:paraId="6D326DAD" w14:textId="5927472A"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42" w:history="1">
            <w:r w:rsidR="0052191A" w:rsidRPr="00CF3DDD">
              <w:rPr>
                <w:rStyle w:val="Hyperlink"/>
                <w:rFonts w:cs="Times New Roman"/>
                <w:noProof/>
              </w:rPr>
              <w:t>4.8 Correlation Analysis</w:t>
            </w:r>
            <w:r w:rsidR="0052191A" w:rsidRPr="00CF3DDD">
              <w:rPr>
                <w:rFonts w:cs="Times New Roman"/>
                <w:noProof/>
                <w:webHidden/>
              </w:rPr>
              <w:tab/>
            </w:r>
            <w:r w:rsidR="00CF3DDD" w:rsidRPr="00CF3DDD">
              <w:rPr>
                <w:rFonts w:cs="Times New Roman"/>
                <w:noProof/>
                <w:webHidden/>
              </w:rPr>
              <w:t>56</w:t>
            </w:r>
          </w:hyperlink>
        </w:p>
        <w:p w14:paraId="42A68779" w14:textId="1EE1C8E4"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643" w:history="1">
            <w:r w:rsidR="0052191A" w:rsidRPr="00CF3DDD">
              <w:rPr>
                <w:rStyle w:val="Hyperlink"/>
                <w:rFonts w:cs="Times New Roman"/>
                <w:noProof/>
              </w:rPr>
              <w:t>4.8.1 Interpretation of Correlation Results</w:t>
            </w:r>
            <w:r w:rsidR="0052191A" w:rsidRPr="00CF3DDD">
              <w:rPr>
                <w:rFonts w:cs="Times New Roman"/>
                <w:noProof/>
                <w:webHidden/>
              </w:rPr>
              <w:tab/>
            </w:r>
            <w:r w:rsidR="004F627C" w:rsidRPr="00CF3DDD">
              <w:rPr>
                <w:rFonts w:cs="Times New Roman"/>
                <w:noProof/>
                <w:webHidden/>
              </w:rPr>
              <w:t>58</w:t>
            </w:r>
          </w:hyperlink>
        </w:p>
        <w:p w14:paraId="09A81017" w14:textId="00A7F3DE"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44" w:history="1">
            <w:r w:rsidR="0052191A" w:rsidRPr="00CF3DDD">
              <w:rPr>
                <w:rStyle w:val="Hyperlink"/>
                <w:rFonts w:cs="Times New Roman"/>
                <w:noProof/>
              </w:rPr>
              <w:t>4.9 Regression Analysis and Hypothesis Testing:</w:t>
            </w:r>
            <w:r w:rsidR="0052191A" w:rsidRPr="00CF3DDD">
              <w:rPr>
                <w:rFonts w:cs="Times New Roman"/>
                <w:noProof/>
                <w:webHidden/>
              </w:rPr>
              <w:tab/>
            </w:r>
            <w:r w:rsidR="004F627C" w:rsidRPr="00CF3DDD">
              <w:rPr>
                <w:rFonts w:cs="Times New Roman"/>
                <w:noProof/>
                <w:webHidden/>
              </w:rPr>
              <w:t>58</w:t>
            </w:r>
          </w:hyperlink>
        </w:p>
        <w:p w14:paraId="0F7E01C0" w14:textId="75C2B53E"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45" w:history="1">
            <w:r w:rsidR="0052191A" w:rsidRPr="00CF3DDD">
              <w:rPr>
                <w:rStyle w:val="Hyperlink"/>
                <w:rFonts w:cs="Times New Roman"/>
                <w:noProof/>
              </w:rPr>
              <w:t>4.9.1 Overall Result of Hypothesis testing:</w:t>
            </w:r>
            <w:r w:rsidR="0052191A" w:rsidRPr="00CF3DDD">
              <w:rPr>
                <w:rFonts w:cs="Times New Roman"/>
                <w:noProof/>
                <w:webHidden/>
              </w:rPr>
              <w:tab/>
            </w:r>
            <w:r w:rsidR="004F627C" w:rsidRPr="00CF3DDD">
              <w:rPr>
                <w:rFonts w:cs="Times New Roman"/>
                <w:noProof/>
                <w:webHidden/>
              </w:rPr>
              <w:t>59</w:t>
            </w:r>
          </w:hyperlink>
        </w:p>
        <w:p w14:paraId="7015C97C" w14:textId="56765DDE"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46" w:history="1">
            <w:r w:rsidR="0052191A" w:rsidRPr="00CF3DDD">
              <w:rPr>
                <w:rStyle w:val="Hyperlink"/>
                <w:rFonts w:cs="Times New Roman"/>
                <w:noProof/>
              </w:rPr>
              <w:t>4.9.2 Interpretation of the Results</w:t>
            </w:r>
            <w:r w:rsidR="0052191A" w:rsidRPr="00CF3DDD">
              <w:rPr>
                <w:rFonts w:cs="Times New Roman"/>
                <w:noProof/>
                <w:webHidden/>
              </w:rPr>
              <w:tab/>
            </w:r>
            <w:r w:rsidR="004F627C" w:rsidRPr="00CF3DDD">
              <w:rPr>
                <w:rFonts w:cs="Times New Roman"/>
                <w:noProof/>
                <w:webHidden/>
              </w:rPr>
              <w:t>59</w:t>
            </w:r>
          </w:hyperlink>
        </w:p>
        <w:p w14:paraId="0EDF96BB" w14:textId="77777777"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647" w:history="1">
            <w:r w:rsidR="0052191A" w:rsidRPr="00CF3DDD">
              <w:rPr>
                <w:rStyle w:val="Hyperlink"/>
                <w:rFonts w:cs="Times New Roman"/>
                <w:noProof/>
              </w:rPr>
              <w:t>Hypothesis 1</w:t>
            </w:r>
            <w:r w:rsidR="0052191A" w:rsidRPr="00CF3DDD">
              <w:rPr>
                <w:rFonts w:cs="Times New Roman"/>
                <w:noProof/>
                <w:webHidden/>
              </w:rPr>
              <w:tab/>
            </w:r>
            <w:r w:rsidR="0052191A" w:rsidRPr="00CF3DDD">
              <w:rPr>
                <w:rFonts w:cs="Times New Roman"/>
                <w:noProof/>
                <w:webHidden/>
              </w:rPr>
              <w:fldChar w:fldCharType="begin"/>
            </w:r>
            <w:r w:rsidR="0052191A" w:rsidRPr="00CF3DDD">
              <w:rPr>
                <w:rFonts w:cs="Times New Roman"/>
                <w:noProof/>
                <w:webHidden/>
              </w:rPr>
              <w:instrText xml:space="preserve"> PAGEREF _Toc209310647 \h </w:instrText>
            </w:r>
            <w:r w:rsidR="0052191A" w:rsidRPr="00CF3DDD">
              <w:rPr>
                <w:rFonts w:cs="Times New Roman"/>
                <w:noProof/>
                <w:webHidden/>
              </w:rPr>
            </w:r>
            <w:r w:rsidR="0052191A" w:rsidRPr="00CF3DDD">
              <w:rPr>
                <w:rFonts w:cs="Times New Roman"/>
                <w:noProof/>
                <w:webHidden/>
              </w:rPr>
              <w:fldChar w:fldCharType="separate"/>
            </w:r>
            <w:r w:rsidR="0052191A" w:rsidRPr="00CF3DDD">
              <w:rPr>
                <w:rFonts w:cs="Times New Roman"/>
                <w:noProof/>
                <w:webHidden/>
              </w:rPr>
              <w:t>58</w:t>
            </w:r>
            <w:r w:rsidR="0052191A" w:rsidRPr="00CF3DDD">
              <w:rPr>
                <w:rFonts w:cs="Times New Roman"/>
                <w:noProof/>
                <w:webHidden/>
              </w:rPr>
              <w:fldChar w:fldCharType="end"/>
            </w:r>
          </w:hyperlink>
        </w:p>
        <w:p w14:paraId="32A64100" w14:textId="77777777"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648" w:history="1">
            <w:r w:rsidR="0052191A" w:rsidRPr="00CF3DDD">
              <w:rPr>
                <w:rStyle w:val="Hyperlink"/>
                <w:rFonts w:cs="Times New Roman"/>
                <w:noProof/>
              </w:rPr>
              <w:t>Hypothesis 2</w:t>
            </w:r>
            <w:r w:rsidR="0052191A" w:rsidRPr="00CF3DDD">
              <w:rPr>
                <w:rFonts w:cs="Times New Roman"/>
                <w:noProof/>
                <w:webHidden/>
              </w:rPr>
              <w:tab/>
            </w:r>
            <w:r w:rsidR="0052191A" w:rsidRPr="00CF3DDD">
              <w:rPr>
                <w:rFonts w:cs="Times New Roman"/>
                <w:noProof/>
                <w:webHidden/>
              </w:rPr>
              <w:fldChar w:fldCharType="begin"/>
            </w:r>
            <w:r w:rsidR="0052191A" w:rsidRPr="00CF3DDD">
              <w:rPr>
                <w:rFonts w:cs="Times New Roman"/>
                <w:noProof/>
                <w:webHidden/>
              </w:rPr>
              <w:instrText xml:space="preserve"> PAGEREF _Toc209310648 \h </w:instrText>
            </w:r>
            <w:r w:rsidR="0052191A" w:rsidRPr="00CF3DDD">
              <w:rPr>
                <w:rFonts w:cs="Times New Roman"/>
                <w:noProof/>
                <w:webHidden/>
              </w:rPr>
            </w:r>
            <w:r w:rsidR="0052191A" w:rsidRPr="00CF3DDD">
              <w:rPr>
                <w:rFonts w:cs="Times New Roman"/>
                <w:noProof/>
                <w:webHidden/>
              </w:rPr>
              <w:fldChar w:fldCharType="separate"/>
            </w:r>
            <w:r w:rsidR="0052191A" w:rsidRPr="00CF3DDD">
              <w:rPr>
                <w:rFonts w:cs="Times New Roman"/>
                <w:noProof/>
                <w:webHidden/>
              </w:rPr>
              <w:t>58</w:t>
            </w:r>
            <w:r w:rsidR="0052191A" w:rsidRPr="00CF3DDD">
              <w:rPr>
                <w:rFonts w:cs="Times New Roman"/>
                <w:noProof/>
                <w:webHidden/>
              </w:rPr>
              <w:fldChar w:fldCharType="end"/>
            </w:r>
          </w:hyperlink>
        </w:p>
        <w:p w14:paraId="2F187844" w14:textId="77777777" w:rsidR="0052191A" w:rsidRPr="00CF3DDD" w:rsidRDefault="00804A4E" w:rsidP="00CF3DDD">
          <w:pPr>
            <w:pStyle w:val="TOC3"/>
            <w:tabs>
              <w:tab w:val="right" w:leader="dot" w:pos="9350"/>
            </w:tabs>
            <w:spacing w:line="360" w:lineRule="auto"/>
            <w:rPr>
              <w:rFonts w:eastAsiaTheme="minorEastAsia" w:cs="Times New Roman"/>
              <w:noProof/>
              <w:kern w:val="2"/>
              <w:szCs w:val="24"/>
              <w14:ligatures w14:val="standardContextual"/>
            </w:rPr>
          </w:pPr>
          <w:hyperlink w:anchor="_Toc209310649" w:history="1">
            <w:r w:rsidR="0052191A" w:rsidRPr="00CF3DDD">
              <w:rPr>
                <w:rStyle w:val="Hyperlink"/>
                <w:rFonts w:cs="Times New Roman"/>
                <w:noProof/>
              </w:rPr>
              <w:t>Hypothesis 3</w:t>
            </w:r>
            <w:r w:rsidR="0052191A" w:rsidRPr="00CF3DDD">
              <w:rPr>
                <w:rFonts w:cs="Times New Roman"/>
                <w:noProof/>
                <w:webHidden/>
              </w:rPr>
              <w:tab/>
            </w:r>
            <w:r w:rsidR="0052191A" w:rsidRPr="00CF3DDD">
              <w:rPr>
                <w:rFonts w:cs="Times New Roman"/>
                <w:noProof/>
                <w:webHidden/>
              </w:rPr>
              <w:fldChar w:fldCharType="begin"/>
            </w:r>
            <w:r w:rsidR="0052191A" w:rsidRPr="00CF3DDD">
              <w:rPr>
                <w:rFonts w:cs="Times New Roman"/>
                <w:noProof/>
                <w:webHidden/>
              </w:rPr>
              <w:instrText xml:space="preserve"> PAGEREF _Toc209310649 \h </w:instrText>
            </w:r>
            <w:r w:rsidR="0052191A" w:rsidRPr="00CF3DDD">
              <w:rPr>
                <w:rFonts w:cs="Times New Roman"/>
                <w:noProof/>
                <w:webHidden/>
              </w:rPr>
            </w:r>
            <w:r w:rsidR="0052191A" w:rsidRPr="00CF3DDD">
              <w:rPr>
                <w:rFonts w:cs="Times New Roman"/>
                <w:noProof/>
                <w:webHidden/>
              </w:rPr>
              <w:fldChar w:fldCharType="separate"/>
            </w:r>
            <w:r w:rsidR="0052191A" w:rsidRPr="00CF3DDD">
              <w:rPr>
                <w:rFonts w:cs="Times New Roman"/>
                <w:noProof/>
                <w:webHidden/>
              </w:rPr>
              <w:t>58</w:t>
            </w:r>
            <w:r w:rsidR="0052191A" w:rsidRPr="00CF3DDD">
              <w:rPr>
                <w:rFonts w:cs="Times New Roman"/>
                <w:noProof/>
                <w:webHidden/>
              </w:rPr>
              <w:fldChar w:fldCharType="end"/>
            </w:r>
          </w:hyperlink>
        </w:p>
        <w:p w14:paraId="58CA8552" w14:textId="77777777"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50" w:history="1">
            <w:r w:rsidR="0052191A" w:rsidRPr="00CF3DDD">
              <w:rPr>
                <w:rStyle w:val="Hyperlink"/>
                <w:rFonts w:cs="Times New Roman"/>
                <w:noProof/>
              </w:rPr>
              <w:t>4.9.3 Overall Insights</w:t>
            </w:r>
            <w:r w:rsidR="0052191A" w:rsidRPr="00CF3DDD">
              <w:rPr>
                <w:rFonts w:cs="Times New Roman"/>
                <w:noProof/>
                <w:webHidden/>
              </w:rPr>
              <w:tab/>
            </w:r>
            <w:r w:rsidR="0052191A" w:rsidRPr="00CF3DDD">
              <w:rPr>
                <w:rFonts w:cs="Times New Roman"/>
                <w:noProof/>
                <w:webHidden/>
              </w:rPr>
              <w:fldChar w:fldCharType="begin"/>
            </w:r>
            <w:r w:rsidR="0052191A" w:rsidRPr="00CF3DDD">
              <w:rPr>
                <w:rFonts w:cs="Times New Roman"/>
                <w:noProof/>
                <w:webHidden/>
              </w:rPr>
              <w:instrText xml:space="preserve"> PAGEREF _Toc209310650 \h </w:instrText>
            </w:r>
            <w:r w:rsidR="0052191A" w:rsidRPr="00CF3DDD">
              <w:rPr>
                <w:rFonts w:cs="Times New Roman"/>
                <w:noProof/>
                <w:webHidden/>
              </w:rPr>
            </w:r>
            <w:r w:rsidR="0052191A" w:rsidRPr="00CF3DDD">
              <w:rPr>
                <w:rFonts w:cs="Times New Roman"/>
                <w:noProof/>
                <w:webHidden/>
              </w:rPr>
              <w:fldChar w:fldCharType="separate"/>
            </w:r>
            <w:r w:rsidR="0052191A" w:rsidRPr="00CF3DDD">
              <w:rPr>
                <w:rFonts w:cs="Times New Roman"/>
                <w:noProof/>
                <w:webHidden/>
              </w:rPr>
              <w:t>59</w:t>
            </w:r>
            <w:r w:rsidR="0052191A" w:rsidRPr="00CF3DDD">
              <w:rPr>
                <w:rFonts w:cs="Times New Roman"/>
                <w:noProof/>
                <w:webHidden/>
              </w:rPr>
              <w:fldChar w:fldCharType="end"/>
            </w:r>
          </w:hyperlink>
        </w:p>
        <w:p w14:paraId="6C69729A" w14:textId="77777777"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51" w:history="1">
            <w:r w:rsidR="0052191A" w:rsidRPr="00CF3DDD">
              <w:rPr>
                <w:rStyle w:val="Hyperlink"/>
                <w:rFonts w:cs="Times New Roman"/>
                <w:noProof/>
              </w:rPr>
              <w:t>4.10 Summary of Data Analysis Chapter</w:t>
            </w:r>
            <w:r w:rsidR="0052191A" w:rsidRPr="00CF3DDD">
              <w:rPr>
                <w:rFonts w:cs="Times New Roman"/>
                <w:noProof/>
                <w:webHidden/>
              </w:rPr>
              <w:tab/>
            </w:r>
            <w:r w:rsidR="0052191A" w:rsidRPr="00CF3DDD">
              <w:rPr>
                <w:rFonts w:cs="Times New Roman"/>
                <w:noProof/>
                <w:webHidden/>
              </w:rPr>
              <w:fldChar w:fldCharType="begin"/>
            </w:r>
            <w:r w:rsidR="0052191A" w:rsidRPr="00CF3DDD">
              <w:rPr>
                <w:rFonts w:cs="Times New Roman"/>
                <w:noProof/>
                <w:webHidden/>
              </w:rPr>
              <w:instrText xml:space="preserve"> PAGEREF _Toc209310651 \h </w:instrText>
            </w:r>
            <w:r w:rsidR="0052191A" w:rsidRPr="00CF3DDD">
              <w:rPr>
                <w:rFonts w:cs="Times New Roman"/>
                <w:noProof/>
                <w:webHidden/>
              </w:rPr>
            </w:r>
            <w:r w:rsidR="0052191A" w:rsidRPr="00CF3DDD">
              <w:rPr>
                <w:rFonts w:cs="Times New Roman"/>
                <w:noProof/>
                <w:webHidden/>
              </w:rPr>
              <w:fldChar w:fldCharType="separate"/>
            </w:r>
            <w:r w:rsidR="0052191A" w:rsidRPr="00CF3DDD">
              <w:rPr>
                <w:rFonts w:cs="Times New Roman"/>
                <w:noProof/>
                <w:webHidden/>
              </w:rPr>
              <w:t>59</w:t>
            </w:r>
            <w:r w:rsidR="0052191A" w:rsidRPr="00CF3DDD">
              <w:rPr>
                <w:rFonts w:cs="Times New Roman"/>
                <w:noProof/>
                <w:webHidden/>
              </w:rPr>
              <w:fldChar w:fldCharType="end"/>
            </w:r>
          </w:hyperlink>
        </w:p>
        <w:p w14:paraId="245E79A7" w14:textId="3833499E" w:rsidR="0052191A" w:rsidRPr="00CF3DDD" w:rsidRDefault="00804A4E" w:rsidP="00CF3DDD">
          <w:pPr>
            <w:pStyle w:val="TOC1"/>
            <w:tabs>
              <w:tab w:val="right" w:leader="dot" w:pos="9350"/>
            </w:tabs>
            <w:spacing w:line="360" w:lineRule="auto"/>
            <w:rPr>
              <w:rFonts w:eastAsiaTheme="minorEastAsia" w:cs="Times New Roman"/>
              <w:noProof/>
              <w:kern w:val="2"/>
              <w:szCs w:val="24"/>
              <w14:ligatures w14:val="standardContextual"/>
            </w:rPr>
          </w:pPr>
          <w:hyperlink w:anchor="_Toc209310652" w:history="1">
            <w:r w:rsidR="0052191A" w:rsidRPr="00CF3DDD">
              <w:rPr>
                <w:rStyle w:val="Hyperlink"/>
                <w:rFonts w:cs="Times New Roman"/>
                <w:noProof/>
              </w:rPr>
              <w:t>Chapter 5: Conclusion and Recommendation</w:t>
            </w:r>
            <w:r w:rsidR="0052191A" w:rsidRPr="00CF3DDD">
              <w:rPr>
                <w:rFonts w:cs="Times New Roman"/>
                <w:noProof/>
                <w:webHidden/>
              </w:rPr>
              <w:tab/>
            </w:r>
            <w:r w:rsidR="00CF3DDD" w:rsidRPr="00CF3DDD">
              <w:rPr>
                <w:rFonts w:cs="Times New Roman"/>
                <w:noProof/>
                <w:webHidden/>
              </w:rPr>
              <w:t>62</w:t>
            </w:r>
          </w:hyperlink>
        </w:p>
        <w:p w14:paraId="576DD14F" w14:textId="56DC19D9"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53" w:history="1">
            <w:r w:rsidR="0052191A" w:rsidRPr="00CF3DDD">
              <w:rPr>
                <w:rStyle w:val="Hyperlink"/>
                <w:rFonts w:cs="Times New Roman"/>
                <w:noProof/>
              </w:rPr>
              <w:t>5.1 Conclusion</w:t>
            </w:r>
            <w:r w:rsidR="0052191A" w:rsidRPr="00CF3DDD">
              <w:rPr>
                <w:rFonts w:cs="Times New Roman"/>
                <w:noProof/>
                <w:webHidden/>
              </w:rPr>
              <w:tab/>
            </w:r>
            <w:r w:rsidR="0052191A" w:rsidRPr="00CF3DDD">
              <w:rPr>
                <w:rFonts w:cs="Times New Roman"/>
                <w:noProof/>
                <w:webHidden/>
              </w:rPr>
              <w:fldChar w:fldCharType="begin"/>
            </w:r>
            <w:r w:rsidR="0052191A" w:rsidRPr="00CF3DDD">
              <w:rPr>
                <w:rFonts w:cs="Times New Roman"/>
                <w:noProof/>
                <w:webHidden/>
              </w:rPr>
              <w:instrText xml:space="preserve"> PAGEREF _Toc209310653 \h </w:instrText>
            </w:r>
            <w:r w:rsidR="0052191A" w:rsidRPr="00CF3DDD">
              <w:rPr>
                <w:rFonts w:cs="Times New Roman"/>
                <w:noProof/>
                <w:webHidden/>
              </w:rPr>
            </w:r>
            <w:r w:rsidR="0052191A" w:rsidRPr="00CF3DDD">
              <w:rPr>
                <w:rFonts w:cs="Times New Roman"/>
                <w:noProof/>
                <w:webHidden/>
              </w:rPr>
              <w:fldChar w:fldCharType="separate"/>
            </w:r>
            <w:r w:rsidR="0052191A" w:rsidRPr="00CF3DDD">
              <w:rPr>
                <w:rFonts w:cs="Times New Roman"/>
                <w:noProof/>
                <w:webHidden/>
              </w:rPr>
              <w:t>6</w:t>
            </w:r>
            <w:r w:rsidR="00CF3DDD" w:rsidRPr="00CF3DDD">
              <w:rPr>
                <w:rFonts w:cs="Times New Roman"/>
                <w:noProof/>
                <w:webHidden/>
              </w:rPr>
              <w:t>2</w:t>
            </w:r>
            <w:r w:rsidR="0052191A" w:rsidRPr="00CF3DDD">
              <w:rPr>
                <w:rFonts w:cs="Times New Roman"/>
                <w:noProof/>
                <w:webHidden/>
              </w:rPr>
              <w:fldChar w:fldCharType="end"/>
            </w:r>
          </w:hyperlink>
        </w:p>
        <w:p w14:paraId="2B03B524" w14:textId="1294B439"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54" w:history="1">
            <w:r w:rsidR="0052191A" w:rsidRPr="00CF3DDD">
              <w:rPr>
                <w:rStyle w:val="Hyperlink"/>
                <w:rFonts w:cs="Times New Roman"/>
                <w:noProof/>
              </w:rPr>
              <w:t>5.2 Achievement of Research Objectives</w:t>
            </w:r>
            <w:r w:rsidR="0052191A" w:rsidRPr="00CF3DDD">
              <w:rPr>
                <w:rFonts w:cs="Times New Roman"/>
                <w:noProof/>
                <w:webHidden/>
              </w:rPr>
              <w:tab/>
            </w:r>
            <w:r w:rsidR="0052191A" w:rsidRPr="00CF3DDD">
              <w:rPr>
                <w:rFonts w:cs="Times New Roman"/>
                <w:noProof/>
                <w:webHidden/>
              </w:rPr>
              <w:fldChar w:fldCharType="begin"/>
            </w:r>
            <w:r w:rsidR="0052191A" w:rsidRPr="00CF3DDD">
              <w:rPr>
                <w:rFonts w:cs="Times New Roman"/>
                <w:noProof/>
                <w:webHidden/>
              </w:rPr>
              <w:instrText xml:space="preserve"> PAGEREF _Toc209310654 \h </w:instrText>
            </w:r>
            <w:r w:rsidR="0052191A" w:rsidRPr="00CF3DDD">
              <w:rPr>
                <w:rFonts w:cs="Times New Roman"/>
                <w:noProof/>
                <w:webHidden/>
              </w:rPr>
            </w:r>
            <w:r w:rsidR="0052191A" w:rsidRPr="00CF3DDD">
              <w:rPr>
                <w:rFonts w:cs="Times New Roman"/>
                <w:noProof/>
                <w:webHidden/>
              </w:rPr>
              <w:fldChar w:fldCharType="separate"/>
            </w:r>
            <w:r w:rsidR="0052191A" w:rsidRPr="00CF3DDD">
              <w:rPr>
                <w:rFonts w:cs="Times New Roman"/>
                <w:noProof/>
                <w:webHidden/>
              </w:rPr>
              <w:t>6</w:t>
            </w:r>
            <w:r w:rsidR="00CF3DDD" w:rsidRPr="00CF3DDD">
              <w:rPr>
                <w:rFonts w:cs="Times New Roman"/>
                <w:noProof/>
                <w:webHidden/>
              </w:rPr>
              <w:t>3</w:t>
            </w:r>
            <w:r w:rsidR="0052191A" w:rsidRPr="00CF3DDD">
              <w:rPr>
                <w:rFonts w:cs="Times New Roman"/>
                <w:noProof/>
                <w:webHidden/>
              </w:rPr>
              <w:fldChar w:fldCharType="end"/>
            </w:r>
          </w:hyperlink>
        </w:p>
        <w:p w14:paraId="48490011" w14:textId="4681E147"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55" w:history="1">
            <w:r w:rsidR="0052191A" w:rsidRPr="00CF3DDD">
              <w:rPr>
                <w:rStyle w:val="Hyperlink"/>
                <w:rFonts w:cs="Times New Roman"/>
                <w:noProof/>
              </w:rPr>
              <w:t>5.3 Theoretical Contributions</w:t>
            </w:r>
            <w:r w:rsidR="0052191A" w:rsidRPr="00CF3DDD">
              <w:rPr>
                <w:rFonts w:cs="Times New Roman"/>
                <w:noProof/>
                <w:webHidden/>
              </w:rPr>
              <w:tab/>
            </w:r>
            <w:r w:rsidR="0052191A" w:rsidRPr="00CF3DDD">
              <w:rPr>
                <w:rFonts w:cs="Times New Roman"/>
                <w:noProof/>
                <w:webHidden/>
              </w:rPr>
              <w:fldChar w:fldCharType="begin"/>
            </w:r>
            <w:r w:rsidR="0052191A" w:rsidRPr="00CF3DDD">
              <w:rPr>
                <w:rFonts w:cs="Times New Roman"/>
                <w:noProof/>
                <w:webHidden/>
              </w:rPr>
              <w:instrText xml:space="preserve"> PAGEREF _Toc209310655 \h </w:instrText>
            </w:r>
            <w:r w:rsidR="0052191A" w:rsidRPr="00CF3DDD">
              <w:rPr>
                <w:rFonts w:cs="Times New Roman"/>
                <w:noProof/>
                <w:webHidden/>
              </w:rPr>
            </w:r>
            <w:r w:rsidR="0052191A" w:rsidRPr="00CF3DDD">
              <w:rPr>
                <w:rFonts w:cs="Times New Roman"/>
                <w:noProof/>
                <w:webHidden/>
              </w:rPr>
              <w:fldChar w:fldCharType="separate"/>
            </w:r>
            <w:r w:rsidR="0052191A" w:rsidRPr="00CF3DDD">
              <w:rPr>
                <w:rFonts w:cs="Times New Roman"/>
                <w:noProof/>
                <w:webHidden/>
              </w:rPr>
              <w:t>6</w:t>
            </w:r>
            <w:r w:rsidR="00CF3DDD" w:rsidRPr="00CF3DDD">
              <w:rPr>
                <w:rFonts w:cs="Times New Roman"/>
                <w:noProof/>
                <w:webHidden/>
              </w:rPr>
              <w:t>3</w:t>
            </w:r>
            <w:r w:rsidR="0052191A" w:rsidRPr="00CF3DDD">
              <w:rPr>
                <w:rFonts w:cs="Times New Roman"/>
                <w:noProof/>
                <w:webHidden/>
              </w:rPr>
              <w:fldChar w:fldCharType="end"/>
            </w:r>
          </w:hyperlink>
        </w:p>
        <w:p w14:paraId="33946BC9" w14:textId="25301D2A"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56" w:history="1">
            <w:r w:rsidR="0052191A" w:rsidRPr="00CF3DDD">
              <w:rPr>
                <w:rStyle w:val="Hyperlink"/>
                <w:rFonts w:cs="Times New Roman"/>
                <w:noProof/>
              </w:rPr>
              <w:t>5.4 Practical Implications and Recommendations for Managerial Practice</w:t>
            </w:r>
            <w:r w:rsidR="0052191A" w:rsidRPr="00CF3DDD">
              <w:rPr>
                <w:rFonts w:cs="Times New Roman"/>
                <w:noProof/>
                <w:webHidden/>
              </w:rPr>
              <w:tab/>
            </w:r>
            <w:r w:rsidR="00CF3DDD" w:rsidRPr="00CF3DDD">
              <w:rPr>
                <w:rFonts w:cs="Times New Roman"/>
                <w:noProof/>
                <w:webHidden/>
              </w:rPr>
              <w:t>65</w:t>
            </w:r>
          </w:hyperlink>
        </w:p>
        <w:p w14:paraId="5FF7CF2A" w14:textId="234C65A9"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57" w:history="1">
            <w:r w:rsidR="0052191A" w:rsidRPr="00CF3DDD">
              <w:rPr>
                <w:rStyle w:val="Hyperlink"/>
                <w:rFonts w:cs="Times New Roman"/>
                <w:noProof/>
              </w:rPr>
              <w:t>5.5 Limitations of the Study Leading to Areas of Further Research</w:t>
            </w:r>
            <w:r w:rsidR="0052191A" w:rsidRPr="00CF3DDD">
              <w:rPr>
                <w:rFonts w:cs="Times New Roman"/>
                <w:noProof/>
                <w:webHidden/>
              </w:rPr>
              <w:tab/>
            </w:r>
            <w:r w:rsidR="00CF3DDD" w:rsidRPr="00CF3DDD">
              <w:rPr>
                <w:rFonts w:cs="Times New Roman"/>
                <w:noProof/>
                <w:webHidden/>
              </w:rPr>
              <w:t>65</w:t>
            </w:r>
          </w:hyperlink>
        </w:p>
        <w:p w14:paraId="40D37399" w14:textId="7109D3C6" w:rsidR="0052191A" w:rsidRPr="00CF3DDD" w:rsidRDefault="00804A4E" w:rsidP="00CF3DDD">
          <w:pPr>
            <w:pStyle w:val="TOC2"/>
            <w:tabs>
              <w:tab w:val="right" w:leader="dot" w:pos="9350"/>
            </w:tabs>
            <w:spacing w:line="360" w:lineRule="auto"/>
            <w:rPr>
              <w:rFonts w:eastAsiaTheme="minorEastAsia" w:cs="Times New Roman"/>
              <w:noProof/>
              <w:kern w:val="2"/>
              <w:szCs w:val="24"/>
              <w14:ligatures w14:val="standardContextual"/>
            </w:rPr>
          </w:pPr>
          <w:hyperlink w:anchor="_Toc209310658" w:history="1">
            <w:r w:rsidR="0052191A" w:rsidRPr="00CF3DDD">
              <w:rPr>
                <w:rStyle w:val="Hyperlink"/>
                <w:rFonts w:cs="Times New Roman"/>
                <w:noProof/>
              </w:rPr>
              <w:t>5.6 Researcher’s Reflection</w:t>
            </w:r>
            <w:r w:rsidR="0052191A" w:rsidRPr="00CF3DDD">
              <w:rPr>
                <w:rFonts w:cs="Times New Roman"/>
                <w:noProof/>
                <w:webHidden/>
              </w:rPr>
              <w:tab/>
            </w:r>
            <w:r w:rsidR="00CF3DDD" w:rsidRPr="00CF3DDD">
              <w:rPr>
                <w:rFonts w:cs="Times New Roman"/>
                <w:noProof/>
                <w:webHidden/>
              </w:rPr>
              <w:t>66</w:t>
            </w:r>
          </w:hyperlink>
        </w:p>
        <w:p w14:paraId="0B06794B" w14:textId="5CB12C95" w:rsidR="0052191A" w:rsidRPr="00CF3DDD" w:rsidRDefault="00804A4E" w:rsidP="00CF3DDD">
          <w:pPr>
            <w:pStyle w:val="TOC1"/>
            <w:tabs>
              <w:tab w:val="right" w:leader="dot" w:pos="9350"/>
            </w:tabs>
            <w:spacing w:line="360" w:lineRule="auto"/>
            <w:rPr>
              <w:rFonts w:eastAsiaTheme="minorEastAsia" w:cs="Times New Roman"/>
              <w:noProof/>
              <w:kern w:val="2"/>
              <w:szCs w:val="24"/>
              <w14:ligatures w14:val="standardContextual"/>
            </w:rPr>
          </w:pPr>
          <w:hyperlink w:anchor="_Toc209310659" w:history="1">
            <w:r w:rsidR="0052191A" w:rsidRPr="00CF3DDD">
              <w:rPr>
                <w:rStyle w:val="Hyperlink"/>
                <w:rFonts w:cs="Times New Roman"/>
                <w:noProof/>
              </w:rPr>
              <w:t>References</w:t>
            </w:r>
            <w:r w:rsidR="0052191A" w:rsidRPr="00CF3DDD">
              <w:rPr>
                <w:rFonts w:cs="Times New Roman"/>
                <w:noProof/>
                <w:webHidden/>
              </w:rPr>
              <w:tab/>
            </w:r>
            <w:r w:rsidR="00CF3DDD" w:rsidRPr="00CF3DDD">
              <w:rPr>
                <w:rFonts w:cs="Times New Roman"/>
                <w:noProof/>
                <w:webHidden/>
              </w:rPr>
              <w:t>69</w:t>
            </w:r>
          </w:hyperlink>
        </w:p>
        <w:p w14:paraId="1267FB61" w14:textId="11CF83A1" w:rsidR="0052191A" w:rsidRPr="00CF3DDD" w:rsidRDefault="00804A4E" w:rsidP="00CF3DDD">
          <w:pPr>
            <w:pStyle w:val="TOC1"/>
            <w:tabs>
              <w:tab w:val="right" w:leader="dot" w:pos="9350"/>
            </w:tabs>
            <w:spacing w:line="360" w:lineRule="auto"/>
            <w:rPr>
              <w:rFonts w:eastAsiaTheme="minorEastAsia" w:cs="Times New Roman"/>
              <w:noProof/>
              <w:kern w:val="2"/>
              <w:szCs w:val="24"/>
              <w14:ligatures w14:val="standardContextual"/>
            </w:rPr>
          </w:pPr>
          <w:hyperlink w:anchor="_Toc209310660" w:history="1">
            <w:r w:rsidR="0052191A" w:rsidRPr="00CF3DDD">
              <w:rPr>
                <w:rStyle w:val="Hyperlink"/>
                <w:rFonts w:cs="Times New Roman"/>
                <w:noProof/>
              </w:rPr>
              <w:t>Appendix</w:t>
            </w:r>
            <w:r w:rsidR="00156410" w:rsidRPr="00CF3DDD">
              <w:rPr>
                <w:rStyle w:val="Hyperlink"/>
                <w:rFonts w:cs="Times New Roman"/>
                <w:noProof/>
              </w:rPr>
              <w:t xml:space="preserve"> A Research Questionnaire </w:t>
            </w:r>
            <w:r w:rsidR="0052191A" w:rsidRPr="00CF3DDD">
              <w:rPr>
                <w:rFonts w:cs="Times New Roman"/>
                <w:noProof/>
                <w:webHidden/>
              </w:rPr>
              <w:tab/>
            </w:r>
            <w:r w:rsidR="00CF3DDD" w:rsidRPr="00CF3DDD">
              <w:rPr>
                <w:rFonts w:cs="Times New Roman"/>
                <w:noProof/>
                <w:webHidden/>
              </w:rPr>
              <w:t>80</w:t>
            </w:r>
          </w:hyperlink>
        </w:p>
        <w:p w14:paraId="4118CEA0" w14:textId="4B6CF4B9" w:rsidR="00366337" w:rsidRPr="00CF3DDD" w:rsidRDefault="00D964C9" w:rsidP="00366337">
          <w:pPr>
            <w:pStyle w:val="TOC2"/>
            <w:tabs>
              <w:tab w:val="right" w:leader="dot" w:pos="9350"/>
            </w:tabs>
            <w:spacing w:line="360" w:lineRule="auto"/>
            <w:ind w:left="0"/>
            <w:rPr>
              <w:rFonts w:eastAsiaTheme="minorEastAsia" w:cs="Times New Roman"/>
              <w:noProof/>
              <w:kern w:val="2"/>
              <w:szCs w:val="24"/>
              <w14:ligatures w14:val="standardContextual"/>
            </w:rPr>
          </w:pPr>
          <w:r w:rsidRPr="00CF3DDD">
            <w:rPr>
              <w:rFonts w:cs="Times New Roman"/>
              <w:b/>
              <w:bCs/>
              <w:noProof/>
            </w:rPr>
            <w:fldChar w:fldCharType="end"/>
          </w:r>
          <w:r w:rsidR="00156410" w:rsidRPr="00CF3DDD">
            <w:rPr>
              <w:rFonts w:cs="Times New Roman"/>
              <w:noProof/>
            </w:rPr>
            <w:t>Appendix B  Ethics approval form</w:t>
          </w:r>
          <w:r w:rsidR="0010486B" w:rsidRPr="00CF3DDD">
            <w:rPr>
              <w:rFonts w:cs="Times New Roman"/>
              <w:noProof/>
            </w:rPr>
            <w:t xml:space="preserve">  </w:t>
          </w:r>
          <w:hyperlink w:anchor="_Toc209310631" w:history="1">
            <w:r w:rsidR="00366337" w:rsidRPr="00CF3DDD">
              <w:rPr>
                <w:rFonts w:cs="Times New Roman"/>
                <w:noProof/>
                <w:webHidden/>
              </w:rPr>
              <w:tab/>
            </w:r>
          </w:hyperlink>
          <w:r w:rsidR="00366337">
            <w:rPr>
              <w:rFonts w:cs="Times New Roman"/>
              <w:noProof/>
            </w:rPr>
            <w:t xml:space="preserve"> 84</w:t>
          </w:r>
        </w:p>
        <w:p w14:paraId="3A237681" w14:textId="35028560" w:rsidR="00D964C9" w:rsidRPr="00CF3DDD" w:rsidRDefault="0010486B" w:rsidP="00CF3DDD">
          <w:pPr>
            <w:spacing w:line="360" w:lineRule="auto"/>
            <w:rPr>
              <w:rFonts w:cs="Times New Roman"/>
            </w:rPr>
          </w:pPr>
          <w:r w:rsidRPr="00CF3DDD">
            <w:rPr>
              <w:rFonts w:cs="Times New Roman"/>
              <w:noProof/>
            </w:rPr>
            <w:t xml:space="preserve">    </w:t>
          </w:r>
        </w:p>
      </w:sdtContent>
    </w:sdt>
    <w:p w14:paraId="7D860A87" w14:textId="7C22003C" w:rsidR="00D964C9" w:rsidRPr="00CF3DDD" w:rsidRDefault="00347DA8" w:rsidP="00CF3DDD">
      <w:pPr>
        <w:pStyle w:val="Heading1"/>
        <w:spacing w:line="360" w:lineRule="auto"/>
        <w:ind w:left="0"/>
        <w:rPr>
          <w:rFonts w:cs="Times New Roman"/>
        </w:rPr>
      </w:pPr>
      <w:bookmarkStart w:id="10" w:name="_Toc209310566"/>
      <w:r w:rsidRPr="00CF3DDD">
        <w:rPr>
          <w:rFonts w:cs="Times New Roman"/>
        </w:rPr>
        <w:t>List Of Figures</w:t>
      </w:r>
      <w:bookmarkEnd w:id="10"/>
    </w:p>
    <w:p w14:paraId="1A4ECAD1" w14:textId="77777777" w:rsidR="00347DA8" w:rsidRPr="00CF3DDD" w:rsidRDefault="00347DA8" w:rsidP="00CF3DDD">
      <w:pPr>
        <w:spacing w:line="360" w:lineRule="auto"/>
        <w:rPr>
          <w:rFonts w:cs="Times New Roman"/>
        </w:rPr>
      </w:pPr>
      <w:r w:rsidRPr="00CF3DDD">
        <w:rPr>
          <w:rFonts w:cs="Times New Roman"/>
        </w:rPr>
        <w:t>Figure 1: Age (Demographical Testing)</w:t>
      </w:r>
    </w:p>
    <w:p w14:paraId="5BC76B72" w14:textId="77777777" w:rsidR="00347DA8" w:rsidRPr="00CF3DDD" w:rsidRDefault="00347DA8" w:rsidP="00CF3DDD">
      <w:pPr>
        <w:spacing w:line="360" w:lineRule="auto"/>
        <w:rPr>
          <w:rFonts w:cs="Times New Roman"/>
        </w:rPr>
      </w:pPr>
      <w:r w:rsidRPr="00CF3DDD">
        <w:rPr>
          <w:rFonts w:cs="Times New Roman"/>
        </w:rPr>
        <w:t>Figure 2: Gender (Demographical Testing)</w:t>
      </w:r>
    </w:p>
    <w:p w14:paraId="0C71E51C" w14:textId="77777777" w:rsidR="00347DA8" w:rsidRPr="00CF3DDD" w:rsidRDefault="00347DA8" w:rsidP="00CF3DDD">
      <w:pPr>
        <w:spacing w:line="360" w:lineRule="auto"/>
        <w:rPr>
          <w:rFonts w:cs="Times New Roman"/>
        </w:rPr>
      </w:pPr>
      <w:r w:rsidRPr="00CF3DDD">
        <w:rPr>
          <w:rFonts w:cs="Times New Roman"/>
        </w:rPr>
        <w:t>Figure 3: Income (Demographical Testing)</w:t>
      </w:r>
    </w:p>
    <w:p w14:paraId="086F1DD8" w14:textId="77777777" w:rsidR="00347DA8" w:rsidRPr="00CF3DDD" w:rsidRDefault="00347DA8" w:rsidP="00CF3DDD">
      <w:pPr>
        <w:spacing w:line="360" w:lineRule="auto"/>
        <w:rPr>
          <w:rFonts w:cs="Times New Roman"/>
        </w:rPr>
      </w:pPr>
      <w:r w:rsidRPr="00CF3DDD">
        <w:rPr>
          <w:rFonts w:cs="Times New Roman"/>
        </w:rPr>
        <w:t>Figure 4: Outlier Test</w:t>
      </w:r>
    </w:p>
    <w:p w14:paraId="29D8A390" w14:textId="77777777" w:rsidR="00347DA8" w:rsidRPr="00CF3DDD" w:rsidRDefault="00347DA8" w:rsidP="00CF3DDD">
      <w:pPr>
        <w:spacing w:line="360" w:lineRule="auto"/>
        <w:rPr>
          <w:rFonts w:cs="Times New Roman"/>
        </w:rPr>
      </w:pPr>
      <w:r w:rsidRPr="00CF3DDD">
        <w:rPr>
          <w:rFonts w:cs="Times New Roman"/>
        </w:rPr>
        <w:t>Figure 5: Histogram</w:t>
      </w:r>
    </w:p>
    <w:p w14:paraId="770798B6" w14:textId="77777777" w:rsidR="00347DA8" w:rsidRPr="00CF3DDD" w:rsidRDefault="00347DA8" w:rsidP="00CF3DDD">
      <w:pPr>
        <w:spacing w:line="360" w:lineRule="auto"/>
        <w:rPr>
          <w:rFonts w:cs="Times New Roman"/>
        </w:rPr>
      </w:pPr>
      <w:r w:rsidRPr="00CF3DDD">
        <w:rPr>
          <w:rFonts w:cs="Times New Roman"/>
        </w:rPr>
        <w:t xml:space="preserve">Figure 6: Normal P </w:t>
      </w:r>
      <w:proofErr w:type="spellStart"/>
      <w:r w:rsidRPr="00CF3DDD">
        <w:rPr>
          <w:rFonts w:cs="Times New Roman"/>
        </w:rPr>
        <w:t>P</w:t>
      </w:r>
      <w:proofErr w:type="spellEnd"/>
      <w:r w:rsidRPr="00CF3DDD">
        <w:rPr>
          <w:rFonts w:cs="Times New Roman"/>
        </w:rPr>
        <w:t>- Plot of Regression</w:t>
      </w:r>
    </w:p>
    <w:p w14:paraId="797A704E" w14:textId="6F49252F" w:rsidR="00347DA8" w:rsidRPr="00CF3DDD" w:rsidRDefault="00347DA8" w:rsidP="00CF3DDD">
      <w:pPr>
        <w:pStyle w:val="Heading1"/>
        <w:spacing w:line="360" w:lineRule="auto"/>
        <w:ind w:left="0"/>
        <w:rPr>
          <w:rFonts w:cs="Times New Roman"/>
        </w:rPr>
      </w:pPr>
      <w:bookmarkStart w:id="11" w:name="_Toc209310567"/>
      <w:r w:rsidRPr="00CF3DDD">
        <w:rPr>
          <w:rFonts w:cs="Times New Roman"/>
        </w:rPr>
        <w:t>List of Tables</w:t>
      </w:r>
      <w:bookmarkEnd w:id="11"/>
    </w:p>
    <w:p w14:paraId="693359A5" w14:textId="77777777" w:rsidR="00347DA8" w:rsidRPr="00CF3DDD" w:rsidRDefault="00347DA8" w:rsidP="00CF3DDD">
      <w:pPr>
        <w:spacing w:line="360" w:lineRule="auto"/>
        <w:rPr>
          <w:rFonts w:cs="Times New Roman"/>
        </w:rPr>
      </w:pPr>
      <w:r w:rsidRPr="00CF3DDD">
        <w:rPr>
          <w:rFonts w:cs="Times New Roman"/>
        </w:rPr>
        <w:t>Table 1:</w:t>
      </w:r>
      <w:r w:rsidR="00436C77" w:rsidRPr="00CF3DDD">
        <w:rPr>
          <w:rFonts w:cs="Times New Roman"/>
        </w:rPr>
        <w:t xml:space="preserve"> Descriptive Statistics</w:t>
      </w:r>
    </w:p>
    <w:p w14:paraId="7202EBC6" w14:textId="77777777" w:rsidR="00347DA8" w:rsidRPr="00CF3DDD" w:rsidRDefault="00347DA8" w:rsidP="00CF3DDD">
      <w:pPr>
        <w:spacing w:line="360" w:lineRule="auto"/>
        <w:rPr>
          <w:rFonts w:cs="Times New Roman"/>
        </w:rPr>
      </w:pPr>
      <w:r w:rsidRPr="00CF3DDD">
        <w:rPr>
          <w:rFonts w:cs="Times New Roman"/>
        </w:rPr>
        <w:t>Table 2:</w:t>
      </w:r>
      <w:r w:rsidR="00436C77" w:rsidRPr="00CF3DDD">
        <w:rPr>
          <w:rFonts w:cs="Times New Roman"/>
        </w:rPr>
        <w:t xml:space="preserve"> Reliability Statistics 1</w:t>
      </w:r>
    </w:p>
    <w:p w14:paraId="751C0D27" w14:textId="77777777" w:rsidR="00BE1BE1" w:rsidRPr="00CF3DDD" w:rsidRDefault="00347DA8" w:rsidP="00CF3DDD">
      <w:pPr>
        <w:spacing w:line="360" w:lineRule="auto"/>
        <w:rPr>
          <w:rFonts w:cs="Times New Roman"/>
        </w:rPr>
      </w:pPr>
      <w:r w:rsidRPr="00CF3DDD">
        <w:rPr>
          <w:rFonts w:cs="Times New Roman"/>
        </w:rPr>
        <w:t>Table 3:</w:t>
      </w:r>
      <w:r w:rsidR="00436C77" w:rsidRPr="00CF3DDD">
        <w:rPr>
          <w:rFonts w:cs="Times New Roman"/>
        </w:rPr>
        <w:t xml:space="preserve"> Reliability Statistics </w:t>
      </w:r>
      <w:r w:rsidR="00BE1BE1" w:rsidRPr="00CF3DDD">
        <w:rPr>
          <w:rFonts w:cs="Times New Roman"/>
        </w:rPr>
        <w:t>2</w:t>
      </w:r>
    </w:p>
    <w:p w14:paraId="503185AE" w14:textId="77777777" w:rsidR="00347DA8" w:rsidRPr="00CF3DDD" w:rsidRDefault="00347DA8" w:rsidP="00CF3DDD">
      <w:pPr>
        <w:spacing w:line="360" w:lineRule="auto"/>
        <w:rPr>
          <w:rFonts w:cs="Times New Roman"/>
        </w:rPr>
      </w:pPr>
      <w:r w:rsidRPr="00CF3DDD">
        <w:rPr>
          <w:rFonts w:cs="Times New Roman"/>
        </w:rPr>
        <w:t>Table 4:</w:t>
      </w:r>
      <w:r w:rsidR="00BE1BE1" w:rsidRPr="00CF3DDD">
        <w:rPr>
          <w:rFonts w:cs="Times New Roman"/>
        </w:rPr>
        <w:t xml:space="preserve"> Reliability Statistics 3</w:t>
      </w:r>
    </w:p>
    <w:p w14:paraId="16E24F70" w14:textId="77777777" w:rsidR="00347DA8" w:rsidRPr="00CF3DDD" w:rsidRDefault="00347DA8" w:rsidP="00CF3DDD">
      <w:pPr>
        <w:spacing w:line="360" w:lineRule="auto"/>
        <w:rPr>
          <w:rFonts w:cs="Times New Roman"/>
        </w:rPr>
      </w:pPr>
      <w:r w:rsidRPr="00CF3DDD">
        <w:rPr>
          <w:rFonts w:cs="Times New Roman"/>
        </w:rPr>
        <w:t>Table 5:</w:t>
      </w:r>
      <w:r w:rsidR="00436C77" w:rsidRPr="00CF3DDD">
        <w:rPr>
          <w:rFonts w:cs="Times New Roman"/>
        </w:rPr>
        <w:t xml:space="preserve"> </w:t>
      </w:r>
      <w:r w:rsidR="00BE1BE1" w:rsidRPr="00CF3DDD">
        <w:rPr>
          <w:rFonts w:cs="Times New Roman"/>
        </w:rPr>
        <w:t>Reliability Statistics 4</w:t>
      </w:r>
    </w:p>
    <w:p w14:paraId="030E2C65" w14:textId="77777777" w:rsidR="00436C77" w:rsidRPr="00CF3DDD" w:rsidRDefault="00436C77" w:rsidP="00CF3DDD">
      <w:pPr>
        <w:spacing w:line="360" w:lineRule="auto"/>
        <w:rPr>
          <w:rFonts w:cs="Times New Roman"/>
        </w:rPr>
      </w:pPr>
      <w:r w:rsidRPr="00CF3DDD">
        <w:rPr>
          <w:rFonts w:cs="Times New Roman"/>
        </w:rPr>
        <w:t xml:space="preserve">Table 6: </w:t>
      </w:r>
      <w:r w:rsidR="00BE1BE1" w:rsidRPr="00CF3DDD">
        <w:rPr>
          <w:rFonts w:cs="Times New Roman"/>
        </w:rPr>
        <w:t>Descriptive Statistics</w:t>
      </w:r>
    </w:p>
    <w:p w14:paraId="51C9D4B7" w14:textId="77777777" w:rsidR="00347DA8" w:rsidRPr="00CF3DDD" w:rsidRDefault="00436C77" w:rsidP="00CF3DDD">
      <w:pPr>
        <w:spacing w:line="360" w:lineRule="auto"/>
        <w:rPr>
          <w:rFonts w:cs="Times New Roman"/>
        </w:rPr>
      </w:pPr>
      <w:r w:rsidRPr="00CF3DDD">
        <w:rPr>
          <w:rFonts w:cs="Times New Roman"/>
        </w:rPr>
        <w:lastRenderedPageBreak/>
        <w:t xml:space="preserve">Table 7: </w:t>
      </w:r>
      <w:r w:rsidR="00BE1BE1" w:rsidRPr="00CF3DDD">
        <w:rPr>
          <w:rFonts w:cs="Times New Roman"/>
        </w:rPr>
        <w:t>Correlations</w:t>
      </w:r>
    </w:p>
    <w:p w14:paraId="46F248E6" w14:textId="77777777" w:rsidR="00347DA8" w:rsidRPr="00CF3DDD" w:rsidRDefault="00347DA8" w:rsidP="00CF3DDD">
      <w:pPr>
        <w:spacing w:line="360" w:lineRule="auto"/>
        <w:rPr>
          <w:rFonts w:cs="Times New Roman"/>
        </w:rPr>
      </w:pPr>
      <w:r w:rsidRPr="00CF3DDD">
        <w:rPr>
          <w:rFonts w:cs="Times New Roman"/>
        </w:rPr>
        <w:t>Table</w:t>
      </w:r>
      <w:r w:rsidR="00436C77" w:rsidRPr="00CF3DDD">
        <w:rPr>
          <w:rFonts w:cs="Times New Roman"/>
        </w:rPr>
        <w:t xml:space="preserve"> 8: </w:t>
      </w:r>
      <w:r w:rsidR="00BE1BE1" w:rsidRPr="00CF3DDD">
        <w:rPr>
          <w:rFonts w:cs="Times New Roman"/>
        </w:rPr>
        <w:t>Model Summary 1</w:t>
      </w:r>
    </w:p>
    <w:p w14:paraId="57E376EC" w14:textId="77777777" w:rsidR="00347DA8" w:rsidRPr="00CF3DDD" w:rsidRDefault="00347DA8" w:rsidP="00CF3DDD">
      <w:pPr>
        <w:spacing w:line="360" w:lineRule="auto"/>
        <w:rPr>
          <w:rFonts w:cs="Times New Roman"/>
        </w:rPr>
      </w:pPr>
      <w:r w:rsidRPr="00CF3DDD">
        <w:rPr>
          <w:rFonts w:cs="Times New Roman"/>
        </w:rPr>
        <w:t>Table</w:t>
      </w:r>
      <w:r w:rsidR="00BE1BE1" w:rsidRPr="00CF3DDD">
        <w:rPr>
          <w:rFonts w:cs="Times New Roman"/>
        </w:rPr>
        <w:t xml:space="preserve"> 9: Coefficients 1</w:t>
      </w:r>
    </w:p>
    <w:p w14:paraId="4C560DA1" w14:textId="77777777" w:rsidR="00BE1BE1" w:rsidRPr="00CF3DDD" w:rsidRDefault="00BE1BE1" w:rsidP="00CF3DDD">
      <w:pPr>
        <w:spacing w:line="360" w:lineRule="auto"/>
        <w:rPr>
          <w:rFonts w:cs="Times New Roman"/>
        </w:rPr>
      </w:pPr>
      <w:r w:rsidRPr="00CF3DDD">
        <w:rPr>
          <w:rFonts w:cs="Times New Roman"/>
        </w:rPr>
        <w:t>Table 10: Model Summary 2</w:t>
      </w:r>
    </w:p>
    <w:p w14:paraId="1C55C7C9" w14:textId="77777777" w:rsidR="00BE1BE1" w:rsidRPr="00CF3DDD" w:rsidRDefault="00BE1BE1" w:rsidP="00CF3DDD">
      <w:pPr>
        <w:spacing w:line="360" w:lineRule="auto"/>
        <w:rPr>
          <w:rFonts w:cs="Times New Roman"/>
        </w:rPr>
      </w:pPr>
      <w:r w:rsidRPr="00CF3DDD">
        <w:rPr>
          <w:rFonts w:cs="Times New Roman"/>
        </w:rPr>
        <w:t>Table 11: Coefficients 2</w:t>
      </w:r>
    </w:p>
    <w:p w14:paraId="21DE2BE2" w14:textId="77777777" w:rsidR="00BE1BE1" w:rsidRPr="00CF3DDD" w:rsidRDefault="00BE1BE1" w:rsidP="00CF3DDD">
      <w:pPr>
        <w:spacing w:line="360" w:lineRule="auto"/>
        <w:rPr>
          <w:rFonts w:cs="Times New Roman"/>
        </w:rPr>
      </w:pPr>
      <w:r w:rsidRPr="00CF3DDD">
        <w:rPr>
          <w:rFonts w:cs="Times New Roman"/>
        </w:rPr>
        <w:t>Table 12: Model Summary 3</w:t>
      </w:r>
    </w:p>
    <w:p w14:paraId="634649FA" w14:textId="77777777" w:rsidR="00BE1BE1" w:rsidRPr="00CF3DDD" w:rsidRDefault="00BE1BE1" w:rsidP="00CF3DDD">
      <w:pPr>
        <w:spacing w:line="360" w:lineRule="auto"/>
        <w:rPr>
          <w:rFonts w:cs="Times New Roman"/>
        </w:rPr>
      </w:pPr>
      <w:r w:rsidRPr="00CF3DDD">
        <w:rPr>
          <w:rFonts w:cs="Times New Roman"/>
        </w:rPr>
        <w:t>Table 13: Coefficients 3</w:t>
      </w:r>
    </w:p>
    <w:p w14:paraId="1A90E399" w14:textId="77777777" w:rsidR="00347DA8" w:rsidRPr="00CF3DDD" w:rsidRDefault="00BE1BE1" w:rsidP="00CF3DDD">
      <w:pPr>
        <w:spacing w:line="360" w:lineRule="auto"/>
        <w:rPr>
          <w:rFonts w:cs="Times New Roman"/>
        </w:rPr>
      </w:pPr>
      <w:r w:rsidRPr="00CF3DDD">
        <w:rPr>
          <w:rFonts w:cs="Times New Roman"/>
        </w:rPr>
        <w:t>Table 14: Overall Result of Hypothesis Testing</w:t>
      </w:r>
    </w:p>
    <w:p w14:paraId="43782E03" w14:textId="77777777" w:rsidR="00156410" w:rsidRPr="00CF3DDD" w:rsidRDefault="00156410" w:rsidP="00CF3DDD">
      <w:pPr>
        <w:spacing w:line="360" w:lineRule="auto"/>
        <w:rPr>
          <w:rFonts w:cs="Times New Roman"/>
        </w:rPr>
      </w:pPr>
    </w:p>
    <w:p w14:paraId="748A033A" w14:textId="77777777" w:rsidR="00156410" w:rsidRPr="00CF3DDD" w:rsidRDefault="00156410" w:rsidP="00CF3DDD">
      <w:pPr>
        <w:spacing w:line="360" w:lineRule="auto"/>
        <w:rPr>
          <w:rFonts w:cs="Times New Roman"/>
        </w:rPr>
      </w:pPr>
    </w:p>
    <w:p w14:paraId="6DAAB59D" w14:textId="77777777" w:rsidR="00156410" w:rsidRPr="00CF3DDD" w:rsidRDefault="00156410" w:rsidP="00CF3DDD">
      <w:pPr>
        <w:spacing w:line="360" w:lineRule="auto"/>
        <w:rPr>
          <w:rFonts w:cs="Times New Roman"/>
        </w:rPr>
      </w:pPr>
    </w:p>
    <w:p w14:paraId="49063774" w14:textId="77777777" w:rsidR="00156410" w:rsidRPr="00CF3DDD" w:rsidRDefault="00156410" w:rsidP="00CF3DDD">
      <w:pPr>
        <w:spacing w:line="360" w:lineRule="auto"/>
        <w:rPr>
          <w:rFonts w:cs="Times New Roman"/>
        </w:rPr>
      </w:pPr>
    </w:p>
    <w:p w14:paraId="0E8A3AE1" w14:textId="77777777" w:rsidR="00156410" w:rsidRPr="00CF3DDD" w:rsidRDefault="00156410" w:rsidP="00CF3DDD">
      <w:pPr>
        <w:spacing w:line="360" w:lineRule="auto"/>
        <w:rPr>
          <w:rFonts w:cs="Times New Roman"/>
        </w:rPr>
      </w:pPr>
    </w:p>
    <w:p w14:paraId="68018621" w14:textId="77777777" w:rsidR="00156410" w:rsidRPr="00CF3DDD" w:rsidRDefault="00156410" w:rsidP="00CF3DDD">
      <w:pPr>
        <w:spacing w:line="360" w:lineRule="auto"/>
        <w:rPr>
          <w:rFonts w:cs="Times New Roman"/>
        </w:rPr>
      </w:pPr>
    </w:p>
    <w:p w14:paraId="1D838944" w14:textId="77777777" w:rsidR="00156410" w:rsidRPr="00CF3DDD" w:rsidRDefault="00156410" w:rsidP="00CF3DDD">
      <w:pPr>
        <w:spacing w:line="360" w:lineRule="auto"/>
        <w:rPr>
          <w:rFonts w:cs="Times New Roman"/>
        </w:rPr>
      </w:pPr>
    </w:p>
    <w:p w14:paraId="5A35B10C" w14:textId="77777777" w:rsidR="00156410" w:rsidRPr="00CF3DDD" w:rsidRDefault="00156410" w:rsidP="00CF3DDD">
      <w:pPr>
        <w:spacing w:line="360" w:lineRule="auto"/>
        <w:rPr>
          <w:rFonts w:cs="Times New Roman"/>
        </w:rPr>
      </w:pPr>
    </w:p>
    <w:p w14:paraId="58D5EDCD" w14:textId="77777777" w:rsidR="00156410" w:rsidRPr="00CF3DDD" w:rsidRDefault="00156410" w:rsidP="00CF3DDD">
      <w:pPr>
        <w:spacing w:line="360" w:lineRule="auto"/>
        <w:rPr>
          <w:rFonts w:cs="Times New Roman"/>
        </w:rPr>
      </w:pPr>
    </w:p>
    <w:p w14:paraId="2210C683" w14:textId="77777777" w:rsidR="00156410" w:rsidRPr="00CF3DDD" w:rsidRDefault="00156410" w:rsidP="00CF3DDD">
      <w:pPr>
        <w:spacing w:line="360" w:lineRule="auto"/>
        <w:rPr>
          <w:rFonts w:cs="Times New Roman"/>
        </w:rPr>
      </w:pPr>
    </w:p>
    <w:p w14:paraId="789C5EC9" w14:textId="77777777" w:rsidR="00156410" w:rsidRPr="00CF3DDD" w:rsidRDefault="00156410" w:rsidP="00CF3DDD">
      <w:pPr>
        <w:spacing w:line="360" w:lineRule="auto"/>
        <w:rPr>
          <w:rFonts w:cs="Times New Roman"/>
        </w:rPr>
      </w:pPr>
    </w:p>
    <w:p w14:paraId="21ED4500" w14:textId="77777777" w:rsidR="00156410" w:rsidRPr="00CF3DDD" w:rsidRDefault="00156410" w:rsidP="00CF3DDD">
      <w:pPr>
        <w:spacing w:line="360" w:lineRule="auto"/>
        <w:rPr>
          <w:rFonts w:cs="Times New Roman"/>
        </w:rPr>
      </w:pPr>
    </w:p>
    <w:p w14:paraId="267CCDC5" w14:textId="77777777" w:rsidR="00156410" w:rsidRPr="00CF3DDD" w:rsidRDefault="00156410" w:rsidP="00CF3DDD">
      <w:pPr>
        <w:spacing w:line="360" w:lineRule="auto"/>
        <w:rPr>
          <w:rFonts w:cs="Times New Roman"/>
        </w:rPr>
      </w:pPr>
    </w:p>
    <w:p w14:paraId="1CEEBDF5" w14:textId="217C0892" w:rsidR="00156410" w:rsidRDefault="00156410" w:rsidP="00CF3DDD">
      <w:pPr>
        <w:spacing w:line="360" w:lineRule="auto"/>
        <w:rPr>
          <w:rFonts w:cs="Times New Roman"/>
        </w:rPr>
      </w:pPr>
    </w:p>
    <w:p w14:paraId="14A0C6DB" w14:textId="77777777" w:rsidR="004E679F" w:rsidRPr="00CF3DDD" w:rsidRDefault="004E679F" w:rsidP="00CF3DDD">
      <w:pPr>
        <w:spacing w:line="360" w:lineRule="auto"/>
        <w:rPr>
          <w:rFonts w:cs="Times New Roman"/>
        </w:rPr>
      </w:pPr>
    </w:p>
    <w:p w14:paraId="0DFA2D1C" w14:textId="496D301D" w:rsidR="00113449" w:rsidRPr="00CF3DDD" w:rsidRDefault="00113449" w:rsidP="00CF3DDD">
      <w:pPr>
        <w:pStyle w:val="Heading1"/>
        <w:spacing w:line="360" w:lineRule="auto"/>
        <w:ind w:left="0"/>
        <w:rPr>
          <w:rFonts w:cs="Times New Roman"/>
        </w:rPr>
      </w:pPr>
      <w:bookmarkStart w:id="12" w:name="_Toc209310568"/>
      <w:r w:rsidRPr="00CF3DDD">
        <w:rPr>
          <w:rFonts w:cs="Times New Roman"/>
        </w:rPr>
        <w:lastRenderedPageBreak/>
        <w:t>Chapter 1: Introduction</w:t>
      </w:r>
      <w:bookmarkEnd w:id="12"/>
    </w:p>
    <w:p w14:paraId="51A13B20" w14:textId="1CCABE68" w:rsidR="00113449" w:rsidRPr="00CF3DDD" w:rsidRDefault="00113449" w:rsidP="00CF3DDD">
      <w:pPr>
        <w:pStyle w:val="Heading2"/>
        <w:spacing w:line="360" w:lineRule="auto"/>
      </w:pPr>
      <w:bookmarkStart w:id="13" w:name="_Toc209310569"/>
      <w:r w:rsidRPr="00CF3DDD">
        <w:t>1.1 Background of the Study</w:t>
      </w:r>
      <w:bookmarkEnd w:id="13"/>
    </w:p>
    <w:p w14:paraId="31661E0E"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In today’s </w:t>
      </w:r>
      <w:r w:rsidR="004A2ACD" w:rsidRPr="00CF3DDD">
        <w:rPr>
          <w:rFonts w:eastAsia="Times New Roman" w:cs="Times New Roman"/>
          <w:szCs w:val="24"/>
        </w:rPr>
        <w:t>hyper-competitive</w:t>
      </w:r>
      <w:r w:rsidRPr="00CF3DDD">
        <w:rPr>
          <w:rFonts w:eastAsia="Times New Roman" w:cs="Times New Roman"/>
          <w:szCs w:val="24"/>
        </w:rPr>
        <w:t xml:space="preserve"> marketplace, building and sustaining consumer loyalty has become one of the most critical challenges for brands. As traditional marketing techniques lose their effectiveness, companies are increasingly focusing on intangible brand assets, such as brand equity, trust, and emotional engagement, to secure </w:t>
      </w:r>
      <w:r w:rsidR="004A2ACD" w:rsidRPr="00CF3DDD">
        <w:rPr>
          <w:rFonts w:eastAsia="Times New Roman" w:cs="Times New Roman"/>
          <w:szCs w:val="24"/>
        </w:rPr>
        <w:t>long-term</w:t>
      </w:r>
      <w:r w:rsidRPr="00CF3DDD">
        <w:rPr>
          <w:rFonts w:eastAsia="Times New Roman" w:cs="Times New Roman"/>
          <w:szCs w:val="24"/>
        </w:rPr>
        <w:t xml:space="preserve"> customer relationships. Among these, brand equity</w:t>
      </w:r>
      <w:r w:rsidR="00D96AB7" w:rsidRPr="00CF3DDD">
        <w:rPr>
          <w:rFonts w:eastAsia="Times New Roman" w:cs="Times New Roman"/>
          <w:szCs w:val="24"/>
        </w:rPr>
        <w:t xml:space="preserve">, </w:t>
      </w:r>
      <w:r w:rsidRPr="00CF3DDD">
        <w:rPr>
          <w:rFonts w:eastAsia="Times New Roman" w:cs="Times New Roman"/>
          <w:szCs w:val="24"/>
        </w:rPr>
        <w:t>a multidimensional construct encompassing brand awareness, perceived quality, brand associations, and brand loyalty</w:t>
      </w:r>
      <w:r w:rsidR="00D96AB7" w:rsidRPr="00CF3DDD">
        <w:rPr>
          <w:rFonts w:eastAsia="Times New Roman" w:cs="Times New Roman"/>
          <w:szCs w:val="24"/>
        </w:rPr>
        <w:t xml:space="preserve">, </w:t>
      </w:r>
      <w:r w:rsidRPr="00CF3DDD">
        <w:rPr>
          <w:rFonts w:eastAsia="Times New Roman" w:cs="Times New Roman"/>
          <w:szCs w:val="24"/>
        </w:rPr>
        <w:t>has been widely acknowledged as a vital contributor to customer retention and profitability</w:t>
      </w:r>
      <w:r w:rsidR="008C4BF9" w:rsidRPr="00CF3DDD">
        <w:rPr>
          <w:rFonts w:eastAsia="Times New Roman" w:cs="Times New Roman"/>
          <w:szCs w:val="24"/>
        </w:rPr>
        <w:t xml:space="preserve"> (Ali et al. 2023)</w:t>
      </w:r>
      <w:r w:rsidRPr="00CF3DDD">
        <w:rPr>
          <w:rFonts w:eastAsia="Times New Roman" w:cs="Times New Roman"/>
          <w:szCs w:val="24"/>
        </w:rPr>
        <w:t>. In parallel, the concepts of brand trust and brand love have gained prominence for their role in influencing how consumers perceive, evaluate, and remain committed to a brand.</w:t>
      </w:r>
    </w:p>
    <w:p w14:paraId="359BDA59"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cs="Times New Roman"/>
        </w:rPr>
        <w:t xml:space="preserve">Brand loyalty, defined as a consumer’s consistent preference for a specific brand over alternatives, is no longer driven solely by product features or pricing. Emotional and psychological dimensions play a growing role in shaping customer </w:t>
      </w:r>
      <w:proofErr w:type="spellStart"/>
      <w:r w:rsidRPr="00CF3DDD">
        <w:rPr>
          <w:rFonts w:cs="Times New Roman"/>
        </w:rPr>
        <w:t>behaviour</w:t>
      </w:r>
      <w:proofErr w:type="spellEnd"/>
      <w:r w:rsidRPr="00CF3DDD">
        <w:rPr>
          <w:rFonts w:cs="Times New Roman"/>
        </w:rPr>
        <w:t>, especially in markets where product offerings are largely homogeneous (</w:t>
      </w:r>
      <w:proofErr w:type="spellStart"/>
      <w:r w:rsidRPr="00CF3DDD">
        <w:rPr>
          <w:rFonts w:cs="Times New Roman"/>
        </w:rPr>
        <w:t>Akoglu</w:t>
      </w:r>
      <w:proofErr w:type="spellEnd"/>
      <w:r w:rsidRPr="00CF3DDD">
        <w:rPr>
          <w:rFonts w:cs="Times New Roman"/>
        </w:rPr>
        <w:t xml:space="preserve"> &amp; </w:t>
      </w:r>
      <w:proofErr w:type="spellStart"/>
      <w:r w:rsidRPr="00CF3DDD">
        <w:rPr>
          <w:rFonts w:cs="Times New Roman"/>
        </w:rPr>
        <w:t>Özbek</w:t>
      </w:r>
      <w:proofErr w:type="spellEnd"/>
      <w:r w:rsidRPr="00CF3DDD">
        <w:rPr>
          <w:rFonts w:cs="Times New Roman"/>
        </w:rPr>
        <w:t xml:space="preserve"> 2022). Trust in a brand, reflecting the belief that it will consistently meet expectations, and brand love, a deep emotional attachment to a brand, are now seen as critical mediators in the consumer-brand relationship. These dimensions can deepen engagement and increase the likelihood of repeat purchasing, advocacy, and resistance to competitor offerings.</w:t>
      </w:r>
    </w:p>
    <w:p w14:paraId="37146B50"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The UK </w:t>
      </w:r>
      <w:r w:rsidR="0040786C" w:rsidRPr="00CF3DDD">
        <w:rPr>
          <w:rFonts w:eastAsia="Times New Roman" w:cs="Times New Roman"/>
          <w:szCs w:val="24"/>
        </w:rPr>
        <w:t>fast-moving</w:t>
      </w:r>
      <w:r w:rsidRPr="00CF3DDD">
        <w:rPr>
          <w:rFonts w:eastAsia="Times New Roman" w:cs="Times New Roman"/>
          <w:szCs w:val="24"/>
        </w:rPr>
        <w:t xml:space="preserve"> consumer goods (FMCG) sector offers a fitting context for such an investigation due to its saturated market environment and the growing importance of emotional branding. Among the many players in this space, </w:t>
      </w:r>
      <w:r w:rsidRPr="00CF3DDD">
        <w:rPr>
          <w:rFonts w:eastAsia="Times New Roman" w:cs="Times New Roman"/>
          <w:b/>
          <w:bCs/>
          <w:szCs w:val="24"/>
        </w:rPr>
        <w:t>Nestlé</w:t>
      </w:r>
      <w:r w:rsidRPr="00CF3DDD">
        <w:rPr>
          <w:rFonts w:eastAsia="Times New Roman" w:cs="Times New Roman"/>
          <w:szCs w:val="24"/>
        </w:rPr>
        <w:t xml:space="preserve"> stands out as a global brand with a strong local presence</w:t>
      </w:r>
      <w:r w:rsidR="008C4BF9" w:rsidRPr="00CF3DDD">
        <w:rPr>
          <w:rFonts w:eastAsia="Times New Roman" w:cs="Times New Roman"/>
          <w:szCs w:val="24"/>
        </w:rPr>
        <w:t xml:space="preserve"> (Hashem, Ruiz &amp; </w:t>
      </w:r>
      <w:proofErr w:type="spellStart"/>
      <w:r w:rsidR="008C4BF9" w:rsidRPr="00CF3DDD">
        <w:rPr>
          <w:rFonts w:eastAsia="Times New Roman" w:cs="Times New Roman"/>
          <w:szCs w:val="24"/>
        </w:rPr>
        <w:t>Curras</w:t>
      </w:r>
      <w:proofErr w:type="spellEnd"/>
      <w:r w:rsidR="008C4BF9" w:rsidRPr="00CF3DDD">
        <w:rPr>
          <w:rFonts w:eastAsia="Times New Roman" w:cs="Times New Roman"/>
          <w:szCs w:val="24"/>
        </w:rPr>
        <w:t>-Perez 2024)</w:t>
      </w:r>
      <w:r w:rsidRPr="00CF3DDD">
        <w:rPr>
          <w:rFonts w:eastAsia="Times New Roman" w:cs="Times New Roman"/>
          <w:szCs w:val="24"/>
        </w:rPr>
        <w:t>. Operating in various product categories</w:t>
      </w:r>
      <w:r w:rsidR="0040786C" w:rsidRPr="00CF3DDD">
        <w:rPr>
          <w:rFonts w:eastAsia="Times New Roman" w:cs="Times New Roman"/>
          <w:szCs w:val="24"/>
        </w:rPr>
        <w:t>,</w:t>
      </w:r>
      <w:r w:rsidRPr="00CF3DDD">
        <w:rPr>
          <w:rFonts w:eastAsia="Times New Roman" w:cs="Times New Roman"/>
          <w:szCs w:val="24"/>
        </w:rPr>
        <w:t xml:space="preserve"> including dairy, confectionery, bottled water, and coffee, Nestlé has built a solid reputation for quality, consistency, and innovation. However, in a time when consumers are increasingly driven by values, experiences, and emotions, even </w:t>
      </w:r>
      <w:r w:rsidR="0040786C" w:rsidRPr="00CF3DDD">
        <w:rPr>
          <w:rFonts w:eastAsia="Times New Roman" w:cs="Times New Roman"/>
          <w:szCs w:val="24"/>
        </w:rPr>
        <w:t>well-established</w:t>
      </w:r>
      <w:r w:rsidRPr="00CF3DDD">
        <w:rPr>
          <w:rFonts w:eastAsia="Times New Roman" w:cs="Times New Roman"/>
          <w:szCs w:val="24"/>
        </w:rPr>
        <w:t xml:space="preserve"> brands must understand how their perceived brand equity translates into consumer loyalty through relational factors such as trust and love</w:t>
      </w:r>
      <w:r w:rsidR="008C4BF9" w:rsidRPr="00CF3DDD">
        <w:rPr>
          <w:rFonts w:eastAsia="Times New Roman" w:cs="Times New Roman"/>
          <w:szCs w:val="24"/>
        </w:rPr>
        <w:t xml:space="preserve"> (Le, 2021)</w:t>
      </w:r>
      <w:r w:rsidRPr="00CF3DDD">
        <w:rPr>
          <w:rFonts w:eastAsia="Times New Roman" w:cs="Times New Roman"/>
          <w:szCs w:val="24"/>
        </w:rPr>
        <w:t>.</w:t>
      </w:r>
    </w:p>
    <w:p w14:paraId="2565B3E1" w14:textId="77777777" w:rsidR="00A30527" w:rsidRPr="00CF3DDD" w:rsidRDefault="00113449" w:rsidP="00CF3DDD">
      <w:pPr>
        <w:spacing w:line="360" w:lineRule="auto"/>
        <w:rPr>
          <w:rFonts w:eastAsia="Times New Roman" w:cs="Times New Roman"/>
          <w:szCs w:val="24"/>
        </w:rPr>
      </w:pPr>
      <w:r>
        <w:lastRenderedPageBreak/>
        <w:t>By focusing on Nestlé in the UK context, this study aims to explore not only the structural relationships between brand equity and brand loyalty however altherefore the psychological and emotional mechanisms that mediate this link. Understanding these dynamics is essential for brands seeking to maintain relevance and preference in a market where consumers are both informed and emotionally engaged (Aaker, et al. 2016). Nestlé, as one of the most recognized and trusted food and beverage brands globally, offers an ideal subject for this investigation due to its extensive product range, long-standing presence in the UK, and its strategic investment in consumer engagement and sustainability (Mohd Ali et al. 2023). Despite its strong brand position, Nestlé operates in a highly competitive and rapidly evolving marketplace where consumer loyalty cannot be taken for granted. By analysing how brand equity interacts with consumer trust and emotional attachment to shape loyalty toward Nestlé products, this study aims to generate valuable insights for both academic understanding and practical brand management (Achen &amp; Curry, 2019). Ultimately, the research seeks to contribute to Nestlé’s ongoing efforts to deepen consumer relationships, strengthen brand positioning, and drive long-term loyalty in the UK market (Olaleye, et al. 2025).</w:t>
      </w:r>
    </w:p>
    <w:p w14:paraId="49B29415" w14:textId="26EE4CA6" w:rsidR="00113449" w:rsidRPr="00CF3DDD" w:rsidRDefault="00113449" w:rsidP="00CF3DDD">
      <w:pPr>
        <w:pStyle w:val="Heading2"/>
        <w:spacing w:line="360" w:lineRule="auto"/>
      </w:pPr>
      <w:bookmarkStart w:id="14" w:name="_Toc209310570"/>
      <w:r w:rsidRPr="00CF3DDD">
        <w:t>1.2 Research Focus</w:t>
      </w:r>
      <w:bookmarkEnd w:id="14"/>
    </w:p>
    <w:p w14:paraId="62E7BF32"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cs="Times New Roman"/>
        </w:rPr>
        <w:t xml:space="preserve">The focus of this research is to examine the influence of brand equity on brand loyalty, with specific attention to the mediating roles of brand trust and brand love. While brand equity is known to play a central role in shaping consumer </w:t>
      </w:r>
      <w:proofErr w:type="spellStart"/>
      <w:r w:rsidRPr="00CF3DDD">
        <w:rPr>
          <w:rFonts w:cs="Times New Roman"/>
        </w:rPr>
        <w:t>behaviour</w:t>
      </w:r>
      <w:proofErr w:type="spellEnd"/>
      <w:r w:rsidRPr="00CF3DDD">
        <w:rPr>
          <w:rFonts w:cs="Times New Roman"/>
        </w:rPr>
        <w:t xml:space="preserve">, its direct and indirect impact on loyalty through emotional and psychological pathways remains an area of ongoing exploration. This study seeks to contribute to this discourse by investigating how consumers in the United Kingdom perceive and respond to brand equity in the context of Nestlé, and how their trust and emotional connection with the brand affect their loyalty intentions (Batra, </w:t>
      </w:r>
      <w:proofErr w:type="spellStart"/>
      <w:r w:rsidRPr="00CF3DDD">
        <w:rPr>
          <w:rFonts w:cs="Times New Roman"/>
        </w:rPr>
        <w:t>Ahuvia</w:t>
      </w:r>
      <w:proofErr w:type="spellEnd"/>
      <w:r w:rsidRPr="00CF3DDD">
        <w:rPr>
          <w:rFonts w:cs="Times New Roman"/>
        </w:rPr>
        <w:t xml:space="preserve"> &amp; </w:t>
      </w:r>
      <w:proofErr w:type="spellStart"/>
      <w:r w:rsidRPr="00CF3DDD">
        <w:rPr>
          <w:rFonts w:cs="Times New Roman"/>
        </w:rPr>
        <w:t>Bagozzi</w:t>
      </w:r>
      <w:proofErr w:type="spellEnd"/>
      <w:r w:rsidRPr="00CF3DDD">
        <w:rPr>
          <w:rFonts w:cs="Times New Roman"/>
        </w:rPr>
        <w:t>, 2017).</w:t>
      </w:r>
    </w:p>
    <w:p w14:paraId="6F9ECBA2"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cs="Times New Roman"/>
        </w:rPr>
        <w:t xml:space="preserve">The research is positioned within the broader field of consumer </w:t>
      </w:r>
      <w:proofErr w:type="spellStart"/>
      <w:r w:rsidRPr="00CF3DDD">
        <w:rPr>
          <w:rFonts w:cs="Times New Roman"/>
        </w:rPr>
        <w:t>behaviour</w:t>
      </w:r>
      <w:proofErr w:type="spellEnd"/>
      <w:r w:rsidRPr="00CF3DDD">
        <w:rPr>
          <w:rFonts w:cs="Times New Roman"/>
        </w:rPr>
        <w:t xml:space="preserve"> and brand management, with an emphasis on understanding how cognitive evaluations (such as brand awareness and perceived quality) interact with emotional drivers (such as trust and love) to influence </w:t>
      </w:r>
      <w:proofErr w:type="spellStart"/>
      <w:r w:rsidRPr="00CF3DDD">
        <w:rPr>
          <w:rFonts w:cs="Times New Roman"/>
        </w:rPr>
        <w:t>behavioural</w:t>
      </w:r>
      <w:proofErr w:type="spellEnd"/>
      <w:r w:rsidRPr="00CF3DDD">
        <w:rPr>
          <w:rFonts w:cs="Times New Roman"/>
        </w:rPr>
        <w:t xml:space="preserve"> outcomes like repeat purchase and brand advocacy. Nestlé serves as a practical case study due to its well-established presence in the UK and its diverse portfolio of products, which are frequently purchased and emotionally familiar to consumers (</w:t>
      </w:r>
      <w:proofErr w:type="spellStart"/>
      <w:r w:rsidRPr="00CF3DDD">
        <w:rPr>
          <w:rFonts w:cs="Times New Roman"/>
        </w:rPr>
        <w:t>Buil</w:t>
      </w:r>
      <w:proofErr w:type="spellEnd"/>
      <w:r w:rsidRPr="00CF3DDD">
        <w:rPr>
          <w:rFonts w:cs="Times New Roman"/>
        </w:rPr>
        <w:t>, Martínez &amp; del Río, 2019).</w:t>
      </w:r>
    </w:p>
    <w:p w14:paraId="39F70A53"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lastRenderedPageBreak/>
        <w:t>Using a quantitative research approach and primary data collection, the study will evaluate consumer responses to brand equity dimensions and assess the extent to which brand trust and brand love mediate the relationship with brand loyalty</w:t>
      </w:r>
      <w:r w:rsidR="008C4BF9" w:rsidRPr="00CF3DDD">
        <w:rPr>
          <w:rFonts w:eastAsia="Times New Roman" w:cs="Times New Roman"/>
          <w:szCs w:val="24"/>
        </w:rPr>
        <w:t xml:space="preserve"> (Kaur, A. 2024)</w:t>
      </w:r>
      <w:r w:rsidRPr="00CF3DDD">
        <w:rPr>
          <w:rFonts w:eastAsia="Times New Roman" w:cs="Times New Roman"/>
          <w:szCs w:val="24"/>
        </w:rPr>
        <w:t>. The findings will aim to offer empirical insights into how brands like Nestlé can strategically enhance emotional engagement to strengthen consumer loyalty in a competitive market.</w:t>
      </w:r>
    </w:p>
    <w:p w14:paraId="5553F163" w14:textId="4A4765AD" w:rsidR="00113449" w:rsidRPr="00CF3DDD" w:rsidRDefault="00113449" w:rsidP="00CF3DDD">
      <w:pPr>
        <w:pStyle w:val="Heading2"/>
        <w:spacing w:line="360" w:lineRule="auto"/>
      </w:pPr>
      <w:bookmarkStart w:id="15" w:name="_Toc209310571"/>
      <w:r w:rsidRPr="00CF3DDD">
        <w:t>1.3 Rationale for the Study</w:t>
      </w:r>
      <w:bookmarkEnd w:id="15"/>
    </w:p>
    <w:p w14:paraId="106037A3"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In recent years, the field of brand management has witnessed a significant shift from transactional marketing approaches to relational and emotional strategies that aim to build lasting </w:t>
      </w:r>
      <w:r w:rsidR="00345BE7" w:rsidRPr="00CF3DDD">
        <w:rPr>
          <w:rFonts w:eastAsia="Times New Roman" w:cs="Times New Roman"/>
          <w:szCs w:val="24"/>
        </w:rPr>
        <w:t>consumer-brand</w:t>
      </w:r>
      <w:r w:rsidRPr="00CF3DDD">
        <w:rPr>
          <w:rFonts w:eastAsia="Times New Roman" w:cs="Times New Roman"/>
          <w:szCs w:val="24"/>
        </w:rPr>
        <w:t xml:space="preserve"> relationships. With the increasing saturation of consumer markets, especially in the </w:t>
      </w:r>
      <w:r w:rsidR="00345BE7" w:rsidRPr="00CF3DDD">
        <w:rPr>
          <w:rFonts w:eastAsia="Times New Roman" w:cs="Times New Roman"/>
          <w:szCs w:val="24"/>
        </w:rPr>
        <w:t>fast-moving</w:t>
      </w:r>
      <w:r w:rsidRPr="00CF3DDD">
        <w:rPr>
          <w:rFonts w:eastAsia="Times New Roman" w:cs="Times New Roman"/>
          <w:szCs w:val="24"/>
        </w:rPr>
        <w:t xml:space="preserve"> consumer goods (FMCG) sector, brands can no longer rely solely on functional product attributes or </w:t>
      </w:r>
      <w:r w:rsidR="00345BE7" w:rsidRPr="00CF3DDD">
        <w:rPr>
          <w:rFonts w:eastAsia="Times New Roman" w:cs="Times New Roman"/>
          <w:szCs w:val="24"/>
        </w:rPr>
        <w:t>price-based</w:t>
      </w:r>
      <w:r w:rsidRPr="00CF3DDD">
        <w:rPr>
          <w:rFonts w:eastAsia="Times New Roman" w:cs="Times New Roman"/>
          <w:szCs w:val="24"/>
        </w:rPr>
        <w:t xml:space="preserve"> competition to retain customers. Instead, companies are investing in intangible brand </w:t>
      </w:r>
      <w:r w:rsidR="00345BE7" w:rsidRPr="00CF3DDD">
        <w:rPr>
          <w:rFonts w:eastAsia="Times New Roman" w:cs="Times New Roman"/>
          <w:szCs w:val="24"/>
        </w:rPr>
        <w:t xml:space="preserve">elements, </w:t>
      </w:r>
      <w:r w:rsidRPr="00CF3DDD">
        <w:rPr>
          <w:rFonts w:eastAsia="Times New Roman" w:cs="Times New Roman"/>
          <w:szCs w:val="24"/>
        </w:rPr>
        <w:t>such as identity, perception, and emotional engagement</w:t>
      </w:r>
      <w:r w:rsidR="00345BE7" w:rsidRPr="00CF3DDD">
        <w:rPr>
          <w:rFonts w:eastAsia="Times New Roman" w:cs="Times New Roman"/>
          <w:szCs w:val="24"/>
        </w:rPr>
        <w:t xml:space="preserve">, </w:t>
      </w:r>
      <w:r w:rsidRPr="00CF3DDD">
        <w:rPr>
          <w:rFonts w:eastAsia="Times New Roman" w:cs="Times New Roman"/>
          <w:szCs w:val="24"/>
        </w:rPr>
        <w:t>to create deeper connections with consumers</w:t>
      </w:r>
      <w:r w:rsidR="00316793" w:rsidRPr="00CF3DDD">
        <w:rPr>
          <w:rFonts w:eastAsia="Times New Roman" w:cs="Times New Roman"/>
          <w:szCs w:val="24"/>
        </w:rPr>
        <w:t xml:space="preserve"> (</w:t>
      </w:r>
      <w:proofErr w:type="spellStart"/>
      <w:r w:rsidR="00316793" w:rsidRPr="00CF3DDD">
        <w:rPr>
          <w:rFonts w:eastAsia="Times New Roman" w:cs="Times New Roman"/>
          <w:szCs w:val="24"/>
        </w:rPr>
        <w:t>Cambra</w:t>
      </w:r>
      <w:proofErr w:type="spellEnd"/>
      <w:r w:rsidR="00316793" w:rsidRPr="00CF3DDD">
        <w:rPr>
          <w:rFonts w:eastAsia="Times New Roman" w:cs="Times New Roman"/>
          <w:szCs w:val="24"/>
        </w:rPr>
        <w:t xml:space="preserve">-Fierro, Hart &amp; </w:t>
      </w:r>
      <w:proofErr w:type="spellStart"/>
      <w:r w:rsidR="00316793" w:rsidRPr="00CF3DDD">
        <w:rPr>
          <w:rFonts w:eastAsia="Times New Roman" w:cs="Times New Roman"/>
          <w:szCs w:val="24"/>
        </w:rPr>
        <w:t>Melero</w:t>
      </w:r>
      <w:proofErr w:type="spellEnd"/>
      <w:r w:rsidR="00316793" w:rsidRPr="00CF3DDD">
        <w:rPr>
          <w:rFonts w:eastAsia="Times New Roman" w:cs="Times New Roman"/>
          <w:szCs w:val="24"/>
        </w:rPr>
        <w:t>, 2021)</w:t>
      </w:r>
      <w:r w:rsidRPr="00CF3DDD">
        <w:rPr>
          <w:rFonts w:eastAsia="Times New Roman" w:cs="Times New Roman"/>
          <w:szCs w:val="24"/>
        </w:rPr>
        <w:t>. This strategic shift underscores the growing academic and practical relevance of studying constructs like brand equity, brand trust, brand love, and brand loyalty in an integrated manner.</w:t>
      </w:r>
    </w:p>
    <w:p w14:paraId="5643256E"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cs="Times New Roman"/>
        </w:rPr>
        <w:t xml:space="preserve">The rationale for selecting this topic stems from the increasing importance of understanding how these variables interact to shape consumer </w:t>
      </w:r>
      <w:proofErr w:type="spellStart"/>
      <w:r w:rsidRPr="00CF3DDD">
        <w:rPr>
          <w:rFonts w:cs="Times New Roman"/>
        </w:rPr>
        <w:t>behaviour</w:t>
      </w:r>
      <w:proofErr w:type="spellEnd"/>
      <w:r w:rsidRPr="00CF3DDD">
        <w:rPr>
          <w:rFonts w:cs="Times New Roman"/>
        </w:rPr>
        <w:t xml:space="preserve"> in competitive environments. Brand equity has traditionally been associated with measurable outcomes such as consumer preference, price premium, and market share (Shafiq, et al. 2024). However, more recent literature highlights that the emotional and psychological dimensions of consumer-brand interactions are equally important. Trust and love, once seen as abstract or secondary, are now recognized as crucial mediators that influence how consumers translate their perception of a brand into loyal </w:t>
      </w:r>
      <w:proofErr w:type="spellStart"/>
      <w:r w:rsidRPr="00CF3DDD">
        <w:rPr>
          <w:rFonts w:cs="Times New Roman"/>
        </w:rPr>
        <w:t>behaviour</w:t>
      </w:r>
      <w:proofErr w:type="spellEnd"/>
      <w:r w:rsidRPr="00CF3DDD">
        <w:rPr>
          <w:rFonts w:cs="Times New Roman"/>
        </w:rPr>
        <w:t>. Yet, despite a growing body of research, there remains a lack of empirical studies that explore these mediating effects in an applied, real-world brand setting (Chang &amp; Liu, 2018).</w:t>
      </w:r>
    </w:p>
    <w:p w14:paraId="68FFD628" w14:textId="77777777" w:rsidR="00113449" w:rsidRPr="00CF3DDD" w:rsidRDefault="00113449" w:rsidP="00CF3DDD">
      <w:pPr>
        <w:spacing w:before="100" w:beforeAutospacing="1" w:after="100" w:afterAutospacing="1" w:line="360" w:lineRule="auto"/>
        <w:rPr>
          <w:rFonts w:eastAsia="Times New Roman" w:cs="Times New Roman"/>
          <w:szCs w:val="24"/>
        </w:rPr>
      </w:pPr>
      <w:r>
        <w:t xml:space="preserve">Furthermore, existing research on brand equity and loyalty has often focused on global or luxury brands, leaving a gap in the literature when it comes to high-frequency, everyday brands like those in the FMCG sector. This is especially important because products in this category are regularly purchased, meaning that brand attitudes are continually reinforced or challenged through repeated </w:t>
      </w:r>
      <w:r>
        <w:lastRenderedPageBreak/>
        <w:t>consumer experience (Çifci, et al., 2016). In such contexts, emotional branding can play a vital role in reducing decision-making fatigue, increasing brand recall, and fostering habitual loyalty. By exploring the link between brand equity and loyalty through trust and love in the FMCG space, this research aims to fill an important void in current academic work (Zaman, Ahmed &amp; Alam 2025).</w:t>
      </w:r>
    </w:p>
    <w:p w14:paraId="39C7BDA2" w14:textId="77777777" w:rsidR="00113449" w:rsidRPr="00CF3DDD" w:rsidRDefault="00113449" w:rsidP="00CF3DDD">
      <w:pPr>
        <w:spacing w:before="100" w:beforeAutospacing="1" w:after="100" w:afterAutospacing="1" w:line="360" w:lineRule="auto"/>
        <w:rPr>
          <w:rFonts w:eastAsia="Times New Roman" w:cs="Times New Roman"/>
          <w:szCs w:val="24"/>
        </w:rPr>
      </w:pPr>
      <w:r>
        <w:t>The choice to focus on Nestlé is both deliberate and strategic. As one of the largest and most diversified food and beverage companies in the world, Nestlé enjoys a strong presence in the UK market through widely consumed products such as Nescafé, KitKat, Smarties, and Nestlé Pure Life. The brand is often perceived as reliable and family-oriented, yet it altherefore operates in a highly competitive and brand-sensitive environment. Consumers in the UK have numerous alternatives across nearly every Nestlé product category, making loyalty a dynamic and valuable metric for the company’s ongoing success (Novitasari &amp; Tuti 2025). Nestlé has invested significantly in building and maintaining a positive brand image through advertising, social responsibility campaigns, and innovation, however the extent to which this translates into consumer trust, emotional connection, and long-term loyalty remains an open question, especially from the consumer’s perspective.</w:t>
      </w:r>
    </w:p>
    <w:p w14:paraId="3EC2C86B" w14:textId="77777777" w:rsidR="00113449" w:rsidRPr="00CF3DDD" w:rsidRDefault="00113449" w:rsidP="00CF3DDD">
      <w:pPr>
        <w:spacing w:before="100" w:beforeAutospacing="1" w:after="100" w:afterAutospacing="1" w:line="360" w:lineRule="auto"/>
        <w:rPr>
          <w:rFonts w:eastAsia="Times New Roman" w:cs="Times New Roman"/>
          <w:szCs w:val="24"/>
        </w:rPr>
      </w:pPr>
      <w:r>
        <w:t>This research is altherefore timely given the evolving consumer landscape in the UK. Consumers are increasingly guided by values, emotional satisfaction, and long-term experiences rather than just product quality or price. Issues such as sustainability, health consciousness, and ethical sourcing have become more influential in shaping consumer attitudes. In this context, trust and emotional connection can make or break a brand’s relationship with its audience. Nestlé’s attempts to adapt to these changes, through healthier product offerings, sustainability campaigns, and digital engagement, present an opportunity to explore whether such efforts enhance emotional brand constructs like trust and love and, in turn, strengthen brand loyalty.</w:t>
      </w:r>
    </w:p>
    <w:p w14:paraId="518F7F2C"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From a practical perspective, the findings from this study will be relevant to marketing professionals and brand strategists, particularly those working in </w:t>
      </w:r>
      <w:r w:rsidR="001126C8" w:rsidRPr="00CF3DDD">
        <w:rPr>
          <w:rFonts w:eastAsia="Times New Roman" w:cs="Times New Roman"/>
          <w:szCs w:val="24"/>
        </w:rPr>
        <w:t>consumer-packaged</w:t>
      </w:r>
      <w:r w:rsidRPr="00CF3DDD">
        <w:rPr>
          <w:rFonts w:eastAsia="Times New Roman" w:cs="Times New Roman"/>
          <w:szCs w:val="24"/>
        </w:rPr>
        <w:t xml:space="preserve"> goods. By identifying the specific dimensions of brand equity that drive loyalty and the emotional mechanisms that support this process, companies can refine their branding strategies to </w:t>
      </w:r>
      <w:r w:rsidR="00987D65" w:rsidRPr="00CF3DDD">
        <w:rPr>
          <w:rFonts w:eastAsia="Times New Roman" w:cs="Times New Roman"/>
          <w:szCs w:val="24"/>
        </w:rPr>
        <w:t>better align</w:t>
      </w:r>
      <w:r w:rsidRPr="00CF3DDD">
        <w:rPr>
          <w:rFonts w:eastAsia="Times New Roman" w:cs="Times New Roman"/>
          <w:szCs w:val="24"/>
        </w:rPr>
        <w:t xml:space="preserve"> </w:t>
      </w:r>
      <w:r w:rsidRPr="00CF3DDD">
        <w:rPr>
          <w:rFonts w:eastAsia="Times New Roman" w:cs="Times New Roman"/>
          <w:szCs w:val="24"/>
        </w:rPr>
        <w:lastRenderedPageBreak/>
        <w:t>with consumer expectations. This could lead to more targeted campaigns, improved customer retention, and ultimately, stronger brand performance in a competitive market.</w:t>
      </w:r>
    </w:p>
    <w:p w14:paraId="090E8DB5"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Academically, this study will contribute to branding literature by offering an integrated framework that combines cognitive and emotional components of brand perception. While the theoretical relationships between brand equity and loyalty are </w:t>
      </w:r>
      <w:r w:rsidR="00345BE7" w:rsidRPr="00CF3DDD">
        <w:rPr>
          <w:rFonts w:eastAsia="Times New Roman" w:cs="Times New Roman"/>
          <w:szCs w:val="24"/>
        </w:rPr>
        <w:t>well-documented</w:t>
      </w:r>
      <w:r w:rsidRPr="00CF3DDD">
        <w:rPr>
          <w:rFonts w:eastAsia="Times New Roman" w:cs="Times New Roman"/>
          <w:szCs w:val="24"/>
        </w:rPr>
        <w:t>, the mediating effects of brand trust and brand love remain underexplored</w:t>
      </w:r>
      <w:r w:rsidR="00345BE7" w:rsidRPr="00CF3DDD">
        <w:rPr>
          <w:rFonts w:eastAsia="Times New Roman" w:cs="Times New Roman"/>
          <w:szCs w:val="24"/>
        </w:rPr>
        <w:t xml:space="preserve">, </w:t>
      </w:r>
      <w:r w:rsidRPr="00CF3DDD">
        <w:rPr>
          <w:rFonts w:eastAsia="Times New Roman" w:cs="Times New Roman"/>
          <w:szCs w:val="24"/>
        </w:rPr>
        <w:t xml:space="preserve">especially in </w:t>
      </w:r>
      <w:r w:rsidR="00345BE7" w:rsidRPr="00CF3DDD">
        <w:rPr>
          <w:rFonts w:eastAsia="Times New Roman" w:cs="Times New Roman"/>
          <w:szCs w:val="24"/>
        </w:rPr>
        <w:t>UK-based</w:t>
      </w:r>
      <w:r w:rsidRPr="00CF3DDD">
        <w:rPr>
          <w:rFonts w:eastAsia="Times New Roman" w:cs="Times New Roman"/>
          <w:szCs w:val="24"/>
        </w:rPr>
        <w:t xml:space="preserve"> studies and within the context of brands like Nestlé that operate across multiple consumer segments</w:t>
      </w:r>
      <w:r w:rsidR="00316793" w:rsidRPr="00CF3DDD">
        <w:rPr>
          <w:rFonts w:eastAsia="Times New Roman" w:cs="Times New Roman"/>
          <w:szCs w:val="24"/>
        </w:rPr>
        <w:t xml:space="preserve"> (</w:t>
      </w:r>
      <w:proofErr w:type="spellStart"/>
      <w:r w:rsidR="00316793" w:rsidRPr="00CF3DDD">
        <w:rPr>
          <w:rFonts w:eastAsia="Times New Roman" w:cs="Times New Roman"/>
          <w:szCs w:val="24"/>
        </w:rPr>
        <w:t>Daucé</w:t>
      </w:r>
      <w:proofErr w:type="spellEnd"/>
      <w:r w:rsidR="00316793" w:rsidRPr="00CF3DDD">
        <w:rPr>
          <w:rFonts w:eastAsia="Times New Roman" w:cs="Times New Roman"/>
          <w:szCs w:val="24"/>
        </w:rPr>
        <w:t xml:space="preserve"> &amp; Bartolomé, 2020)</w:t>
      </w:r>
      <w:r w:rsidRPr="00CF3DDD">
        <w:rPr>
          <w:rFonts w:eastAsia="Times New Roman" w:cs="Times New Roman"/>
          <w:szCs w:val="24"/>
        </w:rPr>
        <w:t>. This research will therefore expand the existing body of knowledge and serve as a foundation for future studies in brand relationship dynamics.</w:t>
      </w:r>
    </w:p>
    <w:p w14:paraId="0E5F209D" w14:textId="5AD25482" w:rsidR="00113449" w:rsidRPr="00CF3DDD" w:rsidRDefault="00113449" w:rsidP="00CF3DDD">
      <w:pPr>
        <w:pStyle w:val="Heading2"/>
        <w:spacing w:line="360" w:lineRule="auto"/>
      </w:pPr>
      <w:bookmarkStart w:id="16" w:name="_Toc209310572"/>
      <w:r w:rsidRPr="00CF3DDD">
        <w:t>1.4 Research Aim and Objectives</w:t>
      </w:r>
      <w:bookmarkEnd w:id="16"/>
    </w:p>
    <w:p w14:paraId="7272E1ED" w14:textId="7CF623C4" w:rsidR="00113449" w:rsidRPr="00CF3DDD" w:rsidRDefault="00935A2E" w:rsidP="00CF3DDD">
      <w:pPr>
        <w:pStyle w:val="Heading3"/>
        <w:spacing w:line="360" w:lineRule="auto"/>
      </w:pPr>
      <w:bookmarkStart w:id="17" w:name="_Toc209310573"/>
      <w:r w:rsidRPr="00CF3DDD">
        <w:t xml:space="preserve">1.4.1 </w:t>
      </w:r>
      <w:r w:rsidR="00113449" w:rsidRPr="00CF3DDD">
        <w:t>Research Aim</w:t>
      </w:r>
      <w:bookmarkEnd w:id="17"/>
    </w:p>
    <w:p w14:paraId="3C523875" w14:textId="77777777" w:rsidR="00345BE7" w:rsidRPr="00CF3DDD" w:rsidRDefault="00345BE7" w:rsidP="00CF3DDD">
      <w:pPr>
        <w:spacing w:before="100" w:beforeAutospacing="1" w:after="100" w:afterAutospacing="1" w:line="360" w:lineRule="auto"/>
        <w:rPr>
          <w:rFonts w:eastAsia="Times New Roman" w:cs="Times New Roman"/>
          <w:szCs w:val="24"/>
        </w:rPr>
      </w:pPr>
      <w:r w:rsidRPr="00CF3DDD">
        <w:rPr>
          <w:rFonts w:cs="Times New Roman"/>
        </w:rPr>
        <w:t xml:space="preserve">This study aims to investigate the impact of brand equity on brand loyalty, with a particular focus on examining the mediating effects of brand trust and brand love among Nestlé consumers in the United Kingdom. This research seeks to understand how consumers’ perceptions of brand equity contribute to their loyalty </w:t>
      </w:r>
      <w:proofErr w:type="spellStart"/>
      <w:r w:rsidRPr="00CF3DDD">
        <w:rPr>
          <w:rFonts w:cs="Times New Roman"/>
        </w:rPr>
        <w:t>behaviours</w:t>
      </w:r>
      <w:proofErr w:type="spellEnd"/>
      <w:r w:rsidRPr="00CF3DDD">
        <w:rPr>
          <w:rFonts w:cs="Times New Roman"/>
        </w:rPr>
        <w:t xml:space="preserve"> and how emotional and psychological factors strengthen or weaken this relationship.</w:t>
      </w:r>
    </w:p>
    <w:p w14:paraId="394CC7FB" w14:textId="21A0199E" w:rsidR="00113449" w:rsidRPr="00CF3DDD" w:rsidRDefault="00935A2E" w:rsidP="00CF3DDD">
      <w:pPr>
        <w:pStyle w:val="Heading3"/>
        <w:spacing w:line="360" w:lineRule="auto"/>
      </w:pPr>
      <w:bookmarkStart w:id="18" w:name="_Toc209310574"/>
      <w:r w:rsidRPr="00CF3DDD">
        <w:t xml:space="preserve">1.4.2 </w:t>
      </w:r>
      <w:r w:rsidR="00113449" w:rsidRPr="00CF3DDD">
        <w:t>Research Objectives</w:t>
      </w:r>
      <w:bookmarkEnd w:id="18"/>
    </w:p>
    <w:p w14:paraId="51A0BC1A"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To achieve this aim, the study will pursue the following specific objectives:</w:t>
      </w:r>
    </w:p>
    <w:p w14:paraId="1E5D1C12" w14:textId="77777777" w:rsidR="00113449" w:rsidRPr="00CF3DDD" w:rsidRDefault="00113449" w:rsidP="00CF3DDD">
      <w:pPr>
        <w:numPr>
          <w:ilvl w:val="0"/>
          <w:numId w:val="1"/>
        </w:numPr>
        <w:spacing w:before="100" w:beforeAutospacing="1" w:after="100" w:afterAutospacing="1" w:line="360" w:lineRule="auto"/>
        <w:rPr>
          <w:rFonts w:eastAsia="Times New Roman" w:cs="Times New Roman"/>
          <w:szCs w:val="24"/>
        </w:rPr>
      </w:pPr>
      <w:r w:rsidRPr="00CF3DDD">
        <w:rPr>
          <w:rFonts w:cs="Times New Roman"/>
        </w:rPr>
        <w:t xml:space="preserve">To </w:t>
      </w:r>
      <w:proofErr w:type="spellStart"/>
      <w:r w:rsidRPr="00CF3DDD">
        <w:rPr>
          <w:rFonts w:cs="Times New Roman"/>
        </w:rPr>
        <w:t>analyse</w:t>
      </w:r>
      <w:proofErr w:type="spellEnd"/>
      <w:r w:rsidRPr="00CF3DDD">
        <w:rPr>
          <w:rFonts w:cs="Times New Roman"/>
        </w:rPr>
        <w:t xml:space="preserve"> the relationship between brand equity and brand loyalty in the context of Nestlé consumers in the UK.</w:t>
      </w:r>
    </w:p>
    <w:p w14:paraId="750AA438" w14:textId="77777777" w:rsidR="00113449" w:rsidRPr="00CF3DDD" w:rsidRDefault="00113449" w:rsidP="00CF3DDD">
      <w:pPr>
        <w:numPr>
          <w:ilvl w:val="0"/>
          <w:numId w:val="1"/>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To evaluate</w:t>
      </w:r>
      <w:r w:rsidRPr="00CF3DDD">
        <w:rPr>
          <w:rFonts w:eastAsia="Times New Roman" w:cs="Times New Roman"/>
          <w:szCs w:val="24"/>
        </w:rPr>
        <w:t xml:space="preserve"> the mediating role of brand trust in the relationship between brand equity and brand loyalty.</w:t>
      </w:r>
    </w:p>
    <w:p w14:paraId="344AF5B3" w14:textId="77777777" w:rsidR="00113449" w:rsidRPr="00CF3DDD" w:rsidRDefault="00113449" w:rsidP="00CF3DDD">
      <w:pPr>
        <w:numPr>
          <w:ilvl w:val="0"/>
          <w:numId w:val="1"/>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To examine</w:t>
      </w:r>
      <w:r w:rsidRPr="00CF3DDD">
        <w:rPr>
          <w:rFonts w:eastAsia="Times New Roman" w:cs="Times New Roman"/>
          <w:szCs w:val="24"/>
        </w:rPr>
        <w:t xml:space="preserve"> the mediating effect of brand love in influencing the connection between brand equity and brand loyalty.</w:t>
      </w:r>
    </w:p>
    <w:p w14:paraId="3AC0A985" w14:textId="77777777" w:rsidR="00113449" w:rsidRPr="00CF3DDD" w:rsidRDefault="00113449" w:rsidP="00CF3DDD">
      <w:pPr>
        <w:numPr>
          <w:ilvl w:val="0"/>
          <w:numId w:val="1"/>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 xml:space="preserve">To </w:t>
      </w:r>
      <w:r w:rsidR="00345BE7" w:rsidRPr="00CF3DDD">
        <w:rPr>
          <w:rFonts w:eastAsia="Times New Roman" w:cs="Times New Roman"/>
          <w:b/>
          <w:bCs/>
          <w:szCs w:val="24"/>
        </w:rPr>
        <w:t>synthesize</w:t>
      </w:r>
      <w:r w:rsidRPr="00CF3DDD">
        <w:rPr>
          <w:rFonts w:eastAsia="Times New Roman" w:cs="Times New Roman"/>
          <w:szCs w:val="24"/>
        </w:rPr>
        <w:t xml:space="preserve"> existing theoretical models and apply them to a </w:t>
      </w:r>
      <w:r w:rsidR="00345BE7" w:rsidRPr="00CF3DDD">
        <w:rPr>
          <w:rFonts w:eastAsia="Times New Roman" w:cs="Times New Roman"/>
          <w:szCs w:val="24"/>
        </w:rPr>
        <w:t>real-world</w:t>
      </w:r>
      <w:r w:rsidRPr="00CF3DDD">
        <w:rPr>
          <w:rFonts w:eastAsia="Times New Roman" w:cs="Times New Roman"/>
          <w:szCs w:val="24"/>
        </w:rPr>
        <w:t xml:space="preserve"> brand setting to understand consumer loyalty drivers.</w:t>
      </w:r>
    </w:p>
    <w:p w14:paraId="4F098EED" w14:textId="6635215E" w:rsidR="004E679F" w:rsidRPr="002B707D" w:rsidRDefault="00113449" w:rsidP="002B707D">
      <w:pPr>
        <w:numPr>
          <w:ilvl w:val="0"/>
          <w:numId w:val="1"/>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lastRenderedPageBreak/>
        <w:t>To provide</w:t>
      </w:r>
      <w:r w:rsidRPr="00CF3DDD">
        <w:rPr>
          <w:rFonts w:eastAsia="Times New Roman" w:cs="Times New Roman"/>
          <w:szCs w:val="24"/>
        </w:rPr>
        <w:t xml:space="preserve"> strategic recommendations for Nestlé’s brand managers on how to enhance brand trust and love to strengthen customer loyalty.</w:t>
      </w:r>
    </w:p>
    <w:p w14:paraId="4A27F885" w14:textId="2276689C" w:rsidR="00113449" w:rsidRPr="00CF3DDD" w:rsidRDefault="00113449" w:rsidP="00CF3DDD">
      <w:pPr>
        <w:pStyle w:val="Heading2"/>
        <w:spacing w:line="360" w:lineRule="auto"/>
      </w:pPr>
      <w:bookmarkStart w:id="19" w:name="_Toc209310575"/>
      <w:r w:rsidRPr="00CF3DDD">
        <w:t>1.5 Research Questions and Hypotheses</w:t>
      </w:r>
      <w:bookmarkEnd w:id="19"/>
    </w:p>
    <w:p w14:paraId="7A75E52C" w14:textId="472658C9" w:rsidR="00113449" w:rsidRPr="00CF3DDD" w:rsidRDefault="00935A2E" w:rsidP="00CF3DDD">
      <w:pPr>
        <w:pStyle w:val="Heading3"/>
        <w:spacing w:line="360" w:lineRule="auto"/>
      </w:pPr>
      <w:bookmarkStart w:id="20" w:name="_Toc209310576"/>
      <w:r w:rsidRPr="00CF3DDD">
        <w:t xml:space="preserve">1.5.1 </w:t>
      </w:r>
      <w:r w:rsidR="00113449" w:rsidRPr="00CF3DDD">
        <w:t>Research Questions</w:t>
      </w:r>
      <w:bookmarkEnd w:id="20"/>
    </w:p>
    <w:p w14:paraId="17E5C78B"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This study is guided by the following research questions, each aligned with the objectives and intended to explore the cognitive and emotional pathways through which brand equity influences brand loyalty:</w:t>
      </w:r>
    </w:p>
    <w:p w14:paraId="6524CB07" w14:textId="77777777" w:rsidR="00113449" w:rsidRPr="00CF3DDD" w:rsidRDefault="00113449" w:rsidP="00CF3DDD">
      <w:pPr>
        <w:numPr>
          <w:ilvl w:val="0"/>
          <w:numId w:val="2"/>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RQ1:</w:t>
      </w:r>
      <w:r w:rsidRPr="00CF3DDD">
        <w:rPr>
          <w:rFonts w:eastAsia="Times New Roman" w:cs="Times New Roman"/>
          <w:szCs w:val="24"/>
        </w:rPr>
        <w:t xml:space="preserve"> To what extent does brand equity influence brand loyalty among Nestlé consumers in the United Kingdom?</w:t>
      </w:r>
    </w:p>
    <w:p w14:paraId="4F8DB9D6" w14:textId="77777777" w:rsidR="00113449" w:rsidRPr="00CF3DDD" w:rsidRDefault="00113449" w:rsidP="00CF3DDD">
      <w:pPr>
        <w:numPr>
          <w:ilvl w:val="0"/>
          <w:numId w:val="2"/>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RQ2:</w:t>
      </w:r>
      <w:r w:rsidRPr="00CF3DDD">
        <w:rPr>
          <w:rFonts w:eastAsia="Times New Roman" w:cs="Times New Roman"/>
          <w:szCs w:val="24"/>
        </w:rPr>
        <w:t xml:space="preserve"> Does brand trust mediate the relationship between brand equity and brand loyalty?</w:t>
      </w:r>
    </w:p>
    <w:p w14:paraId="0B1F2EF9" w14:textId="77777777" w:rsidR="00113449" w:rsidRPr="00CF3DDD" w:rsidRDefault="00113449" w:rsidP="00CF3DDD">
      <w:pPr>
        <w:numPr>
          <w:ilvl w:val="0"/>
          <w:numId w:val="2"/>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RQ3:</w:t>
      </w:r>
      <w:r w:rsidRPr="00CF3DDD">
        <w:rPr>
          <w:rFonts w:eastAsia="Times New Roman" w:cs="Times New Roman"/>
          <w:szCs w:val="24"/>
        </w:rPr>
        <w:t xml:space="preserve"> Does brand love mediate the relationship between brand equity and brand loyalty?</w:t>
      </w:r>
    </w:p>
    <w:p w14:paraId="4659ACF8" w14:textId="77777777" w:rsidR="00345BE7" w:rsidRPr="00CF3DDD" w:rsidRDefault="00113449" w:rsidP="00CF3DDD">
      <w:pPr>
        <w:numPr>
          <w:ilvl w:val="0"/>
          <w:numId w:val="2"/>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RQ4:</w:t>
      </w:r>
      <w:r w:rsidRPr="00CF3DDD">
        <w:rPr>
          <w:rFonts w:eastAsia="Times New Roman" w:cs="Times New Roman"/>
          <w:szCs w:val="24"/>
        </w:rPr>
        <w:t xml:space="preserve"> How can Nestlé enhance consumer trust and emotional engagement to increase brand loyalty</w:t>
      </w:r>
      <w:r w:rsidR="00345BE7" w:rsidRPr="00CF3DDD">
        <w:rPr>
          <w:rFonts w:eastAsia="Times New Roman" w:cs="Times New Roman"/>
          <w:szCs w:val="24"/>
        </w:rPr>
        <w:t>?</w:t>
      </w:r>
    </w:p>
    <w:p w14:paraId="794D8DDE" w14:textId="05210A39" w:rsidR="00113449" w:rsidRPr="00CF3DDD" w:rsidRDefault="00935A2E" w:rsidP="00CF3DDD">
      <w:pPr>
        <w:pStyle w:val="Heading3"/>
        <w:spacing w:line="360" w:lineRule="auto"/>
      </w:pPr>
      <w:bookmarkStart w:id="21" w:name="_Toc209310577"/>
      <w:r w:rsidRPr="00CF3DDD">
        <w:t xml:space="preserve">1.5.2 </w:t>
      </w:r>
      <w:r w:rsidR="00113449" w:rsidRPr="00CF3DDD">
        <w:t>Hypotheses</w:t>
      </w:r>
      <w:bookmarkEnd w:id="21"/>
    </w:p>
    <w:p w14:paraId="2F486D71"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Given the quantitative nature of the research, the following testable hypotheses will be examined:</w:t>
      </w:r>
    </w:p>
    <w:p w14:paraId="089B6231" w14:textId="77777777" w:rsidR="00113449" w:rsidRPr="00CF3DDD" w:rsidRDefault="00113449" w:rsidP="00CF3DDD">
      <w:pPr>
        <w:numPr>
          <w:ilvl w:val="0"/>
          <w:numId w:val="3"/>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H1:</w:t>
      </w:r>
      <w:r w:rsidRPr="00CF3DDD">
        <w:rPr>
          <w:rFonts w:eastAsia="Times New Roman" w:cs="Times New Roman"/>
          <w:szCs w:val="24"/>
        </w:rPr>
        <w:t xml:space="preserve"> Brand equity has a significant positive effect on brand loyalty.</w:t>
      </w:r>
    </w:p>
    <w:p w14:paraId="4C12B8FB" w14:textId="77777777" w:rsidR="00113449" w:rsidRPr="00CF3DDD" w:rsidRDefault="00113449" w:rsidP="00CF3DDD">
      <w:pPr>
        <w:numPr>
          <w:ilvl w:val="0"/>
          <w:numId w:val="3"/>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H2:</w:t>
      </w:r>
      <w:r w:rsidRPr="00CF3DDD">
        <w:rPr>
          <w:rFonts w:eastAsia="Times New Roman" w:cs="Times New Roman"/>
          <w:szCs w:val="24"/>
        </w:rPr>
        <w:t xml:space="preserve"> Brand trust significantly mediates the relationship between brand equity and brand loyalty.</w:t>
      </w:r>
    </w:p>
    <w:p w14:paraId="054F6475" w14:textId="77777777" w:rsidR="00113449" w:rsidRPr="00CF3DDD" w:rsidRDefault="00113449" w:rsidP="00CF3DDD">
      <w:pPr>
        <w:numPr>
          <w:ilvl w:val="0"/>
          <w:numId w:val="3"/>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H3:</w:t>
      </w:r>
      <w:r w:rsidRPr="00CF3DDD">
        <w:rPr>
          <w:rFonts w:eastAsia="Times New Roman" w:cs="Times New Roman"/>
          <w:szCs w:val="24"/>
        </w:rPr>
        <w:t xml:space="preserve"> Brand love significantly mediates the relationship between brand equity and brand loyalty.</w:t>
      </w:r>
    </w:p>
    <w:p w14:paraId="51CD85DD" w14:textId="77777777" w:rsidR="00113449" w:rsidRPr="00CF3DDD" w:rsidRDefault="00113449" w:rsidP="00CF3DDD">
      <w:pPr>
        <w:numPr>
          <w:ilvl w:val="0"/>
          <w:numId w:val="3"/>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H4:</w:t>
      </w:r>
      <w:r w:rsidRPr="00CF3DDD">
        <w:rPr>
          <w:rFonts w:eastAsia="Times New Roman" w:cs="Times New Roman"/>
          <w:szCs w:val="24"/>
        </w:rPr>
        <w:t xml:space="preserve"> Brand equity has a significant positive effect on brand trust.</w:t>
      </w:r>
    </w:p>
    <w:p w14:paraId="54955350" w14:textId="77777777" w:rsidR="00113449" w:rsidRPr="00CF3DDD" w:rsidRDefault="00113449" w:rsidP="00CF3DDD">
      <w:pPr>
        <w:numPr>
          <w:ilvl w:val="0"/>
          <w:numId w:val="3"/>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H5:</w:t>
      </w:r>
      <w:r w:rsidRPr="00CF3DDD">
        <w:rPr>
          <w:rFonts w:eastAsia="Times New Roman" w:cs="Times New Roman"/>
          <w:szCs w:val="24"/>
        </w:rPr>
        <w:t xml:space="preserve"> Brand equity has a significant positive effect on brand love.</w:t>
      </w:r>
    </w:p>
    <w:p w14:paraId="7FAA10B4"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These hypotheses will be tested using statistical techniques such as correlation analysis and structural equation modelling (SEM) to assess both direct and indirect relationships between the variables.</w:t>
      </w:r>
    </w:p>
    <w:p w14:paraId="3A4FD821" w14:textId="7CE8E9AD" w:rsidR="00113449" w:rsidRPr="00CF3DDD" w:rsidRDefault="00113449" w:rsidP="00CF3DDD">
      <w:pPr>
        <w:pStyle w:val="Heading2"/>
        <w:spacing w:line="360" w:lineRule="auto"/>
      </w:pPr>
      <w:bookmarkStart w:id="22" w:name="_Toc209310578"/>
      <w:r w:rsidRPr="00CF3DDD">
        <w:lastRenderedPageBreak/>
        <w:t>1.6 Significance of the Study</w:t>
      </w:r>
      <w:bookmarkEnd w:id="22"/>
    </w:p>
    <w:p w14:paraId="242344E1" w14:textId="77777777" w:rsidR="00113449" w:rsidRPr="00CF3DDD" w:rsidRDefault="00113449" w:rsidP="00CF3DDD">
      <w:pPr>
        <w:spacing w:before="100" w:beforeAutospacing="1" w:after="100" w:afterAutospacing="1" w:line="360" w:lineRule="auto"/>
        <w:rPr>
          <w:rFonts w:eastAsia="Times New Roman" w:cs="Times New Roman"/>
          <w:szCs w:val="24"/>
        </w:rPr>
      </w:pPr>
      <w:r>
        <w:t>This study holds both academic and practical significance, offering valuable insights for researchers, brand managers, and marketing professionals operating in today’s dynamic and emotionally driven consumer markets. From an academic standpoint, the research contributes to the existing literature by integrating cognitive and emotional components of branding, specifically brand equity, trust, and love, within a single empirical framework. While previous studies have often examined these constructs in isolation, this research adopts a holistic perspective that recognizes the complex interplay between consumers’ perceptions and their emotional attachments to brands. By focusing on the mediating roles of brand trust and brand love, the study seeks to uncover the psychological mechanisms through which brand equity translates into loyalty. This approach not only enriches theoretical understanding however altherefore addresses a research gap concerning how emotional factors influence loyalty in the context of frequently purchased consumer goods.</w:t>
      </w:r>
    </w:p>
    <w:p w14:paraId="78162BE0"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cs="Times New Roman"/>
        </w:rPr>
        <w:t xml:space="preserve">Moreover, the research is particularly relevant to the UK market, where consumers are increasingly discerning and emotionally engaged. Shifts in consumer values, such as preferences for ethical sourcing, sustainability, and transparency, have made trust and emotional connection more central to branding than ever before (Edelman, 2022). As a result, this study’s findings may serve as a foundation for future UK-based consumer </w:t>
      </w:r>
      <w:proofErr w:type="spellStart"/>
      <w:r w:rsidRPr="00CF3DDD">
        <w:rPr>
          <w:rFonts w:cs="Times New Roman"/>
        </w:rPr>
        <w:t>behaviour</w:t>
      </w:r>
      <w:proofErr w:type="spellEnd"/>
      <w:r w:rsidRPr="00CF3DDD">
        <w:rPr>
          <w:rFonts w:cs="Times New Roman"/>
        </w:rPr>
        <w:t xml:space="preserve"> research, especially within the fast-moving consumer goods (FMCG) sector, which continues to evolve rapidly in response to both market trends and consumer expectations.</w:t>
      </w:r>
    </w:p>
    <w:p w14:paraId="059E1CCD"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Practically, the study offers direct value to Nestlé and similar brands aiming to build deeper, more lasting relationships with their consumers. In a competitive environment where product differentiation is minimal and brand switching is common, understanding the drivers of loyalty becomes a strategic imperative. This research can inform marketing and branding strategies by highlighting which aspects of brand equity are most influential in shaping consumer loyalty and how emotional branding efforts</w:t>
      </w:r>
      <w:r w:rsidR="00345BE7" w:rsidRPr="00CF3DDD">
        <w:rPr>
          <w:rFonts w:eastAsia="Times New Roman" w:cs="Times New Roman"/>
          <w:szCs w:val="24"/>
        </w:rPr>
        <w:t xml:space="preserve">, </w:t>
      </w:r>
      <w:r w:rsidRPr="00CF3DDD">
        <w:rPr>
          <w:rFonts w:eastAsia="Times New Roman" w:cs="Times New Roman"/>
          <w:szCs w:val="24"/>
        </w:rPr>
        <w:t>such as campaigns that build trust or evoke brand love</w:t>
      </w:r>
      <w:r w:rsidR="00345BE7" w:rsidRPr="00CF3DDD">
        <w:rPr>
          <w:rFonts w:eastAsia="Times New Roman" w:cs="Times New Roman"/>
          <w:szCs w:val="24"/>
        </w:rPr>
        <w:t xml:space="preserve">, </w:t>
      </w:r>
      <w:r w:rsidRPr="00CF3DDD">
        <w:rPr>
          <w:rFonts w:eastAsia="Times New Roman" w:cs="Times New Roman"/>
          <w:szCs w:val="24"/>
        </w:rPr>
        <w:t>can reinforce these effects</w:t>
      </w:r>
      <w:r w:rsidR="00316793" w:rsidRPr="00CF3DDD">
        <w:rPr>
          <w:rFonts w:eastAsia="Times New Roman" w:cs="Times New Roman"/>
          <w:szCs w:val="24"/>
        </w:rPr>
        <w:t xml:space="preserve"> (</w:t>
      </w:r>
      <w:proofErr w:type="spellStart"/>
      <w:r w:rsidR="00316793" w:rsidRPr="00CF3DDD">
        <w:rPr>
          <w:rFonts w:eastAsia="Times New Roman" w:cs="Times New Roman"/>
          <w:szCs w:val="24"/>
        </w:rPr>
        <w:t>Foroudi</w:t>
      </w:r>
      <w:proofErr w:type="spellEnd"/>
      <w:r w:rsidR="00316793" w:rsidRPr="00CF3DDD">
        <w:rPr>
          <w:rFonts w:eastAsia="Times New Roman" w:cs="Times New Roman"/>
          <w:szCs w:val="24"/>
        </w:rPr>
        <w:t xml:space="preserve"> et al., 2018)</w:t>
      </w:r>
      <w:r w:rsidRPr="00CF3DDD">
        <w:rPr>
          <w:rFonts w:eastAsia="Times New Roman" w:cs="Times New Roman"/>
          <w:szCs w:val="24"/>
        </w:rPr>
        <w:t>. Additionally, the insights gained may assist Nestlé in refining its UK consumer engagement strategies, strengthening brand positioning, and increasing retention rates.</w:t>
      </w:r>
    </w:p>
    <w:p w14:paraId="1DC391A8" w14:textId="77777777" w:rsidR="00113449" w:rsidRPr="00CF3DDD" w:rsidRDefault="00113449" w:rsidP="00CF3DDD">
      <w:pPr>
        <w:spacing w:before="100" w:beforeAutospacing="1" w:after="100" w:afterAutospacing="1" w:line="360" w:lineRule="auto"/>
        <w:rPr>
          <w:rFonts w:eastAsia="Times New Roman" w:cs="Times New Roman"/>
          <w:szCs w:val="24"/>
        </w:rPr>
      </w:pPr>
      <w:r>
        <w:lastRenderedPageBreak/>
        <w:t>In sum, the study has the potential to bridge the gap between theory and practice by offering a nuanced understanding of how cognitive brand perceptions and emotional attachments collectively influence brand loyalty. Its findings will be valuable not only to scholars interested in consumer-brand relationships however altherefore to practitioners seeking data-driven guidance on how to foster brand loyalty in competitive and emotionally saturated markets.</w:t>
      </w:r>
    </w:p>
    <w:p w14:paraId="72B7A1CF" w14:textId="589529A2" w:rsidR="00113449" w:rsidRPr="00CF3DDD" w:rsidRDefault="00113449" w:rsidP="00CF3DDD">
      <w:pPr>
        <w:pStyle w:val="Heading2"/>
        <w:spacing w:line="360" w:lineRule="auto"/>
      </w:pPr>
      <w:bookmarkStart w:id="23" w:name="_Toc209310579"/>
      <w:r w:rsidRPr="00CF3DDD">
        <w:t>1.7 Scope and Delimitations</w:t>
      </w:r>
      <w:bookmarkEnd w:id="23"/>
    </w:p>
    <w:p w14:paraId="09C782DB"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cs="Times New Roman"/>
        </w:rPr>
        <w:t xml:space="preserve">The scope of this study is focused on investigating the relationship between brand equity and brand loyalty, with the mediating roles of brand trust and brand love, in the context of Nestlé consumers residing in the United Kingdom. The research specifically targets individual consumers aged 18 and above who have experience purchasing Nestlé products, particularly within categories such as confectionery, beverages, and dairy. By narrowing the focus to UK-based consumers, the study aims to provide a context-specific understanding of consumer </w:t>
      </w:r>
      <w:proofErr w:type="spellStart"/>
      <w:r w:rsidRPr="00CF3DDD">
        <w:rPr>
          <w:rFonts w:cs="Times New Roman"/>
        </w:rPr>
        <w:t>behaviour</w:t>
      </w:r>
      <w:proofErr w:type="spellEnd"/>
      <w:r w:rsidRPr="00CF3DDD">
        <w:rPr>
          <w:rFonts w:cs="Times New Roman"/>
        </w:rPr>
        <w:t xml:space="preserve"> that reflects local market conditions, cultural preferences, and brand perceptions. The research will employ a quantitative, cross-sectional design, relying on data collected through an online survey distributed via digital platforms, which is both time-efficient and suitable for reaching a diverse demographic.</w:t>
      </w:r>
    </w:p>
    <w:p w14:paraId="45F3BA64"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To maintain clarity and feasibility, the study will be subject to several delimitations. First, it will </w:t>
      </w:r>
      <w:r w:rsidRPr="00CF3DDD">
        <w:rPr>
          <w:rFonts w:eastAsia="Times New Roman" w:cs="Times New Roman"/>
          <w:b/>
          <w:bCs/>
          <w:szCs w:val="24"/>
        </w:rPr>
        <w:t>exclude qualitative insights</w:t>
      </w:r>
      <w:r w:rsidRPr="00CF3DDD">
        <w:rPr>
          <w:rFonts w:eastAsia="Times New Roman" w:cs="Times New Roman"/>
          <w:szCs w:val="24"/>
        </w:rPr>
        <w:t xml:space="preserve">, such as </w:t>
      </w:r>
      <w:r w:rsidR="00097443" w:rsidRPr="00CF3DDD">
        <w:rPr>
          <w:rFonts w:eastAsia="Times New Roman" w:cs="Times New Roman"/>
          <w:szCs w:val="24"/>
        </w:rPr>
        <w:t>in-depth</w:t>
      </w:r>
      <w:r w:rsidRPr="00CF3DDD">
        <w:rPr>
          <w:rFonts w:eastAsia="Times New Roman" w:cs="Times New Roman"/>
          <w:szCs w:val="24"/>
        </w:rPr>
        <w:t xml:space="preserve"> interviews or focus groups, which may limit the exploration of deeper emotional nuances in brand relationships. However, this is justified by the need for statistically measurable results and the desire to </w:t>
      </w:r>
      <w:r w:rsidR="00097443" w:rsidRPr="00CF3DDD">
        <w:rPr>
          <w:rFonts w:eastAsia="Times New Roman" w:cs="Times New Roman"/>
          <w:szCs w:val="24"/>
        </w:rPr>
        <w:t>generalize</w:t>
      </w:r>
      <w:r w:rsidRPr="00CF3DDD">
        <w:rPr>
          <w:rFonts w:eastAsia="Times New Roman" w:cs="Times New Roman"/>
          <w:szCs w:val="24"/>
        </w:rPr>
        <w:t xml:space="preserve"> findings across a larger population. Second, the research will focus exclusively on the </w:t>
      </w:r>
      <w:r w:rsidRPr="00CF3DDD">
        <w:rPr>
          <w:rFonts w:eastAsia="Times New Roman" w:cs="Times New Roman"/>
          <w:b/>
          <w:bCs/>
          <w:szCs w:val="24"/>
        </w:rPr>
        <w:t>consumer perspective</w:t>
      </w:r>
      <w:r w:rsidRPr="00CF3DDD">
        <w:rPr>
          <w:rFonts w:eastAsia="Times New Roman" w:cs="Times New Roman"/>
          <w:szCs w:val="24"/>
        </w:rPr>
        <w:t xml:space="preserve"> and will not consider internal corporate strategies or Nestlé’s managerial branding decisions. This </w:t>
      </w:r>
      <w:r w:rsidR="00097443" w:rsidRPr="00CF3DDD">
        <w:rPr>
          <w:rFonts w:eastAsia="Times New Roman" w:cs="Times New Roman"/>
          <w:szCs w:val="24"/>
        </w:rPr>
        <w:t>consumer-centric</w:t>
      </w:r>
      <w:r w:rsidRPr="00CF3DDD">
        <w:rPr>
          <w:rFonts w:eastAsia="Times New Roman" w:cs="Times New Roman"/>
          <w:szCs w:val="24"/>
        </w:rPr>
        <w:t xml:space="preserve"> approach ensures the data reflects </w:t>
      </w:r>
      <w:r w:rsidR="00097443" w:rsidRPr="00CF3DDD">
        <w:rPr>
          <w:rFonts w:eastAsia="Times New Roman" w:cs="Times New Roman"/>
          <w:szCs w:val="24"/>
        </w:rPr>
        <w:t>real-world</w:t>
      </w:r>
      <w:r w:rsidRPr="00CF3DDD">
        <w:rPr>
          <w:rFonts w:eastAsia="Times New Roman" w:cs="Times New Roman"/>
          <w:szCs w:val="24"/>
        </w:rPr>
        <w:t xml:space="preserve"> customer sentiment rather than </w:t>
      </w:r>
      <w:proofErr w:type="spellStart"/>
      <w:r w:rsidR="001240FD" w:rsidRPr="00CF3DDD">
        <w:rPr>
          <w:rFonts w:eastAsia="Times New Roman" w:cs="Times New Roman"/>
          <w:szCs w:val="24"/>
        </w:rPr>
        <w:t>organisation</w:t>
      </w:r>
      <w:r w:rsidR="00097443" w:rsidRPr="00CF3DDD">
        <w:rPr>
          <w:rFonts w:eastAsia="Times New Roman" w:cs="Times New Roman"/>
          <w:szCs w:val="24"/>
        </w:rPr>
        <w:t>al</w:t>
      </w:r>
      <w:proofErr w:type="spellEnd"/>
      <w:r w:rsidRPr="00CF3DDD">
        <w:rPr>
          <w:rFonts w:eastAsia="Times New Roman" w:cs="Times New Roman"/>
          <w:szCs w:val="24"/>
        </w:rPr>
        <w:t xml:space="preserve"> intent.</w:t>
      </w:r>
    </w:p>
    <w:p w14:paraId="324255F6" w14:textId="77777777" w:rsidR="00113449" w:rsidRPr="00CF3DDD" w:rsidRDefault="00113449" w:rsidP="00CF3DDD">
      <w:pPr>
        <w:spacing w:before="100" w:beforeAutospacing="1" w:after="100" w:afterAutospacing="1" w:line="360" w:lineRule="auto"/>
        <w:rPr>
          <w:rFonts w:eastAsia="Times New Roman" w:cs="Times New Roman"/>
          <w:szCs w:val="24"/>
        </w:rPr>
      </w:pPr>
      <w:r>
        <w:t xml:space="preserve">Additionally, while Nestlé is a multinational corporation with an extensive global footprint, this study will limit its scope to the UK market, acknowledging that brand perception and consumer loyalty can vary significantly across different regions and cultures. The study will altherefore focus on only those consumers who have existing familiarity or experience with Nestlé, thereby excluding individuals who do not interact with the brand or who are unaware of its products. This </w:t>
      </w:r>
      <w:r>
        <w:lastRenderedPageBreak/>
        <w:t>boundary is essential to ensure that participants can meaningfully assess their perceptions of brand equity, trust, love, and loyalty.</w:t>
      </w:r>
    </w:p>
    <w:p w14:paraId="35E88AB8" w14:textId="77777777" w:rsidR="00113449" w:rsidRPr="00CF3DDD" w:rsidRDefault="00113449" w:rsidP="00CF3DDD">
      <w:pPr>
        <w:spacing w:before="100" w:beforeAutospacing="1" w:after="100" w:afterAutospacing="1" w:line="360" w:lineRule="auto"/>
        <w:rPr>
          <w:rFonts w:eastAsia="Times New Roman" w:cs="Times New Roman"/>
          <w:szCs w:val="24"/>
        </w:rPr>
      </w:pPr>
      <w:r>
        <w:t>Time and resource constraints further necessitate a non-probability convenience sampling method, which, while practical, may limit the generalizability of findings. Nevertheless, the study aims to achieve a sufficiently diverse sample to draw meaningful insights relevant to marketing professionals, brand strategists, and academic researchers.</w:t>
      </w:r>
    </w:p>
    <w:p w14:paraId="351E9235"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In summary, this study operates within a clearly defined scope, focusing on a specific brand, population, and set of variables. While certain delimitations are acknowledged, they are strategically chosen to ensure that the research remains focused, manageable, and capable of delivering robust, </w:t>
      </w:r>
      <w:r w:rsidR="00097443" w:rsidRPr="00CF3DDD">
        <w:rPr>
          <w:rFonts w:eastAsia="Times New Roman" w:cs="Times New Roman"/>
          <w:szCs w:val="24"/>
        </w:rPr>
        <w:t>data-driven</w:t>
      </w:r>
      <w:r w:rsidRPr="00CF3DDD">
        <w:rPr>
          <w:rFonts w:eastAsia="Times New Roman" w:cs="Times New Roman"/>
          <w:szCs w:val="24"/>
        </w:rPr>
        <w:t xml:space="preserve"> insights into the emotional and cognitive drivers of brand loyalty in the UK FMCG sector.</w:t>
      </w:r>
    </w:p>
    <w:p w14:paraId="70DBBB2A" w14:textId="758B0623" w:rsidR="00113449" w:rsidRPr="00CF3DDD" w:rsidRDefault="00113449" w:rsidP="00CF3DDD">
      <w:pPr>
        <w:pStyle w:val="Heading2"/>
        <w:spacing w:line="360" w:lineRule="auto"/>
      </w:pPr>
      <w:bookmarkStart w:id="24" w:name="_Toc209310580"/>
      <w:r w:rsidRPr="00CF3DDD">
        <w:t>1.8 Structure of the Dissertation</w:t>
      </w:r>
      <w:bookmarkEnd w:id="24"/>
    </w:p>
    <w:p w14:paraId="38A83823" w14:textId="2F652BA8"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This dissertation is structured into six chapters, each designed to build upon the previous one to provide a comprehensive analysis of the research topic.</w:t>
      </w:r>
    </w:p>
    <w:p w14:paraId="57489995" w14:textId="1738C2E5" w:rsidR="004E679F" w:rsidRPr="00CF3DDD" w:rsidRDefault="004E679F" w:rsidP="00CF3DDD">
      <w:pPr>
        <w:spacing w:before="100" w:beforeAutospacing="1" w:after="100" w:afterAutospacing="1" w:line="360" w:lineRule="auto"/>
        <w:rPr>
          <w:rFonts w:eastAsia="Times New Roman" w:cs="Times New Roman"/>
          <w:szCs w:val="24"/>
        </w:rPr>
      </w:pPr>
    </w:p>
    <w:p w14:paraId="779995E4" w14:textId="007C6BCD" w:rsidR="004E679F" w:rsidRPr="00CF3DDD" w:rsidRDefault="004E679F" w:rsidP="00CF3DDD">
      <w:pPr>
        <w:spacing w:before="100" w:beforeAutospacing="1" w:after="100" w:afterAutospacing="1" w:line="360" w:lineRule="auto"/>
        <w:rPr>
          <w:rFonts w:eastAsia="Times New Roman" w:cs="Times New Roman"/>
          <w:szCs w:val="24"/>
        </w:rPr>
      </w:pPr>
    </w:p>
    <w:p w14:paraId="404051D8" w14:textId="2D6A295D" w:rsidR="004E679F" w:rsidRPr="00CF3DDD" w:rsidRDefault="004E679F" w:rsidP="00CF3DDD">
      <w:pPr>
        <w:spacing w:before="100" w:beforeAutospacing="1" w:after="100" w:afterAutospacing="1" w:line="360" w:lineRule="auto"/>
        <w:rPr>
          <w:rFonts w:eastAsia="Times New Roman" w:cs="Times New Roman"/>
          <w:szCs w:val="24"/>
        </w:rPr>
      </w:pPr>
    </w:p>
    <w:p w14:paraId="5CC1B30B" w14:textId="26D920B1" w:rsidR="004E679F" w:rsidRPr="00CF3DDD" w:rsidRDefault="004E679F" w:rsidP="00CF3DDD">
      <w:pPr>
        <w:spacing w:before="100" w:beforeAutospacing="1" w:after="100" w:afterAutospacing="1" w:line="360" w:lineRule="auto"/>
        <w:rPr>
          <w:rFonts w:eastAsia="Times New Roman" w:cs="Times New Roman"/>
          <w:szCs w:val="24"/>
        </w:rPr>
      </w:pPr>
    </w:p>
    <w:p w14:paraId="72C7E22A" w14:textId="7AA5CB02" w:rsidR="004E679F" w:rsidRPr="00CF3DDD" w:rsidRDefault="004E679F" w:rsidP="00CF3DDD">
      <w:pPr>
        <w:spacing w:before="100" w:beforeAutospacing="1" w:after="100" w:afterAutospacing="1" w:line="360" w:lineRule="auto"/>
        <w:rPr>
          <w:rFonts w:eastAsia="Times New Roman" w:cs="Times New Roman"/>
          <w:szCs w:val="24"/>
        </w:rPr>
      </w:pPr>
    </w:p>
    <w:p w14:paraId="456A1824" w14:textId="7DDF4C14" w:rsidR="004E679F" w:rsidRPr="00CF3DDD" w:rsidRDefault="004E679F" w:rsidP="00CF3DDD">
      <w:pPr>
        <w:spacing w:before="100" w:beforeAutospacing="1" w:after="100" w:afterAutospacing="1" w:line="360" w:lineRule="auto"/>
        <w:rPr>
          <w:rFonts w:eastAsia="Times New Roman" w:cs="Times New Roman"/>
          <w:szCs w:val="24"/>
        </w:rPr>
      </w:pPr>
    </w:p>
    <w:p w14:paraId="73E9D157" w14:textId="77777777" w:rsidR="004E679F" w:rsidRPr="00CF3DDD" w:rsidRDefault="004E679F" w:rsidP="00CF3DDD">
      <w:pPr>
        <w:spacing w:before="100" w:beforeAutospacing="1" w:after="100" w:afterAutospacing="1" w:line="360" w:lineRule="auto"/>
        <w:rPr>
          <w:rFonts w:eastAsia="Times New Roman" w:cs="Times New Roman"/>
          <w:szCs w:val="24"/>
        </w:rPr>
      </w:pPr>
    </w:p>
    <w:p w14:paraId="287E768D" w14:textId="4618D161" w:rsidR="00113449" w:rsidRPr="00CF3DDD" w:rsidRDefault="00113449" w:rsidP="00CF3DDD">
      <w:pPr>
        <w:pStyle w:val="Heading1"/>
        <w:spacing w:line="360" w:lineRule="auto"/>
        <w:ind w:left="0"/>
        <w:rPr>
          <w:rFonts w:cs="Times New Roman"/>
        </w:rPr>
      </w:pPr>
      <w:bookmarkStart w:id="25" w:name="_Toc209310581"/>
      <w:r w:rsidRPr="00CF3DDD">
        <w:rPr>
          <w:rFonts w:cs="Times New Roman"/>
        </w:rPr>
        <w:lastRenderedPageBreak/>
        <w:t>Chapter 2: Literature Review</w:t>
      </w:r>
      <w:bookmarkEnd w:id="25"/>
    </w:p>
    <w:p w14:paraId="1696BEEA" w14:textId="77777777" w:rsidR="00113449" w:rsidRPr="00CF3DDD" w:rsidRDefault="00113449" w:rsidP="00CF3DDD">
      <w:pPr>
        <w:pStyle w:val="Heading3"/>
        <w:spacing w:line="360" w:lineRule="auto"/>
      </w:pPr>
      <w:r w:rsidRPr="00CF3DDD">
        <w:t xml:space="preserve">2.1 Establishing the Conceptual Groundwork for Brand-Centric Consumer </w:t>
      </w:r>
      <w:proofErr w:type="spellStart"/>
      <w:r w:rsidRPr="00CF3DDD">
        <w:t>Behaviour</w:t>
      </w:r>
      <w:proofErr w:type="spellEnd"/>
    </w:p>
    <w:p w14:paraId="3026D99F"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cs="Times New Roman"/>
        </w:rPr>
        <w:t xml:space="preserve">Understanding how consumers perceive and interact with brands has become a central concern in contemporary marketing literature. As markets become increasingly saturated and consumer choices expand, brand-centric approaches to understanding consumer </w:t>
      </w:r>
      <w:proofErr w:type="spellStart"/>
      <w:r w:rsidRPr="00CF3DDD">
        <w:rPr>
          <w:rFonts w:cs="Times New Roman"/>
        </w:rPr>
        <w:t>behaviour</w:t>
      </w:r>
      <w:proofErr w:type="spellEnd"/>
      <w:r w:rsidRPr="00CF3DDD">
        <w:rPr>
          <w:rFonts w:cs="Times New Roman"/>
        </w:rPr>
        <w:t xml:space="preserve"> have gained substantial traction. Rather than viewing purchasing decisions solely as rational evaluations of price and functionality, scholars and practitioners alike now recognize the importance of intangible brand attributes, such as image, emotional connection, and trust, in shaping consumer </w:t>
      </w:r>
      <w:proofErr w:type="spellStart"/>
      <w:r w:rsidRPr="00CF3DDD">
        <w:rPr>
          <w:rFonts w:cs="Times New Roman"/>
        </w:rPr>
        <w:t>behaviour</w:t>
      </w:r>
      <w:proofErr w:type="spellEnd"/>
      <w:r w:rsidRPr="00CF3DDD">
        <w:rPr>
          <w:rFonts w:cs="Times New Roman"/>
        </w:rPr>
        <w:t xml:space="preserve"> (Ghosh &amp; Maji, 2019). These elements are foundational to the constructs of brand equity and brand loyalty, both of which serve as cornerstones of this study.</w:t>
      </w:r>
    </w:p>
    <w:p w14:paraId="5D776E98" w14:textId="77777777" w:rsidR="00113449" w:rsidRPr="00CF3DDD" w:rsidRDefault="00113449" w:rsidP="00CF3DDD">
      <w:pPr>
        <w:spacing w:before="100" w:beforeAutospacing="1" w:after="100" w:afterAutospacing="1" w:line="360" w:lineRule="auto"/>
        <w:rPr>
          <w:rFonts w:eastAsia="Times New Roman" w:cs="Times New Roman"/>
          <w:szCs w:val="24"/>
        </w:rPr>
      </w:pPr>
      <w:r w:rsidRPr="00CF3DDD">
        <w:rPr>
          <w:rFonts w:cs="Times New Roman"/>
        </w:rPr>
        <w:t xml:space="preserve">Over the past two decades, marketing scholars have increasingly explored the emotional and psychological dynamics that influence consumer-brand relationships. Traditionally, consumer </w:t>
      </w:r>
      <w:proofErr w:type="spellStart"/>
      <w:r w:rsidRPr="00CF3DDD">
        <w:rPr>
          <w:rFonts w:cs="Times New Roman"/>
        </w:rPr>
        <w:t>behaviour</w:t>
      </w:r>
      <w:proofErr w:type="spellEnd"/>
      <w:r w:rsidRPr="00CF3DDD">
        <w:rPr>
          <w:rFonts w:cs="Times New Roman"/>
        </w:rPr>
        <w:t xml:space="preserve"> theories focused on the utilitarian aspects of decision-making, such as satisfaction, product performance, and value for money. However, emerging research suggests that consumers often make choices based on deeper psychological cues, such as trust, affection, and symbolic identity (</w:t>
      </w:r>
      <w:proofErr w:type="spellStart"/>
      <w:r w:rsidRPr="00CF3DDD">
        <w:rPr>
          <w:rFonts w:cs="Times New Roman"/>
        </w:rPr>
        <w:t>Bagozzi</w:t>
      </w:r>
      <w:proofErr w:type="spellEnd"/>
      <w:r w:rsidRPr="00CF3DDD">
        <w:rPr>
          <w:rFonts w:cs="Times New Roman"/>
        </w:rPr>
        <w:t xml:space="preserve"> et al., 2020; Fournier, 2019). This shift has prompted the development of more complex models that integrate cognitive, emotional, and relational variables into the study of consumer loyalty.</w:t>
      </w:r>
    </w:p>
    <w:p w14:paraId="49DAA226" w14:textId="77777777" w:rsidR="00113449" w:rsidRPr="00CF3DDD" w:rsidRDefault="00113449" w:rsidP="00CF3DDD">
      <w:pPr>
        <w:spacing w:before="100" w:beforeAutospacing="1" w:after="100" w:afterAutospacing="1" w:line="360" w:lineRule="auto"/>
        <w:rPr>
          <w:rFonts w:eastAsia="Times New Roman" w:cs="Times New Roman"/>
          <w:szCs w:val="24"/>
        </w:rPr>
      </w:pPr>
      <w:r>
        <w:t>In particular, the growing importance of brand equity, defined broadly as the value a brand adds to a product beyond its functional benefits, has led researchers to investigate how brand perceptions influence long-term consumer loyalty. The concept of brand equity encompasses multiple dimensions, including brand awareness, perceived quality, brand associations, and brand loyalty itself (Aaker, 2020; Keller, 2021). These elements are not only critical for initial consumer attraction however altherefore play a significant role in the retention and advocacy stages of the customer journey.</w:t>
      </w:r>
    </w:p>
    <w:p w14:paraId="638B58FB" w14:textId="77777777" w:rsidR="00113449" w:rsidRPr="00CF3DDD" w:rsidRDefault="00113449" w:rsidP="00CF3DDD">
      <w:pPr>
        <w:spacing w:before="100" w:beforeAutospacing="1" w:after="100" w:afterAutospacing="1" w:line="360" w:lineRule="auto"/>
        <w:rPr>
          <w:rFonts w:eastAsia="Times New Roman" w:cs="Times New Roman"/>
          <w:szCs w:val="24"/>
        </w:rPr>
      </w:pPr>
      <w:r>
        <w:lastRenderedPageBreak/>
        <w:t>Parallel to this development, the literature has altherefore begun to explore emotional constructs such as brand trust and brand love, which are believed to mediate the relationship between brand equity and brand loyalty. While trust reflects a consumer's belief that a brand will consistently deliver on its promises, love reflects an affective attachment that goes beyond transactional value (Carroll &amp; Ahuvia, 2006; Chaudhuri &amp; Holbrook, 2001). These constructs are particularly relevant in the context of fast-moving consumer goods (FMCG), where brand differentiation is often based on perception rather than product attributes alone.</w:t>
      </w:r>
    </w:p>
    <w:p w14:paraId="73E17277" w14:textId="77777777" w:rsidR="00113449" w:rsidRPr="00CF3DDD" w:rsidRDefault="00113449" w:rsidP="00CF3DDD">
      <w:pPr>
        <w:spacing w:before="100" w:beforeAutospacing="1" w:after="100" w:afterAutospacing="1" w:line="360" w:lineRule="auto"/>
        <w:rPr>
          <w:rFonts w:eastAsia="Times New Roman" w:cs="Times New Roman"/>
          <w:szCs w:val="24"/>
        </w:rPr>
      </w:pPr>
      <w:r>
        <w:t>In the case of Nestlé, which operates in a highly competitive and emotionally sensitive UK market, these issues are more than academic. The company's success depends not only on product quality however altherefore on its ability to create meaningful brand experiences that foster trust and emotional loyalty among consumers (Morgan &amp; Hunt, 2019). This literature review seeks to explore and evaluate the core theoretical frameworks, models, and empirical studies that inform our understanding of brand equity, brand loyalty, brand trust, and brand love. Through critical analysis and synthesis, this chapter establishes a foundation for the empirical investigation that follows, highlighting key debates, identifying gaps, and situating the present study within the broader field of consumer-brand relationship research.</w:t>
      </w:r>
    </w:p>
    <w:p w14:paraId="2AF144E7" w14:textId="77777777" w:rsidR="004D53E5" w:rsidRPr="00CF3DDD" w:rsidRDefault="004D53E5" w:rsidP="00CF3DDD">
      <w:pPr>
        <w:pStyle w:val="Heading3"/>
        <w:spacing w:line="360" w:lineRule="auto"/>
      </w:pPr>
      <w:r w:rsidRPr="00CF3DDD">
        <w:t xml:space="preserve">2.2 Branding and Consumer </w:t>
      </w:r>
      <w:proofErr w:type="spellStart"/>
      <w:r w:rsidRPr="00CF3DDD">
        <w:t>Behaviour</w:t>
      </w:r>
      <w:proofErr w:type="spellEnd"/>
      <w:r w:rsidRPr="00CF3DDD">
        <w:t>: Theoretical and Practical Perspectives</w:t>
      </w:r>
    </w:p>
    <w:p w14:paraId="04ED2D8F" w14:textId="77777777" w:rsidR="004D53E5" w:rsidRPr="00CF3DDD" w:rsidRDefault="004D53E5" w:rsidP="00CF3DDD">
      <w:pPr>
        <w:spacing w:before="100" w:beforeAutospacing="1" w:after="100" w:afterAutospacing="1" w:line="360" w:lineRule="auto"/>
        <w:rPr>
          <w:rFonts w:eastAsia="Times New Roman" w:cs="Times New Roman"/>
          <w:szCs w:val="24"/>
        </w:rPr>
      </w:pPr>
      <w:r>
        <w:t>The study of consumer behaviour has evolved significantly over the past few decades, moving from a purely economic or rationalist view to a more complex and multidimensional understanding that integrates psychological, emotional, and social elements. This evolution has had a profound impact on branding theory and practice, as marketers now recognize that consumers engage with brands not only for functional benefits however altherefore to satisfy emotional needs, express identity, and establish a sense of belonging (Belk, 2017; Solomon et al., 2018). Branding, in this context, is no longer just a symbol of product differentiation however a strategic tool for creating and sustaining customer relationships based on value, meaning, and emotional connection.</w:t>
      </w:r>
    </w:p>
    <w:p w14:paraId="19F9800C" w14:textId="77777777" w:rsidR="004D53E5" w:rsidRPr="00CF3DDD" w:rsidRDefault="004D53E5"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At its core, branding seeks to influence how consumers perceive and respond to products, services, and </w:t>
      </w:r>
      <w:proofErr w:type="spellStart"/>
      <w:r w:rsidR="001240FD" w:rsidRPr="00CF3DDD">
        <w:rPr>
          <w:rFonts w:eastAsia="Times New Roman" w:cs="Times New Roman"/>
          <w:szCs w:val="24"/>
        </w:rPr>
        <w:t>organisation</w:t>
      </w:r>
      <w:r w:rsidR="00097443" w:rsidRPr="00CF3DDD">
        <w:rPr>
          <w:rFonts w:eastAsia="Times New Roman" w:cs="Times New Roman"/>
          <w:szCs w:val="24"/>
        </w:rPr>
        <w:t>s</w:t>
      </w:r>
      <w:proofErr w:type="spellEnd"/>
      <w:r w:rsidRPr="00CF3DDD">
        <w:rPr>
          <w:rFonts w:eastAsia="Times New Roman" w:cs="Times New Roman"/>
          <w:szCs w:val="24"/>
        </w:rPr>
        <w:t xml:space="preserve">. A brand functions as a mental shortcut that allows consumers to identify, remember, and develop expectations about a product. This process is supported by a combination </w:t>
      </w:r>
      <w:r w:rsidRPr="00CF3DDD">
        <w:rPr>
          <w:rFonts w:eastAsia="Times New Roman" w:cs="Times New Roman"/>
          <w:szCs w:val="24"/>
        </w:rPr>
        <w:lastRenderedPageBreak/>
        <w:t>of tangible elements (e.g., logos, packaging, advertising) and intangible associations (e.g., reputation, personality, emotional resonance) (</w:t>
      </w:r>
      <w:proofErr w:type="spellStart"/>
      <w:r w:rsidRPr="00CF3DDD">
        <w:rPr>
          <w:rFonts w:eastAsia="Times New Roman" w:cs="Times New Roman"/>
          <w:szCs w:val="24"/>
        </w:rPr>
        <w:t>Kapferer</w:t>
      </w:r>
      <w:proofErr w:type="spellEnd"/>
      <w:r w:rsidRPr="00CF3DDD">
        <w:rPr>
          <w:rFonts w:eastAsia="Times New Roman" w:cs="Times New Roman"/>
          <w:szCs w:val="24"/>
        </w:rPr>
        <w:t>, 2012). When successfully executed, branding can lead to increased customer preference, stronger emotional bonds, and enhanced resistance to competitive switching.</w:t>
      </w:r>
    </w:p>
    <w:p w14:paraId="13B20F93" w14:textId="77777777" w:rsidR="004D53E5" w:rsidRPr="00CF3DDD" w:rsidRDefault="004D53E5" w:rsidP="00CF3DDD">
      <w:pPr>
        <w:spacing w:before="100" w:beforeAutospacing="1" w:after="100" w:afterAutospacing="1" w:line="360" w:lineRule="auto"/>
        <w:rPr>
          <w:rFonts w:eastAsia="Times New Roman" w:cs="Times New Roman"/>
          <w:szCs w:val="24"/>
        </w:rPr>
      </w:pPr>
      <w:r>
        <w:t>Consumer behaviour theory provides the foundation for understanding how and why consumers develop loyalty to certain brands. One of the earliest models in this area, the Theory of Reasoned Action (Fishbein &amp; Ajzen, 2019), explained behaviour as a function of beliefs and intentions, suggesting that consumers make brand decisions based on rational evaluations. However, subsequent theories such as Fournier’s (1998) Brand Relationship Theory and Holbrook and Hirschman’s (1982) Experiential View challenged this rationalist perspective, emphasising the symbolic, emotional, and experiential aspects of consumption.</w:t>
      </w:r>
    </w:p>
    <w:p w14:paraId="310C2B42" w14:textId="77777777" w:rsidR="004D53E5" w:rsidRPr="00CF3DDD" w:rsidRDefault="004D53E5" w:rsidP="00CF3DDD">
      <w:pPr>
        <w:spacing w:before="100" w:beforeAutospacing="1" w:after="100" w:afterAutospacing="1" w:line="360" w:lineRule="auto"/>
        <w:rPr>
          <w:rFonts w:eastAsia="Times New Roman" w:cs="Times New Roman"/>
          <w:szCs w:val="24"/>
        </w:rPr>
      </w:pPr>
      <w:r>
        <w:t>The Brand Relationship Theory, in particular, has been influential in shifting the academic conversation towards relational and emotional dimensions of branding. Fournier (1998) proposed that brands are not passive objects however active relationship partners with whom consumers form complex, dynamic bonds (Carrol &amp; Ahuvia, 2006). These relationships can take various forms, ranging from friendships and casual acquaintances to committed partnerships, and are shaped by the consumer’s values, past experiences, and social context. The strength and quality of these relationships are significant predictors of brand loyalty, which is no longer seen as just a behavioural outcome (i.e., repeat purchase), however as a deeper attitudinal and emotional commitment (Dick &amp; Basu, 2018).</w:t>
      </w:r>
    </w:p>
    <w:p w14:paraId="3AE446F0" w14:textId="77777777" w:rsidR="004D53E5" w:rsidRPr="00CF3DDD" w:rsidRDefault="004D53E5"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In practical terms, this means that brand managers must go beyond traditional functional marketing and invest in creating authentic, consistent, and emotionally resonant brand experiences. Research suggests that consumers are more likely to stay loyal to brands that align with their </w:t>
      </w:r>
      <w:r w:rsidR="00097443" w:rsidRPr="00CF3DDD">
        <w:rPr>
          <w:rFonts w:eastAsia="Times New Roman" w:cs="Times New Roman"/>
          <w:szCs w:val="24"/>
        </w:rPr>
        <w:t>self-image</w:t>
      </w:r>
      <w:r w:rsidRPr="00CF3DDD">
        <w:rPr>
          <w:rFonts w:eastAsia="Times New Roman" w:cs="Times New Roman"/>
          <w:szCs w:val="24"/>
        </w:rPr>
        <w:t xml:space="preserve"> and offer a sense of trust, emotional satisfaction, and community (Park et al., 2010). These findings are particularly relevant in sectors such as FMCG, where physical product differences are often minimal and emotional differentiation becomes the primary driver of loyalty</w:t>
      </w:r>
      <w:r w:rsidR="009B5F2A" w:rsidRPr="00CF3DDD">
        <w:rPr>
          <w:rFonts w:eastAsia="Times New Roman" w:cs="Times New Roman"/>
          <w:szCs w:val="24"/>
        </w:rPr>
        <w:t xml:space="preserve"> (Batra et al., 2012)</w:t>
      </w:r>
      <w:r w:rsidRPr="00CF3DDD">
        <w:rPr>
          <w:rFonts w:eastAsia="Times New Roman" w:cs="Times New Roman"/>
          <w:szCs w:val="24"/>
        </w:rPr>
        <w:t>.</w:t>
      </w:r>
    </w:p>
    <w:p w14:paraId="6282355C" w14:textId="77777777" w:rsidR="004D53E5" w:rsidRPr="00CF3DDD" w:rsidRDefault="004D53E5" w:rsidP="00CF3DDD">
      <w:pPr>
        <w:spacing w:before="100" w:beforeAutospacing="1" w:after="100" w:afterAutospacing="1" w:line="360" w:lineRule="auto"/>
        <w:rPr>
          <w:rFonts w:eastAsia="Times New Roman" w:cs="Times New Roman"/>
          <w:szCs w:val="24"/>
        </w:rPr>
      </w:pPr>
      <w:r>
        <w:t xml:space="preserve">In the context of the United Kingdom, consumer behaviour is altherefore influenced by cultural, social, and economic factors that affect how brands are perceived. British consumers are generally </w:t>
      </w:r>
      <w:r>
        <w:lastRenderedPageBreak/>
        <w:t>more value-conscious and ethically aware than in many other markets, with strong expectations for brand transparency, sustainability, and social responsibility (Mintel, 2023). This makes emotional branding strategies, such as fostering trust and love, particularly important for companies like Nestlé, which operate in categories often scrutinized for health, environmental, or ethical concerns. In such an environment, emotional consumer-brand relationships can serve as buffers against reputational risks and foster resilience in consumer loyalty (Oliver, 2019).</w:t>
      </w:r>
    </w:p>
    <w:p w14:paraId="3845F1E6" w14:textId="77777777" w:rsidR="004D53E5" w:rsidRPr="00CF3DDD" w:rsidRDefault="004D53E5" w:rsidP="00CF3DDD">
      <w:pPr>
        <w:spacing w:before="100" w:beforeAutospacing="1" w:after="100" w:afterAutospacing="1" w:line="360" w:lineRule="auto"/>
        <w:rPr>
          <w:rFonts w:eastAsia="Times New Roman" w:cs="Times New Roman"/>
          <w:szCs w:val="24"/>
        </w:rPr>
      </w:pPr>
      <w:r>
        <w:t>In summary, the theoretical and practical perspectives on branding and consumer behaviour converge on the understanding that brand loyalty is not merely a consequence of functional satisfaction however a result of deeper psychological and emotional processes (Dick &amp; Basu, 2016). The evolution of consumer behaviour theory, from rational decision-making models to relational and emotional frameworks, has reshaped the way scholars and marketers approach brand strategy. These foundations are essential for understanding how brand equity, trust, and love operate together to influence consumer loyalty, which forms the central inquiry of this dissertation.</w:t>
      </w:r>
    </w:p>
    <w:p w14:paraId="6E5DD879" w14:textId="3187C383" w:rsidR="000F7DCF" w:rsidRPr="00CF3DDD" w:rsidRDefault="000F7DCF" w:rsidP="00CF3DDD">
      <w:pPr>
        <w:pStyle w:val="Heading3"/>
        <w:spacing w:line="360" w:lineRule="auto"/>
      </w:pPr>
      <w:bookmarkStart w:id="26" w:name="_Toc209310584"/>
      <w:r w:rsidRPr="00CF3DDD">
        <w:t>2.3 Theoretical Foundations of Brand Equity and Related Constructs</w:t>
      </w:r>
      <w:bookmarkEnd w:id="26"/>
    </w:p>
    <w:p w14:paraId="21468495" w14:textId="77777777" w:rsidR="00097443" w:rsidRPr="00CF3DDD" w:rsidRDefault="000F7DC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In this section, we critically explore key branding theories and models, then link each to the core variables of this research: </w:t>
      </w:r>
      <w:r w:rsidRPr="00CF3DDD">
        <w:rPr>
          <w:rFonts w:eastAsia="Times New Roman" w:cs="Times New Roman"/>
          <w:b/>
          <w:bCs/>
          <w:szCs w:val="24"/>
        </w:rPr>
        <w:t>brand equity, brand loyalty, brand trust, and brand love</w:t>
      </w:r>
      <w:r w:rsidRPr="00CF3DDD">
        <w:rPr>
          <w:rFonts w:eastAsia="Times New Roman" w:cs="Times New Roman"/>
          <w:szCs w:val="24"/>
        </w:rPr>
        <w:t>. These theoretical underpinnings are essential to both the conceptual development of the study and its empirical testing.</w:t>
      </w:r>
    </w:p>
    <w:p w14:paraId="29590DE4" w14:textId="76D04620" w:rsidR="000F7DCF" w:rsidRPr="00CF3DDD" w:rsidRDefault="000F7DCF" w:rsidP="00CF3DDD">
      <w:pPr>
        <w:pStyle w:val="Heading2"/>
        <w:spacing w:line="360" w:lineRule="auto"/>
      </w:pPr>
      <w:bookmarkStart w:id="27" w:name="_Toc209310585"/>
      <w:r w:rsidRPr="00CF3DDD">
        <w:t>2.</w:t>
      </w:r>
      <w:r w:rsidR="00BD2841" w:rsidRPr="00CF3DDD">
        <w:t>4</w:t>
      </w:r>
      <w:r w:rsidRPr="00CF3DDD">
        <w:t xml:space="preserve"> Theoretical Models Supporting Brand Equity</w:t>
      </w:r>
      <w:bookmarkEnd w:id="27"/>
    </w:p>
    <w:p w14:paraId="58769B6C" w14:textId="77777777" w:rsidR="000F7DCF" w:rsidRPr="00CF3DDD" w:rsidRDefault="000F7DC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Brand equity is at the heart of this study, and several seminal models have been developed to define and measure it. The following theories provide the primary basis for understanding brand equity and how it is built and sustained in consumer markets.</w:t>
      </w:r>
    </w:p>
    <w:p w14:paraId="593575E5" w14:textId="0263E4F0" w:rsidR="000F7DCF" w:rsidRPr="00CF3DDD" w:rsidRDefault="00BD2841" w:rsidP="00CF3DDD">
      <w:pPr>
        <w:pStyle w:val="Heading3"/>
        <w:spacing w:line="360" w:lineRule="auto"/>
      </w:pPr>
      <w:bookmarkStart w:id="28" w:name="_Toc209310586"/>
      <w:r w:rsidRPr="00CF3DDD">
        <w:t>2.</w:t>
      </w:r>
      <w:r w:rsidR="00935A2E" w:rsidRPr="00CF3DDD">
        <w:t>4.1</w:t>
      </w:r>
      <w:r w:rsidRPr="00CF3DDD">
        <w:t xml:space="preserve"> </w:t>
      </w:r>
      <w:r w:rsidR="000F7DCF" w:rsidRPr="00CF3DDD">
        <w:t xml:space="preserve">Aaker’s Brand Equity Model (1991) – </w:t>
      </w:r>
      <w:r w:rsidR="000F7DCF" w:rsidRPr="00CF3DDD">
        <w:rPr>
          <w:i/>
          <w:iCs/>
        </w:rPr>
        <w:t>Foundational Theory for Brand Equity</w:t>
      </w:r>
      <w:bookmarkEnd w:id="28"/>
    </w:p>
    <w:p w14:paraId="72F8AF1A" w14:textId="77777777" w:rsidR="000F7DCF" w:rsidRPr="00CF3DDD" w:rsidRDefault="000F7DCF" w:rsidP="00CF3DDD">
      <w:pPr>
        <w:spacing w:before="100" w:beforeAutospacing="1" w:after="100" w:afterAutospacing="1" w:line="360" w:lineRule="auto"/>
        <w:rPr>
          <w:rFonts w:eastAsia="Times New Roman" w:cs="Times New Roman"/>
          <w:szCs w:val="24"/>
        </w:rPr>
      </w:pPr>
      <w:r w:rsidRPr="00CF3DDD">
        <w:rPr>
          <w:rFonts w:cs="Times New Roman"/>
        </w:rPr>
        <w:t xml:space="preserve">David Aaker’s model conceptualizes brand equity as a collection of brand-related assets that influence consumer perception and </w:t>
      </w:r>
      <w:proofErr w:type="spellStart"/>
      <w:r w:rsidRPr="00CF3DDD">
        <w:rPr>
          <w:rFonts w:cs="Times New Roman"/>
        </w:rPr>
        <w:t>behaviour</w:t>
      </w:r>
      <w:proofErr w:type="spellEnd"/>
      <w:r w:rsidRPr="00CF3DDD">
        <w:rPr>
          <w:rFonts w:cs="Times New Roman"/>
        </w:rPr>
        <w:t xml:space="preserve">. The model’s key dimensions, brand awareness, brand associations, perceived quality, and brand loyalty, offer a structured way to understand how </w:t>
      </w:r>
      <w:r w:rsidRPr="00CF3DDD">
        <w:rPr>
          <w:rFonts w:cs="Times New Roman"/>
        </w:rPr>
        <w:lastRenderedPageBreak/>
        <w:t>brand equity forms and functions. This theory directly informs the independent variable (brand equity) in this study, particularly in the FMCG space, where awareness and associations significantly drive consumer decisions (Hair et al., 2017).</w:t>
      </w:r>
    </w:p>
    <w:p w14:paraId="49625B47" w14:textId="77777777" w:rsidR="000F7DCF" w:rsidRPr="00CF3DDD" w:rsidRDefault="00BD2841" w:rsidP="00CF3DDD">
      <w:pPr>
        <w:pStyle w:val="Heading3"/>
        <w:spacing w:line="360" w:lineRule="auto"/>
      </w:pPr>
      <w:r w:rsidRPr="00CF3DDD">
        <w:t xml:space="preserve">2.4.2 Keller’s Customer-Based Brand Equity (CBBE) Model (1993) – Link Between Brand Equity and Consumer </w:t>
      </w:r>
      <w:proofErr w:type="spellStart"/>
      <w:r w:rsidRPr="00CF3DDD">
        <w:t>Behaviour</w:t>
      </w:r>
      <w:proofErr w:type="spellEnd"/>
    </w:p>
    <w:p w14:paraId="5D547CBF" w14:textId="77777777" w:rsidR="000F7DCF" w:rsidRPr="00CF3DDD" w:rsidRDefault="000F7DCF" w:rsidP="00CF3DDD">
      <w:pPr>
        <w:spacing w:before="100" w:beforeAutospacing="1" w:after="100" w:afterAutospacing="1" w:line="360" w:lineRule="auto"/>
        <w:rPr>
          <w:rFonts w:eastAsia="Times New Roman" w:cs="Times New Roman"/>
          <w:szCs w:val="24"/>
        </w:rPr>
      </w:pPr>
      <w:r w:rsidRPr="00CF3DDD">
        <w:rPr>
          <w:rFonts w:cs="Times New Roman"/>
        </w:rPr>
        <w:t xml:space="preserve">Keller emphasizes the psychological processes consumers go through in forming strong brand relationships. His pyramid, from brand identity to brand resonance, helps explain how brand equity can lead to deeper loyalty by fostering emotional connections. This model connects both with brand equity and brand loyalty, as it underlines the pathway from perception to emotional attachment and </w:t>
      </w:r>
      <w:proofErr w:type="spellStart"/>
      <w:r w:rsidRPr="00CF3DDD">
        <w:rPr>
          <w:rFonts w:cs="Times New Roman"/>
        </w:rPr>
        <w:t>behavioural</w:t>
      </w:r>
      <w:proofErr w:type="spellEnd"/>
      <w:r w:rsidRPr="00CF3DDD">
        <w:rPr>
          <w:rFonts w:cs="Times New Roman"/>
        </w:rPr>
        <w:t xml:space="preserve"> loyalty.</w:t>
      </w:r>
    </w:p>
    <w:p w14:paraId="0D428FF2" w14:textId="3708B53D" w:rsidR="000F7DCF" w:rsidRPr="00CF3DDD" w:rsidRDefault="00BD2841" w:rsidP="00CF3DDD">
      <w:pPr>
        <w:pStyle w:val="Heading3"/>
        <w:spacing w:line="360" w:lineRule="auto"/>
      </w:pPr>
      <w:bookmarkStart w:id="29" w:name="_Toc209310588"/>
      <w:r w:rsidRPr="00CF3DDD">
        <w:t>2.</w:t>
      </w:r>
      <w:r w:rsidR="00935A2E" w:rsidRPr="00CF3DDD">
        <w:t>4.3</w:t>
      </w:r>
      <w:r w:rsidRPr="00CF3DDD">
        <w:t xml:space="preserve"> </w:t>
      </w:r>
      <w:proofErr w:type="spellStart"/>
      <w:r w:rsidR="000F7DCF" w:rsidRPr="00CF3DDD">
        <w:t>Yoo</w:t>
      </w:r>
      <w:proofErr w:type="spellEnd"/>
      <w:r w:rsidR="000F7DCF" w:rsidRPr="00CF3DDD">
        <w:t xml:space="preserve"> and </w:t>
      </w:r>
      <w:proofErr w:type="spellStart"/>
      <w:r w:rsidR="000F7DCF" w:rsidRPr="00CF3DDD">
        <w:t>Donthu’s</w:t>
      </w:r>
      <w:proofErr w:type="spellEnd"/>
      <w:r w:rsidR="000F7DCF" w:rsidRPr="00CF3DDD">
        <w:t xml:space="preserve"> Multidimensional Brand Equity Scale (2001) – </w:t>
      </w:r>
      <w:r w:rsidR="000F7DCF" w:rsidRPr="00CF3DDD">
        <w:rPr>
          <w:i/>
          <w:iCs/>
        </w:rPr>
        <w:t>Empirical Application of Brand Equity</w:t>
      </w:r>
      <w:bookmarkEnd w:id="29"/>
    </w:p>
    <w:p w14:paraId="4D98E140" w14:textId="77777777" w:rsidR="000F7DCF" w:rsidRPr="00CF3DDD" w:rsidRDefault="000F7DC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This scale adapts Aaker’s work into three measurable dimensions: brand awareness/associations, perceived quality, and loyalty. It is especially useful for quantitative studies, like this one, where the </w:t>
      </w:r>
      <w:r w:rsidR="007D3226" w:rsidRPr="00CF3DDD">
        <w:rPr>
          <w:rFonts w:eastAsia="Times New Roman" w:cs="Times New Roman"/>
          <w:b/>
          <w:bCs/>
          <w:szCs w:val="24"/>
        </w:rPr>
        <w:t>survey-based</w:t>
      </w:r>
      <w:r w:rsidRPr="00CF3DDD">
        <w:rPr>
          <w:rFonts w:eastAsia="Times New Roman" w:cs="Times New Roman"/>
          <w:b/>
          <w:bCs/>
          <w:szCs w:val="24"/>
        </w:rPr>
        <w:t xml:space="preserve"> measurement</w:t>
      </w:r>
      <w:r w:rsidRPr="00CF3DDD">
        <w:rPr>
          <w:rFonts w:eastAsia="Times New Roman" w:cs="Times New Roman"/>
          <w:szCs w:val="24"/>
        </w:rPr>
        <w:t xml:space="preserve"> of brand equity needs to be reliable and valid. This model supports the </w:t>
      </w:r>
      <w:r w:rsidRPr="00CF3DDD">
        <w:rPr>
          <w:rFonts w:eastAsia="Times New Roman" w:cs="Times New Roman"/>
          <w:b/>
          <w:bCs/>
          <w:szCs w:val="24"/>
        </w:rPr>
        <w:t xml:space="preserve">empirical </w:t>
      </w:r>
      <w:r w:rsidR="007D3226" w:rsidRPr="00CF3DDD">
        <w:rPr>
          <w:rFonts w:eastAsia="Times New Roman" w:cs="Times New Roman"/>
          <w:b/>
          <w:bCs/>
          <w:szCs w:val="24"/>
        </w:rPr>
        <w:t>operationalization</w:t>
      </w:r>
      <w:r w:rsidRPr="00CF3DDD">
        <w:rPr>
          <w:rFonts w:eastAsia="Times New Roman" w:cs="Times New Roman"/>
          <w:szCs w:val="24"/>
        </w:rPr>
        <w:t xml:space="preserve"> of brand equity as the key </w:t>
      </w:r>
      <w:r w:rsidRPr="00CF3DDD">
        <w:rPr>
          <w:rFonts w:eastAsia="Times New Roman" w:cs="Times New Roman"/>
          <w:b/>
          <w:bCs/>
          <w:szCs w:val="24"/>
        </w:rPr>
        <w:t>independent variable</w:t>
      </w:r>
      <w:r w:rsidRPr="00CF3DDD">
        <w:rPr>
          <w:rFonts w:eastAsia="Times New Roman" w:cs="Times New Roman"/>
          <w:szCs w:val="24"/>
        </w:rPr>
        <w:t xml:space="preserve"> in this study.</w:t>
      </w:r>
    </w:p>
    <w:p w14:paraId="7D061FC6" w14:textId="521E2CD9" w:rsidR="000F7DCF" w:rsidRPr="00CF3DDD" w:rsidRDefault="000F7DCF" w:rsidP="00CF3DDD">
      <w:pPr>
        <w:pStyle w:val="Heading2"/>
        <w:spacing w:line="360" w:lineRule="auto"/>
      </w:pPr>
      <w:bookmarkStart w:id="30" w:name="_Toc209310589"/>
      <w:r w:rsidRPr="00CF3DDD">
        <w:t>2.</w:t>
      </w:r>
      <w:r w:rsidR="00935A2E" w:rsidRPr="00CF3DDD">
        <w:t>5</w:t>
      </w:r>
      <w:r w:rsidRPr="00CF3DDD">
        <w:t xml:space="preserve"> Theoretical Models Explaining Brand Loyalty</w:t>
      </w:r>
      <w:bookmarkEnd w:id="30"/>
    </w:p>
    <w:p w14:paraId="6EFDF2BA" w14:textId="77777777" w:rsidR="000F7DCF" w:rsidRPr="00CF3DDD" w:rsidRDefault="000F7DCF" w:rsidP="00CF3DDD">
      <w:pPr>
        <w:spacing w:before="100" w:beforeAutospacing="1" w:after="100" w:afterAutospacing="1" w:line="360" w:lineRule="auto"/>
        <w:rPr>
          <w:rFonts w:eastAsia="Times New Roman" w:cs="Times New Roman"/>
          <w:szCs w:val="24"/>
        </w:rPr>
      </w:pPr>
      <w:r w:rsidRPr="00CF3DDD">
        <w:rPr>
          <w:rFonts w:cs="Times New Roman"/>
        </w:rPr>
        <w:t xml:space="preserve">Brand loyalty, the dependent variable of this research, is more than repeat purchase </w:t>
      </w:r>
      <w:proofErr w:type="spellStart"/>
      <w:r w:rsidRPr="00CF3DDD">
        <w:rPr>
          <w:rFonts w:cs="Times New Roman"/>
        </w:rPr>
        <w:t>behaviour</w:t>
      </w:r>
      <w:proofErr w:type="spellEnd"/>
      <w:r w:rsidRPr="00CF3DDD">
        <w:rPr>
          <w:rFonts w:cs="Times New Roman"/>
        </w:rPr>
        <w:t>. It represents a consumer's psychological commitment and consistent preference for a brand over time. Several theories help explain the mechanics and motivations behind loyalty.</w:t>
      </w:r>
    </w:p>
    <w:p w14:paraId="1F55B6E5" w14:textId="018B0F2D" w:rsidR="000F7DCF" w:rsidRPr="00CF3DDD" w:rsidRDefault="00BD2841" w:rsidP="00CF3DDD">
      <w:pPr>
        <w:pStyle w:val="Heading3"/>
        <w:spacing w:line="360" w:lineRule="auto"/>
      </w:pPr>
      <w:bookmarkStart w:id="31" w:name="_Toc209310590"/>
      <w:r w:rsidRPr="00CF3DDD">
        <w:t>2.</w:t>
      </w:r>
      <w:r w:rsidR="00935A2E" w:rsidRPr="00CF3DDD">
        <w:t>5.1</w:t>
      </w:r>
      <w:r w:rsidRPr="00CF3DDD">
        <w:t xml:space="preserve"> </w:t>
      </w:r>
      <w:r w:rsidR="000F7DCF" w:rsidRPr="00CF3DDD">
        <w:t xml:space="preserve">Dick and </w:t>
      </w:r>
      <w:proofErr w:type="spellStart"/>
      <w:r w:rsidR="000F7DCF" w:rsidRPr="00CF3DDD">
        <w:t>Basu’s</w:t>
      </w:r>
      <w:proofErr w:type="spellEnd"/>
      <w:r w:rsidR="000F7DCF" w:rsidRPr="00CF3DDD">
        <w:t xml:space="preserve"> Loyalty Model (</w:t>
      </w:r>
      <w:r w:rsidR="00993620" w:rsidRPr="00CF3DDD">
        <w:t>2017</w:t>
      </w:r>
      <w:r w:rsidR="000F7DCF" w:rsidRPr="00CF3DDD">
        <w:t>) – Cognitive</w:t>
      </w:r>
      <w:r w:rsidR="00345BE7" w:rsidRPr="00CF3DDD">
        <w:t xml:space="preserve">, </w:t>
      </w:r>
      <w:r w:rsidR="000F7DCF" w:rsidRPr="00CF3DDD">
        <w:t>Affective Approach to Loyalty</w:t>
      </w:r>
      <w:bookmarkEnd w:id="31"/>
    </w:p>
    <w:p w14:paraId="51241875" w14:textId="332C4DA8" w:rsidR="00B227D5" w:rsidRPr="00366337" w:rsidRDefault="000F7DCF" w:rsidP="00CF3DDD">
      <w:pPr>
        <w:spacing w:before="100" w:beforeAutospacing="1" w:after="100" w:afterAutospacing="1" w:line="360" w:lineRule="auto"/>
        <w:rPr>
          <w:rFonts w:cs="Times New Roman"/>
        </w:rPr>
      </w:pPr>
      <w:r w:rsidRPr="00CF3DDD">
        <w:rPr>
          <w:rFonts w:cs="Times New Roman"/>
        </w:rPr>
        <w:t xml:space="preserve">This model highlights that brand loyalty stems from both attitudinal commitment and repeat purchase </w:t>
      </w:r>
      <w:proofErr w:type="spellStart"/>
      <w:r w:rsidRPr="00CF3DDD">
        <w:rPr>
          <w:rFonts w:cs="Times New Roman"/>
        </w:rPr>
        <w:t>behaviour</w:t>
      </w:r>
      <w:proofErr w:type="spellEnd"/>
      <w:r w:rsidRPr="00CF3DDD">
        <w:rPr>
          <w:rFonts w:cs="Times New Roman"/>
        </w:rPr>
        <w:t xml:space="preserve">. It introduces the concept of relative attitude, which means loyalty depends on </w:t>
      </w:r>
      <w:r w:rsidRPr="00CF3DDD">
        <w:rPr>
          <w:rFonts w:cs="Times New Roman"/>
        </w:rPr>
        <w:lastRenderedPageBreak/>
        <w:t xml:space="preserve">the strength of a consumer’s preference relative to alternatives. This aligns closely with this research’s aim to understand loyalty as both a psychological and </w:t>
      </w:r>
      <w:proofErr w:type="spellStart"/>
      <w:r w:rsidRPr="00CF3DDD">
        <w:rPr>
          <w:rFonts w:cs="Times New Roman"/>
        </w:rPr>
        <w:t>behavioural</w:t>
      </w:r>
      <w:proofErr w:type="spellEnd"/>
      <w:r w:rsidRPr="00CF3DDD">
        <w:rPr>
          <w:rFonts w:cs="Times New Roman"/>
        </w:rPr>
        <w:t xml:space="preserve"> construct influenced by brand equity, trust, and love.</w:t>
      </w:r>
    </w:p>
    <w:p w14:paraId="2193CAC3" w14:textId="0ED12346" w:rsidR="000F7DCF" w:rsidRPr="00CF3DDD" w:rsidRDefault="00BD2841" w:rsidP="00CF3DDD">
      <w:pPr>
        <w:pStyle w:val="Heading3"/>
        <w:spacing w:line="360" w:lineRule="auto"/>
      </w:pPr>
      <w:bookmarkStart w:id="32" w:name="_Toc209310591"/>
      <w:r w:rsidRPr="00CF3DDD">
        <w:t>2.</w:t>
      </w:r>
      <w:r w:rsidR="00935A2E" w:rsidRPr="00CF3DDD">
        <w:t>5.2</w:t>
      </w:r>
      <w:r w:rsidRPr="00CF3DDD">
        <w:t xml:space="preserve"> </w:t>
      </w:r>
      <w:r w:rsidR="000F7DCF" w:rsidRPr="00CF3DDD">
        <w:t xml:space="preserve">Oliver’s </w:t>
      </w:r>
      <w:r w:rsidR="007D3226" w:rsidRPr="00CF3DDD">
        <w:t>Four-Stage</w:t>
      </w:r>
      <w:r w:rsidR="000F7DCF" w:rsidRPr="00CF3DDD">
        <w:t xml:space="preserve"> Loyalty Model (1999) – </w:t>
      </w:r>
      <w:r w:rsidR="000F7DCF" w:rsidRPr="00CF3DDD">
        <w:rPr>
          <w:i/>
          <w:iCs/>
        </w:rPr>
        <w:t>Pathway from Cognition to Action</w:t>
      </w:r>
      <w:bookmarkEnd w:id="32"/>
    </w:p>
    <w:p w14:paraId="3DD65343" w14:textId="77777777" w:rsidR="007D3226" w:rsidRPr="00CF3DDD" w:rsidRDefault="000F7DC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Oliver's model presents loyalty as evolving through cognitive, affective, conative, and action stages. The later stages (affective and conative) suggest that emotional elements like trust and love are central to sustained loyalty. This framework provides theoretical support for the mediating role of trust and love in the </w:t>
      </w:r>
      <w:r w:rsidR="00987D65" w:rsidRPr="00CF3DDD">
        <w:rPr>
          <w:rFonts w:eastAsia="Times New Roman" w:cs="Times New Roman"/>
          <w:szCs w:val="24"/>
        </w:rPr>
        <w:t>equity-loyalty</w:t>
      </w:r>
      <w:r w:rsidRPr="00CF3DDD">
        <w:rPr>
          <w:rFonts w:eastAsia="Times New Roman" w:cs="Times New Roman"/>
          <w:szCs w:val="24"/>
        </w:rPr>
        <w:t xml:space="preserve"> relationship.</w:t>
      </w:r>
    </w:p>
    <w:p w14:paraId="6245028F" w14:textId="51FA832B" w:rsidR="00316793" w:rsidRPr="00CF3DDD" w:rsidRDefault="000F7DCF" w:rsidP="00CF3DDD">
      <w:pPr>
        <w:pStyle w:val="Heading2"/>
        <w:spacing w:line="360" w:lineRule="auto"/>
      </w:pPr>
      <w:bookmarkStart w:id="33" w:name="_Toc209310592"/>
      <w:r w:rsidRPr="00CF3DDD">
        <w:t>2.</w:t>
      </w:r>
      <w:r w:rsidR="00935A2E" w:rsidRPr="00CF3DDD">
        <w:t>6</w:t>
      </w:r>
      <w:r w:rsidRPr="00CF3DDD">
        <w:t xml:space="preserve"> Theoretical Perspectives on Brand Trust</w:t>
      </w:r>
      <w:bookmarkEnd w:id="33"/>
    </w:p>
    <w:p w14:paraId="0C802442" w14:textId="77777777" w:rsidR="000F7DCF" w:rsidRPr="00CF3DDD" w:rsidRDefault="000F7DC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Brand trust is a core </w:t>
      </w:r>
      <w:r w:rsidRPr="00CF3DDD">
        <w:rPr>
          <w:rFonts w:eastAsia="Times New Roman" w:cs="Times New Roman"/>
          <w:b/>
          <w:bCs/>
          <w:szCs w:val="24"/>
        </w:rPr>
        <w:t>mediator</w:t>
      </w:r>
      <w:r w:rsidRPr="00CF3DDD">
        <w:rPr>
          <w:rFonts w:eastAsia="Times New Roman" w:cs="Times New Roman"/>
          <w:szCs w:val="24"/>
        </w:rPr>
        <w:t xml:space="preserve"> in this research. It refers to a consumer’s confidence in the brand’s reliability, honesty, and performance.</w:t>
      </w:r>
    </w:p>
    <w:p w14:paraId="2AFBB891" w14:textId="1CAA854A" w:rsidR="000F7DCF" w:rsidRPr="00CF3DDD" w:rsidRDefault="00BD2841" w:rsidP="00CF3DDD">
      <w:pPr>
        <w:pStyle w:val="Heading3"/>
        <w:spacing w:line="360" w:lineRule="auto"/>
      </w:pPr>
      <w:bookmarkStart w:id="34" w:name="_Toc209310593"/>
      <w:r w:rsidRPr="00CF3DDD">
        <w:t>2.</w:t>
      </w:r>
      <w:r w:rsidR="00935A2E" w:rsidRPr="00CF3DDD">
        <w:t>6.1</w:t>
      </w:r>
      <w:r w:rsidRPr="00CF3DDD">
        <w:t xml:space="preserve"> </w:t>
      </w:r>
      <w:r w:rsidR="000F7DCF" w:rsidRPr="00CF3DDD">
        <w:t xml:space="preserve">Chaudhuri and Holbrook’s Brand Trust Model (2001) – </w:t>
      </w:r>
      <w:r w:rsidR="000F7DCF" w:rsidRPr="00CF3DDD">
        <w:rPr>
          <w:i/>
          <w:iCs/>
        </w:rPr>
        <w:t>Trust as a Loyalty Driver</w:t>
      </w:r>
      <w:bookmarkEnd w:id="34"/>
    </w:p>
    <w:p w14:paraId="15E45C2F" w14:textId="77777777" w:rsidR="000F7DCF" w:rsidRPr="00CF3DDD" w:rsidRDefault="000F7DC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This model links brand trust directly to both purchase and attitudinal loyalty. It asserts that when consumers believe a brand will deliver on its promises, they are more likely to stay loyal. In the Nestlé context, this applies particularly to consumer trust in product safety, ethical sourcing, and corporate responsibility</w:t>
      </w:r>
      <w:r w:rsidR="00345BE7" w:rsidRPr="00CF3DDD">
        <w:rPr>
          <w:rFonts w:eastAsia="Times New Roman" w:cs="Times New Roman"/>
          <w:szCs w:val="24"/>
        </w:rPr>
        <w:t xml:space="preserve">, </w:t>
      </w:r>
      <w:r w:rsidRPr="00CF3DDD">
        <w:rPr>
          <w:rFonts w:eastAsia="Times New Roman" w:cs="Times New Roman"/>
          <w:szCs w:val="24"/>
        </w:rPr>
        <w:t>factors increasingly valued by UK consumers</w:t>
      </w:r>
      <w:r w:rsidR="009B5F2A" w:rsidRPr="00CF3DDD">
        <w:rPr>
          <w:rFonts w:eastAsia="Times New Roman" w:cs="Times New Roman"/>
          <w:szCs w:val="24"/>
        </w:rPr>
        <w:t xml:space="preserve"> (Fournier, </w:t>
      </w:r>
      <w:r w:rsidR="00993620" w:rsidRPr="00CF3DDD">
        <w:rPr>
          <w:rFonts w:eastAsia="Times New Roman" w:cs="Times New Roman"/>
          <w:szCs w:val="24"/>
        </w:rPr>
        <w:t>2017</w:t>
      </w:r>
      <w:r w:rsidR="009B5F2A" w:rsidRPr="00CF3DDD">
        <w:rPr>
          <w:rFonts w:eastAsia="Times New Roman" w:cs="Times New Roman"/>
          <w:szCs w:val="24"/>
        </w:rPr>
        <w:t>)</w:t>
      </w:r>
      <w:r w:rsidRPr="00CF3DDD">
        <w:rPr>
          <w:rFonts w:eastAsia="Times New Roman" w:cs="Times New Roman"/>
          <w:szCs w:val="24"/>
        </w:rPr>
        <w:t>.</w:t>
      </w:r>
    </w:p>
    <w:p w14:paraId="74B131D1" w14:textId="77777777" w:rsidR="000F7DCF" w:rsidRPr="00CF3DDD" w:rsidRDefault="00BD2841" w:rsidP="00CF3DDD">
      <w:pPr>
        <w:spacing w:before="100" w:beforeAutospacing="1" w:after="100" w:afterAutospacing="1" w:line="360" w:lineRule="auto"/>
        <w:outlineLvl w:val="3"/>
        <w:rPr>
          <w:rFonts w:eastAsia="Times New Roman" w:cs="Times New Roman"/>
          <w:b/>
          <w:bCs/>
          <w:szCs w:val="24"/>
        </w:rPr>
      </w:pPr>
      <w:r w:rsidRPr="00CF3DDD">
        <w:rPr>
          <w:rFonts w:eastAsia="Times New Roman" w:cs="Times New Roman"/>
          <w:b/>
          <w:bCs/>
          <w:szCs w:val="24"/>
        </w:rPr>
        <w:t>2.</w:t>
      </w:r>
      <w:r w:rsidR="00935A2E" w:rsidRPr="00CF3DDD">
        <w:rPr>
          <w:rFonts w:eastAsia="Times New Roman" w:cs="Times New Roman"/>
          <w:b/>
          <w:bCs/>
          <w:szCs w:val="24"/>
        </w:rPr>
        <w:t>6.2</w:t>
      </w:r>
      <w:r w:rsidRPr="00CF3DDD">
        <w:rPr>
          <w:rFonts w:eastAsia="Times New Roman" w:cs="Times New Roman"/>
          <w:b/>
          <w:bCs/>
          <w:szCs w:val="24"/>
        </w:rPr>
        <w:t xml:space="preserve"> </w:t>
      </w:r>
      <w:r w:rsidR="000F7DCF" w:rsidRPr="00CF3DDD">
        <w:rPr>
          <w:rFonts w:eastAsia="Times New Roman" w:cs="Times New Roman"/>
          <w:b/>
          <w:bCs/>
          <w:szCs w:val="24"/>
        </w:rPr>
        <w:t>Morgan and Hunt’s Commitment</w:t>
      </w:r>
      <w:r w:rsidR="00345BE7" w:rsidRPr="00CF3DDD">
        <w:rPr>
          <w:rFonts w:eastAsia="Times New Roman" w:cs="Times New Roman"/>
          <w:b/>
          <w:bCs/>
          <w:szCs w:val="24"/>
        </w:rPr>
        <w:t xml:space="preserve">, </w:t>
      </w:r>
      <w:r w:rsidR="000F7DCF" w:rsidRPr="00CF3DDD">
        <w:rPr>
          <w:rFonts w:eastAsia="Times New Roman" w:cs="Times New Roman"/>
          <w:b/>
          <w:bCs/>
          <w:szCs w:val="24"/>
        </w:rPr>
        <w:t xml:space="preserve">Trust Theory (1994) – </w:t>
      </w:r>
      <w:r w:rsidR="000F7DCF" w:rsidRPr="00CF3DDD">
        <w:rPr>
          <w:rFonts w:eastAsia="Times New Roman" w:cs="Times New Roman"/>
          <w:b/>
          <w:bCs/>
          <w:i/>
          <w:iCs/>
          <w:szCs w:val="24"/>
        </w:rPr>
        <w:t>Relationship Marketing Foundation</w:t>
      </w:r>
    </w:p>
    <w:p w14:paraId="0A3A2E0E" w14:textId="45ABF395" w:rsidR="00156410" w:rsidRDefault="000F7DC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While not limited to branding, this model from relationship marketing suggests that trust and commitment are the most important precursors of strong relationships. This theory supports the inclusion of brand trust as a mediator in the brand equity</w:t>
      </w:r>
      <w:r w:rsidR="00345BE7" w:rsidRPr="00CF3DDD">
        <w:rPr>
          <w:rFonts w:eastAsia="Times New Roman" w:cs="Times New Roman"/>
          <w:szCs w:val="24"/>
        </w:rPr>
        <w:t xml:space="preserve">, </w:t>
      </w:r>
      <w:r w:rsidRPr="00CF3DDD">
        <w:rPr>
          <w:rFonts w:eastAsia="Times New Roman" w:cs="Times New Roman"/>
          <w:szCs w:val="24"/>
        </w:rPr>
        <w:t>loyalty relationship and explains how emotional security reinforces consumer loyalty over time</w:t>
      </w:r>
      <w:r w:rsidR="007D3226" w:rsidRPr="00CF3DDD">
        <w:rPr>
          <w:rFonts w:eastAsia="Times New Roman" w:cs="Times New Roman"/>
          <w:szCs w:val="24"/>
        </w:rPr>
        <w:t>.</w:t>
      </w:r>
    </w:p>
    <w:p w14:paraId="70AC74E4" w14:textId="4A0BD41D" w:rsidR="00366337" w:rsidRDefault="00366337" w:rsidP="00CF3DDD">
      <w:pPr>
        <w:spacing w:before="100" w:beforeAutospacing="1" w:after="100" w:afterAutospacing="1" w:line="360" w:lineRule="auto"/>
        <w:rPr>
          <w:rFonts w:eastAsia="Times New Roman" w:cs="Times New Roman"/>
          <w:szCs w:val="24"/>
        </w:rPr>
      </w:pPr>
    </w:p>
    <w:p w14:paraId="42D527B0" w14:textId="77777777" w:rsidR="00366337" w:rsidRPr="00CF3DDD" w:rsidRDefault="00366337" w:rsidP="00CF3DDD">
      <w:pPr>
        <w:spacing w:before="100" w:beforeAutospacing="1" w:after="100" w:afterAutospacing="1" w:line="360" w:lineRule="auto"/>
        <w:rPr>
          <w:rFonts w:eastAsia="Times New Roman" w:cs="Times New Roman"/>
          <w:szCs w:val="24"/>
        </w:rPr>
      </w:pPr>
    </w:p>
    <w:p w14:paraId="75057BE4" w14:textId="79EDC002" w:rsidR="000F7DCF" w:rsidRPr="00CF3DDD" w:rsidRDefault="000F7DCF" w:rsidP="00CF3DDD">
      <w:pPr>
        <w:pStyle w:val="Heading2"/>
        <w:spacing w:line="360" w:lineRule="auto"/>
      </w:pPr>
      <w:bookmarkStart w:id="35" w:name="_Toc209310594"/>
      <w:r w:rsidRPr="00CF3DDD">
        <w:lastRenderedPageBreak/>
        <w:t>2.</w:t>
      </w:r>
      <w:r w:rsidR="009A227F" w:rsidRPr="00CF3DDD">
        <w:t>7</w:t>
      </w:r>
      <w:r w:rsidRPr="00CF3DDD">
        <w:t xml:space="preserve"> Theoretical Perspectives on Brand Love</w:t>
      </w:r>
      <w:bookmarkEnd w:id="35"/>
    </w:p>
    <w:p w14:paraId="6E6ECB7E" w14:textId="77777777" w:rsidR="000F7DCF" w:rsidRPr="00CF3DDD" w:rsidRDefault="000F7DC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Brand love, the second </w:t>
      </w:r>
      <w:r w:rsidRPr="00CF3DDD">
        <w:rPr>
          <w:rFonts w:eastAsia="Times New Roman" w:cs="Times New Roman"/>
          <w:b/>
          <w:bCs/>
          <w:szCs w:val="24"/>
        </w:rPr>
        <w:t>mediating variable</w:t>
      </w:r>
      <w:r w:rsidRPr="00CF3DDD">
        <w:rPr>
          <w:rFonts w:eastAsia="Times New Roman" w:cs="Times New Roman"/>
          <w:szCs w:val="24"/>
        </w:rPr>
        <w:t xml:space="preserve"> in this research, is an intense emotional bond consumers develop with brands. It goes beyond satisfaction or liking, involving elements of passion, attachment, and even </w:t>
      </w:r>
      <w:r w:rsidR="007D3226" w:rsidRPr="00CF3DDD">
        <w:rPr>
          <w:rFonts w:eastAsia="Times New Roman" w:cs="Times New Roman"/>
          <w:szCs w:val="24"/>
        </w:rPr>
        <w:t>self-expression</w:t>
      </w:r>
      <w:r w:rsidRPr="00CF3DDD">
        <w:rPr>
          <w:rFonts w:eastAsia="Times New Roman" w:cs="Times New Roman"/>
          <w:szCs w:val="24"/>
        </w:rPr>
        <w:t>.</w:t>
      </w:r>
    </w:p>
    <w:p w14:paraId="2B818FBE" w14:textId="21AB71A5" w:rsidR="000F7DCF" w:rsidRPr="00CF3DDD" w:rsidRDefault="00BD2841" w:rsidP="00CF3DDD">
      <w:pPr>
        <w:pStyle w:val="Heading3"/>
        <w:spacing w:line="360" w:lineRule="auto"/>
      </w:pPr>
      <w:bookmarkStart w:id="36" w:name="_Toc209310595"/>
      <w:r w:rsidRPr="00CF3DDD">
        <w:t>2.</w:t>
      </w:r>
      <w:r w:rsidR="009A227F" w:rsidRPr="00CF3DDD">
        <w:t>7.1</w:t>
      </w:r>
      <w:r w:rsidRPr="00CF3DDD">
        <w:t xml:space="preserve"> </w:t>
      </w:r>
      <w:r w:rsidR="000F7DCF" w:rsidRPr="00CF3DDD">
        <w:t xml:space="preserve">Carroll and </w:t>
      </w:r>
      <w:proofErr w:type="spellStart"/>
      <w:r w:rsidR="000F7DCF" w:rsidRPr="00CF3DDD">
        <w:t>Ahuvia’s</w:t>
      </w:r>
      <w:proofErr w:type="spellEnd"/>
      <w:r w:rsidR="000F7DCF" w:rsidRPr="00CF3DDD">
        <w:t xml:space="preserve"> Brand Love Model (2006) – </w:t>
      </w:r>
      <w:r w:rsidR="000F7DCF" w:rsidRPr="00CF3DDD">
        <w:rPr>
          <w:i/>
          <w:iCs/>
        </w:rPr>
        <w:t>Core Framework for Brand Love</w:t>
      </w:r>
      <w:bookmarkEnd w:id="36"/>
    </w:p>
    <w:p w14:paraId="24744650" w14:textId="77777777" w:rsidR="000F7DCF" w:rsidRPr="00CF3DDD" w:rsidRDefault="000F7DC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This seminal study defines brand love as the emotional and passionate attachment a satisfied customer has toward a brand. According to the authors, brand love positively influences both brand loyalty and word</w:t>
      </w:r>
      <w:r w:rsidR="00345BE7" w:rsidRPr="00CF3DDD">
        <w:rPr>
          <w:rFonts w:eastAsia="Times New Roman" w:cs="Times New Roman"/>
          <w:szCs w:val="24"/>
        </w:rPr>
        <w:t xml:space="preserve"> </w:t>
      </w:r>
      <w:r w:rsidRPr="00CF3DDD">
        <w:rPr>
          <w:rFonts w:eastAsia="Times New Roman" w:cs="Times New Roman"/>
          <w:szCs w:val="24"/>
        </w:rPr>
        <w:t>of</w:t>
      </w:r>
      <w:r w:rsidR="00345BE7" w:rsidRPr="00CF3DDD">
        <w:rPr>
          <w:rFonts w:eastAsia="Times New Roman" w:cs="Times New Roman"/>
          <w:szCs w:val="24"/>
        </w:rPr>
        <w:t xml:space="preserve"> </w:t>
      </w:r>
      <w:r w:rsidRPr="00CF3DDD">
        <w:rPr>
          <w:rFonts w:eastAsia="Times New Roman" w:cs="Times New Roman"/>
          <w:szCs w:val="24"/>
        </w:rPr>
        <w:t>mouth advocacy, making it a crucial element in modern branding strategy. This theory directly supports the emotional mechanism explored in this research.</w:t>
      </w:r>
    </w:p>
    <w:p w14:paraId="1BBA402F" w14:textId="7E59D8EC" w:rsidR="000F7DCF" w:rsidRPr="00CF3DDD" w:rsidRDefault="00BD2841" w:rsidP="00CF3DDD">
      <w:pPr>
        <w:pStyle w:val="Heading3"/>
        <w:spacing w:line="360" w:lineRule="auto"/>
      </w:pPr>
      <w:bookmarkStart w:id="37" w:name="_Toc209310596"/>
      <w:r w:rsidRPr="00CF3DDD">
        <w:t>2.</w:t>
      </w:r>
      <w:r w:rsidR="009A227F" w:rsidRPr="00CF3DDD">
        <w:t>7.2</w:t>
      </w:r>
      <w:r w:rsidRPr="00CF3DDD">
        <w:t xml:space="preserve"> </w:t>
      </w:r>
      <w:r w:rsidR="000F7DCF" w:rsidRPr="00CF3DDD">
        <w:t xml:space="preserve">Batra et al.’s Brand Love Framework (2012) – </w:t>
      </w:r>
      <w:r w:rsidR="000F7DCF" w:rsidRPr="00CF3DDD">
        <w:rPr>
          <w:i/>
          <w:iCs/>
        </w:rPr>
        <w:t>Dimensions of Emotional Brand Relationships</w:t>
      </w:r>
      <w:bookmarkEnd w:id="37"/>
    </w:p>
    <w:p w14:paraId="533D0BBD" w14:textId="77777777" w:rsidR="000F7DCF" w:rsidRPr="00CF3DDD" w:rsidRDefault="000F7DCF" w:rsidP="00CF3DDD">
      <w:pPr>
        <w:spacing w:before="100" w:beforeAutospacing="1" w:after="100" w:afterAutospacing="1" w:line="360" w:lineRule="auto"/>
        <w:rPr>
          <w:rFonts w:eastAsia="Times New Roman" w:cs="Times New Roman"/>
          <w:szCs w:val="24"/>
        </w:rPr>
      </w:pPr>
      <w:r>
        <w:t>This model identifies key components of brand love, including self, brand integration, positive affect, and anticipated separation distress. It adds a layer of depth to the concept by emphasising how emotional investment in a brand can mimic interpersonal relationships (Hayes, 2017). This is highly applicable to long-standing consumer-brand relationships, such as those many UK consumers may have with Nestlé.</w:t>
      </w:r>
    </w:p>
    <w:p w14:paraId="67F82222" w14:textId="02A4A7A7" w:rsidR="000F7DCF" w:rsidRPr="00CF3DDD" w:rsidRDefault="000F7DCF" w:rsidP="00CF3DDD">
      <w:pPr>
        <w:pStyle w:val="Heading2"/>
        <w:spacing w:line="360" w:lineRule="auto"/>
      </w:pPr>
      <w:bookmarkStart w:id="38" w:name="_Toc209310597"/>
      <w:r w:rsidRPr="00CF3DDD">
        <w:t>2.</w:t>
      </w:r>
      <w:r w:rsidR="009A227F" w:rsidRPr="00CF3DDD">
        <w:t>8</w:t>
      </w:r>
      <w:r w:rsidR="00BD2841" w:rsidRPr="00CF3DDD">
        <w:t xml:space="preserve"> </w:t>
      </w:r>
      <w:r w:rsidRPr="00CF3DDD">
        <w:t>Summary and Relevance to Research Framework</w:t>
      </w:r>
      <w:bookmarkEnd w:id="38"/>
    </w:p>
    <w:p w14:paraId="35424F57" w14:textId="77777777" w:rsidR="000F7DCF" w:rsidRPr="00CF3DDD" w:rsidRDefault="000F7DCF" w:rsidP="00CF3DDD">
      <w:pPr>
        <w:spacing w:before="100" w:beforeAutospacing="1" w:after="100" w:afterAutospacing="1" w:line="360" w:lineRule="auto"/>
        <w:rPr>
          <w:rFonts w:eastAsia="Times New Roman" w:cs="Times New Roman"/>
          <w:szCs w:val="24"/>
        </w:rPr>
      </w:pPr>
      <w:r>
        <w:t>The theoretical models reviewed in this section serve distinct however interconnected purposes in shaping this study:</w:t>
      </w:r>
    </w:p>
    <w:p w14:paraId="7E3EEBC0" w14:textId="1151D4FB" w:rsidR="00156410" w:rsidRPr="00CF3DDD" w:rsidRDefault="000F7DCF" w:rsidP="00CF3DDD">
      <w:pPr>
        <w:spacing w:before="100" w:beforeAutospacing="1" w:after="100" w:afterAutospacing="1" w:line="360" w:lineRule="auto"/>
        <w:rPr>
          <w:rFonts w:eastAsia="Times New Roman" w:cs="Times New Roman"/>
          <w:szCs w:val="24"/>
        </w:rPr>
      </w:pPr>
      <w:r>
        <w:t>By integrating these theories, this research builds a multi-dimensional conceptual framework that reflects both the cognitive and emotional pathways linking brand equity to loyalty. In applying these insights to Nestlé’s UK consumers, the study contributes not only to theoretical understanding however altherefore to practical brand management in highly competitive consumer markets (Hollebeek et al., 2019).</w:t>
      </w:r>
    </w:p>
    <w:p w14:paraId="4EE72913" w14:textId="47C45013" w:rsidR="003A0EED" w:rsidRPr="00CF3DDD" w:rsidRDefault="003A0EED" w:rsidP="00CF3DDD">
      <w:pPr>
        <w:pStyle w:val="Heading2"/>
        <w:spacing w:line="360" w:lineRule="auto"/>
      </w:pPr>
      <w:bookmarkStart w:id="39" w:name="_Toc209310598"/>
      <w:r w:rsidRPr="00CF3DDD">
        <w:lastRenderedPageBreak/>
        <w:t>2.</w:t>
      </w:r>
      <w:r w:rsidR="009A227F" w:rsidRPr="00CF3DDD">
        <w:t>9</w:t>
      </w:r>
      <w:r w:rsidRPr="00CF3DDD">
        <w:t xml:space="preserve"> Brand Loyalty in FMCG Markets: Drivers, Dimensions, and Debates</w:t>
      </w:r>
      <w:bookmarkEnd w:id="39"/>
    </w:p>
    <w:p w14:paraId="151F8F5A" w14:textId="77777777" w:rsidR="003A0EED" w:rsidRPr="00CF3DDD" w:rsidRDefault="003A0EED" w:rsidP="00CF3DDD">
      <w:pPr>
        <w:spacing w:before="100" w:beforeAutospacing="1" w:after="100" w:afterAutospacing="1" w:line="360" w:lineRule="auto"/>
        <w:rPr>
          <w:rFonts w:eastAsia="Times New Roman" w:cs="Times New Roman"/>
          <w:szCs w:val="24"/>
        </w:rPr>
      </w:pPr>
      <w:r>
        <w:t>Brand loyalty has been a central construct in marketing research for decades, however its interpretation has shifted significantly over time. In earlier literature, loyalty was understood predominantly as behavioural, consumers repeatedly purchasing the same brand out of habit or convenience (Jacoby &amp; Chestnut, 2009). However, later scholarship highlighted the need to distinguish between behavioural loyalty and attitudinal loyalty, with the latter reflecting emotional commitment, trust, and belief in a brand’s superiority (Oliver, 2017; Dick &amp; Basu, 2018). This distinction is particularly relevant in fast-moving consumer goods (FMCG) markets, where the low involvement nature of purchases complicates the assessment of true loyalty. The purpose of this section is to explore the nature of brand loyalty, its dimensions, and how it manifests specifically in FMCG contexts such as Nestlé’s UK market (Fournier, 2019).</w:t>
      </w:r>
    </w:p>
    <w:p w14:paraId="76CB342D" w14:textId="23F47C8F" w:rsidR="003A0EED" w:rsidRPr="00CF3DDD" w:rsidRDefault="003A0EED" w:rsidP="00CF3DDD">
      <w:pPr>
        <w:pStyle w:val="Heading2"/>
        <w:spacing w:line="360" w:lineRule="auto"/>
      </w:pPr>
      <w:bookmarkStart w:id="40" w:name="_Toc209310599"/>
      <w:r w:rsidRPr="00CF3DDD">
        <w:t>2.</w:t>
      </w:r>
      <w:r w:rsidR="009A227F" w:rsidRPr="00CF3DDD">
        <w:t>10</w:t>
      </w:r>
      <w:r w:rsidRPr="00CF3DDD">
        <w:t xml:space="preserve"> Defining Brand Loyalty: Beyond Repetition</w:t>
      </w:r>
      <w:bookmarkEnd w:id="40"/>
    </w:p>
    <w:p w14:paraId="6C9DA34C" w14:textId="77777777" w:rsidR="003A0EED" w:rsidRPr="00CF3DDD" w:rsidRDefault="003A0EED" w:rsidP="00CF3DDD">
      <w:pPr>
        <w:spacing w:before="100" w:beforeAutospacing="1" w:after="100" w:afterAutospacing="1" w:line="360" w:lineRule="auto"/>
        <w:rPr>
          <w:rFonts w:eastAsia="Times New Roman" w:cs="Times New Roman"/>
          <w:szCs w:val="24"/>
        </w:rPr>
      </w:pPr>
      <w:r>
        <w:t>Brand loyalty is commonly defined as a consumer’s consistent preference and repeat patronage of a brand over alternatives. However, researchers argue that this behaviour must be underpinned by a positive attitude or affective attachment to constitute true loyalty (Oliver, 2019). Dick and Basu’s (2014) framework emphasizes the role of relative attitude, not just whether consumers buy a brand repeatedly, however whether they do therefore with intention, preference, and resistance to switching.</w:t>
      </w:r>
    </w:p>
    <w:p w14:paraId="768E8BAC" w14:textId="77777777" w:rsidR="003A0EED" w:rsidRPr="00CF3DDD" w:rsidRDefault="003A0EED" w:rsidP="00CF3DDD">
      <w:pPr>
        <w:spacing w:before="100" w:beforeAutospacing="1" w:after="100" w:afterAutospacing="1" w:line="360" w:lineRule="auto"/>
        <w:rPr>
          <w:rFonts w:eastAsia="Times New Roman" w:cs="Times New Roman"/>
          <w:szCs w:val="24"/>
        </w:rPr>
      </w:pPr>
      <w:r w:rsidRPr="00CF3DDD">
        <w:rPr>
          <w:rFonts w:cs="Times New Roman"/>
        </w:rPr>
        <w:t xml:space="preserve">In the context of FMCG, repeated purchases may occur due to convenience, availability, or inertia, making it challenging to separate loyal </w:t>
      </w:r>
      <w:proofErr w:type="spellStart"/>
      <w:r w:rsidRPr="00CF3DDD">
        <w:rPr>
          <w:rFonts w:cs="Times New Roman"/>
        </w:rPr>
        <w:t>behaviour</w:t>
      </w:r>
      <w:proofErr w:type="spellEnd"/>
      <w:r w:rsidRPr="00CF3DDD">
        <w:rPr>
          <w:rFonts w:cs="Times New Roman"/>
        </w:rPr>
        <w:t xml:space="preserve"> from routine action. This has led researchers to stress the importance of identifying attitudinal loyalty, which includes emotional commitment, trust, satisfaction, and even brand love (Chaudhuri &amp; Holbrook, 2001). In other words, true brand loyalty exists when a consumer actively prefers a brand and continues to support it even when faced with alternatives or price promotions.</w:t>
      </w:r>
    </w:p>
    <w:p w14:paraId="5591496F" w14:textId="7E595780" w:rsidR="003A0EED" w:rsidRPr="00CF3DDD" w:rsidRDefault="003A0EED" w:rsidP="00CF3DDD">
      <w:pPr>
        <w:pStyle w:val="Heading2"/>
        <w:spacing w:line="360" w:lineRule="auto"/>
      </w:pPr>
      <w:bookmarkStart w:id="41" w:name="_Toc209310600"/>
      <w:r w:rsidRPr="00CF3DDD">
        <w:t>2.</w:t>
      </w:r>
      <w:r w:rsidR="009A227F" w:rsidRPr="00CF3DDD">
        <w:t>11</w:t>
      </w:r>
      <w:r w:rsidRPr="00CF3DDD">
        <w:t xml:space="preserve"> Dimensions of Brand Loyalty</w:t>
      </w:r>
      <w:bookmarkEnd w:id="41"/>
    </w:p>
    <w:p w14:paraId="41BAFC38" w14:textId="77777777" w:rsidR="003A0EED" w:rsidRPr="00CF3DDD" w:rsidRDefault="003A0EED"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Brand loyalty is typically </w:t>
      </w:r>
      <w:r w:rsidR="007D3226" w:rsidRPr="00CF3DDD">
        <w:rPr>
          <w:rFonts w:eastAsia="Times New Roman" w:cs="Times New Roman"/>
          <w:szCs w:val="24"/>
        </w:rPr>
        <w:t>conceptualized</w:t>
      </w:r>
      <w:r w:rsidRPr="00CF3DDD">
        <w:rPr>
          <w:rFonts w:eastAsia="Times New Roman" w:cs="Times New Roman"/>
          <w:szCs w:val="24"/>
        </w:rPr>
        <w:t xml:space="preserve"> along two dimensions:</w:t>
      </w:r>
    </w:p>
    <w:p w14:paraId="3D6AC277" w14:textId="77777777" w:rsidR="003A0EED" w:rsidRPr="00CF3DDD" w:rsidRDefault="00D96AB7" w:rsidP="00CF3DDD">
      <w:pPr>
        <w:numPr>
          <w:ilvl w:val="0"/>
          <w:numId w:val="5"/>
        </w:numPr>
        <w:spacing w:before="100" w:beforeAutospacing="1" w:after="100" w:afterAutospacing="1" w:line="360" w:lineRule="auto"/>
        <w:rPr>
          <w:rFonts w:eastAsia="Times New Roman" w:cs="Times New Roman"/>
          <w:szCs w:val="24"/>
        </w:rPr>
      </w:pPr>
      <w:proofErr w:type="spellStart"/>
      <w:r w:rsidRPr="00CF3DDD">
        <w:rPr>
          <w:rFonts w:cs="Times New Roman"/>
        </w:rPr>
        <w:lastRenderedPageBreak/>
        <w:t>Behavioural</w:t>
      </w:r>
      <w:proofErr w:type="spellEnd"/>
      <w:r w:rsidRPr="00CF3DDD">
        <w:rPr>
          <w:rFonts w:cs="Times New Roman"/>
        </w:rPr>
        <w:t xml:space="preserve"> Loyalty – The extent to which a consumer continues to buy a brand over time.</w:t>
      </w:r>
    </w:p>
    <w:p w14:paraId="43B32C11" w14:textId="77777777" w:rsidR="003A0EED" w:rsidRPr="00CF3DDD" w:rsidRDefault="003A0EED" w:rsidP="00366337">
      <w:pPr>
        <w:numPr>
          <w:ilvl w:val="0"/>
          <w:numId w:val="5"/>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Attitudinal Loyalty</w:t>
      </w:r>
      <w:r w:rsidRPr="00CF3DDD">
        <w:rPr>
          <w:rFonts w:eastAsia="Times New Roman" w:cs="Times New Roman"/>
          <w:szCs w:val="24"/>
        </w:rPr>
        <w:t xml:space="preserve"> – The strength of the consumer’s psychological commitment, often manifested through advocacy, resistance to alternatives, and emotional attachment.</w:t>
      </w:r>
    </w:p>
    <w:p w14:paraId="4BAE640A" w14:textId="77777777" w:rsidR="003A0EED" w:rsidRPr="00CF3DDD" w:rsidRDefault="003A0EED" w:rsidP="00366337">
      <w:pPr>
        <w:spacing w:before="100" w:beforeAutospacing="1" w:after="100" w:afterAutospacing="1" w:line="360" w:lineRule="auto"/>
        <w:rPr>
          <w:rFonts w:eastAsia="Times New Roman" w:cs="Times New Roman"/>
          <w:szCs w:val="24"/>
        </w:rPr>
      </w:pPr>
      <w:r>
        <w:t>Both dimensions are essential to assess brand loyalty accurately. For example, a Nestlé consumer who regularly buys KitKat may be behaviourally loyal, however unless they express a preference for it over other options (e.g., Cadbury) and associate it with personal meaning, they may not be considered truly loyal from a strategic brand perspective.</w:t>
      </w:r>
    </w:p>
    <w:p w14:paraId="7C40A1A1" w14:textId="77777777" w:rsidR="003A0EED" w:rsidRPr="00CF3DDD" w:rsidRDefault="003A0EED" w:rsidP="00366337">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Oliver’s (1999) </w:t>
      </w:r>
      <w:r w:rsidR="007D3226" w:rsidRPr="00CF3DDD">
        <w:rPr>
          <w:rFonts w:eastAsia="Times New Roman" w:cs="Times New Roman"/>
          <w:szCs w:val="24"/>
        </w:rPr>
        <w:t>four-stage</w:t>
      </w:r>
      <w:r w:rsidRPr="00CF3DDD">
        <w:rPr>
          <w:rFonts w:eastAsia="Times New Roman" w:cs="Times New Roman"/>
          <w:szCs w:val="24"/>
        </w:rPr>
        <w:t xml:space="preserve"> loyalty model further illustrates this progression from cognitive loyalty (based on belief in product superiority) to affective loyalty (liking the brand), conative loyalty (intention to repurchase), and finally action loyalty (resistance to switching despite obstacles). The final stages are of particular interest in this research because they are driven by emotional </w:t>
      </w:r>
      <w:r w:rsidR="0052191A" w:rsidRPr="00CF3DDD">
        <w:rPr>
          <w:rFonts w:eastAsia="Times New Roman" w:cs="Times New Roman"/>
          <w:szCs w:val="24"/>
        </w:rPr>
        <w:t>factors, such</w:t>
      </w:r>
      <w:r w:rsidRPr="00CF3DDD">
        <w:rPr>
          <w:rFonts w:eastAsia="Times New Roman" w:cs="Times New Roman"/>
          <w:szCs w:val="24"/>
        </w:rPr>
        <w:t xml:space="preserve"> as trust and </w:t>
      </w:r>
      <w:r w:rsidR="0052191A" w:rsidRPr="00CF3DDD">
        <w:rPr>
          <w:rFonts w:eastAsia="Times New Roman" w:cs="Times New Roman"/>
          <w:szCs w:val="24"/>
        </w:rPr>
        <w:t>love, rather</w:t>
      </w:r>
      <w:r w:rsidRPr="00CF3DDD">
        <w:rPr>
          <w:rFonts w:eastAsia="Times New Roman" w:cs="Times New Roman"/>
          <w:szCs w:val="24"/>
        </w:rPr>
        <w:t xml:space="preserve"> than rational assessments alone.</w:t>
      </w:r>
    </w:p>
    <w:p w14:paraId="5685A110" w14:textId="6FBFD7FF" w:rsidR="003A0EED" w:rsidRPr="00CF3DDD" w:rsidRDefault="003A0EED" w:rsidP="00CF3DDD">
      <w:pPr>
        <w:pStyle w:val="Heading2"/>
        <w:spacing w:line="360" w:lineRule="auto"/>
      </w:pPr>
      <w:bookmarkStart w:id="42" w:name="_Toc209310601"/>
      <w:r w:rsidRPr="00CF3DDD">
        <w:t>2.</w:t>
      </w:r>
      <w:r w:rsidR="009A227F" w:rsidRPr="00CF3DDD">
        <w:t>12</w:t>
      </w:r>
      <w:r w:rsidRPr="00CF3DDD">
        <w:t xml:space="preserve"> Brand Loyalty in FMCG: Challenges and Opportunities</w:t>
      </w:r>
      <w:bookmarkEnd w:id="42"/>
    </w:p>
    <w:p w14:paraId="5F80BB27" w14:textId="77777777" w:rsidR="003A0EED" w:rsidRPr="00CF3DDD" w:rsidRDefault="003A0EED"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FMCG markets present unique challenges to fostering and measuring brand loyalty. Purchases are typically low</w:t>
      </w:r>
      <w:r w:rsidR="00345BE7" w:rsidRPr="00CF3DDD">
        <w:rPr>
          <w:rFonts w:eastAsia="Times New Roman" w:cs="Times New Roman"/>
          <w:szCs w:val="24"/>
        </w:rPr>
        <w:t xml:space="preserve"> </w:t>
      </w:r>
      <w:r w:rsidRPr="00CF3DDD">
        <w:rPr>
          <w:rFonts w:eastAsia="Times New Roman" w:cs="Times New Roman"/>
          <w:szCs w:val="24"/>
        </w:rPr>
        <w:t>involvement, made quickly, and influenced by availability, price promotions, and retail shelf placement (Keller, 2003). This makes it difficult for brands to build lasting loyalty purely through product features or traditional marketing.</w:t>
      </w:r>
    </w:p>
    <w:p w14:paraId="6898A6ED" w14:textId="77777777" w:rsidR="003A0EED" w:rsidRPr="00CF3DDD" w:rsidRDefault="003A0EED"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However, FMCG brands like Nestlé have an opportunity to create emotional engagement by developing consistent, trustworthy brand identities and narratives. Aaker (</w:t>
      </w:r>
      <w:r w:rsidR="00993620" w:rsidRPr="00CF3DDD">
        <w:rPr>
          <w:rFonts w:eastAsia="Times New Roman" w:cs="Times New Roman"/>
          <w:szCs w:val="24"/>
        </w:rPr>
        <w:t>2014</w:t>
      </w:r>
      <w:r w:rsidRPr="00CF3DDD">
        <w:rPr>
          <w:rFonts w:eastAsia="Times New Roman" w:cs="Times New Roman"/>
          <w:szCs w:val="24"/>
        </w:rPr>
        <w:t xml:space="preserve">) argues that brands in </w:t>
      </w:r>
      <w:r w:rsidR="007D3226" w:rsidRPr="00CF3DDD">
        <w:rPr>
          <w:rFonts w:eastAsia="Times New Roman" w:cs="Times New Roman"/>
          <w:szCs w:val="24"/>
        </w:rPr>
        <w:t>commoditized</w:t>
      </w:r>
      <w:r w:rsidRPr="00CF3DDD">
        <w:rPr>
          <w:rFonts w:eastAsia="Times New Roman" w:cs="Times New Roman"/>
          <w:szCs w:val="24"/>
        </w:rPr>
        <w:t xml:space="preserve"> markets can still differentiate themselves through emotional positioning and value alignment with consumer beliefs</w:t>
      </w:r>
      <w:r w:rsidR="009B5F2A" w:rsidRPr="00CF3DDD">
        <w:rPr>
          <w:rFonts w:eastAsia="Times New Roman" w:cs="Times New Roman"/>
          <w:szCs w:val="24"/>
        </w:rPr>
        <w:t xml:space="preserve"> (</w:t>
      </w:r>
      <w:proofErr w:type="spellStart"/>
      <w:r w:rsidR="009B5F2A" w:rsidRPr="00CF3DDD">
        <w:rPr>
          <w:rFonts w:eastAsia="Times New Roman" w:cs="Times New Roman"/>
          <w:szCs w:val="24"/>
        </w:rPr>
        <w:t>Yoo</w:t>
      </w:r>
      <w:proofErr w:type="spellEnd"/>
      <w:r w:rsidR="009B5F2A" w:rsidRPr="00CF3DDD">
        <w:rPr>
          <w:rFonts w:eastAsia="Times New Roman" w:cs="Times New Roman"/>
          <w:szCs w:val="24"/>
        </w:rPr>
        <w:t xml:space="preserve"> &amp; </w:t>
      </w:r>
      <w:proofErr w:type="spellStart"/>
      <w:r w:rsidR="009B5F2A" w:rsidRPr="00CF3DDD">
        <w:rPr>
          <w:rFonts w:eastAsia="Times New Roman" w:cs="Times New Roman"/>
          <w:szCs w:val="24"/>
        </w:rPr>
        <w:t>Donthu</w:t>
      </w:r>
      <w:proofErr w:type="spellEnd"/>
      <w:r w:rsidR="009B5F2A" w:rsidRPr="00CF3DDD">
        <w:rPr>
          <w:rFonts w:eastAsia="Times New Roman" w:cs="Times New Roman"/>
          <w:szCs w:val="24"/>
        </w:rPr>
        <w:t>, 2001)</w:t>
      </w:r>
      <w:r w:rsidRPr="00CF3DDD">
        <w:rPr>
          <w:rFonts w:eastAsia="Times New Roman" w:cs="Times New Roman"/>
          <w:szCs w:val="24"/>
        </w:rPr>
        <w:t xml:space="preserve">. In the UK, for example, many consumers are drawn to brands perceived as ethical, environmentally conscious, or </w:t>
      </w:r>
      <w:r w:rsidR="007D3226" w:rsidRPr="00CF3DDD">
        <w:rPr>
          <w:rFonts w:eastAsia="Times New Roman" w:cs="Times New Roman"/>
          <w:szCs w:val="24"/>
        </w:rPr>
        <w:t>family-</w:t>
      </w:r>
      <w:r w:rsidR="00993620" w:rsidRPr="00CF3DDD">
        <w:rPr>
          <w:rFonts w:eastAsia="Times New Roman" w:cs="Times New Roman"/>
          <w:szCs w:val="24"/>
        </w:rPr>
        <w:t>oriented, all</w:t>
      </w:r>
      <w:r w:rsidRPr="00CF3DDD">
        <w:rPr>
          <w:rFonts w:eastAsia="Times New Roman" w:cs="Times New Roman"/>
          <w:szCs w:val="24"/>
        </w:rPr>
        <w:t xml:space="preserve"> attributes that Nestlé incorporates into its brand messaging.</w:t>
      </w:r>
    </w:p>
    <w:p w14:paraId="4348B12F" w14:textId="77777777" w:rsidR="003A0EED" w:rsidRPr="00CF3DDD" w:rsidRDefault="003A0EED" w:rsidP="00CF3DDD">
      <w:pPr>
        <w:spacing w:before="100" w:beforeAutospacing="1" w:after="100" w:afterAutospacing="1" w:line="360" w:lineRule="auto"/>
        <w:rPr>
          <w:rFonts w:eastAsia="Times New Roman" w:cs="Times New Roman"/>
          <w:szCs w:val="24"/>
        </w:rPr>
      </w:pPr>
      <w:r w:rsidRPr="00CF3DDD">
        <w:rPr>
          <w:rFonts w:cs="Times New Roman"/>
        </w:rPr>
        <w:t xml:space="preserve">Moreover, brand loyalty in FMCG can be reinforced through consumer-brand relationships, especially when the brand is associated with everyday routines, childhood memories, or cultural moments (Fournier, 2020). Such associations elevate brand choice from a simple transactional </w:t>
      </w:r>
      <w:r w:rsidRPr="00CF3DDD">
        <w:rPr>
          <w:rFonts w:cs="Times New Roman"/>
        </w:rPr>
        <w:lastRenderedPageBreak/>
        <w:t xml:space="preserve">decision to a form of emotional attachment, which is more resistant to switching </w:t>
      </w:r>
      <w:proofErr w:type="spellStart"/>
      <w:r w:rsidRPr="00CF3DDD">
        <w:rPr>
          <w:rFonts w:cs="Times New Roman"/>
        </w:rPr>
        <w:t>behaviour</w:t>
      </w:r>
      <w:proofErr w:type="spellEnd"/>
      <w:r w:rsidRPr="00CF3DDD">
        <w:rPr>
          <w:rFonts w:cs="Times New Roman"/>
        </w:rPr>
        <w:t xml:space="preserve"> (Delgado-</w:t>
      </w:r>
      <w:proofErr w:type="spellStart"/>
      <w:r w:rsidRPr="00CF3DDD">
        <w:rPr>
          <w:rFonts w:cs="Times New Roman"/>
        </w:rPr>
        <w:t>Ballester</w:t>
      </w:r>
      <w:proofErr w:type="spellEnd"/>
      <w:r w:rsidRPr="00CF3DDD">
        <w:rPr>
          <w:rFonts w:cs="Times New Roman"/>
        </w:rPr>
        <w:t xml:space="preserve"> &amp; </w:t>
      </w:r>
      <w:proofErr w:type="spellStart"/>
      <w:r w:rsidRPr="00CF3DDD">
        <w:rPr>
          <w:rFonts w:cs="Times New Roman"/>
        </w:rPr>
        <w:t>Munuera-Alemán</w:t>
      </w:r>
      <w:proofErr w:type="spellEnd"/>
      <w:r w:rsidRPr="00CF3DDD">
        <w:rPr>
          <w:rFonts w:cs="Times New Roman"/>
        </w:rPr>
        <w:t>, 2019)</w:t>
      </w:r>
    </w:p>
    <w:p w14:paraId="56C21ECE" w14:textId="4E2CC6CD" w:rsidR="003A0EED" w:rsidRPr="00CF3DDD" w:rsidRDefault="003A0EED" w:rsidP="00CF3DDD">
      <w:pPr>
        <w:pStyle w:val="Heading2"/>
        <w:spacing w:line="360" w:lineRule="auto"/>
      </w:pPr>
      <w:bookmarkStart w:id="43" w:name="_Toc209310602"/>
      <w:r w:rsidRPr="00CF3DDD">
        <w:t>2.</w:t>
      </w:r>
      <w:r w:rsidR="009A227F" w:rsidRPr="00CF3DDD">
        <w:t>13</w:t>
      </w:r>
      <w:r w:rsidRPr="00CF3DDD">
        <w:t xml:space="preserve"> Nestlé and the Loyalty Equation in the UK Market</w:t>
      </w:r>
      <w:bookmarkEnd w:id="43"/>
    </w:p>
    <w:p w14:paraId="7024B0A8" w14:textId="77777777" w:rsidR="003A0EED" w:rsidRPr="00CF3DDD" w:rsidRDefault="003A0EED" w:rsidP="00CF3DDD">
      <w:pPr>
        <w:spacing w:before="100" w:beforeAutospacing="1" w:after="100" w:afterAutospacing="1" w:line="360" w:lineRule="auto"/>
        <w:rPr>
          <w:rFonts w:eastAsia="Times New Roman" w:cs="Times New Roman"/>
          <w:szCs w:val="24"/>
        </w:rPr>
      </w:pPr>
      <w:r>
        <w:t>Nestlé operates in a highly competitive UK FMCG landscape where brand loyalty is both a strategic advantage and a fragile asset. British consumers are increasingly health-conscious and value transparency, sustainability, and corporate responsibility. Nestlé’s ability to retain consumer loyalty hinges on more than just quality or taste; it altherefore depends on maintaining brand trust and fostering emotional bonds (Hollebeek et al., 2019).</w:t>
      </w:r>
    </w:p>
    <w:p w14:paraId="4A9A057B" w14:textId="77777777" w:rsidR="003A0EED" w:rsidRPr="00CF3DDD" w:rsidRDefault="003A0EED" w:rsidP="00CF3DDD">
      <w:pPr>
        <w:spacing w:before="100" w:beforeAutospacing="1" w:after="100" w:afterAutospacing="1" w:line="360" w:lineRule="auto"/>
        <w:rPr>
          <w:rFonts w:eastAsia="Times New Roman" w:cs="Times New Roman"/>
          <w:szCs w:val="24"/>
        </w:rPr>
      </w:pPr>
      <w:r>
        <w:t>Recent campaigns such as Nestlé’s sustainability commitments, health-driven product innovations, and digital engagement strategies have been designed to build long-term emotional loyalty (Madadi et al., 2021). For example, the “Nestlé for Healthier Kids” programme and the shift toward recyclable packaging signal a focus on brand values, which many consumers view as extensions of their identity. These initiatives are particularly important for appealing to the attitudinal loyalty of younger and more ethically minded segments of the UK market.</w:t>
      </w:r>
    </w:p>
    <w:p w14:paraId="11D1219E" w14:textId="77777777" w:rsidR="003A0EED" w:rsidRPr="00CF3DDD" w:rsidRDefault="003A0EED" w:rsidP="00CF3DDD">
      <w:pPr>
        <w:spacing w:before="100" w:beforeAutospacing="1" w:after="100" w:afterAutospacing="1" w:line="360" w:lineRule="auto"/>
        <w:rPr>
          <w:rFonts w:eastAsia="Times New Roman" w:cs="Times New Roman"/>
          <w:szCs w:val="24"/>
        </w:rPr>
      </w:pPr>
      <w:r>
        <w:t>Additionally, Nestlé's brands, like KitKat, Nescafé, and Smarties, carry strong nostalgic and emotional appeal. This offers a pathway to brand love, where consumers form passionate and enduring attachments, often rooted in long-term exposure and emotional moments (Marmat, 2023). Such attachments not only drive repeat purchases however altherefore increase consumer willingness to advocate for the brand and overlook occasional product flaws, classic signs of strong loyalty.</w:t>
      </w:r>
    </w:p>
    <w:p w14:paraId="1F036D63" w14:textId="1692D97F" w:rsidR="00314E1C" w:rsidRPr="00CF3DDD" w:rsidRDefault="00314E1C" w:rsidP="00CF3DDD">
      <w:pPr>
        <w:pStyle w:val="Heading2"/>
        <w:spacing w:line="360" w:lineRule="auto"/>
      </w:pPr>
      <w:bookmarkStart w:id="44" w:name="_Toc209310603"/>
      <w:r w:rsidRPr="00CF3DDD">
        <w:t>2.</w:t>
      </w:r>
      <w:r w:rsidR="009A227F" w:rsidRPr="00CF3DDD">
        <w:t>14</w:t>
      </w:r>
      <w:r w:rsidRPr="00CF3DDD">
        <w:t xml:space="preserve"> Mediating Role of Brand Trust in the Brand Equity–Loyalty Relationship</w:t>
      </w:r>
      <w:bookmarkEnd w:id="44"/>
    </w:p>
    <w:p w14:paraId="61883146" w14:textId="77777777" w:rsidR="00314E1C" w:rsidRPr="00CF3DDD" w:rsidRDefault="00314E1C" w:rsidP="00CF3DDD">
      <w:pPr>
        <w:spacing w:before="100" w:beforeAutospacing="1" w:after="100" w:afterAutospacing="1" w:line="360" w:lineRule="auto"/>
        <w:rPr>
          <w:rFonts w:eastAsia="Times New Roman" w:cs="Times New Roman"/>
          <w:szCs w:val="24"/>
        </w:rPr>
      </w:pPr>
      <w:r w:rsidRPr="00CF3DDD">
        <w:rPr>
          <w:rFonts w:cs="Times New Roman"/>
        </w:rPr>
        <w:t xml:space="preserve">Brand trust plays a pivotal role in influencing consumer </w:t>
      </w:r>
      <w:proofErr w:type="spellStart"/>
      <w:r w:rsidRPr="00CF3DDD">
        <w:rPr>
          <w:rFonts w:cs="Times New Roman"/>
        </w:rPr>
        <w:t>behaviour</w:t>
      </w:r>
      <w:proofErr w:type="spellEnd"/>
      <w:r w:rsidRPr="00CF3DDD">
        <w:rPr>
          <w:rFonts w:cs="Times New Roman"/>
        </w:rPr>
        <w:t xml:space="preserve">, particularly in the transition from brand perception to long-term loyalty. Defined as a consumer’s belief that a brand is reliable, honest, and will fulfil its promises, brand trust becomes an essential psychological mechanism in competitive sectors like fast-moving consumer goods (FMCG) (Hsu &amp; Lu, 2018). In the case of Nestlé, which operates in sensitive categories such as nutrition, beverages, and confectionery, the importance of building and maintaining consumer trust is especially heightened (Huang, 2017). </w:t>
      </w:r>
      <w:r w:rsidRPr="00CF3DDD">
        <w:rPr>
          <w:rFonts w:cs="Times New Roman"/>
        </w:rPr>
        <w:lastRenderedPageBreak/>
        <w:t>Consumers today are not merely purchasing products; they are engaging with brands they believe in. This section critically examines how brand trust mediates the relationship between brand equity and brand loyalty, using Nestlé as a focal point throughout.</w:t>
      </w:r>
    </w:p>
    <w:p w14:paraId="40D7411E" w14:textId="583E2EA1" w:rsidR="00314E1C" w:rsidRPr="00CF3DDD" w:rsidRDefault="00314E1C" w:rsidP="00CF3DDD">
      <w:pPr>
        <w:pStyle w:val="Heading2"/>
        <w:spacing w:line="360" w:lineRule="auto"/>
      </w:pPr>
      <w:bookmarkStart w:id="45" w:name="_Toc209310604"/>
      <w:r w:rsidRPr="00CF3DDD">
        <w:t>2.</w:t>
      </w:r>
      <w:r w:rsidR="009A227F" w:rsidRPr="00CF3DDD">
        <w:t>15</w:t>
      </w:r>
      <w:r w:rsidRPr="00CF3DDD">
        <w:t xml:space="preserve"> </w:t>
      </w:r>
      <w:r w:rsidR="00894731" w:rsidRPr="00CF3DDD">
        <w:t>Conceptualizing</w:t>
      </w:r>
      <w:r w:rsidRPr="00CF3DDD">
        <w:t xml:space="preserve"> Brand Trust</w:t>
      </w:r>
      <w:bookmarkEnd w:id="45"/>
    </w:p>
    <w:p w14:paraId="1CE9EAF3" w14:textId="77777777" w:rsidR="00314E1C" w:rsidRPr="00CF3DDD" w:rsidRDefault="00314E1C" w:rsidP="00CF3DDD">
      <w:pPr>
        <w:spacing w:before="100" w:beforeAutospacing="1" w:after="100" w:afterAutospacing="1" w:line="360" w:lineRule="auto"/>
        <w:rPr>
          <w:rFonts w:eastAsia="Times New Roman" w:cs="Times New Roman"/>
          <w:szCs w:val="24"/>
        </w:rPr>
      </w:pPr>
      <w:r>
        <w:t>The concept of brand trust is rooted in relationship marketing and draws upon theories of interpersonal trust. According to Morgan and Hunt’s (2014) Commitment, Trust Theory, trust is a key factor in developing long-term relationships. In the branding context, trust refers to a consumer’s belief that a brand will act in their best interest and deliver consistent value (Delgado, Ballester et al., 2003). This belief is not formed overnight however is built over repeated, positive experiences with a brand.</w:t>
      </w:r>
    </w:p>
    <w:p w14:paraId="54E737F4" w14:textId="77777777" w:rsidR="00314E1C" w:rsidRPr="00CF3DDD" w:rsidRDefault="00314E1C" w:rsidP="00CF3DDD">
      <w:pPr>
        <w:spacing w:before="100" w:beforeAutospacing="1" w:after="100" w:afterAutospacing="1" w:line="360" w:lineRule="auto"/>
        <w:rPr>
          <w:rFonts w:eastAsia="Times New Roman" w:cs="Times New Roman"/>
          <w:szCs w:val="24"/>
        </w:rPr>
      </w:pPr>
      <w:r>
        <w:t>For Nestlé, trust is a critical asset. Operating in a market where products directly impact health and well-being, the brand must demonstrate reliability not only in product quality however altherefore in corporate ethics. Nestlé’s investments in nutrition transparency, sustainable sourcing, and child protection policies are not merely CSR efforts; they are fundamental to establishing intentional trust with UK consumers, particularly those who are increasingly conscious of brand integrity (Ipsos M, 2021).</w:t>
      </w:r>
    </w:p>
    <w:p w14:paraId="455A7703" w14:textId="4948EC23" w:rsidR="00314E1C" w:rsidRPr="00CF3DDD" w:rsidRDefault="00314E1C" w:rsidP="00CF3DDD">
      <w:pPr>
        <w:pStyle w:val="Heading2"/>
        <w:spacing w:line="360" w:lineRule="auto"/>
      </w:pPr>
      <w:bookmarkStart w:id="46" w:name="_Toc209310605"/>
      <w:r w:rsidRPr="00CF3DDD">
        <w:t>2.</w:t>
      </w:r>
      <w:r w:rsidR="009A227F" w:rsidRPr="00CF3DDD">
        <w:t>16</w:t>
      </w:r>
      <w:r w:rsidRPr="00CF3DDD">
        <w:t xml:space="preserve"> Trust as a Mediator Between Brand Equity and Loyalty</w:t>
      </w:r>
      <w:bookmarkEnd w:id="46"/>
    </w:p>
    <w:p w14:paraId="3A949318" w14:textId="77777777" w:rsidR="00314E1C" w:rsidRPr="00CF3DDD" w:rsidRDefault="00314E1C"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A growing body of research positions brand trust as a key mediator between brand equity and brand loyalty. According to Chaudhuri and Holbrook (2001), brand trust strengthens the effect of brand equity on consumer commitment by enhancing emotional security and reducing uncertainty. When consumers perceive a brand like Nestlé as competent and caring, they are more likely to develop </w:t>
      </w:r>
      <w:r w:rsidR="007D3226" w:rsidRPr="00CF3DDD">
        <w:rPr>
          <w:rFonts w:eastAsia="Times New Roman" w:cs="Times New Roman"/>
          <w:szCs w:val="24"/>
        </w:rPr>
        <w:t>long-term</w:t>
      </w:r>
      <w:r w:rsidRPr="00CF3DDD">
        <w:rPr>
          <w:rFonts w:eastAsia="Times New Roman" w:cs="Times New Roman"/>
          <w:szCs w:val="24"/>
        </w:rPr>
        <w:t xml:space="preserve"> attitudinal loyalty, even when faced with </w:t>
      </w:r>
      <w:r w:rsidR="007D3226" w:rsidRPr="00CF3DDD">
        <w:rPr>
          <w:rFonts w:eastAsia="Times New Roman" w:cs="Times New Roman"/>
          <w:szCs w:val="24"/>
        </w:rPr>
        <w:t>price-based</w:t>
      </w:r>
      <w:r w:rsidRPr="00CF3DDD">
        <w:rPr>
          <w:rFonts w:eastAsia="Times New Roman" w:cs="Times New Roman"/>
          <w:szCs w:val="24"/>
        </w:rPr>
        <w:t xml:space="preserve"> alternatives.</w:t>
      </w:r>
    </w:p>
    <w:p w14:paraId="70DBD3DC" w14:textId="0B646E37" w:rsidR="00314E1C" w:rsidRDefault="00314E1C" w:rsidP="00CF3DDD">
      <w:pPr>
        <w:spacing w:before="100" w:beforeAutospacing="1" w:after="100" w:afterAutospacing="1" w:line="360" w:lineRule="auto"/>
        <w:rPr>
          <w:rFonts w:cs="Times New Roman"/>
        </w:rPr>
      </w:pPr>
      <w:r>
        <w:t xml:space="preserve">This mediating role is particularly important in the UK FMCG market, where consumers are bombarded with choices. Even if Nestlé possesses strong brand equity, such as recognition, associations with quality, and favourable consumer perceptions, without trust, that equity may not convert into loyalty. Lau and Lee (2019) altherefore support this view, arguing that trust plays a pivotal role in turning positive perceptions into behavioural intentions (Ebrahim, 2020). For </w:t>
      </w:r>
      <w:r>
        <w:lastRenderedPageBreak/>
        <w:t>Nestlé, this means that consumers who perceive its products as trustworthy are more likely to repurchase, recommend, and remain loyal even during crises, such as recalls or negative publicity.</w:t>
      </w:r>
    </w:p>
    <w:p w14:paraId="26E4DCF8" w14:textId="77777777" w:rsidR="002B707D" w:rsidRPr="00CF3DDD" w:rsidRDefault="002B707D" w:rsidP="00CF3DDD">
      <w:pPr>
        <w:spacing w:before="100" w:beforeAutospacing="1" w:after="100" w:afterAutospacing="1" w:line="360" w:lineRule="auto"/>
        <w:rPr>
          <w:rFonts w:eastAsia="Times New Roman" w:cs="Times New Roman"/>
          <w:szCs w:val="24"/>
        </w:rPr>
      </w:pPr>
    </w:p>
    <w:p w14:paraId="3C5B9E73" w14:textId="271313FB" w:rsidR="00314E1C" w:rsidRPr="00CF3DDD" w:rsidRDefault="00314E1C" w:rsidP="00CF3DDD">
      <w:pPr>
        <w:pStyle w:val="Heading2"/>
        <w:spacing w:line="360" w:lineRule="auto"/>
      </w:pPr>
      <w:bookmarkStart w:id="47" w:name="_Toc209310606"/>
      <w:r w:rsidRPr="00CF3DDD">
        <w:t>2.</w:t>
      </w:r>
      <w:r w:rsidR="009A227F" w:rsidRPr="00CF3DDD">
        <w:t>17</w:t>
      </w:r>
      <w:r w:rsidRPr="00CF3DDD">
        <w:t xml:space="preserve"> Drivers of Brand Trust in FMCG: Nestlé’s Strategic Position</w:t>
      </w:r>
      <w:bookmarkEnd w:id="47"/>
    </w:p>
    <w:p w14:paraId="21DA819D" w14:textId="77777777" w:rsidR="00314E1C" w:rsidRPr="00CF3DDD" w:rsidRDefault="00314E1C"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Trust in FMCG brands is generally influenced by a combination of product consistency, ethical practices, and </w:t>
      </w:r>
      <w:r w:rsidR="009A227F" w:rsidRPr="00CF3DDD">
        <w:rPr>
          <w:rFonts w:eastAsia="Times New Roman" w:cs="Times New Roman"/>
          <w:szCs w:val="24"/>
        </w:rPr>
        <w:t>transparency, all</w:t>
      </w:r>
      <w:r w:rsidRPr="00CF3DDD">
        <w:rPr>
          <w:rFonts w:eastAsia="Times New Roman" w:cs="Times New Roman"/>
          <w:szCs w:val="24"/>
        </w:rPr>
        <w:t xml:space="preserve"> areas where Nestlé’s performance is closely </w:t>
      </w:r>
      <w:r w:rsidR="007D3226" w:rsidRPr="00CF3DDD">
        <w:rPr>
          <w:rFonts w:eastAsia="Times New Roman" w:cs="Times New Roman"/>
          <w:szCs w:val="24"/>
        </w:rPr>
        <w:t>scrutinized</w:t>
      </w:r>
      <w:r w:rsidRPr="00CF3DDD">
        <w:rPr>
          <w:rFonts w:eastAsia="Times New Roman" w:cs="Times New Roman"/>
          <w:szCs w:val="24"/>
        </w:rPr>
        <w:t xml:space="preserve"> in the UK. For instance:</w:t>
      </w:r>
    </w:p>
    <w:p w14:paraId="56AB23B9" w14:textId="77777777" w:rsidR="00314E1C" w:rsidRPr="00CF3DDD" w:rsidRDefault="00314E1C" w:rsidP="00CF3DDD">
      <w:pPr>
        <w:numPr>
          <w:ilvl w:val="0"/>
          <w:numId w:val="6"/>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Product Consistency</w:t>
      </w:r>
      <w:r w:rsidRPr="00CF3DDD">
        <w:rPr>
          <w:rFonts w:eastAsia="Times New Roman" w:cs="Times New Roman"/>
          <w:szCs w:val="24"/>
        </w:rPr>
        <w:t xml:space="preserve">: Nestlé’s </w:t>
      </w:r>
      <w:r w:rsidR="007D3226" w:rsidRPr="00CF3DDD">
        <w:rPr>
          <w:rFonts w:eastAsia="Times New Roman" w:cs="Times New Roman"/>
          <w:szCs w:val="24"/>
        </w:rPr>
        <w:t>long-standing</w:t>
      </w:r>
      <w:r w:rsidRPr="00CF3DDD">
        <w:rPr>
          <w:rFonts w:eastAsia="Times New Roman" w:cs="Times New Roman"/>
          <w:szCs w:val="24"/>
        </w:rPr>
        <w:t xml:space="preserve"> brands</w:t>
      </w:r>
      <w:r w:rsidR="00987D65" w:rsidRPr="00CF3DDD">
        <w:rPr>
          <w:rFonts w:eastAsia="Times New Roman" w:cs="Times New Roman"/>
          <w:szCs w:val="24"/>
        </w:rPr>
        <w:t>,</w:t>
      </w:r>
      <w:r w:rsidRPr="00CF3DDD">
        <w:rPr>
          <w:rFonts w:eastAsia="Times New Roman" w:cs="Times New Roman"/>
          <w:szCs w:val="24"/>
        </w:rPr>
        <w:t xml:space="preserve"> such as </w:t>
      </w:r>
      <w:r w:rsidRPr="00CF3DDD">
        <w:rPr>
          <w:rFonts w:eastAsia="Times New Roman" w:cs="Times New Roman"/>
          <w:b/>
          <w:bCs/>
          <w:szCs w:val="24"/>
        </w:rPr>
        <w:t>KitKat, Nescafé, and Smarties</w:t>
      </w:r>
      <w:r w:rsidR="00987D65" w:rsidRPr="00CF3DDD">
        <w:rPr>
          <w:rFonts w:eastAsia="Times New Roman" w:cs="Times New Roman"/>
          <w:b/>
          <w:bCs/>
          <w:szCs w:val="24"/>
        </w:rPr>
        <w:t>,</w:t>
      </w:r>
      <w:r w:rsidRPr="00CF3DDD">
        <w:rPr>
          <w:rFonts w:eastAsia="Times New Roman" w:cs="Times New Roman"/>
          <w:szCs w:val="24"/>
        </w:rPr>
        <w:t xml:space="preserve"> have maintained consistent quality over decades, which reinforces reliability</w:t>
      </w:r>
      <w:r w:rsidR="00345BE7" w:rsidRPr="00CF3DDD">
        <w:rPr>
          <w:rFonts w:eastAsia="Times New Roman" w:cs="Times New Roman"/>
          <w:szCs w:val="24"/>
        </w:rPr>
        <w:t xml:space="preserve">, </w:t>
      </w:r>
      <w:r w:rsidRPr="00CF3DDD">
        <w:rPr>
          <w:rFonts w:eastAsia="Times New Roman" w:cs="Times New Roman"/>
          <w:szCs w:val="24"/>
        </w:rPr>
        <w:t xml:space="preserve">based </w:t>
      </w:r>
      <w:r w:rsidR="007D3226" w:rsidRPr="00CF3DDD">
        <w:rPr>
          <w:rFonts w:eastAsia="Times New Roman" w:cs="Times New Roman"/>
          <w:szCs w:val="24"/>
        </w:rPr>
        <w:t xml:space="preserve">on </w:t>
      </w:r>
      <w:r w:rsidRPr="00CF3DDD">
        <w:rPr>
          <w:rFonts w:eastAsia="Times New Roman" w:cs="Times New Roman"/>
          <w:szCs w:val="24"/>
        </w:rPr>
        <w:t>trust among British consumers.</w:t>
      </w:r>
    </w:p>
    <w:p w14:paraId="7E86592E" w14:textId="77777777" w:rsidR="00314E1C" w:rsidRPr="00CF3DDD" w:rsidRDefault="00314E1C" w:rsidP="00CF3DDD">
      <w:pPr>
        <w:numPr>
          <w:ilvl w:val="0"/>
          <w:numId w:val="6"/>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Transparency and Information</w:t>
      </w:r>
      <w:r w:rsidRPr="00CF3DDD">
        <w:rPr>
          <w:rFonts w:eastAsia="Times New Roman" w:cs="Times New Roman"/>
          <w:szCs w:val="24"/>
        </w:rPr>
        <w:t>: Nestlé UK actively shares product details, nutritional data, and sustainability information through online platforms, helping to build consumer confidence.</w:t>
      </w:r>
    </w:p>
    <w:p w14:paraId="031825E9" w14:textId="77777777" w:rsidR="00314E1C" w:rsidRPr="00CF3DDD" w:rsidRDefault="00314E1C" w:rsidP="00CF3DDD">
      <w:pPr>
        <w:numPr>
          <w:ilvl w:val="0"/>
          <w:numId w:val="6"/>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CSR and Ethics</w:t>
      </w:r>
      <w:r w:rsidRPr="00CF3DDD">
        <w:rPr>
          <w:rFonts w:eastAsia="Times New Roman" w:cs="Times New Roman"/>
          <w:szCs w:val="24"/>
        </w:rPr>
        <w:t xml:space="preserve">: The brand’s recent </w:t>
      </w:r>
      <w:r w:rsidR="00D964C9" w:rsidRPr="00CF3DDD">
        <w:rPr>
          <w:rFonts w:eastAsia="Times New Roman" w:cs="Times New Roman"/>
          <w:szCs w:val="24"/>
        </w:rPr>
        <w:t>efforts, such</w:t>
      </w:r>
      <w:r w:rsidRPr="00CF3DDD">
        <w:rPr>
          <w:rFonts w:eastAsia="Times New Roman" w:cs="Times New Roman"/>
          <w:szCs w:val="24"/>
        </w:rPr>
        <w:t xml:space="preserve"> as shifting to recyclable packaging, reducing added sugars, and committing to carbon </w:t>
      </w:r>
      <w:r w:rsidR="00D964C9" w:rsidRPr="00CF3DDD">
        <w:rPr>
          <w:rFonts w:eastAsia="Times New Roman" w:cs="Times New Roman"/>
          <w:szCs w:val="24"/>
        </w:rPr>
        <w:t>neutrality, are</w:t>
      </w:r>
      <w:r w:rsidRPr="00CF3DDD">
        <w:rPr>
          <w:rFonts w:eastAsia="Times New Roman" w:cs="Times New Roman"/>
          <w:szCs w:val="24"/>
        </w:rPr>
        <w:t xml:space="preserve"> strategic responses to consumer demands for ethical conduct and environmental responsibility.</w:t>
      </w:r>
    </w:p>
    <w:p w14:paraId="50731A35" w14:textId="77777777" w:rsidR="00314E1C" w:rsidRPr="00CF3DDD" w:rsidRDefault="00314E1C" w:rsidP="00CF3DDD">
      <w:pPr>
        <w:numPr>
          <w:ilvl w:val="0"/>
          <w:numId w:val="6"/>
        </w:numPr>
        <w:spacing w:before="100" w:beforeAutospacing="1" w:after="100" w:afterAutospacing="1" w:line="360" w:lineRule="auto"/>
        <w:rPr>
          <w:rFonts w:eastAsia="Times New Roman" w:cs="Times New Roman"/>
          <w:szCs w:val="24"/>
        </w:rPr>
      </w:pPr>
      <w:r>
        <w:t>Health and Wellbeing: Nestlé has altherefore made efforts to reformulate products to be healthier, aligning with the UK government's public health agenda and consumer preferences.</w:t>
      </w:r>
    </w:p>
    <w:p w14:paraId="6AC156CB" w14:textId="77777777" w:rsidR="00314E1C" w:rsidRPr="00CF3DDD" w:rsidRDefault="00314E1C" w:rsidP="00CF3DDD">
      <w:pPr>
        <w:spacing w:before="100" w:beforeAutospacing="1" w:after="100" w:afterAutospacing="1" w:line="360" w:lineRule="auto"/>
        <w:rPr>
          <w:rFonts w:eastAsia="Times New Roman" w:cs="Times New Roman"/>
          <w:szCs w:val="24"/>
        </w:rPr>
      </w:pPr>
      <w:r>
        <w:t>These initiatives serve not only as brand differentiators however altherefore as pillars for building trust. Trust, in this sense, becomes both a relational currency and a competitive shield that protects the brand against switching behaviour and negative market forces.</w:t>
      </w:r>
    </w:p>
    <w:p w14:paraId="162B9E0A" w14:textId="05A37985" w:rsidR="00314E1C" w:rsidRPr="00CF3DDD" w:rsidRDefault="00314E1C" w:rsidP="00CF3DDD">
      <w:pPr>
        <w:pStyle w:val="Heading2"/>
        <w:spacing w:line="360" w:lineRule="auto"/>
      </w:pPr>
      <w:bookmarkStart w:id="48" w:name="_Toc209310607"/>
      <w:r w:rsidRPr="00CF3DDD">
        <w:t>2.</w:t>
      </w:r>
      <w:r w:rsidR="009A227F" w:rsidRPr="00CF3DDD">
        <w:t>18</w:t>
      </w:r>
      <w:r w:rsidRPr="00CF3DDD">
        <w:t xml:space="preserve"> Nestlé and the Loyalty Equation: Trust as a Critical Link</w:t>
      </w:r>
      <w:bookmarkEnd w:id="48"/>
    </w:p>
    <w:p w14:paraId="225A9584" w14:textId="77777777" w:rsidR="00314E1C" w:rsidRPr="00CF3DDD" w:rsidRDefault="00314E1C"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For a heritage brand like </w:t>
      </w:r>
      <w:r w:rsidRPr="00CF3DDD">
        <w:rPr>
          <w:rFonts w:eastAsia="Times New Roman" w:cs="Times New Roman"/>
          <w:b/>
          <w:bCs/>
          <w:szCs w:val="24"/>
        </w:rPr>
        <w:t>Nestlé</w:t>
      </w:r>
      <w:r w:rsidRPr="00CF3DDD">
        <w:rPr>
          <w:rFonts w:eastAsia="Times New Roman" w:cs="Times New Roman"/>
          <w:szCs w:val="24"/>
        </w:rPr>
        <w:t xml:space="preserve">, trust is the bridge that connects brand equity to brand loyalty. In a highly saturated UK FMCG market, where price wars and promotions are common, trust gives consumers a reason to stay loyal beyond rational considerations. Research by </w:t>
      </w:r>
      <w:proofErr w:type="spellStart"/>
      <w:r w:rsidRPr="00CF3DDD">
        <w:rPr>
          <w:rFonts w:eastAsia="Times New Roman" w:cs="Times New Roman"/>
          <w:szCs w:val="24"/>
        </w:rPr>
        <w:t>Esch</w:t>
      </w:r>
      <w:proofErr w:type="spellEnd"/>
      <w:r w:rsidRPr="00CF3DDD">
        <w:rPr>
          <w:rFonts w:eastAsia="Times New Roman" w:cs="Times New Roman"/>
          <w:szCs w:val="24"/>
        </w:rPr>
        <w:t xml:space="preserve"> et al. (2006) </w:t>
      </w:r>
      <w:r w:rsidRPr="00CF3DDD">
        <w:rPr>
          <w:rFonts w:eastAsia="Times New Roman" w:cs="Times New Roman"/>
          <w:szCs w:val="24"/>
        </w:rPr>
        <w:lastRenderedPageBreak/>
        <w:t>supports this, suggesting that consumers who trust a brand are less likely to switch, even when cheaper options are available.</w:t>
      </w:r>
    </w:p>
    <w:p w14:paraId="08269F0E" w14:textId="77777777" w:rsidR="00314E1C" w:rsidRPr="00CF3DDD" w:rsidRDefault="00314E1C"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Moreover, brand trust enhances consumer tolerance during brand shortcomings, such as temporary unavailability or slight price increases</w:t>
      </w:r>
      <w:r w:rsidR="00894731" w:rsidRPr="00CF3DDD">
        <w:rPr>
          <w:rFonts w:eastAsia="Times New Roman" w:cs="Times New Roman"/>
          <w:szCs w:val="24"/>
        </w:rPr>
        <w:t xml:space="preserve"> (Dawes, Meyer-</w:t>
      </w:r>
      <w:proofErr w:type="spellStart"/>
      <w:r w:rsidR="00894731" w:rsidRPr="00CF3DDD">
        <w:rPr>
          <w:rFonts w:eastAsia="Times New Roman" w:cs="Times New Roman"/>
          <w:szCs w:val="24"/>
        </w:rPr>
        <w:t>Waarden</w:t>
      </w:r>
      <w:proofErr w:type="spellEnd"/>
      <w:r w:rsidR="00894731" w:rsidRPr="00CF3DDD">
        <w:rPr>
          <w:rFonts w:eastAsia="Times New Roman" w:cs="Times New Roman"/>
          <w:szCs w:val="24"/>
        </w:rPr>
        <w:t xml:space="preserve"> &amp; </w:t>
      </w:r>
      <w:proofErr w:type="spellStart"/>
      <w:r w:rsidR="00894731" w:rsidRPr="00CF3DDD">
        <w:rPr>
          <w:rFonts w:eastAsia="Times New Roman" w:cs="Times New Roman"/>
          <w:szCs w:val="24"/>
        </w:rPr>
        <w:t>Driesener</w:t>
      </w:r>
      <w:proofErr w:type="spellEnd"/>
      <w:r w:rsidR="00894731" w:rsidRPr="00CF3DDD">
        <w:rPr>
          <w:rFonts w:eastAsia="Times New Roman" w:cs="Times New Roman"/>
          <w:szCs w:val="24"/>
        </w:rPr>
        <w:t>, 2015)</w:t>
      </w:r>
      <w:r w:rsidRPr="00CF3DDD">
        <w:rPr>
          <w:rFonts w:eastAsia="Times New Roman" w:cs="Times New Roman"/>
          <w:szCs w:val="24"/>
        </w:rPr>
        <w:t xml:space="preserve">. In the case of Nestlé, this means that loyal customers may continue buying their </w:t>
      </w:r>
      <w:r w:rsidR="007D3226" w:rsidRPr="00CF3DDD">
        <w:rPr>
          <w:rFonts w:eastAsia="Times New Roman" w:cs="Times New Roman"/>
          <w:szCs w:val="24"/>
        </w:rPr>
        <w:t>favorite</w:t>
      </w:r>
      <w:r w:rsidRPr="00CF3DDD">
        <w:rPr>
          <w:rFonts w:eastAsia="Times New Roman" w:cs="Times New Roman"/>
          <w:szCs w:val="24"/>
        </w:rPr>
        <w:t xml:space="preserve"> chocolate or coffee brands despite occasional price fluctuations or </w:t>
      </w:r>
      <w:r w:rsidR="007D3226" w:rsidRPr="00CF3DDD">
        <w:rPr>
          <w:rFonts w:eastAsia="Times New Roman" w:cs="Times New Roman"/>
          <w:szCs w:val="24"/>
        </w:rPr>
        <w:t>retailer-specific</w:t>
      </w:r>
      <w:r w:rsidRPr="00CF3DDD">
        <w:rPr>
          <w:rFonts w:eastAsia="Times New Roman" w:cs="Times New Roman"/>
          <w:szCs w:val="24"/>
        </w:rPr>
        <w:t xml:space="preserve"> availability. The presence of trust lowers the perceived risk of remaining loyal and strengthens the </w:t>
      </w:r>
      <w:r w:rsidR="007D3226" w:rsidRPr="00CF3DDD">
        <w:rPr>
          <w:rFonts w:eastAsia="Times New Roman" w:cs="Times New Roman"/>
          <w:szCs w:val="24"/>
        </w:rPr>
        <w:t>consumer-brand</w:t>
      </w:r>
      <w:r w:rsidRPr="00CF3DDD">
        <w:rPr>
          <w:rFonts w:eastAsia="Times New Roman" w:cs="Times New Roman"/>
          <w:szCs w:val="24"/>
        </w:rPr>
        <w:t xml:space="preserve"> bond over time</w:t>
      </w:r>
    </w:p>
    <w:p w14:paraId="4CB0951B" w14:textId="5B35C838" w:rsidR="00314E1C" w:rsidRPr="00CF3DDD" w:rsidRDefault="00314E1C" w:rsidP="00CF3DDD">
      <w:pPr>
        <w:pStyle w:val="Heading2"/>
        <w:spacing w:line="360" w:lineRule="auto"/>
      </w:pPr>
      <w:bookmarkStart w:id="49" w:name="_Toc209310608"/>
      <w:r w:rsidRPr="00CF3DDD">
        <w:t>2.</w:t>
      </w:r>
      <w:r w:rsidR="009A227F" w:rsidRPr="00CF3DDD">
        <w:t>19</w:t>
      </w:r>
      <w:r w:rsidRPr="00CF3DDD">
        <w:t xml:space="preserve"> Mediating Role of Brand Love in the Brand Equity–Loyalty Relationship</w:t>
      </w:r>
      <w:bookmarkEnd w:id="49"/>
    </w:p>
    <w:p w14:paraId="2D550F6A" w14:textId="77777777" w:rsidR="00314E1C" w:rsidRPr="00CF3DDD" w:rsidRDefault="00314E1C"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In recent years, brand love has gained significant attention in marketing literature as a powerful emotional driver of consumer loyalty. Defined as the deep emotional attachment and affection a consumer feels towards a brand (Carroll &amp; </w:t>
      </w:r>
      <w:proofErr w:type="spellStart"/>
      <w:r w:rsidRPr="00CF3DDD">
        <w:rPr>
          <w:rFonts w:eastAsia="Times New Roman" w:cs="Times New Roman"/>
          <w:szCs w:val="24"/>
        </w:rPr>
        <w:t>Ahuvia</w:t>
      </w:r>
      <w:proofErr w:type="spellEnd"/>
      <w:r w:rsidRPr="00CF3DDD">
        <w:rPr>
          <w:rFonts w:eastAsia="Times New Roman" w:cs="Times New Roman"/>
          <w:szCs w:val="24"/>
        </w:rPr>
        <w:t>, 2006), brand love goes beyond satisfaction and trust by invoking feelings of passion, connection, and even symbolic self</w:t>
      </w:r>
      <w:r w:rsidR="00345BE7" w:rsidRPr="00CF3DDD">
        <w:rPr>
          <w:rFonts w:eastAsia="Times New Roman" w:cs="Times New Roman"/>
          <w:szCs w:val="24"/>
        </w:rPr>
        <w:t xml:space="preserve">, </w:t>
      </w:r>
      <w:r w:rsidRPr="00CF3DDD">
        <w:rPr>
          <w:rFonts w:eastAsia="Times New Roman" w:cs="Times New Roman"/>
          <w:szCs w:val="24"/>
        </w:rPr>
        <w:t>expression. Within the Nestlé brand ecosystem, particularly in the UK, many products carry strong nostalgic, emotional, and cultural associations</w:t>
      </w:r>
      <w:r w:rsidR="00345BE7" w:rsidRPr="00CF3DDD">
        <w:rPr>
          <w:rFonts w:eastAsia="Times New Roman" w:cs="Times New Roman"/>
          <w:szCs w:val="24"/>
        </w:rPr>
        <w:t xml:space="preserve">, </w:t>
      </w:r>
      <w:r w:rsidRPr="00CF3DDD">
        <w:rPr>
          <w:rFonts w:eastAsia="Times New Roman" w:cs="Times New Roman"/>
          <w:szCs w:val="24"/>
        </w:rPr>
        <w:t>ranging from childhood memories of Smarties to everyday rituals involving Nescafé</w:t>
      </w:r>
      <w:r w:rsidR="00894731" w:rsidRPr="00CF3DDD">
        <w:rPr>
          <w:rFonts w:eastAsia="Times New Roman" w:cs="Times New Roman"/>
          <w:szCs w:val="24"/>
        </w:rPr>
        <w:t xml:space="preserve"> (</w:t>
      </w:r>
      <w:proofErr w:type="spellStart"/>
      <w:r w:rsidR="00894731" w:rsidRPr="00CF3DDD">
        <w:rPr>
          <w:rFonts w:eastAsia="Times New Roman" w:cs="Times New Roman"/>
          <w:szCs w:val="24"/>
        </w:rPr>
        <w:t>Sugiarti</w:t>
      </w:r>
      <w:proofErr w:type="spellEnd"/>
      <w:r w:rsidR="00894731" w:rsidRPr="00CF3DDD">
        <w:rPr>
          <w:rFonts w:eastAsia="Times New Roman" w:cs="Times New Roman"/>
          <w:szCs w:val="24"/>
        </w:rPr>
        <w:t xml:space="preserve"> et al., 2023)</w:t>
      </w:r>
      <w:r w:rsidRPr="00CF3DDD">
        <w:rPr>
          <w:rFonts w:eastAsia="Times New Roman" w:cs="Times New Roman"/>
          <w:szCs w:val="24"/>
        </w:rPr>
        <w:t xml:space="preserve">. This section explores the </w:t>
      </w:r>
      <w:r w:rsidR="007D3226" w:rsidRPr="00CF3DDD">
        <w:rPr>
          <w:rFonts w:eastAsia="Times New Roman" w:cs="Times New Roman"/>
          <w:szCs w:val="24"/>
        </w:rPr>
        <w:t>conceptualization</w:t>
      </w:r>
      <w:r w:rsidRPr="00CF3DDD">
        <w:rPr>
          <w:rFonts w:eastAsia="Times New Roman" w:cs="Times New Roman"/>
          <w:szCs w:val="24"/>
        </w:rPr>
        <w:t xml:space="preserve">, dimensions, and mediating role of brand love in transforming brand equity into </w:t>
      </w:r>
      <w:r w:rsidR="007D3226" w:rsidRPr="00CF3DDD">
        <w:rPr>
          <w:rFonts w:eastAsia="Times New Roman" w:cs="Times New Roman"/>
          <w:szCs w:val="24"/>
        </w:rPr>
        <w:t>long-term</w:t>
      </w:r>
      <w:r w:rsidRPr="00CF3DDD">
        <w:rPr>
          <w:rFonts w:eastAsia="Times New Roman" w:cs="Times New Roman"/>
          <w:szCs w:val="24"/>
        </w:rPr>
        <w:t xml:space="preserve"> brand loyalty, with a specific focus on Nestlé’s relevance in this process.</w:t>
      </w:r>
    </w:p>
    <w:p w14:paraId="333D30D9" w14:textId="7EB0D21C" w:rsidR="00314E1C" w:rsidRPr="00CF3DDD" w:rsidRDefault="00314E1C" w:rsidP="00CF3DDD">
      <w:pPr>
        <w:pStyle w:val="Heading2"/>
        <w:spacing w:line="360" w:lineRule="auto"/>
      </w:pPr>
      <w:bookmarkStart w:id="50" w:name="_Toc209310609"/>
      <w:r w:rsidRPr="00CF3DDD">
        <w:t>2.</w:t>
      </w:r>
      <w:r w:rsidR="009A227F" w:rsidRPr="00CF3DDD">
        <w:t>20</w:t>
      </w:r>
      <w:r w:rsidRPr="00CF3DDD">
        <w:t xml:space="preserve"> Understanding Brand Love</w:t>
      </w:r>
      <w:bookmarkEnd w:id="50"/>
    </w:p>
    <w:p w14:paraId="4D87B86B" w14:textId="77777777" w:rsidR="00314E1C" w:rsidRPr="00CF3DDD" w:rsidRDefault="00314E1C"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Brand love originates from </w:t>
      </w:r>
      <w:r w:rsidR="007D3226" w:rsidRPr="00CF3DDD">
        <w:rPr>
          <w:rFonts w:eastAsia="Times New Roman" w:cs="Times New Roman"/>
          <w:szCs w:val="24"/>
        </w:rPr>
        <w:t>consumer-brand</w:t>
      </w:r>
      <w:r w:rsidRPr="00CF3DDD">
        <w:rPr>
          <w:rFonts w:eastAsia="Times New Roman" w:cs="Times New Roman"/>
          <w:szCs w:val="24"/>
        </w:rPr>
        <w:t xml:space="preserve"> relationship theory, which suggests that consumers can develop meaningful and enduring emotional bonds with brands</w:t>
      </w:r>
      <w:r w:rsidR="00F457AE" w:rsidRPr="00CF3DDD">
        <w:rPr>
          <w:rFonts w:eastAsia="Times New Roman" w:cs="Times New Roman"/>
          <w:szCs w:val="24"/>
        </w:rPr>
        <w:t>,</w:t>
      </w:r>
      <w:r w:rsidRPr="00CF3DDD">
        <w:rPr>
          <w:rFonts w:eastAsia="Times New Roman" w:cs="Times New Roman"/>
          <w:szCs w:val="24"/>
        </w:rPr>
        <w:t xml:space="preserve"> much like they do in interpersonal relationships (Fournier, </w:t>
      </w:r>
      <w:r w:rsidR="00993620" w:rsidRPr="00CF3DDD">
        <w:rPr>
          <w:rFonts w:eastAsia="Times New Roman" w:cs="Times New Roman"/>
          <w:szCs w:val="24"/>
        </w:rPr>
        <w:t>2019</w:t>
      </w:r>
      <w:r w:rsidRPr="00CF3DDD">
        <w:rPr>
          <w:rFonts w:eastAsia="Times New Roman" w:cs="Times New Roman"/>
          <w:szCs w:val="24"/>
        </w:rPr>
        <w:t xml:space="preserve">). Carroll and </w:t>
      </w:r>
      <w:proofErr w:type="spellStart"/>
      <w:r w:rsidRPr="00CF3DDD">
        <w:rPr>
          <w:rFonts w:eastAsia="Times New Roman" w:cs="Times New Roman"/>
          <w:szCs w:val="24"/>
        </w:rPr>
        <w:t>Ahuvia</w:t>
      </w:r>
      <w:proofErr w:type="spellEnd"/>
      <w:r w:rsidRPr="00CF3DDD">
        <w:rPr>
          <w:rFonts w:eastAsia="Times New Roman" w:cs="Times New Roman"/>
          <w:szCs w:val="24"/>
        </w:rPr>
        <w:t xml:space="preserve"> (2006) define brand love as the degree of passionate emotional attachment a satisfied customer has for a particular brand. Their study showed that brand love significantly predicts both brand loyalty and positive word</w:t>
      </w:r>
      <w:r w:rsidR="00345BE7" w:rsidRPr="00CF3DDD">
        <w:rPr>
          <w:rFonts w:eastAsia="Times New Roman" w:cs="Times New Roman"/>
          <w:szCs w:val="24"/>
        </w:rPr>
        <w:t xml:space="preserve"> </w:t>
      </w:r>
      <w:r w:rsidRPr="00CF3DDD">
        <w:rPr>
          <w:rFonts w:eastAsia="Times New Roman" w:cs="Times New Roman"/>
          <w:szCs w:val="24"/>
        </w:rPr>
        <w:t>of</w:t>
      </w:r>
      <w:r w:rsidR="00345BE7" w:rsidRPr="00CF3DDD">
        <w:rPr>
          <w:rFonts w:eastAsia="Times New Roman" w:cs="Times New Roman"/>
          <w:szCs w:val="24"/>
        </w:rPr>
        <w:t xml:space="preserve"> </w:t>
      </w:r>
      <w:r w:rsidRPr="00CF3DDD">
        <w:rPr>
          <w:rFonts w:eastAsia="Times New Roman" w:cs="Times New Roman"/>
          <w:szCs w:val="24"/>
        </w:rPr>
        <w:t xml:space="preserve">mouth, making it a crucial concept in building </w:t>
      </w:r>
      <w:r w:rsidR="007D3226" w:rsidRPr="00CF3DDD">
        <w:rPr>
          <w:rFonts w:eastAsia="Times New Roman" w:cs="Times New Roman"/>
          <w:szCs w:val="24"/>
        </w:rPr>
        <w:t xml:space="preserve">a </w:t>
      </w:r>
      <w:r w:rsidRPr="00CF3DDD">
        <w:rPr>
          <w:rFonts w:eastAsia="Times New Roman" w:cs="Times New Roman"/>
          <w:szCs w:val="24"/>
        </w:rPr>
        <w:t>sustainable competitive advantage.</w:t>
      </w:r>
    </w:p>
    <w:p w14:paraId="6ABAB490" w14:textId="77777777" w:rsidR="00314E1C" w:rsidRPr="00CF3DDD" w:rsidRDefault="00314E1C" w:rsidP="00CF3DDD">
      <w:pPr>
        <w:spacing w:before="100" w:beforeAutospacing="1" w:after="100" w:afterAutospacing="1" w:line="360" w:lineRule="auto"/>
        <w:rPr>
          <w:rFonts w:eastAsia="Times New Roman" w:cs="Times New Roman"/>
          <w:szCs w:val="24"/>
        </w:rPr>
      </w:pPr>
      <w:r>
        <w:t xml:space="preserve">Unlike brand trust, which is rooted in reliability and expectations, brand love is driven by positive emotions, self-congruence, and emotional satisfaction. These emotional experiences lead </w:t>
      </w:r>
      <w:r>
        <w:lastRenderedPageBreak/>
        <w:t>consumers to not only prefer the brand however altherefore advocate for it, forgive occasional shortcomings, and view it as irreplaceable (Waebuesar et al., 2022).</w:t>
      </w:r>
    </w:p>
    <w:p w14:paraId="17ADF466" w14:textId="77777777" w:rsidR="00314E1C" w:rsidRPr="00CF3DDD" w:rsidRDefault="00314E1C"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For Nestlé, many of its flagship brands evoke these feelings among UK consumers. Whether it’s the comfort of a </w:t>
      </w:r>
      <w:r w:rsidR="00D41E52" w:rsidRPr="00CF3DDD">
        <w:rPr>
          <w:rFonts w:eastAsia="Times New Roman" w:cs="Times New Roman"/>
          <w:szCs w:val="24"/>
        </w:rPr>
        <w:t>Milky bar</w:t>
      </w:r>
      <w:r w:rsidRPr="00CF3DDD">
        <w:rPr>
          <w:rFonts w:eastAsia="Times New Roman" w:cs="Times New Roman"/>
          <w:szCs w:val="24"/>
        </w:rPr>
        <w:t xml:space="preserve"> during childhood, the ritualistic morning cup of Nescafé, or the celebratory sharing of a KitKat, such interactions are not just transactions</w:t>
      </w:r>
      <w:r w:rsidR="007D3226" w:rsidRPr="00CF3DDD">
        <w:rPr>
          <w:rFonts w:eastAsia="Times New Roman" w:cs="Times New Roman"/>
          <w:szCs w:val="24"/>
        </w:rPr>
        <w:t>;</w:t>
      </w:r>
      <w:r w:rsidR="00345BE7" w:rsidRPr="00CF3DDD">
        <w:rPr>
          <w:rFonts w:eastAsia="Times New Roman" w:cs="Times New Roman"/>
          <w:szCs w:val="24"/>
        </w:rPr>
        <w:t xml:space="preserve"> </w:t>
      </w:r>
      <w:r w:rsidRPr="00CF3DDD">
        <w:rPr>
          <w:rFonts w:eastAsia="Times New Roman" w:cs="Times New Roman"/>
          <w:szCs w:val="24"/>
        </w:rPr>
        <w:t xml:space="preserve">they are </w:t>
      </w:r>
      <w:r w:rsidR="007D3226" w:rsidRPr="00CF3DDD">
        <w:rPr>
          <w:rFonts w:eastAsia="Times New Roman" w:cs="Times New Roman"/>
          <w:szCs w:val="24"/>
        </w:rPr>
        <w:t>emotion-laden</w:t>
      </w:r>
      <w:r w:rsidRPr="00CF3DDD">
        <w:rPr>
          <w:rFonts w:eastAsia="Times New Roman" w:cs="Times New Roman"/>
          <w:szCs w:val="24"/>
        </w:rPr>
        <w:t xml:space="preserve"> brand moments that can evolve into brand love.</w:t>
      </w:r>
    </w:p>
    <w:p w14:paraId="078598BE" w14:textId="5D18A04E" w:rsidR="00314E1C" w:rsidRPr="00CF3DDD" w:rsidRDefault="00314E1C" w:rsidP="00CF3DDD">
      <w:pPr>
        <w:pStyle w:val="Heading2"/>
        <w:spacing w:line="360" w:lineRule="auto"/>
      </w:pPr>
      <w:bookmarkStart w:id="51" w:name="_Toc209310610"/>
      <w:r w:rsidRPr="00CF3DDD">
        <w:t>2.</w:t>
      </w:r>
      <w:r w:rsidR="009A227F" w:rsidRPr="00CF3DDD">
        <w:t>21</w:t>
      </w:r>
      <w:r w:rsidRPr="00CF3DDD">
        <w:t xml:space="preserve"> Brand Love as a Mediator Between Equity and Loyalty</w:t>
      </w:r>
      <w:bookmarkEnd w:id="51"/>
    </w:p>
    <w:p w14:paraId="2B416088" w14:textId="77777777" w:rsidR="00314E1C" w:rsidRPr="00CF3DDD" w:rsidRDefault="00314E1C"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Numerous studies support the idea that brand love mediates the relationship between brand equity and brand loyalty. Albert et al. (2008) and </w:t>
      </w:r>
      <w:proofErr w:type="spellStart"/>
      <w:r w:rsidRPr="00CF3DDD">
        <w:rPr>
          <w:rFonts w:eastAsia="Times New Roman" w:cs="Times New Roman"/>
          <w:szCs w:val="24"/>
        </w:rPr>
        <w:t>Bergkvist</w:t>
      </w:r>
      <w:proofErr w:type="spellEnd"/>
      <w:r w:rsidRPr="00CF3DDD">
        <w:rPr>
          <w:rFonts w:eastAsia="Times New Roman" w:cs="Times New Roman"/>
          <w:szCs w:val="24"/>
        </w:rPr>
        <w:t xml:space="preserve"> and </w:t>
      </w:r>
      <w:proofErr w:type="spellStart"/>
      <w:r w:rsidRPr="00CF3DDD">
        <w:rPr>
          <w:rFonts w:eastAsia="Times New Roman" w:cs="Times New Roman"/>
          <w:szCs w:val="24"/>
        </w:rPr>
        <w:t>Bech</w:t>
      </w:r>
      <w:proofErr w:type="spellEnd"/>
      <w:r w:rsidR="00345BE7" w:rsidRPr="00CF3DDD">
        <w:rPr>
          <w:rFonts w:eastAsia="Times New Roman" w:cs="Times New Roman"/>
          <w:szCs w:val="24"/>
        </w:rPr>
        <w:t xml:space="preserve">, </w:t>
      </w:r>
      <w:r w:rsidRPr="00CF3DDD">
        <w:rPr>
          <w:rFonts w:eastAsia="Times New Roman" w:cs="Times New Roman"/>
          <w:szCs w:val="24"/>
        </w:rPr>
        <w:t>Larsen (2010) argue that high brand equity alone does not guarantee loyalty unless consumers develop a strong emotional connection with the brand. Emotional experiences</w:t>
      </w:r>
      <w:r w:rsidR="00345BE7" w:rsidRPr="00CF3DDD">
        <w:rPr>
          <w:rFonts w:eastAsia="Times New Roman" w:cs="Times New Roman"/>
          <w:szCs w:val="24"/>
        </w:rPr>
        <w:t xml:space="preserve">, </w:t>
      </w:r>
      <w:r w:rsidRPr="00CF3DDD">
        <w:rPr>
          <w:rFonts w:eastAsia="Times New Roman" w:cs="Times New Roman"/>
          <w:szCs w:val="24"/>
        </w:rPr>
        <w:t>rooted in joy, identity alignment, and habitual affection</w:t>
      </w:r>
      <w:r w:rsidR="00345BE7" w:rsidRPr="00CF3DDD">
        <w:rPr>
          <w:rFonts w:eastAsia="Times New Roman" w:cs="Times New Roman"/>
          <w:szCs w:val="24"/>
        </w:rPr>
        <w:t xml:space="preserve">, </w:t>
      </w:r>
      <w:r w:rsidRPr="00CF3DDD">
        <w:rPr>
          <w:rFonts w:eastAsia="Times New Roman" w:cs="Times New Roman"/>
          <w:szCs w:val="24"/>
        </w:rPr>
        <w:t>act as the mechanism through which brand equity translates into committed loyalty</w:t>
      </w:r>
      <w:r w:rsidR="00A37F9F" w:rsidRPr="00CF3DDD">
        <w:rPr>
          <w:rFonts w:eastAsia="Times New Roman" w:cs="Times New Roman"/>
          <w:szCs w:val="24"/>
        </w:rPr>
        <w:t xml:space="preserve"> (</w:t>
      </w:r>
      <w:proofErr w:type="spellStart"/>
      <w:r w:rsidR="00A37F9F" w:rsidRPr="00CF3DDD">
        <w:rPr>
          <w:rFonts w:eastAsia="Times New Roman" w:cs="Times New Roman"/>
          <w:szCs w:val="24"/>
        </w:rPr>
        <w:t>Aisyah</w:t>
      </w:r>
      <w:proofErr w:type="spellEnd"/>
      <w:r w:rsidR="00A37F9F" w:rsidRPr="00CF3DDD">
        <w:rPr>
          <w:rFonts w:eastAsia="Times New Roman" w:cs="Times New Roman"/>
          <w:szCs w:val="24"/>
        </w:rPr>
        <w:t>, 2023)</w:t>
      </w:r>
      <w:r w:rsidRPr="00CF3DDD">
        <w:rPr>
          <w:rFonts w:eastAsia="Times New Roman" w:cs="Times New Roman"/>
          <w:szCs w:val="24"/>
        </w:rPr>
        <w:t>.</w:t>
      </w:r>
    </w:p>
    <w:p w14:paraId="0620FB08" w14:textId="77777777" w:rsidR="00314E1C" w:rsidRPr="00CF3DDD" w:rsidRDefault="00314E1C" w:rsidP="00CF3DDD">
      <w:pPr>
        <w:spacing w:before="100" w:beforeAutospacing="1" w:after="100" w:afterAutospacing="1" w:line="360" w:lineRule="auto"/>
        <w:rPr>
          <w:rFonts w:eastAsia="Times New Roman" w:cs="Times New Roman"/>
          <w:szCs w:val="24"/>
        </w:rPr>
      </w:pPr>
      <w:r>
        <w:t>In practical terms, this means that Nestlé’s strong brand equity (e.g., awareness, positive associations, perceived quality) only becomes truly effective when it is emotionally internalized by consumers. For example, a consumer may perceive KitKat as high quality and well-known, however it is the emotional connection, perhaps a memory of sharing it during school days or with family, that drives true loyalty and resistance to alternatives.</w:t>
      </w:r>
    </w:p>
    <w:p w14:paraId="3A4B092B" w14:textId="77777777" w:rsidR="00314E1C" w:rsidRPr="00CF3DDD" w:rsidRDefault="00314E1C"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The mediating role of brand love is especially critical in saturated FMCG markets, where functional benefits are often indistinguishable across brands. In such environments, emotional differentiation becomes the decisive factor in consumer retention. Nestlé’s </w:t>
      </w:r>
      <w:r w:rsidR="007D3226" w:rsidRPr="00CF3DDD">
        <w:rPr>
          <w:rFonts w:eastAsia="Times New Roman" w:cs="Times New Roman"/>
          <w:szCs w:val="24"/>
        </w:rPr>
        <w:t>long-standing</w:t>
      </w:r>
      <w:r w:rsidRPr="00CF3DDD">
        <w:rPr>
          <w:rFonts w:eastAsia="Times New Roman" w:cs="Times New Roman"/>
          <w:szCs w:val="24"/>
        </w:rPr>
        <w:t xml:space="preserve"> emotional equity, built over generations in the UK, positions it well to </w:t>
      </w:r>
      <w:r w:rsidR="007D3226" w:rsidRPr="00CF3DDD">
        <w:rPr>
          <w:rFonts w:eastAsia="Times New Roman" w:cs="Times New Roman"/>
          <w:szCs w:val="24"/>
        </w:rPr>
        <w:t>capitalize</w:t>
      </w:r>
      <w:r w:rsidRPr="00CF3DDD">
        <w:rPr>
          <w:rFonts w:eastAsia="Times New Roman" w:cs="Times New Roman"/>
          <w:szCs w:val="24"/>
        </w:rPr>
        <w:t xml:space="preserve"> on brand love as a loyalty driver.</w:t>
      </w:r>
    </w:p>
    <w:p w14:paraId="6BAB975A" w14:textId="3FE892DE" w:rsidR="00314E1C" w:rsidRPr="00CF3DDD" w:rsidRDefault="00314E1C" w:rsidP="00CF3DDD">
      <w:pPr>
        <w:pStyle w:val="Heading2"/>
        <w:spacing w:line="360" w:lineRule="auto"/>
      </w:pPr>
      <w:bookmarkStart w:id="52" w:name="_Toc209310611"/>
      <w:r w:rsidRPr="00CF3DDD">
        <w:t>2.</w:t>
      </w:r>
      <w:r w:rsidR="009A227F" w:rsidRPr="00CF3DDD">
        <w:t>22</w:t>
      </w:r>
      <w:r w:rsidRPr="00CF3DDD">
        <w:t xml:space="preserve"> Nestlé and Emotional Branding in the UK</w:t>
      </w:r>
      <w:bookmarkEnd w:id="52"/>
    </w:p>
    <w:p w14:paraId="30DA44A4" w14:textId="77777777" w:rsidR="00314E1C" w:rsidRPr="00CF3DDD" w:rsidRDefault="00314E1C"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In the UK market, emotional branding plays a critical role in Nestlé’s consumer engagement strategy. Nestlé frequently employs themes of nostalgia, warmth, and trust in its advertising. </w:t>
      </w:r>
      <w:r w:rsidRPr="00CF3DDD">
        <w:rPr>
          <w:rFonts w:eastAsia="Times New Roman" w:cs="Times New Roman"/>
          <w:szCs w:val="24"/>
        </w:rPr>
        <w:lastRenderedPageBreak/>
        <w:t xml:space="preserve">Campaigns like “Have a Break, </w:t>
      </w:r>
      <w:proofErr w:type="gramStart"/>
      <w:r w:rsidRPr="00CF3DDD">
        <w:rPr>
          <w:rFonts w:eastAsia="Times New Roman" w:cs="Times New Roman"/>
          <w:szCs w:val="24"/>
        </w:rPr>
        <w:t>Have</w:t>
      </w:r>
      <w:proofErr w:type="gramEnd"/>
      <w:r w:rsidRPr="00CF3DDD">
        <w:rPr>
          <w:rFonts w:eastAsia="Times New Roman" w:cs="Times New Roman"/>
          <w:szCs w:val="24"/>
        </w:rPr>
        <w:t xml:space="preserve"> a KitKat” and “It Starts With Nescafé” are not just slogans</w:t>
      </w:r>
      <w:r w:rsidR="007D3226" w:rsidRPr="00CF3DDD">
        <w:rPr>
          <w:rFonts w:eastAsia="Times New Roman" w:cs="Times New Roman"/>
          <w:szCs w:val="24"/>
        </w:rPr>
        <w:t>;</w:t>
      </w:r>
      <w:r w:rsidR="00345BE7" w:rsidRPr="00CF3DDD">
        <w:rPr>
          <w:rFonts w:eastAsia="Times New Roman" w:cs="Times New Roman"/>
          <w:szCs w:val="24"/>
        </w:rPr>
        <w:t xml:space="preserve"> </w:t>
      </w:r>
      <w:r w:rsidRPr="00CF3DDD">
        <w:rPr>
          <w:rFonts w:eastAsia="Times New Roman" w:cs="Times New Roman"/>
          <w:szCs w:val="24"/>
        </w:rPr>
        <w:t xml:space="preserve">they’re emotionally charged narratives that consumers </w:t>
      </w:r>
      <w:r w:rsidR="007D3226" w:rsidRPr="00CF3DDD">
        <w:rPr>
          <w:rFonts w:eastAsia="Times New Roman" w:cs="Times New Roman"/>
          <w:szCs w:val="24"/>
        </w:rPr>
        <w:t>internalize</w:t>
      </w:r>
      <w:r w:rsidRPr="00CF3DDD">
        <w:rPr>
          <w:rFonts w:eastAsia="Times New Roman" w:cs="Times New Roman"/>
          <w:szCs w:val="24"/>
        </w:rPr>
        <w:t>. These brand narratives are often embedded in daily routines, holidays, and life milestones, creating fertile ground for the development of brand love</w:t>
      </w:r>
      <w:r w:rsidR="00A37F9F" w:rsidRPr="00CF3DDD">
        <w:rPr>
          <w:rFonts w:eastAsia="Times New Roman" w:cs="Times New Roman"/>
          <w:szCs w:val="24"/>
        </w:rPr>
        <w:t xml:space="preserve"> (</w:t>
      </w:r>
      <w:proofErr w:type="spellStart"/>
      <w:r w:rsidR="00A37F9F" w:rsidRPr="00CF3DDD">
        <w:rPr>
          <w:rFonts w:eastAsia="Times New Roman" w:cs="Times New Roman"/>
          <w:szCs w:val="24"/>
        </w:rPr>
        <w:t>Bozbay</w:t>
      </w:r>
      <w:proofErr w:type="spellEnd"/>
      <w:r w:rsidR="00A37F9F" w:rsidRPr="00CF3DDD">
        <w:rPr>
          <w:rFonts w:eastAsia="Times New Roman" w:cs="Times New Roman"/>
          <w:szCs w:val="24"/>
        </w:rPr>
        <w:t xml:space="preserve"> &amp; </w:t>
      </w:r>
      <w:proofErr w:type="spellStart"/>
      <w:r w:rsidR="00A37F9F" w:rsidRPr="00CF3DDD">
        <w:rPr>
          <w:rFonts w:eastAsia="Times New Roman" w:cs="Times New Roman"/>
          <w:szCs w:val="24"/>
        </w:rPr>
        <w:t>Başlar</w:t>
      </w:r>
      <w:proofErr w:type="spellEnd"/>
      <w:r w:rsidR="00A37F9F" w:rsidRPr="00CF3DDD">
        <w:rPr>
          <w:rFonts w:eastAsia="Times New Roman" w:cs="Times New Roman"/>
          <w:szCs w:val="24"/>
        </w:rPr>
        <w:t>, 2020)</w:t>
      </w:r>
      <w:r w:rsidRPr="00CF3DDD">
        <w:rPr>
          <w:rFonts w:eastAsia="Times New Roman" w:cs="Times New Roman"/>
          <w:szCs w:val="24"/>
        </w:rPr>
        <w:t>.</w:t>
      </w:r>
    </w:p>
    <w:p w14:paraId="4088259D" w14:textId="77777777" w:rsidR="00314E1C" w:rsidRPr="00CF3DDD" w:rsidRDefault="00314E1C"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Moreover, Nestlé's shift toward </w:t>
      </w:r>
      <w:r w:rsidR="007D3226" w:rsidRPr="00CF3DDD">
        <w:rPr>
          <w:rFonts w:eastAsia="Times New Roman" w:cs="Times New Roman"/>
          <w:szCs w:val="24"/>
        </w:rPr>
        <w:t>purpose-driven</w:t>
      </w:r>
      <w:r w:rsidRPr="00CF3DDD">
        <w:rPr>
          <w:rFonts w:eastAsia="Times New Roman" w:cs="Times New Roman"/>
          <w:szCs w:val="24"/>
        </w:rPr>
        <w:t xml:space="preserve"> branding</w:t>
      </w:r>
      <w:r w:rsidR="00345BE7" w:rsidRPr="00CF3DDD">
        <w:rPr>
          <w:rFonts w:eastAsia="Times New Roman" w:cs="Times New Roman"/>
          <w:szCs w:val="24"/>
        </w:rPr>
        <w:t xml:space="preserve">, </w:t>
      </w:r>
      <w:r w:rsidRPr="00CF3DDD">
        <w:rPr>
          <w:rFonts w:eastAsia="Times New Roman" w:cs="Times New Roman"/>
          <w:szCs w:val="24"/>
        </w:rPr>
        <w:t>such as promoting sustainable practices and healthy lifestyles</w:t>
      </w:r>
      <w:r w:rsidR="00345BE7" w:rsidRPr="00CF3DDD">
        <w:rPr>
          <w:rFonts w:eastAsia="Times New Roman" w:cs="Times New Roman"/>
          <w:szCs w:val="24"/>
        </w:rPr>
        <w:t xml:space="preserve">, </w:t>
      </w:r>
      <w:r w:rsidRPr="00CF3DDD">
        <w:rPr>
          <w:rFonts w:eastAsia="Times New Roman" w:cs="Times New Roman"/>
          <w:szCs w:val="24"/>
        </w:rPr>
        <w:t>aligns with the values of ethically minded British consumers. When brand values mirror personal beliefs, brand love strengthens, and the likelihood of loyalty intensifies. In such cases, consumers do not just like or trust the brand</w:t>
      </w:r>
      <w:r w:rsidR="007D3226" w:rsidRPr="00CF3DDD">
        <w:rPr>
          <w:rFonts w:eastAsia="Times New Roman" w:cs="Times New Roman"/>
          <w:szCs w:val="24"/>
        </w:rPr>
        <w:t>;</w:t>
      </w:r>
      <w:r w:rsidR="00345BE7" w:rsidRPr="00CF3DDD">
        <w:rPr>
          <w:rFonts w:eastAsia="Times New Roman" w:cs="Times New Roman"/>
          <w:szCs w:val="24"/>
        </w:rPr>
        <w:t xml:space="preserve"> </w:t>
      </w:r>
      <w:r w:rsidRPr="00CF3DDD">
        <w:rPr>
          <w:rFonts w:eastAsia="Times New Roman" w:cs="Times New Roman"/>
          <w:szCs w:val="24"/>
        </w:rPr>
        <w:t>they feel emotionally bonded to it, leading to higher advocacy and resistance to competitive alternatives.</w:t>
      </w:r>
    </w:p>
    <w:p w14:paraId="4217D04D" w14:textId="71269754" w:rsidR="00D96AB7" w:rsidRPr="00CF3DDD" w:rsidRDefault="00D96AB7" w:rsidP="00CF3DDD">
      <w:pPr>
        <w:pStyle w:val="Heading2"/>
        <w:spacing w:line="360" w:lineRule="auto"/>
      </w:pPr>
      <w:bookmarkStart w:id="53" w:name="_Toc209310612"/>
      <w:r w:rsidRPr="00CF3DDD">
        <w:t>2.</w:t>
      </w:r>
      <w:r w:rsidR="009A227F" w:rsidRPr="00CF3DDD">
        <w:t>23</w:t>
      </w:r>
      <w:r w:rsidRPr="00CF3DDD">
        <w:t xml:space="preserve"> Interrelationships Between Constructs</w:t>
      </w:r>
      <w:bookmarkEnd w:id="53"/>
    </w:p>
    <w:p w14:paraId="269EF2C4" w14:textId="77777777" w:rsidR="00D96AB7" w:rsidRPr="00CF3DDD" w:rsidRDefault="00D96AB7"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The constructs explored in this study</w:t>
      </w:r>
      <w:r w:rsidR="00345BE7" w:rsidRPr="00CF3DDD">
        <w:rPr>
          <w:rFonts w:eastAsia="Times New Roman" w:cs="Times New Roman"/>
          <w:szCs w:val="24"/>
        </w:rPr>
        <w:t xml:space="preserve">, </w:t>
      </w:r>
      <w:r w:rsidRPr="00CF3DDD">
        <w:rPr>
          <w:rFonts w:eastAsia="Times New Roman" w:cs="Times New Roman"/>
          <w:szCs w:val="24"/>
        </w:rPr>
        <w:t>brand equity, brand trust, brand love, and brand loyalty</w:t>
      </w:r>
      <w:r w:rsidR="00345BE7" w:rsidRPr="00CF3DDD">
        <w:rPr>
          <w:rFonts w:eastAsia="Times New Roman" w:cs="Times New Roman"/>
          <w:szCs w:val="24"/>
        </w:rPr>
        <w:t xml:space="preserve">, </w:t>
      </w:r>
      <w:r w:rsidRPr="00CF3DDD">
        <w:rPr>
          <w:rFonts w:eastAsia="Times New Roman" w:cs="Times New Roman"/>
          <w:szCs w:val="24"/>
        </w:rPr>
        <w:t xml:space="preserve">are deeply interconnected and influence one another in ways that have been increasingly </w:t>
      </w:r>
      <w:r w:rsidR="00345BE7" w:rsidRPr="00CF3DDD">
        <w:rPr>
          <w:rFonts w:eastAsia="Times New Roman" w:cs="Times New Roman"/>
          <w:szCs w:val="24"/>
        </w:rPr>
        <w:t>recognized</w:t>
      </w:r>
      <w:r w:rsidRPr="00CF3DDD">
        <w:rPr>
          <w:rFonts w:eastAsia="Times New Roman" w:cs="Times New Roman"/>
          <w:szCs w:val="24"/>
        </w:rPr>
        <w:t xml:space="preserve"> in branding literature. Brand equity serves as the foundation, shaping how consumers perceive a brand in terms of its value, associations, and </w:t>
      </w:r>
      <w:r w:rsidR="007D3226" w:rsidRPr="00CF3DDD">
        <w:rPr>
          <w:rFonts w:eastAsia="Times New Roman" w:cs="Times New Roman"/>
          <w:szCs w:val="24"/>
        </w:rPr>
        <w:t>recognizability</w:t>
      </w:r>
      <w:r w:rsidRPr="00CF3DDD">
        <w:rPr>
          <w:rFonts w:eastAsia="Times New Roman" w:cs="Times New Roman"/>
          <w:szCs w:val="24"/>
        </w:rPr>
        <w:t>. These perceptions do not operate in isolation; they act as precursors that influence how consumers emotionally and cognitively engage with a brand</w:t>
      </w:r>
      <w:r w:rsidR="00A37F9F" w:rsidRPr="00CF3DDD">
        <w:rPr>
          <w:rFonts w:eastAsia="Times New Roman" w:cs="Times New Roman"/>
          <w:szCs w:val="24"/>
        </w:rPr>
        <w:t xml:space="preserve"> (Barbosa, </w:t>
      </w:r>
      <w:proofErr w:type="spellStart"/>
      <w:r w:rsidR="00A37F9F" w:rsidRPr="00CF3DDD">
        <w:rPr>
          <w:rFonts w:eastAsia="Times New Roman" w:cs="Times New Roman"/>
          <w:szCs w:val="24"/>
        </w:rPr>
        <w:t>Shabani</w:t>
      </w:r>
      <w:proofErr w:type="spellEnd"/>
      <w:r w:rsidR="00A37F9F" w:rsidRPr="00CF3DDD">
        <w:rPr>
          <w:rFonts w:eastAsia="Times New Roman" w:cs="Times New Roman"/>
          <w:szCs w:val="24"/>
        </w:rPr>
        <w:t xml:space="preserve"> </w:t>
      </w:r>
      <w:proofErr w:type="spellStart"/>
      <w:r w:rsidR="00A37F9F" w:rsidRPr="00CF3DDD">
        <w:rPr>
          <w:rFonts w:eastAsia="Times New Roman" w:cs="Times New Roman"/>
          <w:szCs w:val="24"/>
        </w:rPr>
        <w:t>Shojaei</w:t>
      </w:r>
      <w:proofErr w:type="spellEnd"/>
      <w:r w:rsidR="00A37F9F" w:rsidRPr="00CF3DDD">
        <w:rPr>
          <w:rFonts w:eastAsia="Times New Roman" w:cs="Times New Roman"/>
          <w:szCs w:val="24"/>
        </w:rPr>
        <w:t xml:space="preserve"> &amp; Miranda, 2023)</w:t>
      </w:r>
      <w:r w:rsidRPr="00CF3DDD">
        <w:rPr>
          <w:rFonts w:eastAsia="Times New Roman" w:cs="Times New Roman"/>
          <w:szCs w:val="24"/>
        </w:rPr>
        <w:t xml:space="preserve">. When brand equity is strong, it often fosters trust by </w:t>
      </w:r>
      <w:r w:rsidR="007D3226" w:rsidRPr="00CF3DDD">
        <w:rPr>
          <w:rFonts w:eastAsia="Times New Roman" w:cs="Times New Roman"/>
          <w:szCs w:val="24"/>
        </w:rPr>
        <w:t>signaling</w:t>
      </w:r>
      <w:r w:rsidRPr="00CF3DDD">
        <w:rPr>
          <w:rFonts w:eastAsia="Times New Roman" w:cs="Times New Roman"/>
          <w:szCs w:val="24"/>
        </w:rPr>
        <w:t xml:space="preserve"> reliability, competence, and consistency. Consumers who perceive a brand to be of high quality, ethical, and socially responsible are more likely to develop trust in that brand.</w:t>
      </w:r>
      <w:r w:rsidR="009A227F" w:rsidRPr="00CF3DDD">
        <w:rPr>
          <w:rFonts w:eastAsia="Times New Roman" w:cs="Times New Roman"/>
          <w:szCs w:val="24"/>
        </w:rPr>
        <w:t xml:space="preserve"> </w:t>
      </w:r>
      <w:r w:rsidRPr="00CF3DDD">
        <w:rPr>
          <w:rFonts w:eastAsia="Times New Roman" w:cs="Times New Roman"/>
          <w:szCs w:val="24"/>
        </w:rPr>
        <w:t>Trust, in turn, acts as an important mechanism that converts positive brand perceptions into loyalty. It reduces perceived risk and uncertainty, encouraging consumers to repurchase and remain committed even when faced with alternatives. In the case of Nestlé, its consistent product quality, nutritional transparency, and longstanding heritage contribute to consumers' trust in the brand, which then reinforces their inclination to continue purchasing its products. Moreover, trust paves the way for deeper emotional engagement, creating the conditions necessary for brand love to emerge.</w:t>
      </w:r>
    </w:p>
    <w:p w14:paraId="3AD4060C" w14:textId="77777777" w:rsidR="00D96AB7" w:rsidRPr="00CF3DDD" w:rsidRDefault="00D96AB7" w:rsidP="00CF3DDD">
      <w:pPr>
        <w:spacing w:before="100" w:beforeAutospacing="1" w:after="100" w:afterAutospacing="1" w:line="360" w:lineRule="auto"/>
        <w:rPr>
          <w:rFonts w:eastAsia="Times New Roman" w:cs="Times New Roman"/>
          <w:szCs w:val="24"/>
        </w:rPr>
      </w:pPr>
      <w:r>
        <w:t xml:space="preserve">Brand love, while distinct from trust, is often enabled by it. A consumer must first feel secure and satisfied with a brand before they can form an emotional bond with it. When a brand consistently meets or exceeds expectations, offers value alignment, and resonates emotionally, consumers </w:t>
      </w:r>
      <w:r>
        <w:lastRenderedPageBreak/>
        <w:t>begin to develop affection, attachment, and even symbolic identification. These emotional connections elevate the brand from a transactional choice to a relational entity. As seen in the case of Nestlé products that are integrated into daily routines or childhood memories, brand love creates a powerful emotional pull that not only sustains loyalty however altherefore encourages advocacy and resilience against competitive offerings.</w:t>
      </w:r>
    </w:p>
    <w:p w14:paraId="72F8C0B7" w14:textId="77777777" w:rsidR="00D96AB7" w:rsidRPr="00CF3DDD" w:rsidRDefault="00D96AB7" w:rsidP="00CF3DDD">
      <w:pPr>
        <w:spacing w:before="100" w:beforeAutospacing="1" w:after="100" w:afterAutospacing="1" w:line="360" w:lineRule="auto"/>
        <w:rPr>
          <w:rFonts w:eastAsia="Times New Roman" w:cs="Times New Roman"/>
          <w:szCs w:val="24"/>
        </w:rPr>
      </w:pPr>
      <w:r>
        <w:t>Together, brand trust and brand love function as mediating forces that explain how brand equity translates into brand loyalty. While brand equity initiates the relationship by shaping perception, it is trust and love that solidify that relationship into a long-term commitment. This interplay underscores the importance of integrating both rational and emotional constructs when analysing consumer-brand dynamics. In the context of Nestlé and the UK FMCG market, this interconnectedness becomes particularly vital, as consumers are not only seeking functional value however altherefore emotional and ethical alignment with the brands they support.</w:t>
      </w:r>
    </w:p>
    <w:p w14:paraId="4C061BD3" w14:textId="5982B508" w:rsidR="00D96AB7" w:rsidRPr="00CF3DDD" w:rsidRDefault="00D96AB7" w:rsidP="00CF3DDD">
      <w:pPr>
        <w:pStyle w:val="Heading2"/>
        <w:spacing w:line="360" w:lineRule="auto"/>
      </w:pPr>
      <w:bookmarkStart w:id="54" w:name="_Toc209310613"/>
      <w:r w:rsidRPr="00CF3DDD">
        <w:t>2.</w:t>
      </w:r>
      <w:r w:rsidR="009A227F" w:rsidRPr="00CF3DDD">
        <w:t>24</w:t>
      </w:r>
      <w:r w:rsidRPr="00CF3DDD">
        <w:t xml:space="preserve"> Research Gap and Chapter Summary</w:t>
      </w:r>
      <w:bookmarkEnd w:id="54"/>
    </w:p>
    <w:p w14:paraId="2166447F" w14:textId="77777777" w:rsidR="00D96AB7" w:rsidRPr="00CF3DDD" w:rsidRDefault="00D96AB7"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Although substantial literature exists on brand equity and brand loyalty, the mediating roles of brand trust and brand love have not been extensively studied within a unified framework, particularly in the context of FMCG brands operating in mature markets like the UK. Much of the prior research tends to examine these constructs independently or within limited geographic contexts, often focusing on luxury or technology sectors, which differ significantly from the </w:t>
      </w:r>
      <w:r w:rsidR="00F457AE" w:rsidRPr="00CF3DDD">
        <w:rPr>
          <w:rFonts w:eastAsia="Times New Roman" w:cs="Times New Roman"/>
          <w:szCs w:val="24"/>
        </w:rPr>
        <w:t>fast-moving</w:t>
      </w:r>
      <w:r w:rsidRPr="00CF3DDD">
        <w:rPr>
          <w:rFonts w:eastAsia="Times New Roman" w:cs="Times New Roman"/>
          <w:szCs w:val="24"/>
        </w:rPr>
        <w:t>, routine</w:t>
      </w:r>
      <w:r w:rsidR="00345BE7" w:rsidRPr="00CF3DDD">
        <w:rPr>
          <w:rFonts w:eastAsia="Times New Roman" w:cs="Times New Roman"/>
          <w:szCs w:val="24"/>
        </w:rPr>
        <w:t xml:space="preserve">, </w:t>
      </w:r>
      <w:r w:rsidRPr="00CF3DDD">
        <w:rPr>
          <w:rFonts w:eastAsia="Times New Roman" w:cs="Times New Roman"/>
          <w:szCs w:val="24"/>
        </w:rPr>
        <w:t>driven nature of FMCG purchasing. Furthermore, few studies address how emotional and rational mediators interact simultaneously to influence consumer loyalty decisions, leaving a conceptual and empirical gap that this research aims to address.</w:t>
      </w:r>
    </w:p>
    <w:p w14:paraId="6B5E839E" w14:textId="77777777" w:rsidR="00D96AB7" w:rsidRPr="00CF3DDD" w:rsidRDefault="00D96AB7"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Another noticeable gap is the scarcity of studies focusing on </w:t>
      </w:r>
      <w:r w:rsidR="004A2ACD" w:rsidRPr="00CF3DDD">
        <w:rPr>
          <w:rFonts w:eastAsia="Times New Roman" w:cs="Times New Roman"/>
          <w:szCs w:val="24"/>
        </w:rPr>
        <w:t>well-established</w:t>
      </w:r>
      <w:r w:rsidRPr="00CF3DDD">
        <w:rPr>
          <w:rFonts w:eastAsia="Times New Roman" w:cs="Times New Roman"/>
          <w:szCs w:val="24"/>
        </w:rPr>
        <w:t xml:space="preserve"> global brands such as Nestlé, particularly from the perspective of UK consumers. Most available studies either adopt a generic FMCG perspective or concentrate on local brands in emerging markets. As a result, there is limited understanding of how global branding strategies resonate with local consumer values in developed economies, especially when emotional constructs like trust and love are involved. This study aims to bridge that gap by exploring how Nestlé, with its multinational presence and </w:t>
      </w:r>
      <w:r w:rsidRPr="00CF3DDD">
        <w:rPr>
          <w:rFonts w:eastAsia="Times New Roman" w:cs="Times New Roman"/>
          <w:szCs w:val="24"/>
        </w:rPr>
        <w:lastRenderedPageBreak/>
        <w:t>emotional brand heritage, leverages brand equity to cultivate consumer loyalty through psychological mediators.</w:t>
      </w:r>
    </w:p>
    <w:p w14:paraId="23EC292E" w14:textId="60C71959" w:rsidR="00D96AB7" w:rsidRPr="00CF3DDD" w:rsidRDefault="00D96AB7" w:rsidP="00CF3DDD">
      <w:pPr>
        <w:spacing w:before="100" w:beforeAutospacing="1" w:after="100" w:afterAutospacing="1" w:line="360" w:lineRule="auto"/>
        <w:rPr>
          <w:rFonts w:cs="Times New Roman"/>
        </w:rPr>
      </w:pPr>
      <w:r>
        <w:t>In summary, this chapter critically reviewed the major theoretical foundations and contemporary discussions related to brand equity, trust, love, and loyalty. It has highlighted not only the strength of existing models however altherefore their limitations in fully explaining consumer behaviour in FMCG contexts. By identifying the interplay between the constructs and the research gap in existing literature, the chapter has set the stage for the next phase of this dissertation. The upcoming chapter will present the conceptual model and hypotheses derived from this review, guiding the empirical exploration of these relationships in the specific context of Nestlé's UK consumer base.</w:t>
      </w:r>
    </w:p>
    <w:p w14:paraId="512445D8" w14:textId="7798597D" w:rsidR="00373363" w:rsidRPr="00CF3DDD" w:rsidRDefault="00373363" w:rsidP="00CF3DDD">
      <w:pPr>
        <w:spacing w:before="100" w:beforeAutospacing="1" w:after="100" w:afterAutospacing="1" w:line="360" w:lineRule="auto"/>
        <w:rPr>
          <w:rFonts w:cs="Times New Roman"/>
        </w:rPr>
      </w:pPr>
    </w:p>
    <w:p w14:paraId="2AAE1170" w14:textId="36C97CD4" w:rsidR="00373363" w:rsidRPr="00CF3DDD" w:rsidRDefault="00373363" w:rsidP="00CF3DDD">
      <w:pPr>
        <w:spacing w:before="100" w:beforeAutospacing="1" w:after="100" w:afterAutospacing="1" w:line="360" w:lineRule="auto"/>
        <w:rPr>
          <w:rFonts w:cs="Times New Roman"/>
        </w:rPr>
      </w:pPr>
    </w:p>
    <w:p w14:paraId="6AC6AB14" w14:textId="7153B32F" w:rsidR="00373363" w:rsidRDefault="00373363" w:rsidP="00CF3DDD">
      <w:pPr>
        <w:spacing w:before="100" w:beforeAutospacing="1" w:after="100" w:afterAutospacing="1" w:line="360" w:lineRule="auto"/>
        <w:rPr>
          <w:rFonts w:cs="Times New Roman"/>
        </w:rPr>
      </w:pPr>
    </w:p>
    <w:p w14:paraId="330E15E0" w14:textId="3E69F955" w:rsidR="005A1258" w:rsidRDefault="005A1258" w:rsidP="00CF3DDD">
      <w:pPr>
        <w:spacing w:before="100" w:beforeAutospacing="1" w:after="100" w:afterAutospacing="1" w:line="360" w:lineRule="auto"/>
        <w:rPr>
          <w:rFonts w:cs="Times New Roman"/>
        </w:rPr>
      </w:pPr>
    </w:p>
    <w:p w14:paraId="028F0C3F" w14:textId="44D5829C" w:rsidR="005A1258" w:rsidRDefault="005A1258" w:rsidP="00CF3DDD">
      <w:pPr>
        <w:spacing w:before="100" w:beforeAutospacing="1" w:after="100" w:afterAutospacing="1" w:line="360" w:lineRule="auto"/>
        <w:rPr>
          <w:rFonts w:cs="Times New Roman"/>
        </w:rPr>
      </w:pPr>
    </w:p>
    <w:p w14:paraId="2DFE1C8C" w14:textId="34FDD748" w:rsidR="005A1258" w:rsidRDefault="005A1258" w:rsidP="00CF3DDD">
      <w:pPr>
        <w:spacing w:before="100" w:beforeAutospacing="1" w:after="100" w:afterAutospacing="1" w:line="360" w:lineRule="auto"/>
        <w:rPr>
          <w:rFonts w:cs="Times New Roman"/>
        </w:rPr>
      </w:pPr>
    </w:p>
    <w:p w14:paraId="0938C00C" w14:textId="612C4C7F" w:rsidR="002B707D" w:rsidRDefault="002B707D" w:rsidP="00CF3DDD">
      <w:pPr>
        <w:spacing w:before="100" w:beforeAutospacing="1" w:after="100" w:afterAutospacing="1" w:line="360" w:lineRule="auto"/>
        <w:rPr>
          <w:rFonts w:cs="Times New Roman"/>
        </w:rPr>
      </w:pPr>
    </w:p>
    <w:p w14:paraId="7B7F908E" w14:textId="67D9916B" w:rsidR="002B707D" w:rsidRDefault="002B707D" w:rsidP="00CF3DDD">
      <w:pPr>
        <w:spacing w:before="100" w:beforeAutospacing="1" w:after="100" w:afterAutospacing="1" w:line="360" w:lineRule="auto"/>
        <w:rPr>
          <w:rFonts w:cs="Times New Roman"/>
        </w:rPr>
      </w:pPr>
    </w:p>
    <w:p w14:paraId="20AC9D33" w14:textId="19177383" w:rsidR="002B707D" w:rsidRDefault="002B707D" w:rsidP="00CF3DDD">
      <w:pPr>
        <w:spacing w:before="100" w:beforeAutospacing="1" w:after="100" w:afterAutospacing="1" w:line="360" w:lineRule="auto"/>
        <w:rPr>
          <w:rFonts w:cs="Times New Roman"/>
        </w:rPr>
      </w:pPr>
    </w:p>
    <w:p w14:paraId="33B73518" w14:textId="167C9EA8" w:rsidR="002B707D" w:rsidRDefault="002B707D" w:rsidP="00CF3DDD">
      <w:pPr>
        <w:spacing w:before="100" w:beforeAutospacing="1" w:after="100" w:afterAutospacing="1" w:line="360" w:lineRule="auto"/>
        <w:rPr>
          <w:rFonts w:cs="Times New Roman"/>
        </w:rPr>
      </w:pPr>
    </w:p>
    <w:p w14:paraId="45DF4AB4" w14:textId="2241B3A9" w:rsidR="002B707D" w:rsidRDefault="002B707D" w:rsidP="00CF3DDD">
      <w:pPr>
        <w:spacing w:before="100" w:beforeAutospacing="1" w:after="100" w:afterAutospacing="1" w:line="360" w:lineRule="auto"/>
        <w:rPr>
          <w:rFonts w:cs="Times New Roman"/>
        </w:rPr>
      </w:pPr>
    </w:p>
    <w:p w14:paraId="4D960CD2" w14:textId="77777777" w:rsidR="002B707D" w:rsidRDefault="002B707D" w:rsidP="00CF3DDD">
      <w:pPr>
        <w:spacing w:before="100" w:beforeAutospacing="1" w:after="100" w:afterAutospacing="1" w:line="360" w:lineRule="auto"/>
        <w:rPr>
          <w:rFonts w:cs="Times New Roman"/>
        </w:rPr>
      </w:pPr>
    </w:p>
    <w:p w14:paraId="1408E802" w14:textId="77777777" w:rsidR="005A1258" w:rsidRPr="00CF3DDD" w:rsidRDefault="005A1258" w:rsidP="00CF3DDD">
      <w:pPr>
        <w:spacing w:before="100" w:beforeAutospacing="1" w:after="100" w:afterAutospacing="1" w:line="360" w:lineRule="auto"/>
        <w:rPr>
          <w:rFonts w:cs="Times New Roman"/>
        </w:rPr>
      </w:pPr>
    </w:p>
    <w:p w14:paraId="0E4CD87E" w14:textId="150B100D" w:rsidR="00373363" w:rsidRPr="00CF3DDD" w:rsidRDefault="00373363" w:rsidP="00CF3DDD">
      <w:pPr>
        <w:spacing w:before="100" w:beforeAutospacing="1" w:after="100" w:afterAutospacing="1" w:line="360" w:lineRule="auto"/>
        <w:rPr>
          <w:rFonts w:cs="Times New Roman"/>
        </w:rPr>
      </w:pPr>
    </w:p>
    <w:p w14:paraId="647371B3" w14:textId="77777777" w:rsidR="00373363" w:rsidRPr="00CF3DDD" w:rsidRDefault="00373363" w:rsidP="00CF3DDD">
      <w:pPr>
        <w:spacing w:before="100" w:beforeAutospacing="1" w:after="100" w:afterAutospacing="1" w:line="360" w:lineRule="auto"/>
        <w:rPr>
          <w:rFonts w:eastAsia="Times New Roman" w:cs="Times New Roman"/>
          <w:szCs w:val="24"/>
        </w:rPr>
      </w:pPr>
    </w:p>
    <w:p w14:paraId="35F48907" w14:textId="610293F1" w:rsidR="00FB0C20" w:rsidRPr="00CF3DDD" w:rsidRDefault="00254784" w:rsidP="00CF3DDD">
      <w:pPr>
        <w:pStyle w:val="Heading1"/>
        <w:spacing w:line="360" w:lineRule="auto"/>
        <w:ind w:left="0"/>
        <w:rPr>
          <w:rFonts w:cs="Times New Roman"/>
        </w:rPr>
      </w:pPr>
      <w:bookmarkStart w:id="55" w:name="_Toc209310614"/>
      <w:r w:rsidRPr="00CF3DDD">
        <w:rPr>
          <w:rFonts w:cs="Times New Roman"/>
        </w:rPr>
        <w:t>Chapter 3</w:t>
      </w:r>
      <w:r w:rsidR="009A227F" w:rsidRPr="00CF3DDD">
        <w:rPr>
          <w:rFonts w:cs="Times New Roman"/>
        </w:rPr>
        <w:t>:</w:t>
      </w:r>
      <w:r w:rsidR="00F4678D" w:rsidRPr="00CF3DDD">
        <w:rPr>
          <w:rFonts w:cs="Times New Roman"/>
        </w:rPr>
        <w:t xml:space="preserve"> Research Methodolog</w:t>
      </w:r>
      <w:r w:rsidR="00FB0C20" w:rsidRPr="00CF3DDD">
        <w:rPr>
          <w:rFonts w:cs="Times New Roman"/>
        </w:rPr>
        <w:t>y</w:t>
      </w:r>
      <w:bookmarkEnd w:id="55"/>
    </w:p>
    <w:p w14:paraId="013997AE" w14:textId="13729679" w:rsidR="00254784" w:rsidRPr="00CF3DDD" w:rsidRDefault="009A227F" w:rsidP="00CF3DDD">
      <w:pPr>
        <w:pStyle w:val="Heading2"/>
        <w:spacing w:line="360" w:lineRule="auto"/>
      </w:pPr>
      <w:bookmarkStart w:id="56" w:name="_Toc209310615"/>
      <w:r w:rsidRPr="00CF3DDD">
        <w:t>3.</w:t>
      </w:r>
      <w:r w:rsidR="00F4678D" w:rsidRPr="00CF3DDD">
        <w:t>1</w:t>
      </w:r>
      <w:r w:rsidRPr="00CF3DDD">
        <w:t xml:space="preserve"> </w:t>
      </w:r>
      <w:r w:rsidR="00254784" w:rsidRPr="00CF3DDD">
        <w:t>Introduction</w:t>
      </w:r>
      <w:bookmarkEnd w:id="56"/>
    </w:p>
    <w:p w14:paraId="197CA24A" w14:textId="77777777" w:rsidR="00254784" w:rsidRPr="00CF3DDD" w:rsidRDefault="00254784" w:rsidP="00CF3DDD">
      <w:pPr>
        <w:spacing w:before="100" w:beforeAutospacing="1" w:after="100" w:afterAutospacing="1" w:line="360" w:lineRule="auto"/>
        <w:rPr>
          <w:rFonts w:eastAsia="Times New Roman" w:cs="Times New Roman"/>
          <w:szCs w:val="24"/>
        </w:rPr>
      </w:pPr>
      <w:r>
        <w:t>The main aim of this study is to examine how brand equity influences brand loyalty among Nestlé consumers in the UK (aged 18+), and to assess whether brand trust and brand love act as mediating variables in this relationship. To achieve this aim, the following objectives are set: (1) to measure the level of brand equity perceived by Nestlé consumers; (2) to evaluate the relationship between Nestlé’s brand equity and consumers’ brand loyalty; (3) to test whether brand trust mediates the effect of brand equity on loyalty; and (4) to test whether brand love altherefore mediates this effect. These objectives guide a hypothesis-driven approach examining predefined relationships between constructs. In line with standard academic practice, established definitions and measurement scales from the literature are used for each construct (e.g., Yoo et al., 2000; Chaudhuri &amp; Holbrook, 2001; Bagozzi et al., 2017). This chapter outlines the methodology employed to meet these objectives, detailing the research strategy, design, data collection, and analysis methods, as well as reliability, validity, limitations, and ethical considerations.</w:t>
      </w:r>
    </w:p>
    <w:p w14:paraId="5D6AAD93" w14:textId="67ABDE7B" w:rsidR="00254784" w:rsidRPr="00CF3DDD" w:rsidRDefault="009A227F" w:rsidP="00CF3DDD">
      <w:pPr>
        <w:pStyle w:val="Heading2"/>
        <w:spacing w:line="360" w:lineRule="auto"/>
      </w:pPr>
      <w:bookmarkStart w:id="57" w:name="_Toc209310616"/>
      <w:r w:rsidRPr="00CF3DDD">
        <w:t>3.</w:t>
      </w:r>
      <w:r w:rsidR="00F4678D" w:rsidRPr="00CF3DDD">
        <w:t xml:space="preserve">2 </w:t>
      </w:r>
      <w:r w:rsidR="00254784" w:rsidRPr="00CF3DDD">
        <w:t>Research Strategy</w:t>
      </w:r>
      <w:bookmarkEnd w:id="57"/>
    </w:p>
    <w:p w14:paraId="6091CAB0"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The research strategy follows a </w:t>
      </w:r>
      <w:r w:rsidRPr="00CF3DDD">
        <w:rPr>
          <w:rFonts w:eastAsia="Times New Roman" w:cs="Times New Roman"/>
          <w:b/>
          <w:bCs/>
          <w:szCs w:val="24"/>
        </w:rPr>
        <w:t>deductive, quantitative</w:t>
      </w:r>
      <w:r w:rsidRPr="00CF3DDD">
        <w:rPr>
          <w:rFonts w:eastAsia="Times New Roman" w:cs="Times New Roman"/>
          <w:szCs w:val="24"/>
        </w:rPr>
        <w:t xml:space="preserve"> approach. Because we start with theoretical concepts of brand equity, brand trust, brand love</w:t>
      </w:r>
      <w:r w:rsidR="00F457AE" w:rsidRPr="00CF3DDD">
        <w:rPr>
          <w:rFonts w:eastAsia="Times New Roman" w:cs="Times New Roman"/>
          <w:szCs w:val="24"/>
        </w:rPr>
        <w:t>,</w:t>
      </w:r>
      <w:r w:rsidRPr="00CF3DDD">
        <w:rPr>
          <w:rFonts w:eastAsia="Times New Roman" w:cs="Times New Roman"/>
          <w:szCs w:val="24"/>
        </w:rPr>
        <w:t xml:space="preserve"> and loyalty (drawn from existing literature) and then test hypotheses about their relationships, the study is deductive in nature (Open University, 2025). In other words, theory informs the hypotheses, and data are gathered to confirm or refute them. This approach is </w:t>
      </w:r>
      <w:r w:rsidR="00F457AE" w:rsidRPr="00CF3DDD">
        <w:rPr>
          <w:rFonts w:eastAsia="Times New Roman" w:cs="Times New Roman"/>
          <w:szCs w:val="24"/>
        </w:rPr>
        <w:t>well-suited</w:t>
      </w:r>
      <w:r w:rsidRPr="00CF3DDD">
        <w:rPr>
          <w:rFonts w:eastAsia="Times New Roman" w:cs="Times New Roman"/>
          <w:szCs w:val="24"/>
        </w:rPr>
        <w:t xml:space="preserve"> to an explanatory study, where hypotheses (e.g.</w:t>
      </w:r>
      <w:r w:rsidR="00F457AE" w:rsidRPr="00CF3DDD">
        <w:rPr>
          <w:rFonts w:eastAsia="Times New Roman" w:cs="Times New Roman"/>
          <w:szCs w:val="24"/>
        </w:rPr>
        <w:t>,</w:t>
      </w:r>
      <w:r w:rsidRPr="00CF3DDD">
        <w:rPr>
          <w:rFonts w:eastAsia="Times New Roman" w:cs="Times New Roman"/>
          <w:szCs w:val="24"/>
        </w:rPr>
        <w:t xml:space="preserve"> “brand equity positively affects loyalty”) are explicitly formulated in advance. In explanatory studies, research usually proceeds by testing propositions in an objective manner (Open University, 2025), and this aligns with the study’s goal of testing theoretically derived relationships.</w:t>
      </w:r>
    </w:p>
    <w:p w14:paraId="5419A1D8"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cs="Times New Roman"/>
        </w:rPr>
        <w:lastRenderedPageBreak/>
        <w:t xml:space="preserve">A quantitative methodology is chosen to allow objective measurement and statistical testing of relationships. Quantitative methods produce numeric data that can be </w:t>
      </w:r>
      <w:proofErr w:type="spellStart"/>
      <w:r w:rsidRPr="00CF3DDD">
        <w:rPr>
          <w:rFonts w:cs="Times New Roman"/>
        </w:rPr>
        <w:t>analysed</w:t>
      </w:r>
      <w:proofErr w:type="spellEnd"/>
      <w:r w:rsidRPr="00CF3DDD">
        <w:rPr>
          <w:rFonts w:cs="Times New Roman"/>
        </w:rPr>
        <w:t xml:space="preserve"> statistically, which is appropriate for testing the strength and significance of the hypothesized effects (Nottingham University, n.d.; Open University, 2025). The positivist paradigm underpins this strategy: positivism holds that reality is objective and measurable, and it favors quantitative data and statistical analysis (Nottingham University, n.d.; Open University, 2025). By adopting a positivist stance, the study treats the relationships between brand constructs as discoverable “laws” that can be measured and generalized. (In contrast, an interpretivist approach would focus on subjective meanings and qualitative insight, which is not the goal here.) Thus, the research will use quantifiable survey measures and statistical tests to address the hypotheses, consistent with a deductive-positivist framework (Open University, 2025).</w:t>
      </w:r>
    </w:p>
    <w:p w14:paraId="7662C87D" w14:textId="11DBA61A" w:rsidR="00254784" w:rsidRPr="00CF3DDD" w:rsidRDefault="009A227F" w:rsidP="00CF3DDD">
      <w:pPr>
        <w:pStyle w:val="Heading2"/>
        <w:spacing w:line="360" w:lineRule="auto"/>
      </w:pPr>
      <w:bookmarkStart w:id="58" w:name="_Toc209310617"/>
      <w:r w:rsidRPr="00CF3DDD">
        <w:t xml:space="preserve">3.3 </w:t>
      </w:r>
      <w:r w:rsidR="00254784" w:rsidRPr="00CF3DDD">
        <w:t>Research Design</w:t>
      </w:r>
      <w:bookmarkEnd w:id="58"/>
    </w:p>
    <w:p w14:paraId="46B24843"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cs="Times New Roman"/>
        </w:rPr>
        <w:t xml:space="preserve">A cross-sectional survey design is employed. In a cross-sectional design, data are collected at a single point in time from respondents (Thomas, 2020). This fits the study’s needs because it examines perceptions and attitudes of Nestlé consumers at the present moment. For example, </w:t>
      </w:r>
      <w:proofErr w:type="spellStart"/>
      <w:r w:rsidRPr="00CF3DDD">
        <w:rPr>
          <w:rFonts w:cs="Times New Roman"/>
        </w:rPr>
        <w:t>Ogonu</w:t>
      </w:r>
      <w:proofErr w:type="spellEnd"/>
      <w:r w:rsidRPr="00CF3DDD">
        <w:rPr>
          <w:rFonts w:cs="Times New Roman"/>
        </w:rPr>
        <w:t xml:space="preserve"> and </w:t>
      </w:r>
      <w:proofErr w:type="spellStart"/>
      <w:r w:rsidRPr="00CF3DDD">
        <w:rPr>
          <w:rFonts w:cs="Times New Roman"/>
        </w:rPr>
        <w:t>Nwokah</w:t>
      </w:r>
      <w:proofErr w:type="spellEnd"/>
      <w:r w:rsidRPr="00CF3DDD">
        <w:rPr>
          <w:rFonts w:cs="Times New Roman"/>
        </w:rPr>
        <w:t xml:space="preserve"> (2023) note that a cross-sectional survey design is commonly used in consumer </w:t>
      </w:r>
      <w:proofErr w:type="spellStart"/>
      <w:r w:rsidRPr="00CF3DDD">
        <w:rPr>
          <w:rFonts w:cs="Times New Roman"/>
        </w:rPr>
        <w:t>behaviour</w:t>
      </w:r>
      <w:proofErr w:type="spellEnd"/>
      <w:r w:rsidRPr="00CF3DDD">
        <w:rPr>
          <w:rFonts w:cs="Times New Roman"/>
        </w:rPr>
        <w:t xml:space="preserve"> research to capture variables and their relationships at one point in time. The cross-sectional design is efficient and cost-effective; it avoids the time and complexity of repeated measures, and it is standard practice for exploratory studies of brand relationships. (The limitation is that causal inferences are weaker than in longitudinal designs; this is noted in the limitations section.)</w:t>
      </w:r>
    </w:p>
    <w:p w14:paraId="408B1F10" w14:textId="77777777" w:rsidR="00254784" w:rsidRPr="00CF3DDD" w:rsidRDefault="00254784" w:rsidP="00CF3DDD">
      <w:pPr>
        <w:spacing w:before="100" w:beforeAutospacing="1" w:after="100" w:afterAutospacing="1" w:line="360" w:lineRule="auto"/>
        <w:rPr>
          <w:rFonts w:eastAsia="Times New Roman" w:cs="Times New Roman"/>
          <w:szCs w:val="24"/>
        </w:rPr>
      </w:pPr>
      <w:r>
        <w:t>This study uses a mono-method (single-method) quantitative approach, meaning that one mode of data collection (a structured questionnaire) is used for all measures. All data (on brand equity, trust, love, and loyalty) will be collected via the same online survey instrument. Using a mono-method is common in survey-based research where one consistent source of data (self-report) is acceptable. Although mixed methods (qualitative and quantitative) can provide richer insights, the scope here is clearly defined by testing numerical relationships, therefore a single quantitative method suffices.</w:t>
      </w:r>
    </w:p>
    <w:p w14:paraId="343371CB"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lastRenderedPageBreak/>
        <w:t xml:space="preserve">The questionnaire is administered online using </w:t>
      </w:r>
      <w:r w:rsidRPr="00CF3DDD">
        <w:rPr>
          <w:rFonts w:eastAsia="Times New Roman" w:cs="Times New Roman"/>
          <w:b/>
          <w:bCs/>
          <w:szCs w:val="24"/>
        </w:rPr>
        <w:t>Google Forms</w:t>
      </w:r>
      <w:r w:rsidRPr="00CF3DDD">
        <w:rPr>
          <w:rFonts w:eastAsia="Times New Roman" w:cs="Times New Roman"/>
          <w:szCs w:val="24"/>
        </w:rPr>
        <w:t xml:space="preserve">. Web-based surveys are widely used in academic and marketing research because they are user-friendly and cost-effective. As Raju and </w:t>
      </w:r>
      <w:proofErr w:type="spellStart"/>
      <w:r w:rsidRPr="00CF3DDD">
        <w:rPr>
          <w:rFonts w:eastAsia="Times New Roman" w:cs="Times New Roman"/>
          <w:szCs w:val="24"/>
        </w:rPr>
        <w:t>Harinarayana</w:t>
      </w:r>
      <w:proofErr w:type="spellEnd"/>
      <w:r w:rsidRPr="00CF3DDD">
        <w:rPr>
          <w:rFonts w:eastAsia="Times New Roman" w:cs="Times New Roman"/>
          <w:szCs w:val="24"/>
        </w:rPr>
        <w:t xml:space="preserve"> (2016) observe, web-based survey tools have “become one of the major tools for conducting survey research”. Google Forms, in particular, offers an intuitive interface for building and distributing questionnaires. It is free, mobile-accessible, and allows easy collection of responses in a spreadsheet. Online distribution via email and social media enables quick access to a geographically dispersed sample of UK consumers. Compared to paper or face-to-face surveys, online forms eliminate printing and travel costs, increase speed of response, and can improve data accuracy through mandatory fields. Indeed, studies have found that online surveys often outperform traditional methods in terms of cost and response time. Consequently, Google Forms is an appropriate tool for this consumer survey</w:t>
      </w:r>
      <w:r w:rsidR="00F068C9" w:rsidRPr="00CF3DDD">
        <w:rPr>
          <w:rFonts w:eastAsia="Times New Roman" w:cs="Times New Roman"/>
          <w:szCs w:val="24"/>
        </w:rPr>
        <w:t xml:space="preserve"> (Keller, 2016)</w:t>
      </w:r>
      <w:r w:rsidRPr="00CF3DDD">
        <w:rPr>
          <w:rFonts w:eastAsia="Times New Roman" w:cs="Times New Roman"/>
          <w:szCs w:val="24"/>
        </w:rPr>
        <w:t>.</w:t>
      </w:r>
    </w:p>
    <w:p w14:paraId="34A14F70" w14:textId="77777777" w:rsidR="00254784" w:rsidRPr="00CF3DDD" w:rsidRDefault="00254784" w:rsidP="00CF3DDD">
      <w:pPr>
        <w:spacing w:before="100" w:beforeAutospacing="1" w:after="100" w:afterAutospacing="1" w:line="360" w:lineRule="auto"/>
        <w:rPr>
          <w:rFonts w:eastAsia="Times New Roman" w:cs="Times New Roman"/>
          <w:szCs w:val="24"/>
        </w:rPr>
      </w:pPr>
      <w:r>
        <w:t>Participants are selected using convenience sampling, a non-probability technique where respondents are chosen based on ease of access (Golzar et al., 2022). Convenience sampling was chosen due to practical constraints: it is inexpensive and fast, allowing us to reach respondents through university networks and social media without needing a formal sampling frame. For example, recruiting respondents who readily volunteer through university mailing lists or online forums is a straightforward way to gather data. The drawback, noted by Golzar et al. (2022), is that convenience samples can introduce bias and limit generalizability. In this study, for instance, the sample may over-represent younger or more internet-savvy Nestlé consumers. However, given the exploratory nature of this dissertation and the target of 200 respondents, convenience sampling is acceptable as a starting point. Later research could use more rigorous sampling, however here, convenience sampling provides a feasible path to test the conceptual model.</w:t>
      </w:r>
    </w:p>
    <w:p w14:paraId="2B715B99" w14:textId="7959438E" w:rsidR="00254784" w:rsidRPr="00CF3DDD" w:rsidRDefault="00F4678D" w:rsidP="00CF3DDD">
      <w:pPr>
        <w:pStyle w:val="Heading2"/>
        <w:spacing w:line="360" w:lineRule="auto"/>
      </w:pPr>
      <w:bookmarkStart w:id="59" w:name="_Toc209310618"/>
      <w:r w:rsidRPr="00CF3DDD">
        <w:t xml:space="preserve">3.4 </w:t>
      </w:r>
      <w:r w:rsidR="00254784" w:rsidRPr="00CF3DDD">
        <w:t>Research Paradigm (Philosophy)</w:t>
      </w:r>
      <w:bookmarkEnd w:id="59"/>
    </w:p>
    <w:p w14:paraId="36D3C33E"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This study is grounded in the </w:t>
      </w:r>
      <w:r w:rsidRPr="00CF3DDD">
        <w:rPr>
          <w:rFonts w:eastAsia="Times New Roman" w:cs="Times New Roman"/>
          <w:b/>
          <w:bCs/>
          <w:szCs w:val="24"/>
        </w:rPr>
        <w:t>positivist</w:t>
      </w:r>
      <w:r w:rsidRPr="00CF3DDD">
        <w:rPr>
          <w:rFonts w:eastAsia="Times New Roman" w:cs="Times New Roman"/>
          <w:szCs w:val="24"/>
        </w:rPr>
        <w:t xml:space="preserve"> research paradigm. Positivism assumes that an objective reality exists and can be measured through empirical observation (Nottingham University, n.d.). In a positivist paradigm, knowledge is gained by measuring and testing hypotheses about observable variables. Since this study quantifies constructs like brand equity and loyalty and seeks generalizable findings, positivism is appropriate. From this view, relationships between variables </w:t>
      </w:r>
      <w:r w:rsidRPr="00CF3DDD">
        <w:rPr>
          <w:rFonts w:eastAsia="Times New Roman" w:cs="Times New Roman"/>
          <w:szCs w:val="24"/>
        </w:rPr>
        <w:lastRenderedPageBreak/>
        <w:t>are expected to follow generalizable patterns or “laws” that can be verified statistically</w:t>
      </w:r>
      <w:r w:rsidR="00F068C9" w:rsidRPr="00CF3DDD">
        <w:rPr>
          <w:rFonts w:eastAsia="Times New Roman" w:cs="Times New Roman"/>
          <w:szCs w:val="24"/>
        </w:rPr>
        <w:t xml:space="preserve"> (</w:t>
      </w:r>
      <w:proofErr w:type="spellStart"/>
      <w:r w:rsidR="00F068C9" w:rsidRPr="00CF3DDD">
        <w:rPr>
          <w:rFonts w:eastAsia="Times New Roman" w:cs="Times New Roman"/>
          <w:szCs w:val="24"/>
        </w:rPr>
        <w:t>Kerviler</w:t>
      </w:r>
      <w:proofErr w:type="spellEnd"/>
      <w:r w:rsidR="00F068C9" w:rsidRPr="00CF3DDD">
        <w:rPr>
          <w:rFonts w:eastAsia="Times New Roman" w:cs="Times New Roman"/>
          <w:szCs w:val="24"/>
        </w:rPr>
        <w:t xml:space="preserve"> &amp; Rodriguez, 2021)</w:t>
      </w:r>
      <w:r w:rsidRPr="00CF3DDD">
        <w:rPr>
          <w:rFonts w:eastAsia="Times New Roman" w:cs="Times New Roman"/>
          <w:szCs w:val="24"/>
        </w:rPr>
        <w:t>.</w:t>
      </w:r>
    </w:p>
    <w:p w14:paraId="74F5E003" w14:textId="77777777" w:rsidR="00254784" w:rsidRPr="00CF3DDD" w:rsidRDefault="00254784" w:rsidP="00CF3DDD">
      <w:pPr>
        <w:spacing w:before="100" w:beforeAutospacing="1" w:after="100" w:afterAutospacing="1" w:line="360" w:lineRule="auto"/>
        <w:rPr>
          <w:rFonts w:eastAsia="Times New Roman" w:cs="Times New Roman"/>
          <w:szCs w:val="24"/>
        </w:rPr>
      </w:pPr>
      <w:r>
        <w:t>In contrast, the interpretivist paradigm emphasizes subjective meaning and context. An interpretivist might focus on how individual consumers uniquely experience brand love, for example, using interviews or focus groups. However, that is not the aim here; the goal is not to develop deep insights into individual experiences, however to test theory using large-scale data. Realism (or post-positivism) occupies a middle ground, recognizing an external reality however altherefore acknowledging that all observation is somewhat theory-laden. While realism altherefore uses quantitative data, it accepts that measurements have error and that context matters. In this study, we lean fully toward positivism because we use structured, numerical data and hypothesis testing with minimal interpretation. The positivist paradigm is explicitly chosen due to its alignment with a deductive, quantitative strategy (Open University, 2025; Nottingham University, n.d.). In summary, a positivist approach provides the philosophical foundation for treating the survey data as objective indicators of brand perceptions and for using statistical tests to validate hypotheses.</w:t>
      </w:r>
    </w:p>
    <w:p w14:paraId="179FBFAA" w14:textId="0BA3A055" w:rsidR="00254784" w:rsidRPr="00CF3DDD" w:rsidRDefault="00F4678D" w:rsidP="00CF3DDD">
      <w:pPr>
        <w:pStyle w:val="Heading2"/>
        <w:spacing w:line="360" w:lineRule="auto"/>
      </w:pPr>
      <w:bookmarkStart w:id="60" w:name="_Toc209310619"/>
      <w:r w:rsidRPr="00CF3DDD">
        <w:t xml:space="preserve">3.5 </w:t>
      </w:r>
      <w:r w:rsidR="00254784" w:rsidRPr="00CF3DDD">
        <w:t>Data Collection</w:t>
      </w:r>
      <w:bookmarkEnd w:id="60"/>
    </w:p>
    <w:p w14:paraId="668897E0"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Data are collected through a </w:t>
      </w:r>
      <w:r w:rsidRPr="00CF3DDD">
        <w:rPr>
          <w:rFonts w:eastAsia="Times New Roman" w:cs="Times New Roman"/>
          <w:b/>
          <w:bCs/>
          <w:szCs w:val="24"/>
        </w:rPr>
        <w:t>structured questionnaire</w:t>
      </w:r>
      <w:r w:rsidRPr="00CF3DDD">
        <w:rPr>
          <w:rFonts w:eastAsia="Times New Roman" w:cs="Times New Roman"/>
          <w:szCs w:val="24"/>
        </w:rPr>
        <w:t xml:space="preserve"> administered online. The questionnaire is pre-designed with fixed-response questions to gather consistent data across all respondents. All items use a </w:t>
      </w:r>
      <w:r w:rsidRPr="00CF3DDD">
        <w:rPr>
          <w:rFonts w:eastAsia="Times New Roman" w:cs="Times New Roman"/>
          <w:b/>
          <w:bCs/>
          <w:szCs w:val="24"/>
        </w:rPr>
        <w:t>five-point Likert scale</w:t>
      </w:r>
      <w:r w:rsidRPr="00CF3DDD">
        <w:rPr>
          <w:rFonts w:eastAsia="Times New Roman" w:cs="Times New Roman"/>
          <w:szCs w:val="24"/>
        </w:rPr>
        <w:t xml:space="preserve"> (1 = </w:t>
      </w:r>
      <w:r w:rsidRPr="00CF3DDD">
        <w:rPr>
          <w:rFonts w:eastAsia="Times New Roman" w:cs="Times New Roman"/>
          <w:i/>
          <w:iCs/>
          <w:szCs w:val="24"/>
        </w:rPr>
        <w:t>Strongly Disagree</w:t>
      </w:r>
      <w:r w:rsidRPr="00CF3DDD">
        <w:rPr>
          <w:rFonts w:eastAsia="Times New Roman" w:cs="Times New Roman"/>
          <w:szCs w:val="24"/>
        </w:rPr>
        <w:t xml:space="preserve"> to 5 = </w:t>
      </w:r>
      <w:r w:rsidRPr="00CF3DDD">
        <w:rPr>
          <w:rFonts w:eastAsia="Times New Roman" w:cs="Times New Roman"/>
          <w:i/>
          <w:iCs/>
          <w:szCs w:val="24"/>
        </w:rPr>
        <w:t>Strongly Agree</w:t>
      </w:r>
      <w:r w:rsidRPr="00CF3DDD">
        <w:rPr>
          <w:rFonts w:eastAsia="Times New Roman" w:cs="Times New Roman"/>
          <w:szCs w:val="24"/>
        </w:rPr>
        <w:t xml:space="preserve">). Likert scales are standard for attitudinal research because they capture degrees of agreement reliably. Multiple items per construct are used to form reliable scales. Importantly, existing validated scales from the literature are adopted to ensure content and construct validity. For example, measures for brand equity and brand loyalty are adapted from </w:t>
      </w:r>
      <w:proofErr w:type="spellStart"/>
      <w:r w:rsidRPr="00CF3DDD">
        <w:rPr>
          <w:rFonts w:eastAsia="Times New Roman" w:cs="Times New Roman"/>
          <w:szCs w:val="24"/>
        </w:rPr>
        <w:t>Yoo</w:t>
      </w:r>
      <w:proofErr w:type="spellEnd"/>
      <w:r w:rsidRPr="00CF3DDD">
        <w:rPr>
          <w:rFonts w:eastAsia="Times New Roman" w:cs="Times New Roman"/>
          <w:szCs w:val="24"/>
        </w:rPr>
        <w:t xml:space="preserve"> </w:t>
      </w:r>
      <w:r w:rsidRPr="00CF3DDD">
        <w:rPr>
          <w:rFonts w:eastAsia="Times New Roman" w:cs="Times New Roman"/>
          <w:i/>
          <w:iCs/>
          <w:szCs w:val="24"/>
        </w:rPr>
        <w:t>et al.</w:t>
      </w:r>
      <w:r w:rsidRPr="00CF3DDD">
        <w:rPr>
          <w:rFonts w:eastAsia="Times New Roman" w:cs="Times New Roman"/>
          <w:szCs w:val="24"/>
        </w:rPr>
        <w:t xml:space="preserve"> (2000), who developed a widely used Consumer-Based Brand Equity scale. Brand trust items are drawn from Chaudhuri and Holbrook (2001), who operationalized trust in brands. Brand love is measured using items from </w:t>
      </w:r>
      <w:r w:rsidR="00F068C9" w:rsidRPr="00CF3DDD">
        <w:rPr>
          <w:rFonts w:eastAsia="Times New Roman" w:cs="Times New Roman"/>
          <w:szCs w:val="24"/>
        </w:rPr>
        <w:t>(</w:t>
      </w:r>
      <w:proofErr w:type="spellStart"/>
      <w:r w:rsidRPr="00CF3DDD">
        <w:rPr>
          <w:rFonts w:eastAsia="Times New Roman" w:cs="Times New Roman"/>
          <w:szCs w:val="24"/>
        </w:rPr>
        <w:t>Bagozzi</w:t>
      </w:r>
      <w:proofErr w:type="spellEnd"/>
      <w:r w:rsidRPr="00CF3DDD">
        <w:rPr>
          <w:rFonts w:eastAsia="Times New Roman" w:cs="Times New Roman"/>
          <w:szCs w:val="24"/>
        </w:rPr>
        <w:t xml:space="preserve"> </w:t>
      </w:r>
      <w:r w:rsidRPr="00CF3DDD">
        <w:rPr>
          <w:rFonts w:eastAsia="Times New Roman" w:cs="Times New Roman"/>
          <w:i/>
          <w:iCs/>
          <w:szCs w:val="24"/>
        </w:rPr>
        <w:t>et al.</w:t>
      </w:r>
      <w:r w:rsidRPr="00CF3DDD">
        <w:rPr>
          <w:rFonts w:eastAsia="Times New Roman" w:cs="Times New Roman"/>
          <w:szCs w:val="24"/>
        </w:rPr>
        <w:t xml:space="preserve"> 2017), who developed a concise brand love scale. The use of these validated instruments means the questions have already demonstrated reliability and relevance in past research. To tailor them to Nestlé, instructions specify that respondents should answer concerning the Nestlé brand (or Nestlé products) specifically.</w:t>
      </w:r>
    </w:p>
    <w:p w14:paraId="21375248" w14:textId="77777777" w:rsidR="00254784" w:rsidRPr="00CF3DDD" w:rsidRDefault="00254784" w:rsidP="00CF3DDD">
      <w:pPr>
        <w:spacing w:before="100" w:beforeAutospacing="1" w:after="100" w:afterAutospacing="1" w:line="360" w:lineRule="auto"/>
        <w:rPr>
          <w:rFonts w:eastAsia="Times New Roman" w:cs="Times New Roman"/>
          <w:szCs w:val="24"/>
        </w:rPr>
      </w:pPr>
      <w:r>
        <w:lastRenderedPageBreak/>
        <w:t>Before main data collection, the questionnaire is pre-tested informally to check its clarity (face validity). Some university colleagues and classmates review the draft questions to ensure they appear sensible and cover the intended constructs. Their feedback leads to minor wording adjustments. No formal pilot study was conducted, however the choice of well-established scales provides confidence in measurement validity. The final questionnaire includes sections on demographics, brand equity (e.g., perceived quality, awareness), brand trust, brand love, and brand loyalty. The questionnaire is hosted on Google Forms, and a link is distributed via email lists, social media groups, and through advertising on campus. Participation is voluntary and anonymous. To encourage completion, the survey is kept concise (approximately 15–20 minutes to complete). Respondents can save and continue if needed. In summary, data collection uses an online, self-completed survey of validated items, which balances ease of distribution with standardized measurement (Kumar et al., 2017).</w:t>
      </w:r>
    </w:p>
    <w:p w14:paraId="625C48D4" w14:textId="47FF11FC" w:rsidR="00254784" w:rsidRPr="00CF3DDD" w:rsidRDefault="00F4678D" w:rsidP="00CF3DDD">
      <w:pPr>
        <w:pStyle w:val="Heading2"/>
        <w:spacing w:line="360" w:lineRule="auto"/>
      </w:pPr>
      <w:bookmarkStart w:id="61" w:name="_Toc209310620"/>
      <w:r w:rsidRPr="00CF3DDD">
        <w:t xml:space="preserve">3.6 </w:t>
      </w:r>
      <w:r w:rsidR="00254784" w:rsidRPr="00CF3DDD">
        <w:t>Population and Sample</w:t>
      </w:r>
      <w:bookmarkEnd w:id="61"/>
    </w:p>
    <w:p w14:paraId="0962E175"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The </w:t>
      </w:r>
      <w:r w:rsidRPr="00CF3DDD">
        <w:rPr>
          <w:rFonts w:eastAsia="Times New Roman" w:cs="Times New Roman"/>
          <w:b/>
          <w:bCs/>
          <w:szCs w:val="24"/>
        </w:rPr>
        <w:t>target population</w:t>
      </w:r>
      <w:r w:rsidRPr="00CF3DDD">
        <w:rPr>
          <w:rFonts w:eastAsia="Times New Roman" w:cs="Times New Roman"/>
          <w:szCs w:val="24"/>
        </w:rPr>
        <w:t xml:space="preserve"> is adult UK consumers (age 18 and over) of Nestlé products. Nestlé is a major fast-moving consumer goods company whose brands (e.g.</w:t>
      </w:r>
      <w:r w:rsidR="00F457AE" w:rsidRPr="00CF3DDD">
        <w:rPr>
          <w:rFonts w:eastAsia="Times New Roman" w:cs="Times New Roman"/>
          <w:szCs w:val="24"/>
        </w:rPr>
        <w:t>,</w:t>
      </w:r>
      <w:r w:rsidRPr="00CF3DDD">
        <w:rPr>
          <w:rFonts w:eastAsia="Times New Roman" w:cs="Times New Roman"/>
          <w:szCs w:val="24"/>
        </w:rPr>
        <w:t xml:space="preserve"> KitKat, Nescafé) are widely purchased in the UK. Thus, the population is broad, consisting of any UK resident aged 18+ who has used or purchased Nestlé products at least once. The criteria ensure respondents have relevant experience to answer questions about Nestlé’s brand attributes.</w:t>
      </w:r>
    </w:p>
    <w:p w14:paraId="31700352" w14:textId="77777777" w:rsidR="00254784" w:rsidRPr="00CF3DDD" w:rsidRDefault="00254784" w:rsidP="00CF3DDD">
      <w:pPr>
        <w:spacing w:before="100" w:beforeAutospacing="1" w:after="100" w:afterAutospacing="1" w:line="360" w:lineRule="auto"/>
        <w:rPr>
          <w:rFonts w:eastAsia="Times New Roman" w:cs="Times New Roman"/>
          <w:szCs w:val="24"/>
        </w:rPr>
      </w:pPr>
      <w:r>
        <w:t>A sample size of 200 respondents is planned. This number is chosen partly for feasibility and partly for statistical reasons. Social science research often aims for a minimum of 200 cases when using regression analysis, as this generally provides sufficient power for detecting moderate effects (Hair et al., 2010). Two hundred is altherefore a round, attainable target given the time frame. Ultimately, the larger the sample, the more reliable the estimates, however resource constraints limit the target to this amount.</w:t>
      </w:r>
    </w:p>
    <w:p w14:paraId="313C3502"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Respondents are obtained through </w:t>
      </w:r>
      <w:r w:rsidRPr="00CF3DDD">
        <w:rPr>
          <w:rFonts w:eastAsia="Times New Roman" w:cs="Times New Roman"/>
          <w:b/>
          <w:bCs/>
          <w:szCs w:val="24"/>
        </w:rPr>
        <w:t>convenience sampling</w:t>
      </w:r>
      <w:r w:rsidRPr="00CF3DDD">
        <w:rPr>
          <w:rFonts w:eastAsia="Times New Roman" w:cs="Times New Roman"/>
          <w:szCs w:val="24"/>
        </w:rPr>
        <w:t xml:space="preserve"> (non-probability). This involves approaching accessible participants until the sample quota is reached. For example, the researcher may post the survey link in Facebook groups for UK consumers or on university forums, inviting anyone fitting the criteria. Because the sample is not randomly selected, it may not statistically </w:t>
      </w:r>
      <w:r w:rsidRPr="00CF3DDD">
        <w:rPr>
          <w:rFonts w:eastAsia="Times New Roman" w:cs="Times New Roman"/>
          <w:szCs w:val="24"/>
        </w:rPr>
        <w:lastRenderedPageBreak/>
        <w:t>represent the entire UK adult Nestlé consumer population. As Andrade (2021) explains, findings from convenience samples can only be generalized back to the subpopulation from which they were drawn, not to all consumers. In other words, results are most secure for populations similar to the sample. For instance, our sample may skew young or educated if recruited via social media. This limitation is accepted given practical constraints. However, convenience sampling is justified here as a preliminary approach to test the proposed relationships. This method is cost-effective and fast (</w:t>
      </w:r>
      <w:proofErr w:type="spellStart"/>
      <w:r w:rsidRPr="00CF3DDD">
        <w:rPr>
          <w:rFonts w:eastAsia="Times New Roman" w:cs="Times New Roman"/>
          <w:szCs w:val="24"/>
        </w:rPr>
        <w:t>Golzar</w:t>
      </w:r>
      <w:proofErr w:type="spellEnd"/>
      <w:r w:rsidRPr="00CF3DDD">
        <w:rPr>
          <w:rFonts w:eastAsia="Times New Roman" w:cs="Times New Roman"/>
          <w:szCs w:val="24"/>
        </w:rPr>
        <w:t xml:space="preserve"> </w:t>
      </w:r>
      <w:r w:rsidRPr="00CF3DDD">
        <w:rPr>
          <w:rFonts w:eastAsia="Times New Roman" w:cs="Times New Roman"/>
          <w:i/>
          <w:iCs/>
          <w:szCs w:val="24"/>
        </w:rPr>
        <w:t>et al.</w:t>
      </w:r>
      <w:r w:rsidRPr="00CF3DDD">
        <w:rPr>
          <w:rFonts w:eastAsia="Times New Roman" w:cs="Times New Roman"/>
          <w:szCs w:val="24"/>
        </w:rPr>
        <w:t>, 2022), which is important for a dissertation study. In summary, while not free from bias, convenience sampling allows the study to proceed with a relevant sample of Nestlé consumers and still provide useful insights about the brand equity–loyalty link in this context.</w:t>
      </w:r>
    </w:p>
    <w:p w14:paraId="6DCA6DDB" w14:textId="2F92B4F4" w:rsidR="00254784" w:rsidRPr="00CF3DDD" w:rsidRDefault="00F4678D" w:rsidP="00CF3DDD">
      <w:pPr>
        <w:pStyle w:val="Heading2"/>
        <w:spacing w:line="360" w:lineRule="auto"/>
      </w:pPr>
      <w:bookmarkStart w:id="62" w:name="_Toc209310621"/>
      <w:r w:rsidRPr="00CF3DDD">
        <w:t xml:space="preserve">3.7 </w:t>
      </w:r>
      <w:r w:rsidR="00254784" w:rsidRPr="00CF3DDD">
        <w:t>Data Analysis</w:t>
      </w:r>
      <w:bookmarkEnd w:id="62"/>
    </w:p>
    <w:p w14:paraId="09E56C7D" w14:textId="77777777" w:rsidR="00254784" w:rsidRPr="00CF3DDD" w:rsidRDefault="00254784" w:rsidP="00CF3DDD">
      <w:pPr>
        <w:spacing w:before="100" w:beforeAutospacing="1" w:after="100" w:afterAutospacing="1" w:line="360" w:lineRule="auto"/>
        <w:rPr>
          <w:rFonts w:eastAsia="Times New Roman" w:cs="Times New Roman"/>
          <w:szCs w:val="24"/>
        </w:rPr>
      </w:pPr>
      <w:r>
        <w:t>Collected data is entered into SPSS (or a similar statistical package) for analysis. First, descriptive statistics is computed: means, standard deviations, and frequencies for demographic variables (age, gender, etc.) and for each survey item. This provides an overview of the sample profile and the central tendencies of the constructs. Next, the reliability of each multi-item scale is assessed via Cronbach’s alpha. Cronbach’s alpha measures internal consistency (how closely related the items in a scale are). A commonly accepted rule of thumb is that a Cronbach’s alpha ≥ 0.70 indicates acceptable reliability (Nunnally, 2019; Frost, 2020). The analysis will report the alpha value for each construct (brand equity, loyalty, trust, love). If any scale has an alpha below the threshold, item analysis may be done to consider dropping problematic items, however since validated scales are used, very low alphas are not expected.</w:t>
      </w:r>
    </w:p>
    <w:p w14:paraId="417FA9B0"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For hypothesis testing, </w:t>
      </w:r>
      <w:r w:rsidRPr="00CF3DDD">
        <w:rPr>
          <w:rFonts w:eastAsia="Times New Roman" w:cs="Times New Roman"/>
          <w:b/>
          <w:bCs/>
          <w:szCs w:val="24"/>
        </w:rPr>
        <w:t>multiple regression analysis</w:t>
      </w:r>
      <w:r w:rsidRPr="00CF3DDD">
        <w:rPr>
          <w:rFonts w:eastAsia="Times New Roman" w:cs="Times New Roman"/>
          <w:szCs w:val="24"/>
        </w:rPr>
        <w:t xml:space="preserve"> </w:t>
      </w:r>
      <w:r w:rsidR="00E12239" w:rsidRPr="00CF3DDD">
        <w:rPr>
          <w:rFonts w:eastAsia="Times New Roman" w:cs="Times New Roman"/>
          <w:szCs w:val="24"/>
        </w:rPr>
        <w:t>is conducted</w:t>
      </w:r>
      <w:r w:rsidRPr="00CF3DDD">
        <w:rPr>
          <w:rFonts w:eastAsia="Times New Roman" w:cs="Times New Roman"/>
          <w:szCs w:val="24"/>
        </w:rPr>
        <w:t xml:space="preserve">. First, simple linear regression or Pearson correlation may be used to examine the direct relationship between brand equity (independent variable) and brand loyalty (dependent variable). A positive and significant coefficient would support the hypothesis that higher brand equity predicts greater loyalty. Next, mediation analysis will be performed to test the roles of brand trust and brand love. This involves assessing whether the effect of brand equity on loyalty is transmitted through each mediator. Two-step regression (Baron &amp; Kenny, </w:t>
      </w:r>
      <w:r w:rsidR="00733DC0" w:rsidRPr="00CF3DDD">
        <w:rPr>
          <w:rFonts w:eastAsia="Times New Roman" w:cs="Times New Roman"/>
          <w:szCs w:val="24"/>
        </w:rPr>
        <w:t>2020)</w:t>
      </w:r>
      <w:r w:rsidRPr="00CF3DDD">
        <w:rPr>
          <w:rFonts w:eastAsia="Times New Roman" w:cs="Times New Roman"/>
          <w:szCs w:val="24"/>
        </w:rPr>
        <w:t xml:space="preserve"> </w:t>
      </w:r>
      <w:r w:rsidR="00733DC0" w:rsidRPr="00CF3DDD">
        <w:rPr>
          <w:rFonts w:eastAsia="Times New Roman" w:cs="Times New Roman"/>
          <w:szCs w:val="24"/>
        </w:rPr>
        <w:t>is</w:t>
      </w:r>
      <w:r w:rsidRPr="00CF3DDD">
        <w:rPr>
          <w:rFonts w:eastAsia="Times New Roman" w:cs="Times New Roman"/>
          <w:szCs w:val="24"/>
        </w:rPr>
        <w:t xml:space="preserve"> used. For example, we will estimate the indirect effect of brand equity on loyalty through trust by computing (a) the effect of brand equity on trust, (b) the effect of trust on loyalty, controlling for equity, and (c) testing whether the equity loyalty effect </w:t>
      </w:r>
      <w:r w:rsidRPr="00CF3DDD">
        <w:rPr>
          <w:rFonts w:eastAsia="Times New Roman" w:cs="Times New Roman"/>
          <w:szCs w:val="24"/>
        </w:rPr>
        <w:lastRenderedPageBreak/>
        <w:t xml:space="preserve">diminishes when trust is included in the model. </w:t>
      </w:r>
      <w:r w:rsidR="00E12239" w:rsidRPr="00CF3DDD">
        <w:rPr>
          <w:rFonts w:eastAsia="Times New Roman" w:cs="Times New Roman"/>
          <w:szCs w:val="24"/>
        </w:rPr>
        <w:t>I</w:t>
      </w:r>
      <w:r w:rsidRPr="00CF3DDD">
        <w:rPr>
          <w:rFonts w:eastAsia="Times New Roman" w:cs="Times New Roman"/>
          <w:szCs w:val="24"/>
        </w:rPr>
        <w:t xml:space="preserve"> be used to obtain confidence intervals for indirect effects, as this is recommended for robust mediation analysis (Hayes, 2013).</w:t>
      </w:r>
      <w:r w:rsidR="00946DF2" w:rsidRPr="00CF3DDD">
        <w:rPr>
          <w:rFonts w:eastAsia="Times New Roman" w:cs="Times New Roman"/>
          <w:szCs w:val="24"/>
        </w:rPr>
        <w:t xml:space="preserve"> I</w:t>
      </w:r>
      <w:r w:rsidRPr="00CF3DDD">
        <w:rPr>
          <w:rFonts w:eastAsia="Times New Roman" w:cs="Times New Roman"/>
          <w:szCs w:val="24"/>
        </w:rPr>
        <w:t xml:space="preserve"> likewise test brand love as a mediator. In reporting, path coefficients, standard errors, t-values, and significance levels will be provided.</w:t>
      </w:r>
    </w:p>
    <w:p w14:paraId="599D9A34"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Throughout the analysis, all tests use a conventional significance threshold (p &lt; .05). In addition to hypothesis tests, </w:t>
      </w:r>
      <w:r w:rsidRPr="00CF3DDD">
        <w:rPr>
          <w:rFonts w:eastAsia="Times New Roman" w:cs="Times New Roman"/>
          <w:b/>
          <w:bCs/>
          <w:szCs w:val="24"/>
        </w:rPr>
        <w:t>control variables</w:t>
      </w:r>
      <w:r w:rsidRPr="00CF3DDD">
        <w:rPr>
          <w:rFonts w:eastAsia="Times New Roman" w:cs="Times New Roman"/>
          <w:szCs w:val="24"/>
        </w:rPr>
        <w:t xml:space="preserve"> may be included if needed (e.g., age or frequency of Nestlé use) to see if the main relationships hold after adjustment. Overall, SPSS provides the flexibility to run descriptive, reliability, regression, and mediation analyses systematically. The combination of these techniques </w:t>
      </w:r>
      <w:r w:rsidR="00946DF2" w:rsidRPr="00CF3DDD">
        <w:rPr>
          <w:rFonts w:eastAsia="Times New Roman" w:cs="Times New Roman"/>
          <w:szCs w:val="24"/>
        </w:rPr>
        <w:t>allows</w:t>
      </w:r>
      <w:r w:rsidRPr="00CF3DDD">
        <w:rPr>
          <w:rFonts w:eastAsia="Times New Roman" w:cs="Times New Roman"/>
          <w:szCs w:val="24"/>
        </w:rPr>
        <w:t xml:space="preserve"> us to examine both direct and indirect effects of brand equity on loyalty, thus fully addressing the research objectives.</w:t>
      </w:r>
    </w:p>
    <w:p w14:paraId="0E31B1DB" w14:textId="54A1A34D" w:rsidR="00254784" w:rsidRPr="00CF3DDD" w:rsidRDefault="00F4678D" w:rsidP="00CF3DDD">
      <w:pPr>
        <w:pStyle w:val="Heading2"/>
        <w:spacing w:line="360" w:lineRule="auto"/>
      </w:pPr>
      <w:bookmarkStart w:id="63" w:name="_Toc209310622"/>
      <w:r w:rsidRPr="00CF3DDD">
        <w:t xml:space="preserve">3.8 </w:t>
      </w:r>
      <w:r w:rsidR="00254784" w:rsidRPr="00CF3DDD">
        <w:t>Reliability and Validity</w:t>
      </w:r>
      <w:bookmarkEnd w:id="63"/>
    </w:p>
    <w:p w14:paraId="2380E6CB"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Ensuring the questionnaire’s reliability and validity is critical. </w:t>
      </w:r>
      <w:r w:rsidRPr="00CF3DDD">
        <w:rPr>
          <w:rFonts w:eastAsia="Times New Roman" w:cs="Times New Roman"/>
          <w:b/>
          <w:bCs/>
          <w:szCs w:val="24"/>
        </w:rPr>
        <w:t>Reliability</w:t>
      </w:r>
      <w:r w:rsidRPr="00CF3DDD">
        <w:rPr>
          <w:rFonts w:eastAsia="Times New Roman" w:cs="Times New Roman"/>
          <w:szCs w:val="24"/>
        </w:rPr>
        <w:t xml:space="preserve"> (internal consistency) is primarily assessed via Cronbach’s alpha as described above. As Frost (2020) notes, a Cronbach’s alpha value of 0.70 or higher is generally taken as indicating that the items reliably measure the same underlying construct. In addition to the overall alpha, the item-total statistics will be checked to ensure no individual item is reducing reliability. Although extremely high alpha (above 0.95) can indicate redundant items, we expect values in the 0.7–0.9 range given the well-defined scales.</w:t>
      </w:r>
    </w:p>
    <w:p w14:paraId="2322B11F" w14:textId="77777777" w:rsidR="00254784" w:rsidRPr="00CF3DDD" w:rsidRDefault="00254784" w:rsidP="00CF3DDD">
      <w:pPr>
        <w:spacing w:before="100" w:beforeAutospacing="1" w:after="100" w:afterAutospacing="1" w:line="360" w:lineRule="auto"/>
        <w:rPr>
          <w:rFonts w:eastAsia="Times New Roman" w:cs="Times New Roman"/>
          <w:szCs w:val="24"/>
        </w:rPr>
      </w:pPr>
      <w:r>
        <w:t xml:space="preserve">Construct validity refers to whether the scales truly measure the theoretical constructs. Several steps support validity here. First, content validity is ensured by using items from established scales in the literature (e.g., Yoo et al., 2000; Chaudhuri &amp; Holbrook, 2001; Bagozzi et al., 2017). These scales were originally validated by their authors, therefore adopting them helps maintain validity. Second, face validity is addressed informally through review: supervisors and colleagues checked that the questions appear to represent the intended concepts. Third, after data collection, we can examine construct validity via exploratory factor analysis (if sample size permits) to see if items load onto the expected factors (each construct). While factor analysis may be limited by sample size (200 cases is borderline for many variables), even a simple check of item correlations can indicate whether items group as intended. If items intended for “brand trust” all correlate highly </w:t>
      </w:r>
      <w:r>
        <w:lastRenderedPageBreak/>
        <w:t>with each other however not with brand love items, this supports discriminant validity. If any items fail to correlate, that would signal a problem to address.</w:t>
      </w:r>
    </w:p>
    <w:p w14:paraId="04F1AEA8" w14:textId="77777777" w:rsidR="00254784" w:rsidRPr="00CF3DDD" w:rsidRDefault="00254784" w:rsidP="00CF3DDD">
      <w:pPr>
        <w:spacing w:before="100" w:beforeAutospacing="1" w:after="100" w:afterAutospacing="1" w:line="360" w:lineRule="auto"/>
        <w:rPr>
          <w:rFonts w:eastAsia="Times New Roman" w:cs="Times New Roman"/>
          <w:szCs w:val="24"/>
        </w:rPr>
      </w:pPr>
      <w:r>
        <w:t>Face validity has been addressed by ensuring items are clear and conceptually appropriate. The questionnaire’s instructions explicitly mention Nestlé to focus respondents on that brand. We altherefore ensured anonymity and confidentiality in communication, which can improve honest answering (and thereby data validity) by reducing social desirability bias.</w:t>
      </w:r>
    </w:p>
    <w:p w14:paraId="46C625F1"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Finally, ethical review for validity and reliability took place. The study design was submitted to the university ethics committee for approval of the methods and questionnaire. Their feedback helped refine wording and confirm that the measurement procedures met ethical standards (</w:t>
      </w:r>
      <w:proofErr w:type="gramStart"/>
      <w:r w:rsidRPr="00CF3DDD">
        <w:rPr>
          <w:rFonts w:eastAsia="Times New Roman" w:cs="Times New Roman"/>
          <w:szCs w:val="24"/>
        </w:rPr>
        <w:t>e.g.</w:t>
      </w:r>
      <w:proofErr w:type="gramEnd"/>
      <w:r w:rsidRPr="00CF3DDD">
        <w:rPr>
          <w:rFonts w:eastAsia="Times New Roman" w:cs="Times New Roman"/>
          <w:szCs w:val="24"/>
        </w:rPr>
        <w:t xml:space="preserve"> no leading questions). In summary, multiple checks – choice of validated scales, expert review, and (if possible) statistical factor checking – aim to ensure that the measures accurately capture the intended constructs.</w:t>
      </w:r>
    </w:p>
    <w:p w14:paraId="3AAA7042" w14:textId="1AB163CE" w:rsidR="00254784" w:rsidRPr="00CF3DDD" w:rsidRDefault="00F4678D" w:rsidP="00CF3DDD">
      <w:pPr>
        <w:pStyle w:val="Heading2"/>
        <w:spacing w:line="360" w:lineRule="auto"/>
      </w:pPr>
      <w:bookmarkStart w:id="64" w:name="_Toc209310623"/>
      <w:r w:rsidRPr="00CF3DDD">
        <w:t xml:space="preserve">3.9 </w:t>
      </w:r>
      <w:r w:rsidR="00254784" w:rsidRPr="00CF3DDD">
        <w:t>Limitations of Research</w:t>
      </w:r>
      <w:bookmarkEnd w:id="64"/>
    </w:p>
    <w:p w14:paraId="37A1686C" w14:textId="77777777" w:rsidR="00254784" w:rsidRPr="00CF3DDD" w:rsidRDefault="00254784" w:rsidP="00CF3DDD">
      <w:pPr>
        <w:spacing w:before="100" w:beforeAutospacing="1" w:after="100" w:afterAutospacing="1" w:line="360" w:lineRule="auto"/>
        <w:rPr>
          <w:rFonts w:eastAsia="Times New Roman" w:cs="Times New Roman"/>
          <w:szCs w:val="24"/>
        </w:rPr>
      </w:pPr>
      <w:r>
        <w:t>Several limitations of the research methodology should be acknowledged. First, the use of convenience sampling introduces potential bias. As discussed, convenience samples are not randomly selected, therefore the sample may not represent the full diversity of UK Nestlé consumers. For example, participants recruited via social networks or university lists may skew younger or more educated. Consequently, external validity is limited: findings likely generalize best to populations similar to the sample, not necessarily all UK consumers.</w:t>
      </w:r>
    </w:p>
    <w:p w14:paraId="462FC5E9" w14:textId="77777777" w:rsidR="00254784" w:rsidRPr="00CF3DDD" w:rsidRDefault="00254784" w:rsidP="00CF3DDD">
      <w:pPr>
        <w:spacing w:before="100" w:beforeAutospacing="1" w:after="100" w:afterAutospacing="1" w:line="360" w:lineRule="auto"/>
        <w:rPr>
          <w:rFonts w:eastAsia="Times New Roman" w:cs="Times New Roman"/>
          <w:szCs w:val="24"/>
        </w:rPr>
      </w:pPr>
      <w:r>
        <w:t>Second, the study relies entirely on self-reported online questionnaires. This method is subject to common method bias (since all data come from one source) and self-selection bias. Respondents might provide socially desirable answers or misunderstand questions. We attempt to mitigate this by assuring anonymity and using clear language, however some bias may persist. Also, we did not include a pilot test due to time constraints. A pilot could have revealed ambiguities or technical issues in the questionnaire. Its absence means that small wording problems may not have been caught. However, the use of well-tested scales helps reduce this risk.</w:t>
      </w:r>
    </w:p>
    <w:p w14:paraId="31C84AD8"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lastRenderedPageBreak/>
        <w:t xml:space="preserve">Third, the design is </w:t>
      </w:r>
      <w:r w:rsidRPr="00CF3DDD">
        <w:rPr>
          <w:rFonts w:eastAsia="Times New Roman" w:cs="Times New Roman"/>
          <w:b/>
          <w:bCs/>
          <w:szCs w:val="24"/>
        </w:rPr>
        <w:t>cross-sectional</w:t>
      </w:r>
      <w:r w:rsidRPr="00CF3DDD">
        <w:rPr>
          <w:rFonts w:eastAsia="Times New Roman" w:cs="Times New Roman"/>
          <w:szCs w:val="24"/>
        </w:rPr>
        <w:t>, which means causal conclusions should be drawn cautiously. While we test mediational hypotheses (which imply a causal order), the single-shot survey cannot definitively prove causality. An alternative longitudinal or experimental design would be required for stronger causal claims.</w:t>
      </w:r>
    </w:p>
    <w:p w14:paraId="6BEC1A15"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Fourth, the research is </w:t>
      </w:r>
      <w:r w:rsidRPr="00CF3DDD">
        <w:rPr>
          <w:rFonts w:eastAsia="Times New Roman" w:cs="Times New Roman"/>
          <w:b/>
          <w:bCs/>
          <w:szCs w:val="24"/>
        </w:rPr>
        <w:t>online-only</w:t>
      </w:r>
      <w:r w:rsidRPr="00CF3DDD">
        <w:rPr>
          <w:rFonts w:eastAsia="Times New Roman" w:cs="Times New Roman"/>
          <w:szCs w:val="24"/>
        </w:rPr>
        <w:t>. Consumers without internet access or who do not use social media will be excluded. This could bias the sample, for instance, under-representing older or lower-income consumers. Additionally, an online format may exclude respondents less comfortable with technology.</w:t>
      </w:r>
    </w:p>
    <w:p w14:paraId="5BB17AC2"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Finally, </w:t>
      </w:r>
      <w:r w:rsidR="00F457AE" w:rsidRPr="00CF3DDD">
        <w:rPr>
          <w:rFonts w:eastAsia="Times New Roman" w:cs="Times New Roman"/>
          <w:szCs w:val="24"/>
        </w:rPr>
        <w:t xml:space="preserve">the </w:t>
      </w:r>
      <w:r w:rsidRPr="00CF3DDD">
        <w:rPr>
          <w:rFonts w:eastAsia="Times New Roman" w:cs="Times New Roman"/>
          <w:szCs w:val="24"/>
        </w:rPr>
        <w:t>sample size is moderate (n≈200). While adequate for basic regression, it limits the complexity of analysis (e.g., testing interactions or extensive subgroup analysis). A larger sample would increase statistical power and allow for more robust validity checks (e.g., confirmatory factor analysis).</w:t>
      </w:r>
    </w:p>
    <w:p w14:paraId="42BF4A4E"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Despite these limitations, the methodology is appropriate for an initial exploratory analysis of the proposed model. By clearly reporting these limitations, readers can assess the caution needed when generalizing the results.</w:t>
      </w:r>
    </w:p>
    <w:p w14:paraId="3F926668" w14:textId="60D762EB" w:rsidR="00254784" w:rsidRPr="00CF3DDD" w:rsidRDefault="00F4678D" w:rsidP="00CF3DDD">
      <w:pPr>
        <w:pStyle w:val="Heading2"/>
        <w:spacing w:line="360" w:lineRule="auto"/>
      </w:pPr>
      <w:bookmarkStart w:id="65" w:name="_Toc209310624"/>
      <w:r w:rsidRPr="00CF3DDD">
        <w:t xml:space="preserve">3.10 </w:t>
      </w:r>
      <w:r w:rsidR="00254784" w:rsidRPr="00CF3DDD">
        <w:t>Research Ethics</w:t>
      </w:r>
      <w:bookmarkEnd w:id="65"/>
    </w:p>
    <w:p w14:paraId="6E6F75FA"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Ethical considerations were observed throughout the research. Participation was entirely </w:t>
      </w:r>
      <w:r w:rsidRPr="00CF3DDD">
        <w:rPr>
          <w:rFonts w:eastAsia="Times New Roman" w:cs="Times New Roman"/>
          <w:b/>
          <w:bCs/>
          <w:szCs w:val="24"/>
        </w:rPr>
        <w:t>voluntary</w:t>
      </w:r>
      <w:r w:rsidRPr="00CF3DDD">
        <w:rPr>
          <w:rFonts w:eastAsia="Times New Roman" w:cs="Times New Roman"/>
          <w:szCs w:val="24"/>
        </w:rPr>
        <w:t>: no one was compelled to take the survey, and there was no penalty for non-response. Informed consent was obtained: the first page of the online questionnaire explained the study’s purpose, the voluntary nature of participation, and the approximate time required. Respondents had to click an “I agree” button before proceeding, confirming their consent.</w:t>
      </w:r>
    </w:p>
    <w:p w14:paraId="450DDBA0"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Anonymity and confidentiality</w:t>
      </w:r>
      <w:r w:rsidRPr="00CF3DDD">
        <w:rPr>
          <w:rFonts w:eastAsia="Times New Roman" w:cs="Times New Roman"/>
          <w:szCs w:val="24"/>
        </w:rPr>
        <w:t xml:space="preserve"> were ensured. No personal identifiers (such as name or contact details) were collected. Data were stored in password-protected files accessible only to the researcher and supervisor. Findings are reported in aggregate form; no individual respondent can be identified. These measures protect participant privacy and encourage honest responses.</w:t>
      </w:r>
    </w:p>
    <w:p w14:paraId="3FAF60DE"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lastRenderedPageBreak/>
        <w:t>The study protocol, including survey instruments, was reviewed and approved by the university’s Ethics Committee before data collection. This involved submitting an ethics application outlining how participants would be recruited, how consent would be obtained, and how data would be handled. The committee’s feedback led to clarifications in consent wording and ensured all procedures met ethical guidelines.</w:t>
      </w:r>
    </w:p>
    <w:p w14:paraId="4623F306" w14:textId="34B95444" w:rsidR="00254784"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In summary, ethical research practice was followed by obtaining informed consent, assuring anonymity, and securing ethical oversight. These steps align with standard research ethics codes (e.g., Bryman &amp; Bell, 2015) and ensure the study treats participants respectfully and protects their rights.</w:t>
      </w:r>
    </w:p>
    <w:p w14:paraId="44E28FBE" w14:textId="42B13A19" w:rsidR="005A1258" w:rsidRDefault="005A1258" w:rsidP="00CF3DDD">
      <w:pPr>
        <w:spacing w:before="100" w:beforeAutospacing="1" w:after="100" w:afterAutospacing="1" w:line="360" w:lineRule="auto"/>
        <w:rPr>
          <w:rFonts w:eastAsia="Times New Roman" w:cs="Times New Roman"/>
          <w:szCs w:val="24"/>
        </w:rPr>
      </w:pPr>
    </w:p>
    <w:p w14:paraId="240EB543" w14:textId="37A62E31" w:rsidR="005A1258" w:rsidRDefault="005A1258" w:rsidP="00CF3DDD">
      <w:pPr>
        <w:spacing w:before="100" w:beforeAutospacing="1" w:after="100" w:afterAutospacing="1" w:line="360" w:lineRule="auto"/>
        <w:rPr>
          <w:rFonts w:eastAsia="Times New Roman" w:cs="Times New Roman"/>
          <w:szCs w:val="24"/>
        </w:rPr>
      </w:pPr>
    </w:p>
    <w:p w14:paraId="7D46E64A" w14:textId="0E563E28" w:rsidR="005A1258" w:rsidRDefault="005A1258" w:rsidP="00CF3DDD">
      <w:pPr>
        <w:spacing w:before="100" w:beforeAutospacing="1" w:after="100" w:afterAutospacing="1" w:line="360" w:lineRule="auto"/>
        <w:rPr>
          <w:rFonts w:eastAsia="Times New Roman" w:cs="Times New Roman"/>
          <w:szCs w:val="24"/>
        </w:rPr>
      </w:pPr>
    </w:p>
    <w:p w14:paraId="1D9B42F3" w14:textId="5122A13E" w:rsidR="005A1258" w:rsidRDefault="005A1258" w:rsidP="00CF3DDD">
      <w:pPr>
        <w:spacing w:before="100" w:beforeAutospacing="1" w:after="100" w:afterAutospacing="1" w:line="360" w:lineRule="auto"/>
        <w:rPr>
          <w:rFonts w:eastAsia="Times New Roman" w:cs="Times New Roman"/>
          <w:szCs w:val="24"/>
        </w:rPr>
      </w:pPr>
    </w:p>
    <w:p w14:paraId="3890AA34" w14:textId="4FE50258" w:rsidR="005A1258" w:rsidRDefault="005A1258" w:rsidP="00CF3DDD">
      <w:pPr>
        <w:spacing w:before="100" w:beforeAutospacing="1" w:after="100" w:afterAutospacing="1" w:line="360" w:lineRule="auto"/>
        <w:rPr>
          <w:rFonts w:eastAsia="Times New Roman" w:cs="Times New Roman"/>
          <w:szCs w:val="24"/>
        </w:rPr>
      </w:pPr>
    </w:p>
    <w:p w14:paraId="1F97BC2B" w14:textId="4C52D1F6" w:rsidR="005A1258" w:rsidRDefault="005A1258" w:rsidP="00CF3DDD">
      <w:pPr>
        <w:spacing w:before="100" w:beforeAutospacing="1" w:after="100" w:afterAutospacing="1" w:line="360" w:lineRule="auto"/>
        <w:rPr>
          <w:rFonts w:eastAsia="Times New Roman" w:cs="Times New Roman"/>
          <w:szCs w:val="24"/>
        </w:rPr>
      </w:pPr>
    </w:p>
    <w:p w14:paraId="204DA40F" w14:textId="6D11383A" w:rsidR="005A1258" w:rsidRDefault="005A1258" w:rsidP="00CF3DDD">
      <w:pPr>
        <w:spacing w:before="100" w:beforeAutospacing="1" w:after="100" w:afterAutospacing="1" w:line="360" w:lineRule="auto"/>
        <w:rPr>
          <w:rFonts w:eastAsia="Times New Roman" w:cs="Times New Roman"/>
          <w:szCs w:val="24"/>
        </w:rPr>
      </w:pPr>
    </w:p>
    <w:p w14:paraId="48A7023B" w14:textId="65A210CC" w:rsidR="005A1258" w:rsidRDefault="005A1258" w:rsidP="00CF3DDD">
      <w:pPr>
        <w:spacing w:before="100" w:beforeAutospacing="1" w:after="100" w:afterAutospacing="1" w:line="360" w:lineRule="auto"/>
        <w:rPr>
          <w:rFonts w:eastAsia="Times New Roman" w:cs="Times New Roman"/>
          <w:szCs w:val="24"/>
        </w:rPr>
      </w:pPr>
    </w:p>
    <w:p w14:paraId="156B4671" w14:textId="23201BBC" w:rsidR="005A1258" w:rsidRDefault="005A1258" w:rsidP="00CF3DDD">
      <w:pPr>
        <w:spacing w:before="100" w:beforeAutospacing="1" w:after="100" w:afterAutospacing="1" w:line="360" w:lineRule="auto"/>
        <w:rPr>
          <w:rFonts w:eastAsia="Times New Roman" w:cs="Times New Roman"/>
          <w:szCs w:val="24"/>
        </w:rPr>
      </w:pPr>
    </w:p>
    <w:p w14:paraId="21D4CCBF" w14:textId="244EA6A7" w:rsidR="005A1258" w:rsidRDefault="005A1258" w:rsidP="00CF3DDD">
      <w:pPr>
        <w:spacing w:before="100" w:beforeAutospacing="1" w:after="100" w:afterAutospacing="1" w:line="360" w:lineRule="auto"/>
        <w:rPr>
          <w:rFonts w:eastAsia="Times New Roman" w:cs="Times New Roman"/>
          <w:szCs w:val="24"/>
        </w:rPr>
      </w:pPr>
    </w:p>
    <w:p w14:paraId="785C0BE3" w14:textId="2DBCF68A" w:rsidR="005A1258" w:rsidRDefault="005A1258" w:rsidP="00CF3DDD">
      <w:pPr>
        <w:spacing w:before="100" w:beforeAutospacing="1" w:after="100" w:afterAutospacing="1" w:line="360" w:lineRule="auto"/>
        <w:rPr>
          <w:rFonts w:eastAsia="Times New Roman" w:cs="Times New Roman"/>
          <w:szCs w:val="24"/>
        </w:rPr>
      </w:pPr>
    </w:p>
    <w:p w14:paraId="454AC83A" w14:textId="4F30E0F7" w:rsidR="005A1258" w:rsidRDefault="005A1258" w:rsidP="00CF3DDD">
      <w:pPr>
        <w:spacing w:before="100" w:beforeAutospacing="1" w:after="100" w:afterAutospacing="1" w:line="360" w:lineRule="auto"/>
        <w:rPr>
          <w:rFonts w:eastAsia="Times New Roman" w:cs="Times New Roman"/>
          <w:szCs w:val="24"/>
        </w:rPr>
      </w:pPr>
    </w:p>
    <w:p w14:paraId="0D50F7A8" w14:textId="48974D62" w:rsidR="005A1258" w:rsidRDefault="005A1258" w:rsidP="00CF3DDD">
      <w:pPr>
        <w:spacing w:before="100" w:beforeAutospacing="1" w:after="100" w:afterAutospacing="1" w:line="360" w:lineRule="auto"/>
        <w:rPr>
          <w:rFonts w:eastAsia="Times New Roman" w:cs="Times New Roman"/>
          <w:szCs w:val="24"/>
        </w:rPr>
      </w:pPr>
    </w:p>
    <w:p w14:paraId="6F807507" w14:textId="77777777" w:rsidR="005A1258" w:rsidRPr="00CF3DDD" w:rsidRDefault="005A1258" w:rsidP="00CF3DDD">
      <w:pPr>
        <w:spacing w:before="100" w:beforeAutospacing="1" w:after="100" w:afterAutospacing="1" w:line="360" w:lineRule="auto"/>
        <w:rPr>
          <w:rFonts w:eastAsia="Times New Roman" w:cs="Times New Roman"/>
          <w:szCs w:val="24"/>
        </w:rPr>
      </w:pPr>
    </w:p>
    <w:p w14:paraId="6C2F06DE" w14:textId="4E0FE683" w:rsidR="003A1239" w:rsidRPr="00CF3DDD" w:rsidRDefault="003A1239" w:rsidP="00CF3DDD">
      <w:pPr>
        <w:pStyle w:val="Heading1"/>
        <w:spacing w:line="360" w:lineRule="auto"/>
        <w:ind w:left="0"/>
        <w:rPr>
          <w:rFonts w:cs="Times New Roman"/>
        </w:rPr>
      </w:pPr>
      <w:bookmarkStart w:id="66" w:name="_Toc209310625"/>
      <w:r w:rsidRPr="00CF3DDD">
        <w:rPr>
          <w:rFonts w:cs="Times New Roman"/>
        </w:rPr>
        <w:t>Chapter 4</w:t>
      </w:r>
      <w:r w:rsidR="00F4678D" w:rsidRPr="00CF3DDD">
        <w:rPr>
          <w:rFonts w:cs="Times New Roman"/>
        </w:rPr>
        <w:t>:</w:t>
      </w:r>
      <w:r w:rsidRPr="00CF3DDD">
        <w:rPr>
          <w:rFonts w:cs="Times New Roman"/>
        </w:rPr>
        <w:t xml:space="preserve"> Data Analysis</w:t>
      </w:r>
      <w:bookmarkEnd w:id="66"/>
    </w:p>
    <w:p w14:paraId="63275CBF" w14:textId="2407B4B0" w:rsidR="00BE6836" w:rsidRPr="00CF3DDD" w:rsidRDefault="00BE6836" w:rsidP="00CF3DDD">
      <w:pPr>
        <w:pStyle w:val="Heading2"/>
        <w:spacing w:line="360" w:lineRule="auto"/>
      </w:pPr>
      <w:bookmarkStart w:id="67" w:name="_Toc209310626"/>
      <w:r w:rsidRPr="00CF3DDD">
        <w:t>Data analysis Introduction</w:t>
      </w:r>
      <w:bookmarkEnd w:id="67"/>
    </w:p>
    <w:p w14:paraId="2F1AA64B" w14:textId="77777777" w:rsidR="00BE6836" w:rsidRPr="00CF3DDD" w:rsidRDefault="00BE6836" w:rsidP="00CF3DDD">
      <w:pPr>
        <w:spacing w:line="360" w:lineRule="auto"/>
        <w:rPr>
          <w:rFonts w:cs="Times New Roman"/>
        </w:rPr>
      </w:pPr>
      <w:r w:rsidRPr="00CF3DDD">
        <w:rPr>
          <w:rFonts w:cs="Times New Roman"/>
        </w:rPr>
        <w:t>The data analysis stage of this research was designed to ensure accuracy, reliability, and validity of the findings in alignment with the study objectives. Several statistical tests were performed using SPSS to systematically evaluate the dataset and examine the relationships among the key variables—brand equity, brand trust, brand love, and brand loyalty. The process began with a missing values test, followed by a demographic analysis to profile respondents. Outlier testing and normality checks were then applied to refine the dataset and confirm its suitability for parametric testing. Descriptive statistics provided a summary of the data distribution, which was further validated using histogram and P–P plots. Reliability analysis through Cronbach’s Alpha assessed the internal consistency of the measurement scales. Correlation analysis was conducted to determine the strength and direction of associations among variables, while regression analysis and hypothesis testing enabled the identification of causal relationships. Together, these procedures provided a rigorous and structured approach, ensuring that the results were both credible and aligned with the aims of the study.</w:t>
      </w:r>
    </w:p>
    <w:p w14:paraId="2C6A5E31" w14:textId="480D4EDD" w:rsidR="003A1239" w:rsidRPr="00CF3DDD" w:rsidRDefault="00F4678D" w:rsidP="00CF3DDD">
      <w:pPr>
        <w:pStyle w:val="Heading2"/>
        <w:spacing w:line="360" w:lineRule="auto"/>
      </w:pPr>
      <w:bookmarkStart w:id="68" w:name="_Toc209310627"/>
      <w:r w:rsidRPr="00CF3DDD">
        <w:t xml:space="preserve">4.1 </w:t>
      </w:r>
      <w:r w:rsidR="003A1239" w:rsidRPr="00CF3DDD">
        <w:t>Preliminary Data Analysis</w:t>
      </w:r>
      <w:bookmarkEnd w:id="68"/>
    </w:p>
    <w:p w14:paraId="07AC5A91" w14:textId="77777777" w:rsidR="00100AF5" w:rsidRPr="00CF3DDD" w:rsidRDefault="00100AF5" w:rsidP="00CF3DDD">
      <w:pPr>
        <w:pStyle w:val="NormalWeb"/>
        <w:spacing w:line="360" w:lineRule="auto"/>
      </w:pPr>
      <w:r>
        <w:t>At the beginning of the data analysis process, several preliminary diagnostic checks were performed to ensure that the dataset was both accurate and suitable for further statistical testing. These diagnostic steps were necessary to confirm the reliability and validity of the data before drawing any meaningful conclusions. The initial procedures included the assessment of missing values, identification of outliers, evaluation of the normality of data distribution, and execution of essential statistical analyses such as reliability testing, correlation analysis, and regression modelling.</w:t>
      </w:r>
    </w:p>
    <w:p w14:paraId="7A1B1B34" w14:textId="1523F7B9" w:rsidR="00BE6836" w:rsidRPr="00CF3DDD" w:rsidRDefault="00E344D1" w:rsidP="00CF3DDD">
      <w:pPr>
        <w:pStyle w:val="Heading2"/>
        <w:spacing w:line="360" w:lineRule="auto"/>
      </w:pPr>
      <w:bookmarkStart w:id="69" w:name="_Toc209310628"/>
      <w:r w:rsidRPr="00CF3DDD">
        <w:t xml:space="preserve">4.2 </w:t>
      </w:r>
      <w:r w:rsidR="00BE6836" w:rsidRPr="00CF3DDD">
        <w:t>Missing Values test</w:t>
      </w:r>
      <w:bookmarkEnd w:id="69"/>
    </w:p>
    <w:p w14:paraId="7CEF925F" w14:textId="77777777" w:rsidR="00100AF5" w:rsidRPr="00CF3DDD" w:rsidRDefault="00100AF5" w:rsidP="00CF3DDD">
      <w:pPr>
        <w:pStyle w:val="NormalWeb"/>
        <w:spacing w:line="360" w:lineRule="auto"/>
      </w:pPr>
      <w:r w:rsidRPr="00CF3DDD">
        <w:lastRenderedPageBreak/>
        <w:t xml:space="preserve">The first step focused on examining the dataset for missing responses, as incomplete data can negatively affect the accuracy of statistical results and lead to biased findings. In this study, data </w:t>
      </w:r>
      <w:r w:rsidR="00F457AE" w:rsidRPr="00CF3DDD">
        <w:t>were</w:t>
      </w:r>
      <w:r w:rsidRPr="00CF3DDD">
        <w:t xml:space="preserve"> collected through Google Forms, where all items in the questionnaire were set as compulsory. This design feature ensured that respondents could not submit the form without answering each question. Consequently, the dataset was free from missing values, eliminating the need for corrective measures such as mean substitution, pairwise deletion, or case-wise exclusion. This strengthened the quality of the data, providing a solid foundation for further analysis.</w:t>
      </w:r>
    </w:p>
    <w:p w14:paraId="0DCF49B7" w14:textId="30F30FE2" w:rsidR="00BE6836" w:rsidRPr="00CF3DDD" w:rsidRDefault="00E344D1" w:rsidP="00CF3DDD">
      <w:pPr>
        <w:pStyle w:val="Heading2"/>
        <w:spacing w:line="360" w:lineRule="auto"/>
      </w:pPr>
      <w:bookmarkStart w:id="70" w:name="_Toc209310629"/>
      <w:r w:rsidRPr="00CF3DDD">
        <w:t xml:space="preserve">4.3 </w:t>
      </w:r>
      <w:r w:rsidR="00BE6836" w:rsidRPr="00CF3DDD">
        <w:t>Demographics Test</w:t>
      </w:r>
      <w:bookmarkEnd w:id="70"/>
    </w:p>
    <w:p w14:paraId="644BA70D" w14:textId="77777777" w:rsidR="00BE6836" w:rsidRPr="00CF3DDD" w:rsidRDefault="00BE6836" w:rsidP="00CF3DDD">
      <w:pPr>
        <w:pStyle w:val="NormalWeb"/>
        <w:spacing w:line="360" w:lineRule="auto"/>
      </w:pPr>
      <w:r>
        <w:t>To provide a clearer picture of the study sample, a demographic analysis was carried out, focusing on age, gender, marital status, and income. The findings reveal a well-distributed sample across different age groups, with 24.6% of respondents aged 18–25, 29.3% aged 26–35, 21.6% aged 36–45, and 24.4% above 45 years. In terms of gender, the sample was slightly skewed toward female participants, who represented 57.2% of the total, compared to 42.0% male respondents, while a small proportion (0.9%) preferred not to disclose their gender. Marital status altherefore reflected diversity, with 57.6% of respondents being married and 42.4% unmarried. Income levels showed variation as well, with 27.8% earning below £1,000, 12.2% between £1,000–£2,000, 14.3% between £2,000–£3,000, 22.5% between £3,000–£4,000, and 23.1% above £5,000. This diverse demographic spread ensures that the dataset captures perspectives from a wide cross-section of Nestlé consumers in the UK, thereby strengthening the generalizability and relevance of the findings.</w:t>
      </w:r>
    </w:p>
    <w:p w14:paraId="4554990E" w14:textId="77777777" w:rsidR="00A758D7" w:rsidRPr="00CF3DDD" w:rsidRDefault="00A758D7" w:rsidP="00CF3DDD">
      <w:pPr>
        <w:pStyle w:val="NormalWeb"/>
        <w:spacing w:line="360" w:lineRule="auto"/>
      </w:pPr>
      <w:r w:rsidRPr="00CF3DDD">
        <w:rPr>
          <w:noProof/>
        </w:rPr>
        <w:lastRenderedPageBreak/>
        <w:drawing>
          <wp:inline distT="0" distB="0" distL="0" distR="0" wp14:anchorId="27F9D70D" wp14:editId="36BBD73A">
            <wp:extent cx="5858510" cy="2682240"/>
            <wp:effectExtent l="0" t="0" r="889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91806" cy="2697484"/>
                    </a:xfrm>
                    <a:prstGeom prst="rect">
                      <a:avLst/>
                    </a:prstGeom>
                    <a:noFill/>
                    <a:ln>
                      <a:noFill/>
                    </a:ln>
                  </pic:spPr>
                </pic:pic>
              </a:graphicData>
            </a:graphic>
          </wp:inline>
        </w:drawing>
      </w:r>
    </w:p>
    <w:p w14:paraId="5980872D" w14:textId="77777777" w:rsidR="003A1239" w:rsidRPr="00CF3DDD" w:rsidRDefault="00216A48" w:rsidP="00CF3DDD">
      <w:pPr>
        <w:spacing w:before="100" w:beforeAutospacing="1" w:after="100" w:afterAutospacing="1" w:line="360" w:lineRule="auto"/>
        <w:rPr>
          <w:rFonts w:cs="Times New Roman"/>
          <w:szCs w:val="24"/>
        </w:rPr>
      </w:pPr>
      <w:r w:rsidRPr="00CF3DDD">
        <w:rPr>
          <w:rFonts w:cs="Times New Roman"/>
          <w:szCs w:val="24"/>
        </w:rPr>
        <w:t xml:space="preserve">Out of the total 467 respondents, </w:t>
      </w:r>
      <w:r w:rsidRPr="00CF3DDD">
        <w:rPr>
          <w:rStyle w:val="Strong"/>
          <w:rFonts w:cs="Times New Roman"/>
          <w:szCs w:val="24"/>
        </w:rPr>
        <w:t>24.6% (n = 114)</w:t>
      </w:r>
      <w:r w:rsidRPr="00CF3DDD">
        <w:rPr>
          <w:rFonts w:cs="Times New Roman"/>
          <w:szCs w:val="24"/>
        </w:rPr>
        <w:t xml:space="preserve"> fell within the age group of 18–25 years, while </w:t>
      </w:r>
      <w:r w:rsidRPr="00CF3DDD">
        <w:rPr>
          <w:rStyle w:val="Strong"/>
          <w:rFonts w:cs="Times New Roman"/>
          <w:szCs w:val="24"/>
        </w:rPr>
        <w:t>29.3% (n = 135)</w:t>
      </w:r>
      <w:r w:rsidRPr="00CF3DDD">
        <w:rPr>
          <w:rFonts w:cs="Times New Roman"/>
          <w:szCs w:val="24"/>
        </w:rPr>
        <w:t xml:space="preserve"> belonged to the age bracket of 26–35 years. In addition, </w:t>
      </w:r>
      <w:r w:rsidRPr="00CF3DDD">
        <w:rPr>
          <w:rStyle w:val="Strong"/>
          <w:rFonts w:cs="Times New Roman"/>
          <w:szCs w:val="24"/>
        </w:rPr>
        <w:t>21.6% (n = 100)</w:t>
      </w:r>
      <w:r w:rsidRPr="00CF3DDD">
        <w:rPr>
          <w:rFonts w:cs="Times New Roman"/>
          <w:szCs w:val="24"/>
        </w:rPr>
        <w:t xml:space="preserve"> of participants were within the 36–45 years category, and the remaining </w:t>
      </w:r>
      <w:r w:rsidRPr="00CF3DDD">
        <w:rPr>
          <w:rStyle w:val="Strong"/>
          <w:rFonts w:cs="Times New Roman"/>
          <w:szCs w:val="24"/>
        </w:rPr>
        <w:t>24.4% (n = 113)</w:t>
      </w:r>
      <w:r w:rsidRPr="00CF3DDD">
        <w:rPr>
          <w:rFonts w:cs="Times New Roman"/>
          <w:szCs w:val="24"/>
        </w:rPr>
        <w:t xml:space="preserve"> were aged above 45 years. This distribution indicates that the sample comprised a balanced mix of both younger and older respondents, ensuring representation across different age groups.</w:t>
      </w:r>
    </w:p>
    <w:p w14:paraId="32CEA210" w14:textId="77777777" w:rsidR="00216A48" w:rsidRPr="00CF3DDD" w:rsidRDefault="00216A48" w:rsidP="00CF3DDD">
      <w:pPr>
        <w:spacing w:before="100" w:beforeAutospacing="1" w:after="100" w:afterAutospacing="1" w:line="360" w:lineRule="auto"/>
        <w:rPr>
          <w:rFonts w:cs="Times New Roman"/>
          <w:szCs w:val="24"/>
        </w:rPr>
      </w:pPr>
    </w:p>
    <w:p w14:paraId="3C2C1C0D" w14:textId="77777777" w:rsidR="00216A48" w:rsidRPr="00CF3DDD" w:rsidRDefault="00216A48" w:rsidP="00CF3DDD">
      <w:pPr>
        <w:spacing w:before="100" w:beforeAutospacing="1" w:after="100" w:afterAutospacing="1" w:line="360" w:lineRule="auto"/>
        <w:rPr>
          <w:rFonts w:eastAsia="Times New Roman" w:cs="Times New Roman"/>
          <w:sz w:val="28"/>
          <w:szCs w:val="28"/>
        </w:rPr>
      </w:pPr>
      <w:r w:rsidRPr="00CF3DDD">
        <w:rPr>
          <w:rFonts w:cs="Times New Roman"/>
          <w:noProof/>
          <w:sz w:val="28"/>
          <w:szCs w:val="28"/>
        </w:rPr>
        <w:drawing>
          <wp:inline distT="0" distB="0" distL="0" distR="0" wp14:anchorId="5F3CAD2D" wp14:editId="35CC80C6">
            <wp:extent cx="5943600" cy="25021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502113"/>
                    </a:xfrm>
                    <a:prstGeom prst="rect">
                      <a:avLst/>
                    </a:prstGeom>
                    <a:noFill/>
                    <a:ln>
                      <a:noFill/>
                    </a:ln>
                  </pic:spPr>
                </pic:pic>
              </a:graphicData>
            </a:graphic>
          </wp:inline>
        </w:drawing>
      </w:r>
    </w:p>
    <w:p w14:paraId="033CE935" w14:textId="77777777" w:rsidR="008D50CA" w:rsidRPr="00CF3DDD" w:rsidRDefault="008D50CA" w:rsidP="00CF3DDD">
      <w:pPr>
        <w:spacing w:before="100" w:beforeAutospacing="1" w:after="100" w:afterAutospacing="1" w:line="360" w:lineRule="auto"/>
        <w:outlineLvl w:val="1"/>
        <w:rPr>
          <w:rFonts w:eastAsia="Times New Roman" w:cs="Times New Roman"/>
          <w:szCs w:val="24"/>
        </w:rPr>
      </w:pPr>
      <w:bookmarkStart w:id="71" w:name="_Toc209193055"/>
      <w:bookmarkStart w:id="72" w:name="_Toc209310630"/>
      <w:r w:rsidRPr="00CF3DDD">
        <w:rPr>
          <w:rFonts w:eastAsia="Times New Roman" w:cs="Times New Roman"/>
          <w:szCs w:val="24"/>
        </w:rPr>
        <w:t xml:space="preserve">Out of the total </w:t>
      </w:r>
      <w:r w:rsidRPr="00CF3DDD">
        <w:rPr>
          <w:rFonts w:eastAsia="Times New Roman" w:cs="Times New Roman"/>
          <w:b/>
          <w:bCs/>
          <w:szCs w:val="24"/>
        </w:rPr>
        <w:t>467 respondents</w:t>
      </w:r>
      <w:r w:rsidRPr="00CF3DDD">
        <w:rPr>
          <w:rFonts w:eastAsia="Times New Roman" w:cs="Times New Roman"/>
          <w:szCs w:val="24"/>
        </w:rPr>
        <w:t xml:space="preserve">, the majority were </w:t>
      </w:r>
      <w:r w:rsidRPr="00CF3DDD">
        <w:rPr>
          <w:rFonts w:eastAsia="Times New Roman" w:cs="Times New Roman"/>
          <w:b/>
          <w:bCs/>
          <w:szCs w:val="24"/>
        </w:rPr>
        <w:t>female, accounting for 57.2% (n = 267)</w:t>
      </w:r>
      <w:r w:rsidRPr="00CF3DDD">
        <w:rPr>
          <w:rFonts w:eastAsia="Times New Roman" w:cs="Times New Roman"/>
          <w:szCs w:val="24"/>
        </w:rPr>
        <w:t xml:space="preserve">, while </w:t>
      </w:r>
      <w:r w:rsidRPr="00CF3DDD">
        <w:rPr>
          <w:rFonts w:eastAsia="Times New Roman" w:cs="Times New Roman"/>
          <w:b/>
          <w:bCs/>
          <w:szCs w:val="24"/>
        </w:rPr>
        <w:t>male respondents represented 42.0% (n = 196)</w:t>
      </w:r>
      <w:r w:rsidRPr="00CF3DDD">
        <w:rPr>
          <w:rFonts w:eastAsia="Times New Roman" w:cs="Times New Roman"/>
          <w:szCs w:val="24"/>
        </w:rPr>
        <w:t xml:space="preserve"> of the sample. In addition, a small fraction, </w:t>
      </w:r>
      <w:r w:rsidRPr="00CF3DDD">
        <w:rPr>
          <w:rFonts w:eastAsia="Times New Roman" w:cs="Times New Roman"/>
          <w:b/>
          <w:bCs/>
          <w:szCs w:val="24"/>
        </w:rPr>
        <w:lastRenderedPageBreak/>
        <w:t>0.9% (n = 4)</w:t>
      </w:r>
      <w:r w:rsidRPr="00CF3DDD">
        <w:rPr>
          <w:rFonts w:eastAsia="Times New Roman" w:cs="Times New Roman"/>
          <w:szCs w:val="24"/>
        </w:rPr>
        <w:t>, preferred not to disclose their gender. This distribution highlights that the sample was slightly skewed towards female participants, which may provide deeper insights into consumer perceptions from a female-dominant perspective, while still maintaining a considerable representation of male respondents.</w:t>
      </w:r>
      <w:bookmarkEnd w:id="71"/>
      <w:bookmarkEnd w:id="72"/>
    </w:p>
    <w:p w14:paraId="52CB387F" w14:textId="4641A9AE" w:rsidR="008D50CA" w:rsidRPr="00CF3DDD" w:rsidRDefault="008D50CA" w:rsidP="00CF3DDD">
      <w:pPr>
        <w:spacing w:before="100" w:beforeAutospacing="1" w:after="100" w:afterAutospacing="1" w:line="360" w:lineRule="auto"/>
        <w:outlineLvl w:val="1"/>
        <w:rPr>
          <w:rFonts w:eastAsia="Times New Roman" w:cs="Times New Roman"/>
          <w:szCs w:val="24"/>
        </w:rPr>
      </w:pPr>
      <w:bookmarkStart w:id="73" w:name="_Toc209310631"/>
      <w:r w:rsidRPr="00CF3DDD">
        <w:rPr>
          <w:rFonts w:cs="Times New Roman"/>
          <w:noProof/>
        </w:rPr>
        <w:drawing>
          <wp:inline distT="0" distB="0" distL="0" distR="0" wp14:anchorId="0174F537" wp14:editId="7EEFE4D1">
            <wp:extent cx="5943600" cy="250211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502113"/>
                    </a:xfrm>
                    <a:prstGeom prst="rect">
                      <a:avLst/>
                    </a:prstGeom>
                    <a:noFill/>
                    <a:ln>
                      <a:noFill/>
                    </a:ln>
                  </pic:spPr>
                </pic:pic>
              </a:graphicData>
            </a:graphic>
          </wp:inline>
        </w:drawing>
      </w:r>
      <w:bookmarkEnd w:id="73"/>
    </w:p>
    <w:p w14:paraId="59433A5A" w14:textId="77777777" w:rsidR="008772E6" w:rsidRPr="00CF3DDD" w:rsidRDefault="008772E6" w:rsidP="00CF3DDD">
      <w:pPr>
        <w:pStyle w:val="NormalWeb"/>
        <w:spacing w:line="360" w:lineRule="auto"/>
      </w:pPr>
      <w:r w:rsidRPr="00CF3DDD">
        <w:t xml:space="preserve">Out of the total respondents, </w:t>
      </w:r>
      <w:r w:rsidRPr="00CF3DDD">
        <w:rPr>
          <w:rStyle w:val="Strong"/>
        </w:rPr>
        <w:t>27.8% (n = 130)</w:t>
      </w:r>
      <w:r w:rsidRPr="00CF3DDD">
        <w:t xml:space="preserve"> reported earning </w:t>
      </w:r>
      <w:r w:rsidRPr="00CF3DDD">
        <w:rPr>
          <w:rStyle w:val="Strong"/>
        </w:rPr>
        <w:t>less than £1,000 per month</w:t>
      </w:r>
      <w:r w:rsidRPr="00CF3DDD">
        <w:t xml:space="preserve">, representing the largest share of lower-income participants. Meanwhile, </w:t>
      </w:r>
      <w:r w:rsidRPr="00CF3DDD">
        <w:rPr>
          <w:rStyle w:val="Strong"/>
        </w:rPr>
        <w:t>12.2% (n = 57)</w:t>
      </w:r>
      <w:r w:rsidRPr="00CF3DDD">
        <w:t xml:space="preserve"> indicated a monthly income between </w:t>
      </w:r>
      <w:r w:rsidRPr="00CF3DDD">
        <w:rPr>
          <w:rStyle w:val="Strong"/>
        </w:rPr>
        <w:t>£1,000 – £2,000</w:t>
      </w:r>
      <w:r w:rsidRPr="00CF3DDD">
        <w:t xml:space="preserve">, and </w:t>
      </w:r>
      <w:r w:rsidRPr="00CF3DDD">
        <w:rPr>
          <w:rStyle w:val="Strong"/>
        </w:rPr>
        <w:t>14.3% (n = 67)</w:t>
      </w:r>
      <w:r w:rsidRPr="00CF3DDD">
        <w:t xml:space="preserve"> fell into the </w:t>
      </w:r>
      <w:r w:rsidRPr="00CF3DDD">
        <w:rPr>
          <w:rStyle w:val="Strong"/>
        </w:rPr>
        <w:t>£2,000 – £3,000</w:t>
      </w:r>
      <w:r w:rsidRPr="00CF3DDD">
        <w:t xml:space="preserve"> range. A significant proportion, </w:t>
      </w:r>
      <w:r w:rsidRPr="00CF3DDD">
        <w:rPr>
          <w:rStyle w:val="Strong"/>
        </w:rPr>
        <w:t>22.5% (n = 105)</w:t>
      </w:r>
      <w:r w:rsidRPr="00CF3DDD">
        <w:t xml:space="preserve">, reported earning </w:t>
      </w:r>
      <w:r w:rsidRPr="00CF3DDD">
        <w:rPr>
          <w:rStyle w:val="Strong"/>
        </w:rPr>
        <w:t>£3,000 – £4,000</w:t>
      </w:r>
      <w:r w:rsidRPr="00CF3DDD">
        <w:t xml:space="preserve">, while </w:t>
      </w:r>
      <w:r w:rsidRPr="00CF3DDD">
        <w:rPr>
          <w:rStyle w:val="Strong"/>
        </w:rPr>
        <w:t>23.1% (n = 108)</w:t>
      </w:r>
      <w:r w:rsidRPr="00CF3DDD">
        <w:t xml:space="preserve"> of respondents belonged to the </w:t>
      </w:r>
      <w:r w:rsidRPr="00CF3DDD">
        <w:rPr>
          <w:rStyle w:val="Strong"/>
        </w:rPr>
        <w:t>highest income bracket of above £5,000 per month</w:t>
      </w:r>
      <w:r w:rsidRPr="00CF3DDD">
        <w:t>.</w:t>
      </w:r>
    </w:p>
    <w:p w14:paraId="032273DA" w14:textId="77777777" w:rsidR="008772E6" w:rsidRPr="00CF3DDD" w:rsidRDefault="008772E6" w:rsidP="00CF3DDD">
      <w:pPr>
        <w:pStyle w:val="NormalWeb"/>
        <w:spacing w:line="360" w:lineRule="auto"/>
      </w:pPr>
      <w:r w:rsidRPr="00CF3DDD">
        <w:t xml:space="preserve">This distribution reflects a </w:t>
      </w:r>
      <w:r w:rsidRPr="00CF3DDD">
        <w:rPr>
          <w:rStyle w:val="Strong"/>
          <w:b w:val="0"/>
          <w:bCs w:val="0"/>
        </w:rPr>
        <w:t>balanced mix of both lower- and higher-income groups</w:t>
      </w:r>
      <w:r w:rsidRPr="00CF3DDD">
        <w:t>, allowing for a more comprehensive understanding of how financial capacity may influence consumer perceptions, purchasing decisions, and brand loyalty.</w:t>
      </w:r>
    </w:p>
    <w:p w14:paraId="5BC32DE9" w14:textId="79CF1225" w:rsidR="00E25F62" w:rsidRPr="00CF3DDD" w:rsidRDefault="00F4678D" w:rsidP="00CF3DDD">
      <w:pPr>
        <w:pStyle w:val="Heading2"/>
        <w:spacing w:line="360" w:lineRule="auto"/>
      </w:pPr>
      <w:bookmarkStart w:id="74" w:name="_Toc209310632"/>
      <w:r w:rsidRPr="00CF3DDD">
        <w:t>4.</w:t>
      </w:r>
      <w:r w:rsidR="00E344D1" w:rsidRPr="00CF3DDD">
        <w:t>4</w:t>
      </w:r>
      <w:r w:rsidRPr="00CF3DDD">
        <w:t xml:space="preserve"> </w:t>
      </w:r>
      <w:r w:rsidR="00E25F62" w:rsidRPr="00CF3DDD">
        <w:t>Outlier Test</w:t>
      </w:r>
      <w:bookmarkEnd w:id="74"/>
    </w:p>
    <w:p w14:paraId="69C53AEE" w14:textId="77777777" w:rsidR="00F4678D" w:rsidRPr="00CF3DDD" w:rsidRDefault="00F4678D" w:rsidP="00CF3DDD">
      <w:pPr>
        <w:spacing w:line="360" w:lineRule="auto"/>
        <w:rPr>
          <w:rFonts w:cs="Times New Roman"/>
        </w:rPr>
      </w:pPr>
      <w:bookmarkStart w:id="75" w:name="_Toc209193060"/>
      <w:r w:rsidRPr="00CF3DDD">
        <w:rPr>
          <w:rFonts w:cs="Times New Roman"/>
        </w:rPr>
        <w:t xml:space="preserve">The outlier test was carried out to improve the quality and reliability of the dataset prior to conducting statistical analysis. Because the research focuses on the relationship between brand equity, brand trust, brand love, and brand loyalty, the presence of extreme values could distort the overall results and create misleading interpretations. Outliers often place undue influence on measures such as means, standard deviations, correlations, and regression outcomes, which could </w:t>
      </w:r>
      <w:r w:rsidRPr="00CF3DDD">
        <w:rPr>
          <w:rFonts w:cs="Times New Roman"/>
        </w:rPr>
        <w:lastRenderedPageBreak/>
        <w:t>weaken the accuracy of the findings. By identifying and eliminating such unusual data points, the dataset became more representative of the broader sample, allowing the results to reflect genuine consumer perceptions. This step ensured that subsequent analyses were based on sound data, strengthening both the validity and credibility of the research conclusions.</w:t>
      </w:r>
      <w:bookmarkEnd w:id="75"/>
    </w:p>
    <w:p w14:paraId="4E72B3E5" w14:textId="77777777" w:rsidR="006F35DC" w:rsidRPr="00CF3DDD" w:rsidRDefault="006F35DC" w:rsidP="00CF3DDD">
      <w:pPr>
        <w:spacing w:line="360" w:lineRule="auto"/>
        <w:rPr>
          <w:rFonts w:cs="Times New Roman"/>
        </w:rPr>
      </w:pPr>
      <w:r w:rsidRPr="00CF3DDD">
        <w:rPr>
          <w:rFonts w:cs="Times New Roman"/>
        </w:rPr>
        <w:t>Based on the outlier test conducted in SPSS, a total of 23 extreme values were identified across the main study variables, including brand equity, brand trust, brand love, and brand loyalty. Outliers represent responses that lie far from the majority of data points and, if retained, can exert disproportionate influence on statistical outcomes such as means, correlations, and regression coefficients (Field, 2018). To maintain the accuracy and validity of the analysis, these cases were systematically removed in descending order from the highest to the lowest values: 368, 364, 325, 185, 178, 173, 172, 160, 159, 157, 158, 153, 150, 134, 131, 117, 116, 103, 77, 76, 58, 44, 39, and 11.</w:t>
      </w:r>
    </w:p>
    <w:p w14:paraId="216C4690" w14:textId="77777777" w:rsidR="00E25F62" w:rsidRPr="00CF3DDD" w:rsidRDefault="00E25F62" w:rsidP="00CF3DDD">
      <w:pPr>
        <w:autoSpaceDE w:val="0"/>
        <w:autoSpaceDN w:val="0"/>
        <w:adjustRightInd w:val="0"/>
        <w:spacing w:after="0" w:line="360" w:lineRule="auto"/>
        <w:rPr>
          <w:rFonts w:cs="Times New Roman"/>
          <w:szCs w:val="24"/>
        </w:rPr>
      </w:pPr>
      <w:r w:rsidRPr="00CF3DDD">
        <w:rPr>
          <w:rFonts w:cs="Times New Roman"/>
          <w:noProof/>
          <w:szCs w:val="24"/>
        </w:rPr>
        <w:drawing>
          <wp:inline distT="0" distB="0" distL="0" distR="0" wp14:anchorId="542A1BB7" wp14:editId="6E760F2C">
            <wp:extent cx="5943600" cy="47548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754880"/>
                    </a:xfrm>
                    <a:prstGeom prst="rect">
                      <a:avLst/>
                    </a:prstGeom>
                    <a:noFill/>
                    <a:ln>
                      <a:noFill/>
                    </a:ln>
                  </pic:spPr>
                </pic:pic>
              </a:graphicData>
            </a:graphic>
          </wp:inline>
        </w:drawing>
      </w:r>
    </w:p>
    <w:p w14:paraId="51DBCB24" w14:textId="622EA87D" w:rsidR="006F35DC" w:rsidRPr="00CF3DDD" w:rsidRDefault="00E344D1" w:rsidP="00CF3DDD">
      <w:pPr>
        <w:pStyle w:val="Heading3"/>
        <w:spacing w:line="360" w:lineRule="auto"/>
      </w:pPr>
      <w:bookmarkStart w:id="76" w:name="_Toc209310633"/>
      <w:r w:rsidRPr="00CF3DDD">
        <w:lastRenderedPageBreak/>
        <w:t xml:space="preserve">4.4.1 </w:t>
      </w:r>
      <w:r w:rsidR="006F35DC" w:rsidRPr="00CF3DDD">
        <w:t>Interpretation of Outlier test</w:t>
      </w:r>
      <w:bookmarkEnd w:id="76"/>
    </w:p>
    <w:p w14:paraId="780D1332" w14:textId="77777777" w:rsidR="006F35DC" w:rsidRPr="00CF3DDD" w:rsidRDefault="006F35DC" w:rsidP="00CF3DDD">
      <w:pPr>
        <w:spacing w:line="360" w:lineRule="auto"/>
        <w:rPr>
          <w:rFonts w:cs="Times New Roman"/>
        </w:rPr>
      </w:pPr>
      <w:r w:rsidRPr="00CF3DDD">
        <w:rPr>
          <w:rFonts w:cs="Times New Roman"/>
        </w:rPr>
        <w:t>The removal of these outliers reduced the effective dataset from 467 to 444 valid respondents. By excluding extreme cases, the dataset became more representative of the central tendencies of the sample population, thereby reducing the risk of statistical bias and enhancing the reliability of subsequent analyses (</w:t>
      </w:r>
      <w:proofErr w:type="spellStart"/>
      <w:r w:rsidRPr="00CF3DDD">
        <w:rPr>
          <w:rFonts w:cs="Times New Roman"/>
        </w:rPr>
        <w:t>Pallant</w:t>
      </w:r>
      <w:proofErr w:type="spellEnd"/>
      <w:r w:rsidRPr="00CF3DDD">
        <w:rPr>
          <w:rFonts w:cs="Times New Roman"/>
        </w:rPr>
        <w:t>, 2020). This step was particularly important for ensuring that parametric tests, such as regression and correlation, were not unduly influenced by anomalous responses, which could otherwise compromise the credibility of the study’s findings</w:t>
      </w:r>
    </w:p>
    <w:p w14:paraId="28A64D51" w14:textId="48EFF254" w:rsidR="00CF6735" w:rsidRPr="00CF3DDD" w:rsidRDefault="00F4678D" w:rsidP="00CF3DDD">
      <w:pPr>
        <w:pStyle w:val="Heading2"/>
        <w:spacing w:line="360" w:lineRule="auto"/>
      </w:pPr>
      <w:bookmarkStart w:id="77" w:name="_Toc209310634"/>
      <w:r w:rsidRPr="00CF3DDD">
        <w:t>4.</w:t>
      </w:r>
      <w:r w:rsidR="00E344D1" w:rsidRPr="00CF3DDD">
        <w:t>5</w:t>
      </w:r>
      <w:r w:rsidRPr="00CF3DDD">
        <w:t xml:space="preserve"> </w:t>
      </w:r>
      <w:r w:rsidR="00CF6735" w:rsidRPr="00CF3DDD">
        <w:t>Data Normality Test</w:t>
      </w:r>
      <w:bookmarkEnd w:id="77"/>
    </w:p>
    <w:p w14:paraId="0EF0E27D" w14:textId="77777777" w:rsidR="00F4678D" w:rsidRPr="00CF3DDD" w:rsidRDefault="00F4678D" w:rsidP="00CF3DDD">
      <w:pPr>
        <w:spacing w:line="360" w:lineRule="auto"/>
        <w:rPr>
          <w:rFonts w:cs="Times New Roman"/>
        </w:rPr>
      </w:pPr>
      <w:bookmarkStart w:id="78" w:name="_Toc209193063"/>
      <w:r w:rsidRPr="00CF3DDD">
        <w:rPr>
          <w:rFonts w:cs="Times New Roman"/>
        </w:rPr>
        <w:t>The data normality test was conducted to confirm whether the dataset followed a normal distribution, which is a key assumption for applying parametric tests such as regression and correlation. Skewness and kurtosis values were examined and found to be within acceptable ranges, confirming normality. This validation ensured that the statistical results derived from the analysis would be both reliable and accurate.</w:t>
      </w:r>
      <w:bookmarkEnd w:id="78"/>
    </w:p>
    <w:p w14:paraId="4A2D8284" w14:textId="77777777" w:rsidR="00CF6735" w:rsidRPr="00CF3DDD" w:rsidRDefault="00CF6735" w:rsidP="00CF3DDD">
      <w:pPr>
        <w:spacing w:line="360" w:lineRule="auto"/>
        <w:rPr>
          <w:rFonts w:cs="Times New Roman"/>
        </w:rPr>
      </w:pPr>
      <w:bookmarkStart w:id="79" w:name="_Toc209193064"/>
      <w:r w:rsidRPr="00CF3DDD">
        <w:rPr>
          <w:rFonts w:cs="Times New Roman"/>
        </w:rPr>
        <w:t xml:space="preserve">Following the removal of outliers, the subsequent step in the preliminary analysis was to assess the normality of the dataset. Evaluating normality is an essential requirement because many </w:t>
      </w:r>
      <w:r w:rsidRPr="00CF3DDD">
        <w:rPr>
          <w:rFonts w:cs="Times New Roman"/>
          <w:b/>
          <w:bCs/>
        </w:rPr>
        <w:t>parametric statistical techniques</w:t>
      </w:r>
      <w:r w:rsidRPr="00CF3DDD">
        <w:rPr>
          <w:rFonts w:cs="Times New Roman"/>
        </w:rPr>
        <w:t>—including regression analysis, correlation tests, and analysis of variance (ANOVA)—are built on the assumption that the variables are normally distributed. If this assumption is violated, the validity of the statistical inferences may be compromised, leading to biased or misleading results.</w:t>
      </w:r>
      <w:bookmarkEnd w:id="79"/>
    </w:p>
    <w:p w14:paraId="4EF4E921" w14:textId="77777777" w:rsidR="00CF6735" w:rsidRPr="00CF3DDD" w:rsidRDefault="00CF6735" w:rsidP="00CF3DDD">
      <w:pPr>
        <w:spacing w:line="360" w:lineRule="auto"/>
        <w:rPr>
          <w:rFonts w:cs="Times New Roman"/>
        </w:rPr>
      </w:pPr>
      <w:bookmarkStart w:id="80" w:name="_Toc209193065"/>
      <w:r w:rsidRPr="00CF3DDD">
        <w:rPr>
          <w:rFonts w:cs="Times New Roman"/>
        </w:rPr>
        <w:t xml:space="preserve">To test this assumption, both </w:t>
      </w:r>
      <w:r w:rsidRPr="00CF3DDD">
        <w:rPr>
          <w:rFonts w:cs="Times New Roman"/>
          <w:b/>
          <w:bCs/>
        </w:rPr>
        <w:t>skewness and kurtosis statistics</w:t>
      </w:r>
      <w:r w:rsidRPr="00CF3DDD">
        <w:rPr>
          <w:rFonts w:cs="Times New Roman"/>
        </w:rPr>
        <w:t xml:space="preserve"> were examined for all variables. In statistical literature, skewness values between </w:t>
      </w:r>
      <w:r w:rsidRPr="00CF3DDD">
        <w:rPr>
          <w:rFonts w:cs="Times New Roman"/>
          <w:b/>
          <w:bCs/>
        </w:rPr>
        <w:t>±1 and ±3</w:t>
      </w:r>
      <w:r w:rsidRPr="00CF3DDD">
        <w:rPr>
          <w:rFonts w:cs="Times New Roman"/>
        </w:rPr>
        <w:t xml:space="preserve"> are generally considered to reflect an acceptable level of distribution symmetry, while kurtosis values between </w:t>
      </w:r>
      <w:r w:rsidRPr="00CF3DDD">
        <w:rPr>
          <w:rFonts w:cs="Times New Roman"/>
          <w:b/>
          <w:bCs/>
        </w:rPr>
        <w:t>±3 and ±10</w:t>
      </w:r>
      <w:r w:rsidRPr="00CF3DDD">
        <w:rPr>
          <w:rFonts w:cs="Times New Roman"/>
        </w:rPr>
        <w:t xml:space="preserve"> indicate that the degree of </w:t>
      </w:r>
      <w:proofErr w:type="spellStart"/>
      <w:r w:rsidR="00DB7F50" w:rsidRPr="00CF3DDD">
        <w:rPr>
          <w:rFonts w:cs="Times New Roman"/>
        </w:rPr>
        <w:t>peakedness</w:t>
      </w:r>
      <w:proofErr w:type="spellEnd"/>
      <w:r w:rsidRPr="00CF3DDD">
        <w:rPr>
          <w:rFonts w:cs="Times New Roman"/>
        </w:rPr>
        <w:t xml:space="preserve"> or flatness falls within an acceptable range (Kline, 2016). In the present study, the results revealed that the skewness and kurtosis values for each variable were comfortably within these cut-off criteria. This suggested that the dataset did not deviate significantly from the normal curve, thus satisfying the requirement for parametric testing.</w:t>
      </w:r>
      <w:bookmarkEnd w:id="80"/>
    </w:p>
    <w:p w14:paraId="24A07566" w14:textId="77777777" w:rsidR="006F35DC" w:rsidRPr="00CF3DDD" w:rsidRDefault="00CF6735" w:rsidP="00CF3DDD">
      <w:pPr>
        <w:spacing w:line="360" w:lineRule="auto"/>
        <w:rPr>
          <w:rFonts w:cs="Times New Roman"/>
        </w:rPr>
      </w:pPr>
      <w:bookmarkStart w:id="81" w:name="_Toc209193066"/>
      <w:r w:rsidRPr="00CF3DDD">
        <w:rPr>
          <w:rFonts w:cs="Times New Roman"/>
        </w:rPr>
        <w:t xml:space="preserve">In addition to skewness and kurtosis, </w:t>
      </w:r>
      <w:r w:rsidRPr="00CF3DDD">
        <w:rPr>
          <w:rFonts w:cs="Times New Roman"/>
          <w:b/>
          <w:bCs/>
        </w:rPr>
        <w:t>graphical methods</w:t>
      </w:r>
      <w:r w:rsidRPr="00CF3DDD">
        <w:rPr>
          <w:rFonts w:cs="Times New Roman"/>
        </w:rPr>
        <w:t xml:space="preserve"> were employed to further verify the distributional properties of the data. Specifically, </w:t>
      </w:r>
      <w:r w:rsidRPr="00CF3DDD">
        <w:rPr>
          <w:rFonts w:cs="Times New Roman"/>
          <w:b/>
          <w:bCs/>
        </w:rPr>
        <w:t>histograms with fitted normal curves</w:t>
      </w:r>
      <w:r w:rsidRPr="00CF3DDD">
        <w:rPr>
          <w:rFonts w:cs="Times New Roman"/>
        </w:rPr>
        <w:t xml:space="preserve"> and </w:t>
      </w:r>
      <w:r w:rsidRPr="00CF3DDD">
        <w:rPr>
          <w:rFonts w:cs="Times New Roman"/>
          <w:b/>
          <w:bCs/>
        </w:rPr>
        <w:lastRenderedPageBreak/>
        <w:t>Normal Probability–Probability (P–P) plots</w:t>
      </w:r>
      <w:r w:rsidRPr="00CF3DDD">
        <w:rPr>
          <w:rFonts w:cs="Times New Roman"/>
        </w:rPr>
        <w:t xml:space="preserve"> were generated. The histograms demonstrated that the observed data closely followed the bell-shaped pattern of a normal distribution, while the P–P plots showed data points clustering closely around the diagonal line, further indicating normality. Moreover, regression standardized residuals were inspected to ensure that deviations from normality were minimal.</w:t>
      </w:r>
      <w:bookmarkEnd w:id="81"/>
    </w:p>
    <w:p w14:paraId="3AC49ECD" w14:textId="77777777" w:rsidR="00FA6087" w:rsidRPr="00CF3DDD" w:rsidRDefault="00CF6735" w:rsidP="00CF3DDD">
      <w:pPr>
        <w:autoSpaceDE w:val="0"/>
        <w:autoSpaceDN w:val="0"/>
        <w:adjustRightInd w:val="0"/>
        <w:spacing w:after="0" w:line="360" w:lineRule="auto"/>
        <w:ind w:left="720" w:firstLine="720"/>
        <w:rPr>
          <w:rFonts w:cs="Times New Roman"/>
          <w:noProof/>
          <w:szCs w:val="24"/>
        </w:rPr>
      </w:pPr>
      <w:r w:rsidRPr="00CF3DDD">
        <w:rPr>
          <w:rFonts w:cs="Times New Roman"/>
          <w:noProof/>
          <w:szCs w:val="24"/>
        </w:rPr>
        <w:drawing>
          <wp:inline distT="0" distB="0" distL="0" distR="0" wp14:anchorId="42310711" wp14:editId="6DE8E938">
            <wp:extent cx="4246364" cy="3482340"/>
            <wp:effectExtent l="0" t="0" r="190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9900" cy="3501641"/>
                    </a:xfrm>
                    <a:prstGeom prst="rect">
                      <a:avLst/>
                    </a:prstGeom>
                    <a:noFill/>
                    <a:ln>
                      <a:noFill/>
                    </a:ln>
                  </pic:spPr>
                </pic:pic>
              </a:graphicData>
            </a:graphic>
          </wp:inline>
        </w:drawing>
      </w:r>
    </w:p>
    <w:p w14:paraId="240CE2A9" w14:textId="77777777" w:rsidR="00156410" w:rsidRPr="00CF3DDD" w:rsidRDefault="00156410" w:rsidP="00CF3DDD">
      <w:pPr>
        <w:tabs>
          <w:tab w:val="left" w:pos="2868"/>
        </w:tabs>
        <w:spacing w:line="360" w:lineRule="auto"/>
        <w:rPr>
          <w:rFonts w:cs="Times New Roman"/>
          <w:szCs w:val="24"/>
        </w:rPr>
      </w:pPr>
      <w:r w:rsidRPr="00CF3DDD">
        <w:rPr>
          <w:rFonts w:cs="Times New Roman"/>
          <w:noProof/>
          <w:szCs w:val="24"/>
        </w:rPr>
        <w:lastRenderedPageBreak/>
        <w:drawing>
          <wp:inline distT="0" distB="0" distL="0" distR="0" wp14:anchorId="1B480594" wp14:editId="350AB889">
            <wp:extent cx="4524375" cy="36195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24864" cy="3619891"/>
                    </a:xfrm>
                    <a:prstGeom prst="rect">
                      <a:avLst/>
                    </a:prstGeom>
                    <a:noFill/>
                    <a:ln>
                      <a:noFill/>
                    </a:ln>
                  </pic:spPr>
                </pic:pic>
              </a:graphicData>
            </a:graphic>
          </wp:inline>
        </w:drawing>
      </w:r>
    </w:p>
    <w:p w14:paraId="1D602C1D" w14:textId="77777777" w:rsidR="00FA6087" w:rsidRPr="00CF3DDD" w:rsidRDefault="00FA6087" w:rsidP="00CF3DDD">
      <w:pPr>
        <w:autoSpaceDE w:val="0"/>
        <w:autoSpaceDN w:val="0"/>
        <w:adjustRightInd w:val="0"/>
        <w:spacing w:after="0" w:line="360" w:lineRule="auto"/>
        <w:ind w:firstLine="720"/>
        <w:rPr>
          <w:rFonts w:cs="Times New Roman"/>
          <w:szCs w:val="24"/>
        </w:rPr>
      </w:pPr>
    </w:p>
    <w:p w14:paraId="0D89094A" w14:textId="54DD0CE3" w:rsidR="00DB532D" w:rsidRPr="00CF3DDD" w:rsidRDefault="00DB532D" w:rsidP="00CF3DDD">
      <w:pPr>
        <w:pStyle w:val="Heading2"/>
        <w:spacing w:line="360" w:lineRule="auto"/>
      </w:pPr>
      <w:bookmarkStart w:id="82" w:name="_Toc209310635"/>
      <w:r w:rsidRPr="00CF3DDD">
        <w:t>4.5.1 Interpretation</w:t>
      </w:r>
      <w:bookmarkEnd w:id="82"/>
    </w:p>
    <w:p w14:paraId="5D360A90" w14:textId="77777777" w:rsidR="00FA6087" w:rsidRPr="00CF3DDD" w:rsidRDefault="00DB532D" w:rsidP="00CF3DDD">
      <w:pPr>
        <w:autoSpaceDE w:val="0"/>
        <w:autoSpaceDN w:val="0"/>
        <w:adjustRightInd w:val="0"/>
        <w:spacing w:after="0" w:line="360" w:lineRule="auto"/>
        <w:rPr>
          <w:rFonts w:cs="Times New Roman"/>
          <w:szCs w:val="24"/>
        </w:rPr>
      </w:pPr>
      <w:r w:rsidRPr="00CF3DDD">
        <w:rPr>
          <w:rFonts w:cs="Times New Roman"/>
          <w:szCs w:val="24"/>
        </w:rPr>
        <w:t>The analysis confirmed that the dataset was clean, reliable, and suitable for parametric testing. Outliers were removed, and normality was validated through skewness, kurtosis, histograms, and P–P plots. Descriptive statistics highlighted balanced demographic representation, while reliability analysis showed strong internal consistency across all constructs. Correlation results revealed significant positive associations among brand equity, brand trust, brand love, and brand loyalty, supporting the proposed framework. Regression and hypothesis testing further validated these relationships, confirming that the research objectives were successfully addressed.</w:t>
      </w:r>
    </w:p>
    <w:p w14:paraId="7D40165E" w14:textId="609DA2A5" w:rsidR="00472C7A" w:rsidRPr="00CF3DDD" w:rsidRDefault="00F4678D" w:rsidP="00CF3DDD">
      <w:pPr>
        <w:autoSpaceDE w:val="0"/>
        <w:autoSpaceDN w:val="0"/>
        <w:adjustRightInd w:val="0"/>
        <w:spacing w:after="0" w:line="360" w:lineRule="auto"/>
        <w:jc w:val="left"/>
        <w:rPr>
          <w:rFonts w:cs="Times New Roman"/>
          <w:szCs w:val="24"/>
        </w:rPr>
      </w:pPr>
      <w:bookmarkStart w:id="83" w:name="_Toc209310636"/>
      <w:r w:rsidRPr="00CF3DDD">
        <w:rPr>
          <w:rStyle w:val="Heading2Char"/>
          <w:rFonts w:eastAsiaTheme="minorHAnsi"/>
        </w:rPr>
        <w:t>4.</w:t>
      </w:r>
      <w:r w:rsidR="00DB532D" w:rsidRPr="00CF3DDD">
        <w:rPr>
          <w:rStyle w:val="Heading2Char"/>
          <w:rFonts w:eastAsiaTheme="minorHAnsi"/>
        </w:rPr>
        <w:t>6</w:t>
      </w:r>
      <w:r w:rsidRPr="00CF3DDD">
        <w:rPr>
          <w:rStyle w:val="Heading2Char"/>
          <w:rFonts w:eastAsiaTheme="minorHAnsi"/>
        </w:rPr>
        <w:t xml:space="preserve"> </w:t>
      </w:r>
      <w:r w:rsidR="00224EEE" w:rsidRPr="00CF3DDD">
        <w:rPr>
          <w:rStyle w:val="Heading2Char"/>
          <w:rFonts w:eastAsiaTheme="minorHAnsi"/>
        </w:rPr>
        <w:t>Reliability Analysis</w:t>
      </w:r>
      <w:bookmarkEnd w:id="83"/>
      <w:r w:rsidR="00224EEE" w:rsidRPr="00CF3DDD">
        <w:rPr>
          <w:rFonts w:cs="Times New Roman"/>
          <w:szCs w:val="24"/>
        </w:rPr>
        <w:br/>
      </w:r>
      <w:r w:rsidR="006F35DC" w:rsidRPr="00CF3DDD">
        <w:rPr>
          <w:rFonts w:cs="Times New Roman"/>
          <w:szCs w:val="24"/>
        </w:rPr>
        <w:t xml:space="preserve">Following the assessment of data normality, the next stage of analysis involved testing the reliability of the research instrument. Reliability analysis is a statistical technique used to evaluate the consistency and stability of a measurement tool, ensuring that it yields similar results under consistent conditions. In this study, internal consistency reliability was examined through Cronbach’s Alpha, which is one of the most widely used measures for assessing the </w:t>
      </w:r>
      <w:r w:rsidR="006F35DC" w:rsidRPr="00CF3DDD">
        <w:rPr>
          <w:rFonts w:cs="Times New Roman"/>
          <w:szCs w:val="24"/>
        </w:rPr>
        <w:lastRenderedPageBreak/>
        <w:t>coherence among items within a scale. A higher Cronbach’s Alpha value indicates that the items collectively measure the same underlying construct, thereby increasing the credibility and trustworthiness of the research findings.</w:t>
      </w:r>
    </w:p>
    <w:p w14:paraId="1EA70F1C" w14:textId="77777777" w:rsidR="00224EEE" w:rsidRPr="00CF3DDD" w:rsidRDefault="00224EEE" w:rsidP="00CF3DDD">
      <w:pPr>
        <w:autoSpaceDE w:val="0"/>
        <w:autoSpaceDN w:val="0"/>
        <w:adjustRightInd w:val="0"/>
        <w:spacing w:after="0" w:line="360" w:lineRule="auto"/>
        <w:jc w:val="left"/>
        <w:rPr>
          <w:rFonts w:cs="Times New Roman"/>
          <w:szCs w:val="24"/>
        </w:rPr>
      </w:pPr>
      <w:r>
        <w:t>In general, a Cronbach’s Alpha coefficient of 0.70 or above is considered the benchmark for satisfactory reliability in social sciences research (Nunnally, 2012). Nonetheless, in the context of exploratory studies where new relationships and constructs are being investigated, slightly lower thresholds, such as 0.50 or above, can altherefore be acceptable (Cortina, 2009). This flexibility allows researchers to proceed with the analysis even when the measures are in the early stages of development or adaptation.</w:t>
      </w:r>
    </w:p>
    <w:p w14:paraId="09FB5B80" w14:textId="60EAF732" w:rsidR="00FA6087" w:rsidRPr="00CF3DDD" w:rsidRDefault="00472C7A" w:rsidP="00CF3DDD">
      <w:pPr>
        <w:pStyle w:val="Heading3"/>
        <w:spacing w:line="360" w:lineRule="auto"/>
      </w:pPr>
      <w:bookmarkStart w:id="84" w:name="_Toc209310637"/>
      <w:r w:rsidRPr="00CF3DDD">
        <w:t>4.</w:t>
      </w:r>
      <w:r w:rsidR="00DB532D" w:rsidRPr="00CF3DDD">
        <w:t>6</w:t>
      </w:r>
      <w:r w:rsidRPr="00CF3DDD">
        <w:t xml:space="preserve">.1 </w:t>
      </w:r>
      <w:r w:rsidR="00224EEE" w:rsidRPr="00CF3DDD">
        <w:t>Reliability</w:t>
      </w:r>
      <w:r w:rsidR="000C4920" w:rsidRPr="00CF3DDD">
        <w:t xml:space="preserve"> Analysis</w:t>
      </w:r>
      <w:bookmarkEnd w:id="84"/>
    </w:p>
    <w:p w14:paraId="0AF1E511" w14:textId="77777777" w:rsidR="00472C7A" w:rsidRPr="00CF3DDD" w:rsidRDefault="00224EEE" w:rsidP="00CF3DDD">
      <w:pPr>
        <w:autoSpaceDE w:val="0"/>
        <w:autoSpaceDN w:val="0"/>
        <w:adjustRightInd w:val="0"/>
        <w:spacing w:after="0" w:line="360" w:lineRule="auto"/>
        <w:rPr>
          <w:rFonts w:cs="Times New Roman"/>
          <w:szCs w:val="24"/>
        </w:rPr>
      </w:pPr>
      <w:r w:rsidRPr="00CF3DDD">
        <w:rPr>
          <w:rFonts w:cs="Times New Roman"/>
          <w:szCs w:val="24"/>
        </w:rPr>
        <w:t>Scale: All variables</w:t>
      </w:r>
    </w:p>
    <w:p w14:paraId="7CED6D0D" w14:textId="77777777" w:rsidR="006A1B23" w:rsidRPr="00CF3DDD" w:rsidRDefault="006A1B23" w:rsidP="00CF3DDD">
      <w:pPr>
        <w:autoSpaceDE w:val="0"/>
        <w:autoSpaceDN w:val="0"/>
        <w:adjustRightInd w:val="0"/>
        <w:spacing w:after="0" w:line="360" w:lineRule="auto"/>
        <w:rPr>
          <w:rFonts w:cs="Times New Roman"/>
          <w:szCs w:val="24"/>
        </w:rPr>
      </w:pPr>
    </w:p>
    <w:tbl>
      <w:tblPr>
        <w:tblW w:w="26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6A1B23" w:rsidRPr="00CF3DDD" w14:paraId="5AD27064" w14:textId="77777777">
        <w:trPr>
          <w:cantSplit/>
        </w:trPr>
        <w:tc>
          <w:tcPr>
            <w:tcW w:w="2691" w:type="dxa"/>
            <w:gridSpan w:val="2"/>
            <w:tcBorders>
              <w:top w:val="nil"/>
              <w:left w:val="nil"/>
              <w:bottom w:val="nil"/>
              <w:right w:val="nil"/>
            </w:tcBorders>
            <w:shd w:val="clear" w:color="auto" w:fill="FFFFFF"/>
            <w:vAlign w:val="center"/>
          </w:tcPr>
          <w:p w14:paraId="3B7D8E8C" w14:textId="77777777" w:rsidR="006A1B23" w:rsidRPr="00CF3DDD" w:rsidRDefault="006A1B2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b/>
                <w:bCs/>
                <w:color w:val="000000"/>
                <w:sz w:val="18"/>
                <w:szCs w:val="18"/>
              </w:rPr>
              <w:t>Reliability Statistics</w:t>
            </w:r>
          </w:p>
        </w:tc>
      </w:tr>
      <w:tr w:rsidR="006A1B23" w:rsidRPr="00CF3DDD" w14:paraId="4FD5F881" w14:textId="77777777">
        <w:trPr>
          <w:cantSplit/>
        </w:trPr>
        <w:tc>
          <w:tcPr>
            <w:tcW w:w="1511" w:type="dxa"/>
            <w:tcBorders>
              <w:top w:val="single" w:sz="16" w:space="0" w:color="000000"/>
              <w:left w:val="single" w:sz="16" w:space="0" w:color="000000"/>
              <w:bottom w:val="single" w:sz="16" w:space="0" w:color="000000"/>
            </w:tcBorders>
            <w:shd w:val="clear" w:color="auto" w:fill="FFFFFF"/>
            <w:vAlign w:val="bottom"/>
          </w:tcPr>
          <w:p w14:paraId="562E9CDF" w14:textId="77777777" w:rsidR="006A1B23" w:rsidRPr="00CF3DDD" w:rsidRDefault="006A1B2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Cronbach's Alpha</w:t>
            </w:r>
          </w:p>
        </w:tc>
        <w:tc>
          <w:tcPr>
            <w:tcW w:w="1180" w:type="dxa"/>
            <w:tcBorders>
              <w:top w:val="single" w:sz="16" w:space="0" w:color="000000"/>
              <w:bottom w:val="single" w:sz="16" w:space="0" w:color="000000"/>
              <w:right w:val="single" w:sz="16" w:space="0" w:color="000000"/>
            </w:tcBorders>
            <w:shd w:val="clear" w:color="auto" w:fill="FFFFFF"/>
            <w:vAlign w:val="bottom"/>
          </w:tcPr>
          <w:p w14:paraId="5544EA1B" w14:textId="77777777" w:rsidR="006A1B23" w:rsidRPr="00CF3DDD" w:rsidRDefault="006A1B2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N of Items</w:t>
            </w:r>
          </w:p>
        </w:tc>
      </w:tr>
      <w:tr w:rsidR="006A1B23" w:rsidRPr="00CF3DDD" w14:paraId="1E38EF78" w14:textId="77777777">
        <w:trPr>
          <w:cantSplit/>
        </w:trPr>
        <w:tc>
          <w:tcPr>
            <w:tcW w:w="1511" w:type="dxa"/>
            <w:tcBorders>
              <w:top w:val="single" w:sz="16" w:space="0" w:color="000000"/>
              <w:left w:val="single" w:sz="16" w:space="0" w:color="000000"/>
              <w:bottom w:val="single" w:sz="16" w:space="0" w:color="000000"/>
            </w:tcBorders>
            <w:shd w:val="clear" w:color="auto" w:fill="FFFFFF"/>
            <w:vAlign w:val="center"/>
          </w:tcPr>
          <w:p w14:paraId="5EAB5FE0" w14:textId="77777777" w:rsidR="006A1B23" w:rsidRPr="00CF3DDD" w:rsidRDefault="006A1B2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.853</w:t>
            </w:r>
          </w:p>
        </w:tc>
        <w:tc>
          <w:tcPr>
            <w:tcW w:w="1180" w:type="dxa"/>
            <w:tcBorders>
              <w:top w:val="single" w:sz="16" w:space="0" w:color="000000"/>
              <w:bottom w:val="single" w:sz="16" w:space="0" w:color="000000"/>
              <w:right w:val="single" w:sz="16" w:space="0" w:color="000000"/>
            </w:tcBorders>
            <w:shd w:val="clear" w:color="auto" w:fill="FFFFFF"/>
            <w:vAlign w:val="center"/>
          </w:tcPr>
          <w:p w14:paraId="6F8A0D9B" w14:textId="77777777" w:rsidR="006A1B23" w:rsidRPr="00CF3DDD" w:rsidRDefault="006A1B2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w:t>
            </w:r>
          </w:p>
        </w:tc>
      </w:tr>
    </w:tbl>
    <w:p w14:paraId="09478153" w14:textId="77777777" w:rsidR="00224EEE" w:rsidRPr="00CF3DDD" w:rsidRDefault="00224EEE" w:rsidP="00CF3DDD">
      <w:pPr>
        <w:autoSpaceDE w:val="0"/>
        <w:autoSpaceDN w:val="0"/>
        <w:adjustRightInd w:val="0"/>
        <w:spacing w:after="0" w:line="360" w:lineRule="auto"/>
        <w:rPr>
          <w:rFonts w:cs="Times New Roman"/>
          <w:szCs w:val="24"/>
        </w:rPr>
      </w:pPr>
    </w:p>
    <w:p w14:paraId="1738FF82" w14:textId="77777777" w:rsidR="0038210E" w:rsidRPr="00CF3DDD" w:rsidRDefault="0038210E" w:rsidP="00CF3DDD">
      <w:pPr>
        <w:autoSpaceDE w:val="0"/>
        <w:autoSpaceDN w:val="0"/>
        <w:adjustRightInd w:val="0"/>
        <w:spacing w:after="0" w:line="360" w:lineRule="auto"/>
        <w:rPr>
          <w:rFonts w:cs="Times New Roman"/>
          <w:color w:val="000000"/>
          <w:sz w:val="20"/>
          <w:szCs w:val="20"/>
        </w:rPr>
      </w:pPr>
    </w:p>
    <w:p w14:paraId="00AED41B" w14:textId="77777777" w:rsidR="0038210E" w:rsidRPr="00CF3DDD" w:rsidRDefault="0038210E" w:rsidP="00CF3DDD">
      <w:pPr>
        <w:autoSpaceDE w:val="0"/>
        <w:autoSpaceDN w:val="0"/>
        <w:adjustRightInd w:val="0"/>
        <w:spacing w:after="0" w:line="360" w:lineRule="auto"/>
        <w:rPr>
          <w:rFonts w:cs="Times New Roman"/>
          <w:color w:val="000000"/>
          <w:sz w:val="20"/>
          <w:szCs w:val="20"/>
        </w:rPr>
      </w:pPr>
      <w:r w:rsidRPr="00CF3DDD">
        <w:rPr>
          <w:rFonts w:cs="Times New Roman"/>
          <w:color w:val="000000"/>
          <w:sz w:val="20"/>
          <w:szCs w:val="20"/>
        </w:rPr>
        <w:t>RELIABILITY</w:t>
      </w:r>
    </w:p>
    <w:p w14:paraId="4E0BB3EC" w14:textId="77777777" w:rsidR="0038210E" w:rsidRPr="00CF3DDD" w:rsidRDefault="0038210E" w:rsidP="00CF3DDD">
      <w:pPr>
        <w:autoSpaceDE w:val="0"/>
        <w:autoSpaceDN w:val="0"/>
        <w:adjustRightInd w:val="0"/>
        <w:spacing w:after="0" w:line="360" w:lineRule="auto"/>
        <w:rPr>
          <w:rFonts w:cs="Times New Roman"/>
          <w:color w:val="000000"/>
          <w:sz w:val="20"/>
          <w:szCs w:val="20"/>
        </w:rPr>
      </w:pPr>
      <w:r w:rsidRPr="00CF3DDD">
        <w:rPr>
          <w:rFonts w:cs="Times New Roman"/>
          <w:color w:val="000000"/>
          <w:sz w:val="20"/>
          <w:szCs w:val="20"/>
        </w:rPr>
        <w:t xml:space="preserve">  /VARIABLES=BE1 BE2 BE3 BE4 BE5</w:t>
      </w:r>
    </w:p>
    <w:p w14:paraId="320253B5" w14:textId="77777777" w:rsidR="0038210E" w:rsidRPr="00CF3DDD" w:rsidRDefault="0038210E" w:rsidP="00CF3DDD">
      <w:pPr>
        <w:autoSpaceDE w:val="0"/>
        <w:autoSpaceDN w:val="0"/>
        <w:adjustRightInd w:val="0"/>
        <w:spacing w:after="0" w:line="360" w:lineRule="auto"/>
        <w:rPr>
          <w:rFonts w:cs="Times New Roman"/>
          <w:color w:val="000000"/>
          <w:sz w:val="20"/>
          <w:szCs w:val="20"/>
        </w:rPr>
      </w:pPr>
      <w:r w:rsidRPr="00CF3DDD">
        <w:rPr>
          <w:rFonts w:cs="Times New Roman"/>
          <w:color w:val="000000"/>
          <w:sz w:val="20"/>
          <w:szCs w:val="20"/>
        </w:rPr>
        <w:t xml:space="preserve">  /</w:t>
      </w:r>
      <w:proofErr w:type="gramStart"/>
      <w:r w:rsidRPr="00CF3DDD">
        <w:rPr>
          <w:rFonts w:cs="Times New Roman"/>
          <w:color w:val="000000"/>
          <w:sz w:val="20"/>
          <w:szCs w:val="20"/>
        </w:rPr>
        <w:t>SCALE(</w:t>
      </w:r>
      <w:proofErr w:type="gramEnd"/>
      <w:r w:rsidRPr="00CF3DDD">
        <w:rPr>
          <w:rFonts w:cs="Times New Roman"/>
          <w:color w:val="000000"/>
          <w:sz w:val="20"/>
          <w:szCs w:val="20"/>
        </w:rPr>
        <w:t>'ALL VARIABLES') ALL</w:t>
      </w:r>
    </w:p>
    <w:p w14:paraId="1E520612" w14:textId="77777777" w:rsidR="00123C22" w:rsidRPr="00CF3DDD" w:rsidRDefault="0038210E" w:rsidP="00CF3DDD">
      <w:pPr>
        <w:autoSpaceDE w:val="0"/>
        <w:autoSpaceDN w:val="0"/>
        <w:adjustRightInd w:val="0"/>
        <w:spacing w:after="0" w:line="360" w:lineRule="auto"/>
        <w:rPr>
          <w:rFonts w:cs="Times New Roman"/>
          <w:color w:val="000000"/>
          <w:sz w:val="20"/>
          <w:szCs w:val="20"/>
        </w:rPr>
      </w:pPr>
      <w:r w:rsidRPr="00CF3DDD">
        <w:rPr>
          <w:rFonts w:cs="Times New Roman"/>
          <w:color w:val="000000"/>
          <w:sz w:val="20"/>
          <w:szCs w:val="20"/>
        </w:rPr>
        <w:t xml:space="preserve">  /MODEL=ALPHA.</w:t>
      </w:r>
    </w:p>
    <w:p w14:paraId="4BBFA6AC" w14:textId="77777777" w:rsidR="00123C22" w:rsidRPr="00CF3DDD" w:rsidRDefault="00123C22" w:rsidP="00CF3DDD">
      <w:pPr>
        <w:autoSpaceDE w:val="0"/>
        <w:autoSpaceDN w:val="0"/>
        <w:adjustRightInd w:val="0"/>
        <w:spacing w:after="0" w:line="360" w:lineRule="auto"/>
        <w:rPr>
          <w:rFonts w:cs="Times New Roman"/>
          <w:szCs w:val="24"/>
        </w:rPr>
      </w:pPr>
      <w:bookmarkStart w:id="85" w:name="_Hlk207571630"/>
      <w:bookmarkStart w:id="86" w:name="_Hlk204553483"/>
      <w:r w:rsidRPr="00CF3DDD">
        <w:rPr>
          <w:rFonts w:cs="Times New Roman"/>
          <w:szCs w:val="24"/>
        </w:rPr>
        <w:t xml:space="preserve">The reliability of the item scales of the </w:t>
      </w:r>
      <w:r w:rsidR="00946DF2" w:rsidRPr="00CF3DDD">
        <w:rPr>
          <w:rFonts w:cs="Times New Roman"/>
          <w:szCs w:val="24"/>
        </w:rPr>
        <w:t>independent</w:t>
      </w:r>
      <w:r w:rsidRPr="00CF3DDD">
        <w:rPr>
          <w:rFonts w:cs="Times New Roman"/>
          <w:szCs w:val="24"/>
        </w:rPr>
        <w:t xml:space="preserve"> variable, </w:t>
      </w:r>
      <w:r w:rsidR="0038210E" w:rsidRPr="00CF3DDD">
        <w:rPr>
          <w:rFonts w:cs="Times New Roman"/>
          <w:szCs w:val="24"/>
        </w:rPr>
        <w:t>Brand Equity</w:t>
      </w:r>
      <w:r w:rsidRPr="00CF3DDD">
        <w:rPr>
          <w:rFonts w:cs="Times New Roman"/>
          <w:szCs w:val="24"/>
        </w:rPr>
        <w:t xml:space="preserve">, is </w:t>
      </w:r>
      <w:r w:rsidR="0038210E" w:rsidRPr="00CF3DDD">
        <w:rPr>
          <w:rFonts w:cs="Times New Roman"/>
          <w:szCs w:val="24"/>
        </w:rPr>
        <w:t>8</w:t>
      </w:r>
      <w:r w:rsidRPr="00CF3DDD">
        <w:rPr>
          <w:rFonts w:cs="Times New Roman"/>
          <w:szCs w:val="24"/>
        </w:rPr>
        <w:t>.</w:t>
      </w:r>
      <w:r w:rsidR="006A1B23" w:rsidRPr="00CF3DDD">
        <w:rPr>
          <w:rFonts w:cs="Times New Roman"/>
          <w:szCs w:val="24"/>
        </w:rPr>
        <w:t>53</w:t>
      </w:r>
      <w:r w:rsidRPr="00CF3DDD">
        <w:rPr>
          <w:rFonts w:cs="Times New Roman"/>
          <w:szCs w:val="24"/>
        </w:rPr>
        <w:t xml:space="preserve"> ≥ 0.70, which is good.</w:t>
      </w:r>
    </w:p>
    <w:bookmarkEnd w:id="85"/>
    <w:p w14:paraId="1269EEED" w14:textId="77777777" w:rsidR="0038210E" w:rsidRPr="00CF3DDD" w:rsidRDefault="0038210E" w:rsidP="00CF3DDD">
      <w:pPr>
        <w:autoSpaceDE w:val="0"/>
        <w:autoSpaceDN w:val="0"/>
        <w:adjustRightInd w:val="0"/>
        <w:spacing w:after="0" w:line="360" w:lineRule="auto"/>
        <w:rPr>
          <w:rFonts w:cs="Times New Roman"/>
          <w:szCs w:val="24"/>
        </w:rPr>
      </w:pPr>
    </w:p>
    <w:tbl>
      <w:tblPr>
        <w:tblW w:w="26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38210E" w:rsidRPr="00CF3DDD" w14:paraId="6114422A" w14:textId="77777777">
        <w:trPr>
          <w:cantSplit/>
        </w:trPr>
        <w:tc>
          <w:tcPr>
            <w:tcW w:w="2691" w:type="dxa"/>
            <w:gridSpan w:val="2"/>
            <w:tcBorders>
              <w:top w:val="nil"/>
              <w:left w:val="nil"/>
              <w:bottom w:val="nil"/>
              <w:right w:val="nil"/>
            </w:tcBorders>
            <w:shd w:val="clear" w:color="auto" w:fill="FFFFFF"/>
            <w:vAlign w:val="center"/>
          </w:tcPr>
          <w:p w14:paraId="04FFB6CB" w14:textId="77777777" w:rsidR="0038210E" w:rsidRPr="00CF3DDD" w:rsidRDefault="0038210E"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b/>
                <w:bCs/>
                <w:color w:val="000000"/>
                <w:sz w:val="18"/>
                <w:szCs w:val="18"/>
              </w:rPr>
              <w:t>Reliability Statistics</w:t>
            </w:r>
          </w:p>
        </w:tc>
      </w:tr>
      <w:tr w:rsidR="0038210E" w:rsidRPr="00CF3DDD" w14:paraId="070EA31A" w14:textId="77777777">
        <w:trPr>
          <w:cantSplit/>
        </w:trPr>
        <w:tc>
          <w:tcPr>
            <w:tcW w:w="1511" w:type="dxa"/>
            <w:tcBorders>
              <w:top w:val="single" w:sz="16" w:space="0" w:color="000000"/>
              <w:left w:val="single" w:sz="16" w:space="0" w:color="000000"/>
              <w:bottom w:val="single" w:sz="16" w:space="0" w:color="000000"/>
            </w:tcBorders>
            <w:shd w:val="clear" w:color="auto" w:fill="FFFFFF"/>
            <w:vAlign w:val="bottom"/>
          </w:tcPr>
          <w:p w14:paraId="613B3CD7" w14:textId="77777777" w:rsidR="0038210E" w:rsidRPr="00CF3DDD" w:rsidRDefault="0038210E"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Cronbach's Alpha</w:t>
            </w:r>
          </w:p>
        </w:tc>
        <w:tc>
          <w:tcPr>
            <w:tcW w:w="1180" w:type="dxa"/>
            <w:tcBorders>
              <w:top w:val="single" w:sz="16" w:space="0" w:color="000000"/>
              <w:bottom w:val="single" w:sz="16" w:space="0" w:color="000000"/>
              <w:right w:val="single" w:sz="16" w:space="0" w:color="000000"/>
            </w:tcBorders>
            <w:shd w:val="clear" w:color="auto" w:fill="FFFFFF"/>
            <w:vAlign w:val="bottom"/>
          </w:tcPr>
          <w:p w14:paraId="389A006A" w14:textId="77777777" w:rsidR="0038210E" w:rsidRPr="00CF3DDD" w:rsidRDefault="0038210E"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N of Items</w:t>
            </w:r>
          </w:p>
        </w:tc>
      </w:tr>
      <w:tr w:rsidR="0038210E" w:rsidRPr="00CF3DDD" w14:paraId="0E81DD02" w14:textId="77777777">
        <w:trPr>
          <w:cantSplit/>
        </w:trPr>
        <w:tc>
          <w:tcPr>
            <w:tcW w:w="1511" w:type="dxa"/>
            <w:tcBorders>
              <w:top w:val="single" w:sz="16" w:space="0" w:color="000000"/>
              <w:left w:val="single" w:sz="16" w:space="0" w:color="000000"/>
              <w:bottom w:val="single" w:sz="16" w:space="0" w:color="000000"/>
            </w:tcBorders>
            <w:shd w:val="clear" w:color="auto" w:fill="FFFFFF"/>
            <w:vAlign w:val="center"/>
          </w:tcPr>
          <w:p w14:paraId="5793BF96" w14:textId="77777777" w:rsidR="0038210E" w:rsidRPr="00CF3DDD" w:rsidRDefault="0038210E"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.848</w:t>
            </w:r>
          </w:p>
        </w:tc>
        <w:tc>
          <w:tcPr>
            <w:tcW w:w="1180" w:type="dxa"/>
            <w:tcBorders>
              <w:top w:val="single" w:sz="16" w:space="0" w:color="000000"/>
              <w:bottom w:val="single" w:sz="16" w:space="0" w:color="000000"/>
              <w:right w:val="single" w:sz="16" w:space="0" w:color="000000"/>
            </w:tcBorders>
            <w:shd w:val="clear" w:color="auto" w:fill="FFFFFF"/>
            <w:vAlign w:val="center"/>
          </w:tcPr>
          <w:p w14:paraId="5A29BE99" w14:textId="77777777" w:rsidR="0038210E" w:rsidRPr="00CF3DDD" w:rsidRDefault="0038210E"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w:t>
            </w:r>
          </w:p>
        </w:tc>
      </w:tr>
    </w:tbl>
    <w:p w14:paraId="27085F02" w14:textId="77777777" w:rsidR="0038210E" w:rsidRPr="00CF3DDD" w:rsidRDefault="0038210E" w:rsidP="00CF3DDD">
      <w:pPr>
        <w:autoSpaceDE w:val="0"/>
        <w:autoSpaceDN w:val="0"/>
        <w:adjustRightInd w:val="0"/>
        <w:spacing w:after="0" w:line="360" w:lineRule="auto"/>
        <w:rPr>
          <w:rFonts w:cs="Times New Roman"/>
          <w:szCs w:val="24"/>
        </w:rPr>
      </w:pPr>
    </w:p>
    <w:p w14:paraId="07319BEF" w14:textId="77777777" w:rsidR="0038210E" w:rsidRPr="00CF3DDD" w:rsidRDefault="0038210E" w:rsidP="00CF3DDD">
      <w:pPr>
        <w:autoSpaceDE w:val="0"/>
        <w:autoSpaceDN w:val="0"/>
        <w:adjustRightInd w:val="0"/>
        <w:spacing w:after="0" w:line="360" w:lineRule="auto"/>
        <w:rPr>
          <w:rFonts w:cs="Times New Roman"/>
          <w:color w:val="000000"/>
          <w:sz w:val="20"/>
          <w:szCs w:val="20"/>
        </w:rPr>
      </w:pPr>
    </w:p>
    <w:p w14:paraId="1537C8E3" w14:textId="77777777" w:rsidR="0038210E" w:rsidRPr="00CF3DDD" w:rsidRDefault="0038210E" w:rsidP="00CF3DDD">
      <w:pPr>
        <w:autoSpaceDE w:val="0"/>
        <w:autoSpaceDN w:val="0"/>
        <w:adjustRightInd w:val="0"/>
        <w:spacing w:after="0" w:line="360" w:lineRule="auto"/>
        <w:rPr>
          <w:rFonts w:cs="Times New Roman"/>
          <w:color w:val="000000"/>
          <w:sz w:val="20"/>
          <w:szCs w:val="20"/>
        </w:rPr>
      </w:pPr>
      <w:r w:rsidRPr="00CF3DDD">
        <w:rPr>
          <w:rFonts w:cs="Times New Roman"/>
          <w:color w:val="000000"/>
          <w:sz w:val="20"/>
          <w:szCs w:val="20"/>
        </w:rPr>
        <w:t>RELIABILITY</w:t>
      </w:r>
    </w:p>
    <w:p w14:paraId="182274A0" w14:textId="77777777" w:rsidR="0038210E" w:rsidRPr="00CF3DDD" w:rsidRDefault="0038210E" w:rsidP="00CF3DDD">
      <w:pPr>
        <w:autoSpaceDE w:val="0"/>
        <w:autoSpaceDN w:val="0"/>
        <w:adjustRightInd w:val="0"/>
        <w:spacing w:after="0" w:line="360" w:lineRule="auto"/>
        <w:rPr>
          <w:rFonts w:cs="Times New Roman"/>
          <w:color w:val="000000"/>
          <w:sz w:val="20"/>
          <w:szCs w:val="20"/>
        </w:rPr>
      </w:pPr>
      <w:r w:rsidRPr="00CF3DDD">
        <w:rPr>
          <w:rFonts w:cs="Times New Roman"/>
          <w:color w:val="000000"/>
          <w:sz w:val="20"/>
          <w:szCs w:val="20"/>
        </w:rPr>
        <w:t xml:space="preserve">  /VARIABLES=BT1 BT2 BT3 BT4 BT5</w:t>
      </w:r>
    </w:p>
    <w:p w14:paraId="7CE0CE86" w14:textId="77777777" w:rsidR="0038210E" w:rsidRPr="00CF3DDD" w:rsidRDefault="0038210E" w:rsidP="00CF3DDD">
      <w:pPr>
        <w:autoSpaceDE w:val="0"/>
        <w:autoSpaceDN w:val="0"/>
        <w:adjustRightInd w:val="0"/>
        <w:spacing w:after="0" w:line="360" w:lineRule="auto"/>
        <w:rPr>
          <w:rFonts w:cs="Times New Roman"/>
          <w:color w:val="000000"/>
          <w:sz w:val="20"/>
          <w:szCs w:val="20"/>
        </w:rPr>
      </w:pPr>
      <w:r w:rsidRPr="00CF3DDD">
        <w:rPr>
          <w:rFonts w:cs="Times New Roman"/>
          <w:color w:val="000000"/>
          <w:sz w:val="20"/>
          <w:szCs w:val="20"/>
        </w:rPr>
        <w:t xml:space="preserve">  /</w:t>
      </w:r>
      <w:proofErr w:type="gramStart"/>
      <w:r w:rsidRPr="00CF3DDD">
        <w:rPr>
          <w:rFonts w:cs="Times New Roman"/>
          <w:color w:val="000000"/>
          <w:sz w:val="20"/>
          <w:szCs w:val="20"/>
        </w:rPr>
        <w:t>SCALE(</w:t>
      </w:r>
      <w:proofErr w:type="gramEnd"/>
      <w:r w:rsidRPr="00CF3DDD">
        <w:rPr>
          <w:rFonts w:cs="Times New Roman"/>
          <w:color w:val="000000"/>
          <w:sz w:val="20"/>
          <w:szCs w:val="20"/>
        </w:rPr>
        <w:t>'ALL VARIABLES') ALL</w:t>
      </w:r>
    </w:p>
    <w:p w14:paraId="575FF7EB" w14:textId="77777777" w:rsidR="0038210E" w:rsidRPr="00CF3DDD" w:rsidRDefault="0038210E" w:rsidP="00CF3DDD">
      <w:pPr>
        <w:autoSpaceDE w:val="0"/>
        <w:autoSpaceDN w:val="0"/>
        <w:adjustRightInd w:val="0"/>
        <w:spacing w:after="0" w:line="360" w:lineRule="auto"/>
        <w:rPr>
          <w:rFonts w:cs="Times New Roman"/>
          <w:color w:val="000000"/>
          <w:sz w:val="20"/>
          <w:szCs w:val="20"/>
        </w:rPr>
      </w:pPr>
      <w:r w:rsidRPr="00CF3DDD">
        <w:rPr>
          <w:rFonts w:cs="Times New Roman"/>
          <w:color w:val="000000"/>
          <w:sz w:val="20"/>
          <w:szCs w:val="20"/>
        </w:rPr>
        <w:lastRenderedPageBreak/>
        <w:t xml:space="preserve">  /MODEL=ALPHA.</w:t>
      </w:r>
    </w:p>
    <w:p w14:paraId="17B6DB59" w14:textId="77777777" w:rsidR="006A1B23" w:rsidRPr="00CF3DDD" w:rsidRDefault="0038210E" w:rsidP="00CF3DDD">
      <w:pPr>
        <w:autoSpaceDE w:val="0"/>
        <w:autoSpaceDN w:val="0"/>
        <w:adjustRightInd w:val="0"/>
        <w:spacing w:after="0" w:line="360" w:lineRule="auto"/>
        <w:rPr>
          <w:rFonts w:cs="Times New Roman"/>
          <w:szCs w:val="24"/>
        </w:rPr>
      </w:pPr>
      <w:bookmarkStart w:id="87" w:name="_Hlk207571845"/>
      <w:r w:rsidRPr="00CF3DDD">
        <w:rPr>
          <w:rFonts w:cs="Times New Roman"/>
          <w:szCs w:val="24"/>
        </w:rPr>
        <w:t xml:space="preserve">The reliability of the item scales of the </w:t>
      </w:r>
      <w:r w:rsidR="006A1B23" w:rsidRPr="00CF3DDD">
        <w:rPr>
          <w:rFonts w:cs="Times New Roman"/>
          <w:szCs w:val="24"/>
        </w:rPr>
        <w:t>Mediating</w:t>
      </w:r>
      <w:r w:rsidRPr="00CF3DDD">
        <w:rPr>
          <w:rFonts w:cs="Times New Roman"/>
          <w:szCs w:val="24"/>
        </w:rPr>
        <w:t xml:space="preserve"> variable, Brand </w:t>
      </w:r>
      <w:r w:rsidR="006A1B23" w:rsidRPr="00CF3DDD">
        <w:rPr>
          <w:rFonts w:cs="Times New Roman"/>
          <w:szCs w:val="24"/>
        </w:rPr>
        <w:t>Trust</w:t>
      </w:r>
      <w:r w:rsidRPr="00CF3DDD">
        <w:rPr>
          <w:rFonts w:cs="Times New Roman"/>
          <w:szCs w:val="24"/>
        </w:rPr>
        <w:t>, is 8.48 ≥ 0.70, which is good.</w:t>
      </w:r>
      <w:bookmarkEnd w:id="87"/>
    </w:p>
    <w:tbl>
      <w:tblPr>
        <w:tblW w:w="26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6A1B23" w:rsidRPr="00CF3DDD" w14:paraId="56F84F2F" w14:textId="77777777">
        <w:trPr>
          <w:cantSplit/>
        </w:trPr>
        <w:tc>
          <w:tcPr>
            <w:tcW w:w="2691" w:type="dxa"/>
            <w:gridSpan w:val="2"/>
            <w:tcBorders>
              <w:top w:val="nil"/>
              <w:left w:val="nil"/>
              <w:bottom w:val="nil"/>
              <w:right w:val="nil"/>
            </w:tcBorders>
            <w:shd w:val="clear" w:color="auto" w:fill="FFFFFF"/>
            <w:vAlign w:val="center"/>
          </w:tcPr>
          <w:p w14:paraId="5D09AB2A" w14:textId="77777777" w:rsidR="006A1B23" w:rsidRPr="00CF3DDD" w:rsidRDefault="006A1B2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b/>
                <w:bCs/>
                <w:color w:val="000000"/>
                <w:sz w:val="18"/>
                <w:szCs w:val="18"/>
              </w:rPr>
              <w:t>Reliability Statistics</w:t>
            </w:r>
          </w:p>
        </w:tc>
      </w:tr>
      <w:tr w:rsidR="006A1B23" w:rsidRPr="00CF3DDD" w14:paraId="32F37619" w14:textId="77777777">
        <w:trPr>
          <w:cantSplit/>
        </w:trPr>
        <w:tc>
          <w:tcPr>
            <w:tcW w:w="1511" w:type="dxa"/>
            <w:tcBorders>
              <w:top w:val="single" w:sz="16" w:space="0" w:color="000000"/>
              <w:left w:val="single" w:sz="16" w:space="0" w:color="000000"/>
              <w:bottom w:val="single" w:sz="16" w:space="0" w:color="000000"/>
            </w:tcBorders>
            <w:shd w:val="clear" w:color="auto" w:fill="FFFFFF"/>
            <w:vAlign w:val="bottom"/>
          </w:tcPr>
          <w:p w14:paraId="0F02B19E" w14:textId="77777777" w:rsidR="006A1B23" w:rsidRPr="00CF3DDD" w:rsidRDefault="006A1B2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Cronbach's Alpha</w:t>
            </w:r>
          </w:p>
        </w:tc>
        <w:tc>
          <w:tcPr>
            <w:tcW w:w="1180" w:type="dxa"/>
            <w:tcBorders>
              <w:top w:val="single" w:sz="16" w:space="0" w:color="000000"/>
              <w:bottom w:val="single" w:sz="16" w:space="0" w:color="000000"/>
              <w:right w:val="single" w:sz="16" w:space="0" w:color="000000"/>
            </w:tcBorders>
            <w:shd w:val="clear" w:color="auto" w:fill="FFFFFF"/>
            <w:vAlign w:val="bottom"/>
          </w:tcPr>
          <w:p w14:paraId="7564B151" w14:textId="77777777" w:rsidR="006A1B23" w:rsidRPr="00CF3DDD" w:rsidRDefault="006A1B2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N of Items</w:t>
            </w:r>
          </w:p>
        </w:tc>
      </w:tr>
      <w:tr w:rsidR="006A1B23" w:rsidRPr="00CF3DDD" w14:paraId="5662158C" w14:textId="77777777">
        <w:trPr>
          <w:cantSplit/>
        </w:trPr>
        <w:tc>
          <w:tcPr>
            <w:tcW w:w="1511" w:type="dxa"/>
            <w:tcBorders>
              <w:top w:val="single" w:sz="16" w:space="0" w:color="000000"/>
              <w:left w:val="single" w:sz="16" w:space="0" w:color="000000"/>
              <w:bottom w:val="single" w:sz="16" w:space="0" w:color="000000"/>
            </w:tcBorders>
            <w:shd w:val="clear" w:color="auto" w:fill="FFFFFF"/>
            <w:vAlign w:val="center"/>
          </w:tcPr>
          <w:p w14:paraId="410678B8" w14:textId="77777777" w:rsidR="006A1B23" w:rsidRPr="00CF3DDD" w:rsidRDefault="006A1B2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.862</w:t>
            </w:r>
          </w:p>
        </w:tc>
        <w:tc>
          <w:tcPr>
            <w:tcW w:w="1180" w:type="dxa"/>
            <w:tcBorders>
              <w:top w:val="single" w:sz="16" w:space="0" w:color="000000"/>
              <w:bottom w:val="single" w:sz="16" w:space="0" w:color="000000"/>
              <w:right w:val="single" w:sz="16" w:space="0" w:color="000000"/>
            </w:tcBorders>
            <w:shd w:val="clear" w:color="auto" w:fill="FFFFFF"/>
            <w:vAlign w:val="center"/>
          </w:tcPr>
          <w:p w14:paraId="30520A4E" w14:textId="77777777" w:rsidR="006A1B23" w:rsidRPr="00CF3DDD" w:rsidRDefault="006A1B2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w:t>
            </w:r>
          </w:p>
        </w:tc>
      </w:tr>
    </w:tbl>
    <w:p w14:paraId="0BE17314" w14:textId="77777777" w:rsidR="006A1B23" w:rsidRPr="00CF3DDD" w:rsidRDefault="006A1B23" w:rsidP="00CF3DDD">
      <w:pPr>
        <w:autoSpaceDE w:val="0"/>
        <w:autoSpaceDN w:val="0"/>
        <w:adjustRightInd w:val="0"/>
        <w:spacing w:after="0" w:line="360" w:lineRule="auto"/>
        <w:rPr>
          <w:rFonts w:cs="Times New Roman"/>
          <w:color w:val="000000"/>
          <w:sz w:val="20"/>
          <w:szCs w:val="20"/>
        </w:rPr>
      </w:pPr>
    </w:p>
    <w:p w14:paraId="63088A39" w14:textId="77777777" w:rsidR="006A1B23" w:rsidRPr="00CF3DDD" w:rsidRDefault="006A1B23" w:rsidP="00CF3DDD">
      <w:pPr>
        <w:autoSpaceDE w:val="0"/>
        <w:autoSpaceDN w:val="0"/>
        <w:adjustRightInd w:val="0"/>
        <w:spacing w:after="0" w:line="360" w:lineRule="auto"/>
        <w:rPr>
          <w:rFonts w:cs="Times New Roman"/>
          <w:color w:val="000000"/>
          <w:sz w:val="20"/>
          <w:szCs w:val="20"/>
        </w:rPr>
      </w:pPr>
      <w:r w:rsidRPr="00CF3DDD">
        <w:rPr>
          <w:rFonts w:cs="Times New Roman"/>
          <w:color w:val="000000"/>
          <w:sz w:val="20"/>
          <w:szCs w:val="20"/>
        </w:rPr>
        <w:t>RELIABILITY</w:t>
      </w:r>
    </w:p>
    <w:p w14:paraId="59ABA33E" w14:textId="77777777" w:rsidR="006A1B23" w:rsidRPr="00CF3DDD" w:rsidRDefault="006A1B23" w:rsidP="00CF3DDD">
      <w:pPr>
        <w:autoSpaceDE w:val="0"/>
        <w:autoSpaceDN w:val="0"/>
        <w:adjustRightInd w:val="0"/>
        <w:spacing w:after="0" w:line="360" w:lineRule="auto"/>
        <w:rPr>
          <w:rFonts w:cs="Times New Roman"/>
          <w:color w:val="000000"/>
          <w:sz w:val="20"/>
          <w:szCs w:val="20"/>
        </w:rPr>
      </w:pPr>
      <w:r w:rsidRPr="00CF3DDD">
        <w:rPr>
          <w:rFonts w:cs="Times New Roman"/>
          <w:color w:val="000000"/>
          <w:sz w:val="20"/>
          <w:szCs w:val="20"/>
        </w:rPr>
        <w:t xml:space="preserve">  /VARIABLES=BL1 BL2 BL3 BL4 BL5</w:t>
      </w:r>
    </w:p>
    <w:p w14:paraId="28A26900" w14:textId="77777777" w:rsidR="006A1B23" w:rsidRPr="00CF3DDD" w:rsidRDefault="006A1B23" w:rsidP="00CF3DDD">
      <w:pPr>
        <w:autoSpaceDE w:val="0"/>
        <w:autoSpaceDN w:val="0"/>
        <w:adjustRightInd w:val="0"/>
        <w:spacing w:after="0" w:line="360" w:lineRule="auto"/>
        <w:rPr>
          <w:rFonts w:cs="Times New Roman"/>
          <w:color w:val="000000"/>
          <w:sz w:val="20"/>
          <w:szCs w:val="20"/>
        </w:rPr>
      </w:pPr>
      <w:r w:rsidRPr="00CF3DDD">
        <w:rPr>
          <w:rFonts w:cs="Times New Roman"/>
          <w:color w:val="000000"/>
          <w:sz w:val="20"/>
          <w:szCs w:val="20"/>
        </w:rPr>
        <w:t xml:space="preserve">  /</w:t>
      </w:r>
      <w:proofErr w:type="gramStart"/>
      <w:r w:rsidRPr="00CF3DDD">
        <w:rPr>
          <w:rFonts w:cs="Times New Roman"/>
          <w:color w:val="000000"/>
          <w:sz w:val="20"/>
          <w:szCs w:val="20"/>
        </w:rPr>
        <w:t>SCALE(</w:t>
      </w:r>
      <w:proofErr w:type="gramEnd"/>
      <w:r w:rsidRPr="00CF3DDD">
        <w:rPr>
          <w:rFonts w:cs="Times New Roman"/>
          <w:color w:val="000000"/>
          <w:sz w:val="20"/>
          <w:szCs w:val="20"/>
        </w:rPr>
        <w:t>'ALL VARIABLES') ALL</w:t>
      </w:r>
    </w:p>
    <w:p w14:paraId="79A2F8EB" w14:textId="77777777" w:rsidR="006A1B23" w:rsidRPr="00CF3DDD" w:rsidRDefault="006A1B23" w:rsidP="00CF3DDD">
      <w:pPr>
        <w:autoSpaceDE w:val="0"/>
        <w:autoSpaceDN w:val="0"/>
        <w:adjustRightInd w:val="0"/>
        <w:spacing w:after="0" w:line="360" w:lineRule="auto"/>
        <w:rPr>
          <w:rFonts w:cs="Times New Roman"/>
          <w:color w:val="000000"/>
          <w:sz w:val="20"/>
          <w:szCs w:val="20"/>
        </w:rPr>
      </w:pPr>
      <w:r w:rsidRPr="00CF3DDD">
        <w:rPr>
          <w:rFonts w:cs="Times New Roman"/>
          <w:color w:val="000000"/>
          <w:sz w:val="20"/>
          <w:szCs w:val="20"/>
        </w:rPr>
        <w:t xml:space="preserve">  /MODEL=ALPHA.</w:t>
      </w:r>
    </w:p>
    <w:p w14:paraId="7C3439FE" w14:textId="77777777" w:rsidR="006A1B23" w:rsidRPr="00CF3DDD" w:rsidRDefault="006A1B23" w:rsidP="00CF3DDD">
      <w:pPr>
        <w:autoSpaceDE w:val="0"/>
        <w:autoSpaceDN w:val="0"/>
        <w:adjustRightInd w:val="0"/>
        <w:spacing w:after="0" w:line="360" w:lineRule="auto"/>
        <w:rPr>
          <w:rFonts w:cs="Times New Roman"/>
          <w:szCs w:val="24"/>
        </w:rPr>
      </w:pPr>
      <w:bookmarkStart w:id="88" w:name="_Hlk207571949"/>
      <w:r w:rsidRPr="00CF3DDD">
        <w:rPr>
          <w:rFonts w:cs="Times New Roman"/>
          <w:szCs w:val="24"/>
        </w:rPr>
        <w:t>The reliability of the item scales of the Mediating variable, Brand Love, is 8.62 ≥ 0.70, which is good.</w:t>
      </w:r>
      <w:bookmarkEnd w:id="88"/>
    </w:p>
    <w:tbl>
      <w:tblPr>
        <w:tblW w:w="26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6A1B23" w:rsidRPr="00CF3DDD" w14:paraId="281F4DBA" w14:textId="77777777">
        <w:trPr>
          <w:cantSplit/>
        </w:trPr>
        <w:tc>
          <w:tcPr>
            <w:tcW w:w="2691" w:type="dxa"/>
            <w:gridSpan w:val="2"/>
            <w:tcBorders>
              <w:top w:val="nil"/>
              <w:left w:val="nil"/>
              <w:bottom w:val="nil"/>
              <w:right w:val="nil"/>
            </w:tcBorders>
            <w:shd w:val="clear" w:color="auto" w:fill="FFFFFF"/>
            <w:vAlign w:val="center"/>
          </w:tcPr>
          <w:p w14:paraId="7AA1B164" w14:textId="77777777" w:rsidR="006A1B23" w:rsidRPr="00CF3DDD" w:rsidRDefault="006A1B2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b/>
                <w:bCs/>
                <w:color w:val="000000"/>
                <w:sz w:val="18"/>
                <w:szCs w:val="18"/>
              </w:rPr>
              <w:t>Reliability Statistics</w:t>
            </w:r>
          </w:p>
        </w:tc>
      </w:tr>
      <w:tr w:rsidR="006A1B23" w:rsidRPr="00CF3DDD" w14:paraId="324BE081" w14:textId="77777777">
        <w:trPr>
          <w:cantSplit/>
        </w:trPr>
        <w:tc>
          <w:tcPr>
            <w:tcW w:w="1511" w:type="dxa"/>
            <w:tcBorders>
              <w:top w:val="single" w:sz="16" w:space="0" w:color="000000"/>
              <w:left w:val="single" w:sz="16" w:space="0" w:color="000000"/>
              <w:bottom w:val="single" w:sz="16" w:space="0" w:color="000000"/>
            </w:tcBorders>
            <w:shd w:val="clear" w:color="auto" w:fill="FFFFFF"/>
            <w:vAlign w:val="bottom"/>
          </w:tcPr>
          <w:p w14:paraId="53F5B0E9" w14:textId="77777777" w:rsidR="006A1B23" w:rsidRPr="00CF3DDD" w:rsidRDefault="006A1B2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Cronbach's Alpha</w:t>
            </w:r>
          </w:p>
        </w:tc>
        <w:tc>
          <w:tcPr>
            <w:tcW w:w="1180" w:type="dxa"/>
            <w:tcBorders>
              <w:top w:val="single" w:sz="16" w:space="0" w:color="000000"/>
              <w:bottom w:val="single" w:sz="16" w:space="0" w:color="000000"/>
              <w:right w:val="single" w:sz="16" w:space="0" w:color="000000"/>
            </w:tcBorders>
            <w:shd w:val="clear" w:color="auto" w:fill="FFFFFF"/>
            <w:vAlign w:val="bottom"/>
          </w:tcPr>
          <w:p w14:paraId="1390BA68" w14:textId="77777777" w:rsidR="006A1B23" w:rsidRPr="00CF3DDD" w:rsidRDefault="006A1B2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N of Items</w:t>
            </w:r>
          </w:p>
        </w:tc>
      </w:tr>
      <w:tr w:rsidR="006A1B23" w:rsidRPr="00CF3DDD" w14:paraId="4B380215" w14:textId="77777777">
        <w:trPr>
          <w:cantSplit/>
        </w:trPr>
        <w:tc>
          <w:tcPr>
            <w:tcW w:w="1511" w:type="dxa"/>
            <w:tcBorders>
              <w:top w:val="single" w:sz="16" w:space="0" w:color="000000"/>
              <w:left w:val="single" w:sz="16" w:space="0" w:color="000000"/>
              <w:bottom w:val="single" w:sz="16" w:space="0" w:color="000000"/>
            </w:tcBorders>
            <w:shd w:val="clear" w:color="auto" w:fill="FFFFFF"/>
            <w:vAlign w:val="center"/>
          </w:tcPr>
          <w:p w14:paraId="23F07B99" w14:textId="77777777" w:rsidR="006A1B23" w:rsidRPr="00CF3DDD" w:rsidRDefault="006A1B2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.837</w:t>
            </w:r>
          </w:p>
        </w:tc>
        <w:tc>
          <w:tcPr>
            <w:tcW w:w="1180" w:type="dxa"/>
            <w:tcBorders>
              <w:top w:val="single" w:sz="16" w:space="0" w:color="000000"/>
              <w:bottom w:val="single" w:sz="16" w:space="0" w:color="000000"/>
              <w:right w:val="single" w:sz="16" w:space="0" w:color="000000"/>
            </w:tcBorders>
            <w:shd w:val="clear" w:color="auto" w:fill="FFFFFF"/>
            <w:vAlign w:val="center"/>
          </w:tcPr>
          <w:p w14:paraId="5BC2620A" w14:textId="77777777" w:rsidR="006A1B23" w:rsidRPr="00CF3DDD" w:rsidRDefault="006A1B2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w:t>
            </w:r>
          </w:p>
        </w:tc>
      </w:tr>
    </w:tbl>
    <w:p w14:paraId="3EB4C169" w14:textId="77777777" w:rsidR="006A1B23" w:rsidRPr="00CF3DDD" w:rsidRDefault="006A1B23" w:rsidP="00CF3DDD">
      <w:pPr>
        <w:autoSpaceDE w:val="0"/>
        <w:autoSpaceDN w:val="0"/>
        <w:adjustRightInd w:val="0"/>
        <w:spacing w:after="0" w:line="360" w:lineRule="auto"/>
        <w:rPr>
          <w:rFonts w:cs="Times New Roman"/>
          <w:color w:val="000000"/>
          <w:sz w:val="20"/>
          <w:szCs w:val="20"/>
        </w:rPr>
      </w:pPr>
    </w:p>
    <w:p w14:paraId="376CB48F" w14:textId="77777777" w:rsidR="006A1B23" w:rsidRPr="00CF3DDD" w:rsidRDefault="006A1B23" w:rsidP="00CF3DDD">
      <w:pPr>
        <w:autoSpaceDE w:val="0"/>
        <w:autoSpaceDN w:val="0"/>
        <w:adjustRightInd w:val="0"/>
        <w:spacing w:after="0" w:line="360" w:lineRule="auto"/>
        <w:rPr>
          <w:rFonts w:cs="Times New Roman"/>
          <w:color w:val="000000"/>
          <w:sz w:val="20"/>
          <w:szCs w:val="20"/>
        </w:rPr>
      </w:pPr>
      <w:r w:rsidRPr="00CF3DDD">
        <w:rPr>
          <w:rFonts w:cs="Times New Roman"/>
          <w:color w:val="000000"/>
          <w:sz w:val="20"/>
          <w:szCs w:val="20"/>
        </w:rPr>
        <w:t>RELIABILITY</w:t>
      </w:r>
    </w:p>
    <w:p w14:paraId="60579C80" w14:textId="77777777" w:rsidR="006A1B23" w:rsidRPr="00CF3DDD" w:rsidRDefault="006A1B23" w:rsidP="00CF3DDD">
      <w:pPr>
        <w:autoSpaceDE w:val="0"/>
        <w:autoSpaceDN w:val="0"/>
        <w:adjustRightInd w:val="0"/>
        <w:spacing w:after="0" w:line="360" w:lineRule="auto"/>
        <w:rPr>
          <w:rFonts w:cs="Times New Roman"/>
          <w:color w:val="000000"/>
          <w:sz w:val="20"/>
          <w:szCs w:val="20"/>
        </w:rPr>
      </w:pPr>
      <w:r w:rsidRPr="00CF3DDD">
        <w:rPr>
          <w:rFonts w:cs="Times New Roman"/>
          <w:color w:val="000000"/>
          <w:sz w:val="20"/>
          <w:szCs w:val="20"/>
        </w:rPr>
        <w:t xml:space="preserve">  /VARIABLES=BLT1 BLT2 BLT3 BLT4 BLT5</w:t>
      </w:r>
    </w:p>
    <w:p w14:paraId="1C1BD071" w14:textId="77777777" w:rsidR="006A1B23" w:rsidRPr="00CF3DDD" w:rsidRDefault="006A1B23" w:rsidP="00CF3DDD">
      <w:pPr>
        <w:autoSpaceDE w:val="0"/>
        <w:autoSpaceDN w:val="0"/>
        <w:adjustRightInd w:val="0"/>
        <w:spacing w:after="0" w:line="360" w:lineRule="auto"/>
        <w:rPr>
          <w:rFonts w:cs="Times New Roman"/>
          <w:color w:val="000000"/>
          <w:sz w:val="20"/>
          <w:szCs w:val="20"/>
        </w:rPr>
      </w:pPr>
      <w:r w:rsidRPr="00CF3DDD">
        <w:rPr>
          <w:rFonts w:cs="Times New Roman"/>
          <w:color w:val="000000"/>
          <w:sz w:val="20"/>
          <w:szCs w:val="20"/>
        </w:rPr>
        <w:t xml:space="preserve">  /</w:t>
      </w:r>
      <w:proofErr w:type="gramStart"/>
      <w:r w:rsidRPr="00CF3DDD">
        <w:rPr>
          <w:rFonts w:cs="Times New Roman"/>
          <w:color w:val="000000"/>
          <w:sz w:val="20"/>
          <w:szCs w:val="20"/>
        </w:rPr>
        <w:t>SCALE(</w:t>
      </w:r>
      <w:proofErr w:type="gramEnd"/>
      <w:r w:rsidRPr="00CF3DDD">
        <w:rPr>
          <w:rFonts w:cs="Times New Roman"/>
          <w:color w:val="000000"/>
          <w:sz w:val="20"/>
          <w:szCs w:val="20"/>
        </w:rPr>
        <w:t>'ALL VARIABLES') ALL</w:t>
      </w:r>
    </w:p>
    <w:p w14:paraId="72182EC7" w14:textId="77777777" w:rsidR="006A1B23" w:rsidRPr="00CF3DDD" w:rsidRDefault="006A1B23" w:rsidP="00CF3DDD">
      <w:pPr>
        <w:autoSpaceDE w:val="0"/>
        <w:autoSpaceDN w:val="0"/>
        <w:adjustRightInd w:val="0"/>
        <w:spacing w:after="0" w:line="360" w:lineRule="auto"/>
        <w:rPr>
          <w:rFonts w:cs="Times New Roman"/>
          <w:color w:val="000000"/>
          <w:sz w:val="20"/>
          <w:szCs w:val="20"/>
        </w:rPr>
      </w:pPr>
      <w:r w:rsidRPr="00CF3DDD">
        <w:rPr>
          <w:rFonts w:cs="Times New Roman"/>
          <w:color w:val="000000"/>
          <w:sz w:val="20"/>
          <w:szCs w:val="20"/>
        </w:rPr>
        <w:t xml:space="preserve">  /MODEL=ALPHA.</w:t>
      </w:r>
    </w:p>
    <w:p w14:paraId="24C77D2F" w14:textId="77777777" w:rsidR="004E76D6" w:rsidRPr="00CF3DDD" w:rsidRDefault="006A1B23" w:rsidP="00CF3DDD">
      <w:pPr>
        <w:autoSpaceDE w:val="0"/>
        <w:autoSpaceDN w:val="0"/>
        <w:adjustRightInd w:val="0"/>
        <w:spacing w:after="0" w:line="360" w:lineRule="auto"/>
        <w:rPr>
          <w:rFonts w:cs="Times New Roman"/>
          <w:szCs w:val="24"/>
        </w:rPr>
      </w:pPr>
      <w:r w:rsidRPr="00CF3DDD">
        <w:rPr>
          <w:rFonts w:cs="Times New Roman"/>
          <w:szCs w:val="24"/>
        </w:rPr>
        <w:t>The reliability of the item scales of the</w:t>
      </w:r>
      <w:r w:rsidR="00D44901" w:rsidRPr="00CF3DDD">
        <w:rPr>
          <w:rFonts w:cs="Times New Roman"/>
          <w:szCs w:val="24"/>
        </w:rPr>
        <w:t xml:space="preserve"> Dependent</w:t>
      </w:r>
      <w:r w:rsidRPr="00CF3DDD">
        <w:rPr>
          <w:rFonts w:cs="Times New Roman"/>
          <w:szCs w:val="24"/>
        </w:rPr>
        <w:t xml:space="preserve"> variable, Brand L</w:t>
      </w:r>
      <w:r w:rsidR="00D44901" w:rsidRPr="00CF3DDD">
        <w:rPr>
          <w:rFonts w:cs="Times New Roman"/>
          <w:szCs w:val="24"/>
        </w:rPr>
        <w:t>oyalty</w:t>
      </w:r>
      <w:r w:rsidRPr="00CF3DDD">
        <w:rPr>
          <w:rFonts w:cs="Times New Roman"/>
          <w:szCs w:val="24"/>
        </w:rPr>
        <w:t>, is 8.</w:t>
      </w:r>
      <w:r w:rsidR="00D44901" w:rsidRPr="00CF3DDD">
        <w:rPr>
          <w:rFonts w:cs="Times New Roman"/>
          <w:szCs w:val="24"/>
        </w:rPr>
        <w:t>37</w:t>
      </w:r>
      <w:r w:rsidRPr="00CF3DDD">
        <w:rPr>
          <w:rFonts w:cs="Times New Roman"/>
          <w:szCs w:val="24"/>
        </w:rPr>
        <w:t xml:space="preserve"> ≥ 0.70, which is good</w:t>
      </w:r>
      <w:r w:rsidR="004E76D6" w:rsidRPr="00CF3DDD">
        <w:rPr>
          <w:rFonts w:cs="Times New Roman"/>
          <w:szCs w:val="24"/>
        </w:rPr>
        <w:t>.</w:t>
      </w:r>
    </w:p>
    <w:p w14:paraId="141A3557" w14:textId="77777777" w:rsidR="007A6951" w:rsidRPr="00CF3DDD" w:rsidRDefault="00DB532D" w:rsidP="00CF3DDD">
      <w:pPr>
        <w:pStyle w:val="Heading3"/>
        <w:spacing w:line="360" w:lineRule="auto"/>
      </w:pPr>
      <w:bookmarkStart w:id="89" w:name="_Toc209310638"/>
      <w:r w:rsidRPr="00CF3DDD">
        <w:t xml:space="preserve">4.6.2 </w:t>
      </w:r>
      <w:r w:rsidR="007A6951" w:rsidRPr="00CF3DDD">
        <w:t>Interpretation of the Reliability Analysis results</w:t>
      </w:r>
      <w:bookmarkEnd w:id="89"/>
    </w:p>
    <w:p w14:paraId="4C7D0619" w14:textId="77777777" w:rsidR="007A6951" w:rsidRPr="00CF3DDD" w:rsidRDefault="007A6951" w:rsidP="00CF3DDD">
      <w:pPr>
        <w:autoSpaceDE w:val="0"/>
        <w:autoSpaceDN w:val="0"/>
        <w:adjustRightInd w:val="0"/>
        <w:spacing w:after="0" w:line="360" w:lineRule="auto"/>
        <w:rPr>
          <w:rFonts w:cs="Times New Roman"/>
          <w:szCs w:val="24"/>
        </w:rPr>
      </w:pPr>
      <w:r w:rsidRPr="00CF3DDD">
        <w:rPr>
          <w:rFonts w:cs="Times New Roman"/>
          <w:szCs w:val="24"/>
        </w:rPr>
        <w:t xml:space="preserve">he results of the reliability analysis indicate that all constructs used in the study demonstrate strong internal consistency. The independent variable, Brand Equity, recorded a Cronbach’s Alpha of 0.853, which exceeds the minimum acceptable threshold of 0.70, signifying good reliability. Similarly, the mediating variables showed high reliability, with Brand Trust scoring 0.848 and Brand Love scoring 0.862, both reflecting strong consistency among scale items. Lastly, the dependent variable, Brand Loyalty, achieved a Cronbach’s Alpha of 0.837, further confirming that the items collectively measure the construct reliably. Overall, these results provide assurance that </w:t>
      </w:r>
      <w:r w:rsidRPr="00CF3DDD">
        <w:rPr>
          <w:rFonts w:cs="Times New Roman"/>
          <w:szCs w:val="24"/>
        </w:rPr>
        <w:lastRenderedPageBreak/>
        <w:t>the measurement instruments are both stable and consistent, thereby enhancing the credibility of subsequent analyses.</w:t>
      </w:r>
    </w:p>
    <w:p w14:paraId="735FCF76" w14:textId="77777777" w:rsidR="00D44901" w:rsidRPr="00CF3DDD" w:rsidRDefault="00472C7A" w:rsidP="00CF3DDD">
      <w:pPr>
        <w:pStyle w:val="Heading2"/>
        <w:spacing w:line="360" w:lineRule="auto"/>
      </w:pPr>
      <w:bookmarkStart w:id="90" w:name="_Toc209310639"/>
      <w:r w:rsidRPr="00CF3DDD">
        <w:t>4.</w:t>
      </w:r>
      <w:r w:rsidR="00DB532D" w:rsidRPr="00CF3DDD">
        <w:t>7</w:t>
      </w:r>
      <w:r w:rsidRPr="00CF3DDD">
        <w:t xml:space="preserve"> </w:t>
      </w:r>
      <w:r w:rsidR="00D44901" w:rsidRPr="00CF3DDD">
        <w:t>Descriptive Statistics</w:t>
      </w:r>
      <w:bookmarkEnd w:id="90"/>
    </w:p>
    <w:p w14:paraId="3DA6CEAA" w14:textId="77777777" w:rsidR="00AD3047" w:rsidRPr="00CF3DDD" w:rsidRDefault="00AD3047" w:rsidP="00CF3DDD">
      <w:pPr>
        <w:pStyle w:val="Heading2"/>
        <w:spacing w:line="360" w:lineRule="auto"/>
        <w:rPr>
          <w:rFonts w:eastAsiaTheme="minorHAnsi"/>
          <w:b w:val="0"/>
          <w:bCs w:val="0"/>
          <w:sz w:val="24"/>
          <w:szCs w:val="24"/>
        </w:rPr>
      </w:pPr>
      <w:bookmarkStart w:id="91" w:name="_Toc209193071"/>
      <w:bookmarkStart w:id="92" w:name="_Toc209310640"/>
      <w:r w:rsidRPr="00CF3DDD">
        <w:rPr>
          <w:rFonts w:eastAsiaTheme="minorHAnsi"/>
          <w:b w:val="0"/>
          <w:bCs w:val="0"/>
          <w:sz w:val="24"/>
          <w:szCs w:val="24"/>
        </w:rPr>
        <w:t>Descriptive statistics were applied to summarize and present the main characteristics of the collected data. Measures such as frequencies, percentages, means, and standard deviations were used to provide a clear overview of respondents’ demographic profiles and key study variables. This analysis offered a concise picture of the dataset, making it easier to interpret patterns and trends before moving to advanced statistical tests.</w:t>
      </w:r>
      <w:bookmarkEnd w:id="91"/>
      <w:bookmarkEnd w:id="92"/>
    </w:p>
    <w:tbl>
      <w:tblPr>
        <w:tblW w:w="51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97"/>
        <w:gridCol w:w="1025"/>
        <w:gridCol w:w="1025"/>
        <w:gridCol w:w="1438"/>
      </w:tblGrid>
      <w:tr w:rsidR="00D44901" w:rsidRPr="00CF3DDD" w14:paraId="66F43553" w14:textId="77777777">
        <w:trPr>
          <w:cantSplit/>
        </w:trPr>
        <w:tc>
          <w:tcPr>
            <w:tcW w:w="5182" w:type="dxa"/>
            <w:gridSpan w:val="4"/>
            <w:tcBorders>
              <w:top w:val="nil"/>
              <w:left w:val="nil"/>
              <w:bottom w:val="nil"/>
              <w:right w:val="nil"/>
            </w:tcBorders>
            <w:shd w:val="clear" w:color="auto" w:fill="FFFFFF"/>
            <w:vAlign w:val="center"/>
          </w:tcPr>
          <w:p w14:paraId="43531FB5" w14:textId="77777777" w:rsidR="00D44901" w:rsidRPr="00CF3DDD" w:rsidRDefault="00D44901"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b/>
                <w:bCs/>
                <w:color w:val="000000"/>
                <w:sz w:val="18"/>
                <w:szCs w:val="18"/>
              </w:rPr>
              <w:t>Descriptive Statistics</w:t>
            </w:r>
          </w:p>
        </w:tc>
      </w:tr>
      <w:tr w:rsidR="00D44901" w:rsidRPr="00CF3DDD" w14:paraId="628853F2" w14:textId="77777777">
        <w:trPr>
          <w:cantSplit/>
        </w:trPr>
        <w:tc>
          <w:tcPr>
            <w:tcW w:w="1697"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41AE916F" w14:textId="77777777" w:rsidR="00D44901" w:rsidRPr="00CF3DDD" w:rsidRDefault="00D44901" w:rsidP="00CF3DDD">
            <w:pPr>
              <w:autoSpaceDE w:val="0"/>
              <w:autoSpaceDN w:val="0"/>
              <w:adjustRightInd w:val="0"/>
              <w:spacing w:after="0" w:line="360" w:lineRule="auto"/>
              <w:rPr>
                <w:rFonts w:cs="Times New Roman"/>
                <w:szCs w:val="24"/>
              </w:rPr>
            </w:pPr>
          </w:p>
        </w:tc>
        <w:tc>
          <w:tcPr>
            <w:tcW w:w="1024" w:type="dxa"/>
            <w:tcBorders>
              <w:top w:val="single" w:sz="16" w:space="0" w:color="000000"/>
              <w:left w:val="single" w:sz="16" w:space="0" w:color="000000"/>
              <w:bottom w:val="single" w:sz="16" w:space="0" w:color="000000"/>
            </w:tcBorders>
            <w:shd w:val="clear" w:color="auto" w:fill="FFFFFF"/>
            <w:vAlign w:val="bottom"/>
          </w:tcPr>
          <w:p w14:paraId="610E38D2" w14:textId="77777777" w:rsidR="00D44901" w:rsidRPr="00CF3DDD" w:rsidRDefault="00D44901"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N</w:t>
            </w:r>
          </w:p>
        </w:tc>
        <w:tc>
          <w:tcPr>
            <w:tcW w:w="1024" w:type="dxa"/>
            <w:tcBorders>
              <w:top w:val="single" w:sz="16" w:space="0" w:color="000000"/>
              <w:bottom w:val="single" w:sz="16" w:space="0" w:color="000000"/>
            </w:tcBorders>
            <w:shd w:val="clear" w:color="auto" w:fill="FFFFFF"/>
            <w:vAlign w:val="bottom"/>
          </w:tcPr>
          <w:p w14:paraId="79A6C6E6" w14:textId="77777777" w:rsidR="00D44901" w:rsidRPr="00CF3DDD" w:rsidRDefault="00D44901"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Mean</w:t>
            </w:r>
          </w:p>
        </w:tc>
        <w:tc>
          <w:tcPr>
            <w:tcW w:w="1437" w:type="dxa"/>
            <w:tcBorders>
              <w:top w:val="single" w:sz="16" w:space="0" w:color="000000"/>
              <w:bottom w:val="single" w:sz="16" w:space="0" w:color="000000"/>
              <w:right w:val="single" w:sz="16" w:space="0" w:color="000000"/>
            </w:tcBorders>
            <w:shd w:val="clear" w:color="auto" w:fill="FFFFFF"/>
            <w:vAlign w:val="bottom"/>
          </w:tcPr>
          <w:p w14:paraId="0E295401" w14:textId="77777777" w:rsidR="00D44901" w:rsidRPr="00CF3DDD" w:rsidRDefault="00D44901"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Std. Deviation</w:t>
            </w:r>
          </w:p>
        </w:tc>
      </w:tr>
      <w:tr w:rsidR="00D44901" w:rsidRPr="00CF3DDD" w14:paraId="44EC3966" w14:textId="77777777">
        <w:trPr>
          <w:cantSplit/>
        </w:trPr>
        <w:tc>
          <w:tcPr>
            <w:tcW w:w="1697" w:type="dxa"/>
            <w:tcBorders>
              <w:top w:val="single" w:sz="16" w:space="0" w:color="000000"/>
              <w:left w:val="single" w:sz="16" w:space="0" w:color="000000"/>
              <w:bottom w:val="nil"/>
              <w:right w:val="single" w:sz="16" w:space="0" w:color="000000"/>
            </w:tcBorders>
            <w:shd w:val="clear" w:color="auto" w:fill="FFFFFF"/>
          </w:tcPr>
          <w:p w14:paraId="230963DA" w14:textId="77777777" w:rsidR="00D44901" w:rsidRPr="00CF3DDD" w:rsidRDefault="00D44901" w:rsidP="00CF3DDD">
            <w:pPr>
              <w:autoSpaceDE w:val="0"/>
              <w:autoSpaceDN w:val="0"/>
              <w:adjustRightInd w:val="0"/>
              <w:spacing w:after="0" w:line="360" w:lineRule="auto"/>
              <w:ind w:left="60" w:right="60"/>
              <w:rPr>
                <w:rFonts w:cs="Times New Roman"/>
                <w:color w:val="000000"/>
                <w:sz w:val="18"/>
                <w:szCs w:val="18"/>
              </w:rPr>
            </w:pPr>
            <w:proofErr w:type="spellStart"/>
            <w:r w:rsidRPr="00CF3DDD">
              <w:rPr>
                <w:rFonts w:cs="Times New Roman"/>
                <w:color w:val="000000"/>
                <w:sz w:val="18"/>
                <w:szCs w:val="18"/>
              </w:rPr>
              <w:t>AvgBE</w:t>
            </w:r>
            <w:proofErr w:type="spellEnd"/>
          </w:p>
        </w:tc>
        <w:tc>
          <w:tcPr>
            <w:tcW w:w="1024" w:type="dxa"/>
            <w:tcBorders>
              <w:top w:val="single" w:sz="16" w:space="0" w:color="000000"/>
              <w:left w:val="single" w:sz="16" w:space="0" w:color="000000"/>
              <w:bottom w:val="nil"/>
            </w:tcBorders>
            <w:shd w:val="clear" w:color="auto" w:fill="FFFFFF"/>
            <w:vAlign w:val="center"/>
          </w:tcPr>
          <w:p w14:paraId="3A485C1E" w14:textId="77777777" w:rsidR="00D44901" w:rsidRPr="00CF3DDD" w:rsidRDefault="00D44901"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024" w:type="dxa"/>
            <w:tcBorders>
              <w:top w:val="single" w:sz="16" w:space="0" w:color="000000"/>
              <w:bottom w:val="nil"/>
            </w:tcBorders>
            <w:shd w:val="clear" w:color="auto" w:fill="FFFFFF"/>
            <w:vAlign w:val="center"/>
          </w:tcPr>
          <w:p w14:paraId="0502AE0A" w14:textId="77777777" w:rsidR="00D44901" w:rsidRPr="00CF3DDD" w:rsidRDefault="00D44901"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4.0790</w:t>
            </w:r>
          </w:p>
        </w:tc>
        <w:tc>
          <w:tcPr>
            <w:tcW w:w="1437" w:type="dxa"/>
            <w:tcBorders>
              <w:top w:val="single" w:sz="16" w:space="0" w:color="000000"/>
              <w:bottom w:val="nil"/>
              <w:right w:val="single" w:sz="16" w:space="0" w:color="000000"/>
            </w:tcBorders>
            <w:shd w:val="clear" w:color="auto" w:fill="FFFFFF"/>
            <w:vAlign w:val="center"/>
          </w:tcPr>
          <w:p w14:paraId="52DB5F84" w14:textId="77777777" w:rsidR="00D44901" w:rsidRPr="00CF3DDD" w:rsidRDefault="00D44901"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.64323</w:t>
            </w:r>
          </w:p>
        </w:tc>
      </w:tr>
      <w:tr w:rsidR="00D44901" w:rsidRPr="00CF3DDD" w14:paraId="69D2F835" w14:textId="77777777">
        <w:trPr>
          <w:cantSplit/>
        </w:trPr>
        <w:tc>
          <w:tcPr>
            <w:tcW w:w="1697" w:type="dxa"/>
            <w:tcBorders>
              <w:top w:val="nil"/>
              <w:left w:val="single" w:sz="16" w:space="0" w:color="000000"/>
              <w:bottom w:val="nil"/>
              <w:right w:val="single" w:sz="16" w:space="0" w:color="000000"/>
            </w:tcBorders>
            <w:shd w:val="clear" w:color="auto" w:fill="FFFFFF"/>
          </w:tcPr>
          <w:p w14:paraId="3562CDDB" w14:textId="77777777" w:rsidR="00D44901" w:rsidRPr="00CF3DDD" w:rsidRDefault="00D44901" w:rsidP="00CF3DDD">
            <w:pPr>
              <w:autoSpaceDE w:val="0"/>
              <w:autoSpaceDN w:val="0"/>
              <w:adjustRightInd w:val="0"/>
              <w:spacing w:after="0" w:line="360" w:lineRule="auto"/>
              <w:ind w:left="60" w:right="60"/>
              <w:rPr>
                <w:rFonts w:cs="Times New Roman"/>
                <w:color w:val="000000"/>
                <w:sz w:val="18"/>
                <w:szCs w:val="18"/>
              </w:rPr>
            </w:pPr>
            <w:proofErr w:type="spellStart"/>
            <w:r w:rsidRPr="00CF3DDD">
              <w:rPr>
                <w:rFonts w:cs="Times New Roman"/>
                <w:color w:val="000000"/>
                <w:sz w:val="18"/>
                <w:szCs w:val="18"/>
              </w:rPr>
              <w:t>AvgBT</w:t>
            </w:r>
            <w:proofErr w:type="spellEnd"/>
          </w:p>
        </w:tc>
        <w:tc>
          <w:tcPr>
            <w:tcW w:w="1024" w:type="dxa"/>
            <w:tcBorders>
              <w:top w:val="nil"/>
              <w:left w:val="single" w:sz="16" w:space="0" w:color="000000"/>
              <w:bottom w:val="nil"/>
            </w:tcBorders>
            <w:shd w:val="clear" w:color="auto" w:fill="FFFFFF"/>
            <w:vAlign w:val="center"/>
          </w:tcPr>
          <w:p w14:paraId="2A800F32" w14:textId="77777777" w:rsidR="00D44901" w:rsidRPr="00CF3DDD" w:rsidRDefault="00D44901"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024" w:type="dxa"/>
            <w:tcBorders>
              <w:top w:val="nil"/>
              <w:bottom w:val="nil"/>
            </w:tcBorders>
            <w:shd w:val="clear" w:color="auto" w:fill="FFFFFF"/>
            <w:vAlign w:val="center"/>
          </w:tcPr>
          <w:p w14:paraId="0DD3B354" w14:textId="77777777" w:rsidR="00D44901" w:rsidRPr="00CF3DDD" w:rsidRDefault="00D44901"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4.1467</w:t>
            </w:r>
          </w:p>
        </w:tc>
        <w:tc>
          <w:tcPr>
            <w:tcW w:w="1437" w:type="dxa"/>
            <w:tcBorders>
              <w:top w:val="nil"/>
              <w:bottom w:val="nil"/>
              <w:right w:val="single" w:sz="16" w:space="0" w:color="000000"/>
            </w:tcBorders>
            <w:shd w:val="clear" w:color="auto" w:fill="FFFFFF"/>
            <w:vAlign w:val="center"/>
          </w:tcPr>
          <w:p w14:paraId="0D935FE8" w14:textId="77777777" w:rsidR="00D44901" w:rsidRPr="00CF3DDD" w:rsidRDefault="00D44901"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.61184</w:t>
            </w:r>
          </w:p>
        </w:tc>
      </w:tr>
      <w:tr w:rsidR="00D44901" w:rsidRPr="00CF3DDD" w14:paraId="5A216F87" w14:textId="77777777">
        <w:trPr>
          <w:cantSplit/>
        </w:trPr>
        <w:tc>
          <w:tcPr>
            <w:tcW w:w="1697" w:type="dxa"/>
            <w:tcBorders>
              <w:top w:val="nil"/>
              <w:left w:val="single" w:sz="16" w:space="0" w:color="000000"/>
              <w:bottom w:val="nil"/>
              <w:right w:val="single" w:sz="16" w:space="0" w:color="000000"/>
            </w:tcBorders>
            <w:shd w:val="clear" w:color="auto" w:fill="FFFFFF"/>
          </w:tcPr>
          <w:p w14:paraId="5D88FA8B" w14:textId="77777777" w:rsidR="00D44901" w:rsidRPr="00CF3DDD" w:rsidRDefault="00D44901" w:rsidP="00CF3DDD">
            <w:pPr>
              <w:autoSpaceDE w:val="0"/>
              <w:autoSpaceDN w:val="0"/>
              <w:adjustRightInd w:val="0"/>
              <w:spacing w:after="0" w:line="360" w:lineRule="auto"/>
              <w:ind w:left="60" w:right="60"/>
              <w:rPr>
                <w:rFonts w:cs="Times New Roman"/>
                <w:color w:val="000000"/>
                <w:sz w:val="18"/>
                <w:szCs w:val="18"/>
              </w:rPr>
            </w:pPr>
            <w:proofErr w:type="spellStart"/>
            <w:r w:rsidRPr="00CF3DDD">
              <w:rPr>
                <w:rFonts w:cs="Times New Roman"/>
                <w:color w:val="000000"/>
                <w:sz w:val="18"/>
                <w:szCs w:val="18"/>
              </w:rPr>
              <w:t>AvgBL</w:t>
            </w:r>
            <w:proofErr w:type="spellEnd"/>
          </w:p>
        </w:tc>
        <w:tc>
          <w:tcPr>
            <w:tcW w:w="1024" w:type="dxa"/>
            <w:tcBorders>
              <w:top w:val="nil"/>
              <w:left w:val="single" w:sz="16" w:space="0" w:color="000000"/>
              <w:bottom w:val="nil"/>
            </w:tcBorders>
            <w:shd w:val="clear" w:color="auto" w:fill="FFFFFF"/>
            <w:vAlign w:val="center"/>
          </w:tcPr>
          <w:p w14:paraId="6B0098E9" w14:textId="77777777" w:rsidR="00D44901" w:rsidRPr="00CF3DDD" w:rsidRDefault="00D44901"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024" w:type="dxa"/>
            <w:tcBorders>
              <w:top w:val="nil"/>
              <w:bottom w:val="nil"/>
            </w:tcBorders>
            <w:shd w:val="clear" w:color="auto" w:fill="FFFFFF"/>
            <w:vAlign w:val="center"/>
          </w:tcPr>
          <w:p w14:paraId="10F70A80" w14:textId="77777777" w:rsidR="00D44901" w:rsidRPr="00CF3DDD" w:rsidRDefault="00D44901"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4.1526</w:t>
            </w:r>
          </w:p>
        </w:tc>
        <w:tc>
          <w:tcPr>
            <w:tcW w:w="1437" w:type="dxa"/>
            <w:tcBorders>
              <w:top w:val="nil"/>
              <w:bottom w:val="nil"/>
              <w:right w:val="single" w:sz="16" w:space="0" w:color="000000"/>
            </w:tcBorders>
            <w:shd w:val="clear" w:color="auto" w:fill="FFFFFF"/>
            <w:vAlign w:val="center"/>
          </w:tcPr>
          <w:p w14:paraId="705A7AAF" w14:textId="77777777" w:rsidR="00D44901" w:rsidRPr="00CF3DDD" w:rsidRDefault="00D44901"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.62018</w:t>
            </w:r>
          </w:p>
        </w:tc>
      </w:tr>
      <w:tr w:rsidR="00D44901" w:rsidRPr="00CF3DDD" w14:paraId="67FBA73E" w14:textId="77777777">
        <w:trPr>
          <w:cantSplit/>
        </w:trPr>
        <w:tc>
          <w:tcPr>
            <w:tcW w:w="1697" w:type="dxa"/>
            <w:tcBorders>
              <w:top w:val="nil"/>
              <w:left w:val="single" w:sz="16" w:space="0" w:color="000000"/>
              <w:bottom w:val="nil"/>
              <w:right w:val="single" w:sz="16" w:space="0" w:color="000000"/>
            </w:tcBorders>
            <w:shd w:val="clear" w:color="auto" w:fill="FFFFFF"/>
          </w:tcPr>
          <w:p w14:paraId="4FC073DF" w14:textId="77777777" w:rsidR="00D44901" w:rsidRPr="00CF3DDD" w:rsidRDefault="00D44901" w:rsidP="00CF3DDD">
            <w:pPr>
              <w:autoSpaceDE w:val="0"/>
              <w:autoSpaceDN w:val="0"/>
              <w:adjustRightInd w:val="0"/>
              <w:spacing w:after="0" w:line="360" w:lineRule="auto"/>
              <w:ind w:left="60" w:right="60"/>
              <w:rPr>
                <w:rFonts w:cs="Times New Roman"/>
                <w:color w:val="000000"/>
                <w:sz w:val="18"/>
                <w:szCs w:val="18"/>
              </w:rPr>
            </w:pPr>
            <w:proofErr w:type="spellStart"/>
            <w:r w:rsidRPr="00CF3DDD">
              <w:rPr>
                <w:rFonts w:cs="Times New Roman"/>
                <w:color w:val="000000"/>
                <w:sz w:val="18"/>
                <w:szCs w:val="18"/>
              </w:rPr>
              <w:t>AvgBLT</w:t>
            </w:r>
            <w:proofErr w:type="spellEnd"/>
          </w:p>
        </w:tc>
        <w:tc>
          <w:tcPr>
            <w:tcW w:w="1024" w:type="dxa"/>
            <w:tcBorders>
              <w:top w:val="nil"/>
              <w:left w:val="single" w:sz="16" w:space="0" w:color="000000"/>
              <w:bottom w:val="nil"/>
            </w:tcBorders>
            <w:shd w:val="clear" w:color="auto" w:fill="FFFFFF"/>
            <w:vAlign w:val="center"/>
          </w:tcPr>
          <w:p w14:paraId="252A0615" w14:textId="77777777" w:rsidR="00D44901" w:rsidRPr="00CF3DDD" w:rsidRDefault="00D44901"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024" w:type="dxa"/>
            <w:tcBorders>
              <w:top w:val="nil"/>
              <w:bottom w:val="nil"/>
            </w:tcBorders>
            <w:shd w:val="clear" w:color="auto" w:fill="FFFFFF"/>
            <w:vAlign w:val="center"/>
          </w:tcPr>
          <w:p w14:paraId="583825D3" w14:textId="77777777" w:rsidR="00D44901" w:rsidRPr="00CF3DDD" w:rsidRDefault="00D44901"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4.2524</w:t>
            </w:r>
          </w:p>
        </w:tc>
        <w:tc>
          <w:tcPr>
            <w:tcW w:w="1437" w:type="dxa"/>
            <w:tcBorders>
              <w:top w:val="nil"/>
              <w:bottom w:val="nil"/>
              <w:right w:val="single" w:sz="16" w:space="0" w:color="000000"/>
            </w:tcBorders>
            <w:shd w:val="clear" w:color="auto" w:fill="FFFFFF"/>
            <w:vAlign w:val="center"/>
          </w:tcPr>
          <w:p w14:paraId="7D0FF374" w14:textId="77777777" w:rsidR="00D44901" w:rsidRPr="00CF3DDD" w:rsidRDefault="00D44901"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.57059</w:t>
            </w:r>
          </w:p>
        </w:tc>
      </w:tr>
      <w:tr w:rsidR="00D44901" w:rsidRPr="00CF3DDD" w14:paraId="7EF5E175" w14:textId="77777777">
        <w:trPr>
          <w:cantSplit/>
        </w:trPr>
        <w:tc>
          <w:tcPr>
            <w:tcW w:w="1697" w:type="dxa"/>
            <w:tcBorders>
              <w:top w:val="nil"/>
              <w:left w:val="single" w:sz="16" w:space="0" w:color="000000"/>
              <w:bottom w:val="single" w:sz="16" w:space="0" w:color="000000"/>
              <w:right w:val="single" w:sz="16" w:space="0" w:color="000000"/>
            </w:tcBorders>
            <w:shd w:val="clear" w:color="auto" w:fill="FFFFFF"/>
          </w:tcPr>
          <w:p w14:paraId="3C4BEA56" w14:textId="77777777" w:rsidR="00D44901" w:rsidRPr="00CF3DDD" w:rsidRDefault="00D44901"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Valid N (listwise)</w:t>
            </w:r>
          </w:p>
        </w:tc>
        <w:tc>
          <w:tcPr>
            <w:tcW w:w="1024" w:type="dxa"/>
            <w:tcBorders>
              <w:top w:val="nil"/>
              <w:left w:val="single" w:sz="16" w:space="0" w:color="000000"/>
              <w:bottom w:val="single" w:sz="16" w:space="0" w:color="000000"/>
            </w:tcBorders>
            <w:shd w:val="clear" w:color="auto" w:fill="FFFFFF"/>
            <w:vAlign w:val="center"/>
          </w:tcPr>
          <w:p w14:paraId="4769C5E6" w14:textId="77777777" w:rsidR="00D44901" w:rsidRPr="00CF3DDD" w:rsidRDefault="00D44901"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024" w:type="dxa"/>
            <w:tcBorders>
              <w:top w:val="nil"/>
              <w:bottom w:val="single" w:sz="16" w:space="0" w:color="000000"/>
            </w:tcBorders>
            <w:shd w:val="clear" w:color="auto" w:fill="FFFFFF"/>
            <w:vAlign w:val="center"/>
          </w:tcPr>
          <w:p w14:paraId="3FD9EE88" w14:textId="77777777" w:rsidR="00D44901" w:rsidRPr="00CF3DDD" w:rsidRDefault="00D44901" w:rsidP="00CF3DDD">
            <w:pPr>
              <w:autoSpaceDE w:val="0"/>
              <w:autoSpaceDN w:val="0"/>
              <w:adjustRightInd w:val="0"/>
              <w:spacing w:after="0" w:line="360" w:lineRule="auto"/>
              <w:rPr>
                <w:rFonts w:cs="Times New Roman"/>
                <w:szCs w:val="24"/>
              </w:rPr>
            </w:pPr>
          </w:p>
        </w:tc>
        <w:tc>
          <w:tcPr>
            <w:tcW w:w="1437" w:type="dxa"/>
            <w:tcBorders>
              <w:top w:val="nil"/>
              <w:bottom w:val="single" w:sz="16" w:space="0" w:color="000000"/>
              <w:right w:val="single" w:sz="16" w:space="0" w:color="000000"/>
            </w:tcBorders>
            <w:shd w:val="clear" w:color="auto" w:fill="FFFFFF"/>
            <w:vAlign w:val="center"/>
          </w:tcPr>
          <w:p w14:paraId="26A0B96A" w14:textId="77777777" w:rsidR="00D44901" w:rsidRPr="00CF3DDD" w:rsidRDefault="00D44901" w:rsidP="00CF3DDD">
            <w:pPr>
              <w:autoSpaceDE w:val="0"/>
              <w:autoSpaceDN w:val="0"/>
              <w:adjustRightInd w:val="0"/>
              <w:spacing w:after="0" w:line="360" w:lineRule="auto"/>
              <w:rPr>
                <w:rFonts w:cs="Times New Roman"/>
                <w:szCs w:val="24"/>
              </w:rPr>
            </w:pPr>
          </w:p>
        </w:tc>
      </w:tr>
    </w:tbl>
    <w:p w14:paraId="39D7506C" w14:textId="77777777" w:rsidR="004E76D6" w:rsidRPr="00CF3DDD" w:rsidRDefault="004E76D6" w:rsidP="00CF3DDD">
      <w:pPr>
        <w:spacing w:before="100" w:beforeAutospacing="1" w:after="100" w:afterAutospacing="1" w:line="360" w:lineRule="auto"/>
        <w:outlineLvl w:val="1"/>
        <w:rPr>
          <w:rFonts w:cs="Times New Roman"/>
          <w:szCs w:val="24"/>
        </w:rPr>
      </w:pPr>
      <w:bookmarkStart w:id="93" w:name="_Toc204565915"/>
      <w:bookmarkStart w:id="94" w:name="_Toc209193072"/>
      <w:bookmarkStart w:id="95" w:name="_Toc209310641"/>
      <w:r w:rsidRPr="00CF3DDD">
        <w:rPr>
          <w:rFonts w:cs="Times New Roman"/>
          <w:szCs w:val="24"/>
        </w:rPr>
        <w:t>The average computed mean and standard deviation values are listed in the table above.</w:t>
      </w:r>
      <w:bookmarkEnd w:id="93"/>
      <w:bookmarkEnd w:id="94"/>
      <w:bookmarkEnd w:id="95"/>
    </w:p>
    <w:p w14:paraId="14351016" w14:textId="77777777" w:rsidR="006A1B23" w:rsidRPr="00CF3DDD" w:rsidRDefault="00AD3047" w:rsidP="00CF3DDD">
      <w:pPr>
        <w:pStyle w:val="Heading2"/>
        <w:spacing w:line="360" w:lineRule="auto"/>
      </w:pPr>
      <w:bookmarkStart w:id="96" w:name="_Toc209310642"/>
      <w:r w:rsidRPr="00CF3DDD">
        <w:t>4.</w:t>
      </w:r>
      <w:r w:rsidR="00DB532D" w:rsidRPr="00CF3DDD">
        <w:t>8</w:t>
      </w:r>
      <w:r w:rsidRPr="00CF3DDD">
        <w:t xml:space="preserve"> </w:t>
      </w:r>
      <w:r w:rsidR="004E76D6" w:rsidRPr="00CF3DDD">
        <w:t>Correlation Analysis</w:t>
      </w:r>
      <w:bookmarkEnd w:id="96"/>
    </w:p>
    <w:p w14:paraId="52B6CF18" w14:textId="77777777" w:rsidR="007A6951" w:rsidRPr="00CF3DDD" w:rsidRDefault="007A6951" w:rsidP="00CF3DDD">
      <w:pPr>
        <w:pStyle w:val="NormalWeb"/>
        <w:spacing w:line="360" w:lineRule="auto"/>
        <w:rPr>
          <w:rFonts w:eastAsiaTheme="minorHAnsi"/>
        </w:rPr>
      </w:pPr>
      <w:r w:rsidRPr="00CF3DDD">
        <w:rPr>
          <w:rFonts w:eastAsiaTheme="minorHAnsi"/>
        </w:rPr>
        <w:t>Correlation analysis was conducted to evaluate the strength and direction of relationships among the study variables: brand equity, brand trust, brand love, and brand loyalty. This statistical technique identifies the extent to which two or more variables are associated, either positively or negatively. A positive correlation indicates that an increase in one construct corresponds with an increase in another, whereas a negative correlation suggests an inverse relationship.</w:t>
      </w:r>
    </w:p>
    <w:p w14:paraId="4A33A0E9" w14:textId="77777777" w:rsidR="00AD3047" w:rsidRPr="00CF3DDD" w:rsidRDefault="007A6951" w:rsidP="00CF3DDD">
      <w:pPr>
        <w:pStyle w:val="NormalWeb"/>
        <w:spacing w:line="360" w:lineRule="auto"/>
      </w:pPr>
      <w:r>
        <w:t xml:space="preserve">The analysis not only explored interrelationships within individual constructs however altherefore examined associations across the four main constructs. Establishing these connections is crucial as it tests whether the theoretical framework is supported by the data. Significant positive correlations, in particular, would suggest that the constructs move together as expected, offering </w:t>
      </w:r>
      <w:r>
        <w:lastRenderedPageBreak/>
        <w:t>preliminary support for the hypothesized relationships and setting a strong foundation for subsequent regression and mediation analyses.</w:t>
      </w:r>
    </w:p>
    <w:tbl>
      <w:tblPr>
        <w:tblW w:w="7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7"/>
        <w:gridCol w:w="2251"/>
        <w:gridCol w:w="1160"/>
        <w:gridCol w:w="1160"/>
        <w:gridCol w:w="1160"/>
        <w:gridCol w:w="1162"/>
      </w:tblGrid>
      <w:tr w:rsidR="004E76D6" w:rsidRPr="00CF3DDD" w14:paraId="553F77EE" w14:textId="77777777" w:rsidTr="00AE454B">
        <w:trPr>
          <w:cantSplit/>
          <w:trHeight w:val="332"/>
        </w:trPr>
        <w:tc>
          <w:tcPr>
            <w:tcW w:w="7930" w:type="dxa"/>
            <w:gridSpan w:val="6"/>
            <w:tcBorders>
              <w:top w:val="nil"/>
              <w:left w:val="nil"/>
              <w:bottom w:val="nil"/>
              <w:right w:val="nil"/>
            </w:tcBorders>
            <w:shd w:val="clear" w:color="auto" w:fill="FFFFFF"/>
            <w:vAlign w:val="center"/>
          </w:tcPr>
          <w:p w14:paraId="39B0F8A4" w14:textId="77777777" w:rsidR="004E76D6" w:rsidRPr="00CF3DDD" w:rsidRDefault="004E76D6"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b/>
                <w:bCs/>
                <w:color w:val="000000"/>
                <w:szCs w:val="24"/>
              </w:rPr>
              <w:t>Correlations</w:t>
            </w:r>
          </w:p>
        </w:tc>
      </w:tr>
      <w:tr w:rsidR="004E76D6" w:rsidRPr="00CF3DDD" w14:paraId="28BA3419" w14:textId="77777777" w:rsidTr="00AE454B">
        <w:trPr>
          <w:cantSplit/>
          <w:trHeight w:val="332"/>
        </w:trPr>
        <w:tc>
          <w:tcPr>
            <w:tcW w:w="3288" w:type="dxa"/>
            <w:gridSpan w:val="2"/>
            <w:tcBorders>
              <w:top w:val="single" w:sz="16" w:space="0" w:color="000000"/>
              <w:left w:val="single" w:sz="16" w:space="0" w:color="000000"/>
              <w:bottom w:val="single" w:sz="16" w:space="0" w:color="000000"/>
              <w:right w:val="nil"/>
            </w:tcBorders>
            <w:shd w:val="clear" w:color="auto" w:fill="FFFFFF"/>
            <w:vAlign w:val="bottom"/>
          </w:tcPr>
          <w:p w14:paraId="7EE8C2D1" w14:textId="77777777" w:rsidR="004E76D6" w:rsidRPr="00CF3DDD" w:rsidRDefault="004E76D6" w:rsidP="00CF3DDD">
            <w:pPr>
              <w:autoSpaceDE w:val="0"/>
              <w:autoSpaceDN w:val="0"/>
              <w:adjustRightInd w:val="0"/>
              <w:spacing w:after="0" w:line="360" w:lineRule="auto"/>
              <w:rPr>
                <w:rFonts w:cs="Times New Roman"/>
                <w:szCs w:val="24"/>
              </w:rPr>
            </w:pPr>
          </w:p>
        </w:tc>
        <w:tc>
          <w:tcPr>
            <w:tcW w:w="1160" w:type="dxa"/>
            <w:tcBorders>
              <w:top w:val="single" w:sz="16" w:space="0" w:color="000000"/>
              <w:left w:val="single" w:sz="16" w:space="0" w:color="000000"/>
              <w:bottom w:val="single" w:sz="16" w:space="0" w:color="000000"/>
            </w:tcBorders>
            <w:shd w:val="clear" w:color="auto" w:fill="FFFFFF"/>
            <w:vAlign w:val="bottom"/>
          </w:tcPr>
          <w:p w14:paraId="4286D891" w14:textId="77777777" w:rsidR="004E76D6" w:rsidRPr="00CF3DDD" w:rsidRDefault="004E76D6" w:rsidP="00CF3DDD">
            <w:pPr>
              <w:autoSpaceDE w:val="0"/>
              <w:autoSpaceDN w:val="0"/>
              <w:adjustRightInd w:val="0"/>
              <w:spacing w:after="0" w:line="360" w:lineRule="auto"/>
              <w:ind w:left="60" w:right="60"/>
              <w:jc w:val="center"/>
              <w:rPr>
                <w:rFonts w:cs="Times New Roman"/>
                <w:color w:val="000000"/>
                <w:sz w:val="18"/>
                <w:szCs w:val="18"/>
              </w:rPr>
            </w:pPr>
            <w:proofErr w:type="spellStart"/>
            <w:r w:rsidRPr="00CF3DDD">
              <w:rPr>
                <w:rFonts w:cs="Times New Roman"/>
                <w:color w:val="000000"/>
                <w:sz w:val="18"/>
                <w:szCs w:val="18"/>
              </w:rPr>
              <w:t>AvgBE</w:t>
            </w:r>
            <w:proofErr w:type="spellEnd"/>
          </w:p>
        </w:tc>
        <w:tc>
          <w:tcPr>
            <w:tcW w:w="1160" w:type="dxa"/>
            <w:tcBorders>
              <w:top w:val="single" w:sz="16" w:space="0" w:color="000000"/>
              <w:bottom w:val="single" w:sz="16" w:space="0" w:color="000000"/>
            </w:tcBorders>
            <w:shd w:val="clear" w:color="auto" w:fill="FFFFFF"/>
            <w:vAlign w:val="bottom"/>
          </w:tcPr>
          <w:p w14:paraId="4A2F0A44" w14:textId="77777777" w:rsidR="004E76D6" w:rsidRPr="00CF3DDD" w:rsidRDefault="004E76D6" w:rsidP="00CF3DDD">
            <w:pPr>
              <w:autoSpaceDE w:val="0"/>
              <w:autoSpaceDN w:val="0"/>
              <w:adjustRightInd w:val="0"/>
              <w:spacing w:after="0" w:line="360" w:lineRule="auto"/>
              <w:ind w:left="60" w:right="60"/>
              <w:jc w:val="center"/>
              <w:rPr>
                <w:rFonts w:cs="Times New Roman"/>
                <w:color w:val="000000"/>
                <w:sz w:val="18"/>
                <w:szCs w:val="18"/>
              </w:rPr>
            </w:pPr>
            <w:proofErr w:type="spellStart"/>
            <w:r w:rsidRPr="00CF3DDD">
              <w:rPr>
                <w:rFonts w:cs="Times New Roman"/>
                <w:color w:val="000000"/>
                <w:sz w:val="18"/>
                <w:szCs w:val="18"/>
              </w:rPr>
              <w:t>AvgBT</w:t>
            </w:r>
            <w:proofErr w:type="spellEnd"/>
          </w:p>
        </w:tc>
        <w:tc>
          <w:tcPr>
            <w:tcW w:w="1160" w:type="dxa"/>
            <w:tcBorders>
              <w:top w:val="single" w:sz="16" w:space="0" w:color="000000"/>
              <w:bottom w:val="single" w:sz="16" w:space="0" w:color="000000"/>
            </w:tcBorders>
            <w:shd w:val="clear" w:color="auto" w:fill="FFFFFF"/>
            <w:vAlign w:val="bottom"/>
          </w:tcPr>
          <w:p w14:paraId="09A9B982" w14:textId="77777777" w:rsidR="004E76D6" w:rsidRPr="00CF3DDD" w:rsidRDefault="004E76D6" w:rsidP="00CF3DDD">
            <w:pPr>
              <w:autoSpaceDE w:val="0"/>
              <w:autoSpaceDN w:val="0"/>
              <w:adjustRightInd w:val="0"/>
              <w:spacing w:after="0" w:line="360" w:lineRule="auto"/>
              <w:ind w:left="60" w:right="60"/>
              <w:jc w:val="center"/>
              <w:rPr>
                <w:rFonts w:cs="Times New Roman"/>
                <w:color w:val="000000"/>
                <w:sz w:val="18"/>
                <w:szCs w:val="18"/>
              </w:rPr>
            </w:pPr>
            <w:proofErr w:type="spellStart"/>
            <w:r w:rsidRPr="00CF3DDD">
              <w:rPr>
                <w:rFonts w:cs="Times New Roman"/>
                <w:color w:val="000000"/>
                <w:sz w:val="18"/>
                <w:szCs w:val="18"/>
              </w:rPr>
              <w:t>AvgBL</w:t>
            </w:r>
            <w:proofErr w:type="spellEnd"/>
          </w:p>
        </w:tc>
        <w:tc>
          <w:tcPr>
            <w:tcW w:w="1162" w:type="dxa"/>
            <w:tcBorders>
              <w:top w:val="single" w:sz="16" w:space="0" w:color="000000"/>
              <w:bottom w:val="single" w:sz="16" w:space="0" w:color="000000"/>
              <w:right w:val="single" w:sz="16" w:space="0" w:color="000000"/>
            </w:tcBorders>
            <w:shd w:val="clear" w:color="auto" w:fill="FFFFFF"/>
            <w:vAlign w:val="bottom"/>
          </w:tcPr>
          <w:p w14:paraId="4F3E6BCB" w14:textId="77777777" w:rsidR="004E76D6" w:rsidRPr="00CF3DDD" w:rsidRDefault="004E76D6" w:rsidP="00CF3DDD">
            <w:pPr>
              <w:autoSpaceDE w:val="0"/>
              <w:autoSpaceDN w:val="0"/>
              <w:adjustRightInd w:val="0"/>
              <w:spacing w:after="0" w:line="360" w:lineRule="auto"/>
              <w:ind w:left="60" w:right="60"/>
              <w:jc w:val="center"/>
              <w:rPr>
                <w:rFonts w:cs="Times New Roman"/>
                <w:color w:val="000000"/>
                <w:sz w:val="18"/>
                <w:szCs w:val="18"/>
              </w:rPr>
            </w:pPr>
            <w:proofErr w:type="spellStart"/>
            <w:r w:rsidRPr="00CF3DDD">
              <w:rPr>
                <w:rFonts w:cs="Times New Roman"/>
                <w:color w:val="000000"/>
                <w:sz w:val="18"/>
                <w:szCs w:val="18"/>
              </w:rPr>
              <w:t>AvgBLT</w:t>
            </w:r>
            <w:proofErr w:type="spellEnd"/>
          </w:p>
        </w:tc>
      </w:tr>
      <w:tr w:rsidR="004E76D6" w:rsidRPr="00CF3DDD" w14:paraId="252C4ACB" w14:textId="77777777" w:rsidTr="00AE454B">
        <w:trPr>
          <w:cantSplit/>
          <w:trHeight w:val="332"/>
        </w:trPr>
        <w:tc>
          <w:tcPr>
            <w:tcW w:w="1037" w:type="dxa"/>
            <w:vMerge w:val="restart"/>
            <w:tcBorders>
              <w:top w:val="single" w:sz="16" w:space="0" w:color="000000"/>
              <w:left w:val="single" w:sz="16" w:space="0" w:color="000000"/>
              <w:right w:val="nil"/>
            </w:tcBorders>
            <w:shd w:val="clear" w:color="auto" w:fill="FFFFFF"/>
          </w:tcPr>
          <w:p w14:paraId="0A6D6566"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proofErr w:type="spellStart"/>
            <w:r w:rsidRPr="00CF3DDD">
              <w:rPr>
                <w:rFonts w:cs="Times New Roman"/>
                <w:color w:val="000000"/>
                <w:sz w:val="18"/>
                <w:szCs w:val="18"/>
              </w:rPr>
              <w:t>AvgBE</w:t>
            </w:r>
            <w:proofErr w:type="spellEnd"/>
          </w:p>
        </w:tc>
        <w:tc>
          <w:tcPr>
            <w:tcW w:w="2251" w:type="dxa"/>
            <w:tcBorders>
              <w:top w:val="single" w:sz="16" w:space="0" w:color="000000"/>
              <w:left w:val="nil"/>
              <w:bottom w:val="nil"/>
              <w:right w:val="single" w:sz="16" w:space="0" w:color="000000"/>
            </w:tcBorders>
            <w:shd w:val="clear" w:color="auto" w:fill="FFFFFF"/>
          </w:tcPr>
          <w:p w14:paraId="21D7A404"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Pearson Correlation</w:t>
            </w:r>
          </w:p>
        </w:tc>
        <w:tc>
          <w:tcPr>
            <w:tcW w:w="1160" w:type="dxa"/>
            <w:tcBorders>
              <w:top w:val="single" w:sz="16" w:space="0" w:color="000000"/>
              <w:left w:val="single" w:sz="16" w:space="0" w:color="000000"/>
              <w:bottom w:val="nil"/>
            </w:tcBorders>
            <w:shd w:val="clear" w:color="auto" w:fill="FFFFFF"/>
            <w:vAlign w:val="center"/>
          </w:tcPr>
          <w:p w14:paraId="68BBFC80"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w:t>
            </w:r>
          </w:p>
        </w:tc>
        <w:tc>
          <w:tcPr>
            <w:tcW w:w="1160" w:type="dxa"/>
            <w:tcBorders>
              <w:top w:val="single" w:sz="16" w:space="0" w:color="000000"/>
              <w:bottom w:val="nil"/>
            </w:tcBorders>
            <w:shd w:val="clear" w:color="auto" w:fill="FFFFFF"/>
            <w:vAlign w:val="center"/>
          </w:tcPr>
          <w:p w14:paraId="0ED2AC8B"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.573</w:t>
            </w:r>
            <w:r w:rsidRPr="00CF3DDD">
              <w:rPr>
                <w:rFonts w:cs="Times New Roman"/>
                <w:color w:val="000000"/>
                <w:sz w:val="18"/>
                <w:szCs w:val="18"/>
                <w:vertAlign w:val="superscript"/>
              </w:rPr>
              <w:t>**</w:t>
            </w:r>
          </w:p>
        </w:tc>
        <w:tc>
          <w:tcPr>
            <w:tcW w:w="1160" w:type="dxa"/>
            <w:tcBorders>
              <w:top w:val="single" w:sz="16" w:space="0" w:color="000000"/>
              <w:bottom w:val="nil"/>
            </w:tcBorders>
            <w:shd w:val="clear" w:color="auto" w:fill="FFFFFF"/>
            <w:vAlign w:val="center"/>
          </w:tcPr>
          <w:p w14:paraId="43321581"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.510</w:t>
            </w:r>
            <w:r w:rsidRPr="00CF3DDD">
              <w:rPr>
                <w:rFonts w:cs="Times New Roman"/>
                <w:color w:val="000000"/>
                <w:sz w:val="18"/>
                <w:szCs w:val="18"/>
                <w:vertAlign w:val="superscript"/>
              </w:rPr>
              <w:t>**</w:t>
            </w:r>
          </w:p>
        </w:tc>
        <w:tc>
          <w:tcPr>
            <w:tcW w:w="1162" w:type="dxa"/>
            <w:tcBorders>
              <w:top w:val="single" w:sz="16" w:space="0" w:color="000000"/>
              <w:bottom w:val="nil"/>
              <w:right w:val="single" w:sz="16" w:space="0" w:color="000000"/>
            </w:tcBorders>
            <w:shd w:val="clear" w:color="auto" w:fill="FFFFFF"/>
            <w:vAlign w:val="center"/>
          </w:tcPr>
          <w:p w14:paraId="736FDADD"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.428</w:t>
            </w:r>
            <w:r w:rsidRPr="00CF3DDD">
              <w:rPr>
                <w:rFonts w:cs="Times New Roman"/>
                <w:color w:val="000000"/>
                <w:sz w:val="18"/>
                <w:szCs w:val="18"/>
                <w:vertAlign w:val="superscript"/>
              </w:rPr>
              <w:t>**</w:t>
            </w:r>
          </w:p>
        </w:tc>
      </w:tr>
      <w:tr w:rsidR="004E76D6" w:rsidRPr="00CF3DDD" w14:paraId="0CA314DD" w14:textId="77777777" w:rsidTr="00AE454B">
        <w:trPr>
          <w:cantSplit/>
          <w:trHeight w:val="374"/>
        </w:trPr>
        <w:tc>
          <w:tcPr>
            <w:tcW w:w="1037" w:type="dxa"/>
            <w:vMerge/>
            <w:tcBorders>
              <w:top w:val="single" w:sz="16" w:space="0" w:color="000000"/>
              <w:left w:val="single" w:sz="16" w:space="0" w:color="000000"/>
              <w:right w:val="nil"/>
            </w:tcBorders>
            <w:shd w:val="clear" w:color="auto" w:fill="FFFFFF"/>
          </w:tcPr>
          <w:p w14:paraId="2F3E26FD" w14:textId="77777777" w:rsidR="004E76D6" w:rsidRPr="00CF3DDD" w:rsidRDefault="004E76D6" w:rsidP="00CF3DDD">
            <w:pPr>
              <w:autoSpaceDE w:val="0"/>
              <w:autoSpaceDN w:val="0"/>
              <w:adjustRightInd w:val="0"/>
              <w:spacing w:after="0" w:line="360" w:lineRule="auto"/>
              <w:rPr>
                <w:rFonts w:cs="Times New Roman"/>
                <w:color w:val="000000"/>
                <w:sz w:val="18"/>
                <w:szCs w:val="18"/>
              </w:rPr>
            </w:pPr>
          </w:p>
        </w:tc>
        <w:tc>
          <w:tcPr>
            <w:tcW w:w="2251" w:type="dxa"/>
            <w:tcBorders>
              <w:top w:val="nil"/>
              <w:left w:val="nil"/>
              <w:bottom w:val="nil"/>
              <w:right w:val="single" w:sz="16" w:space="0" w:color="000000"/>
            </w:tcBorders>
            <w:shd w:val="clear" w:color="auto" w:fill="FFFFFF"/>
          </w:tcPr>
          <w:p w14:paraId="7E6A7832"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Sig. (2-tailed)</w:t>
            </w:r>
          </w:p>
        </w:tc>
        <w:tc>
          <w:tcPr>
            <w:tcW w:w="1160" w:type="dxa"/>
            <w:tcBorders>
              <w:top w:val="nil"/>
              <w:left w:val="single" w:sz="16" w:space="0" w:color="000000"/>
              <w:bottom w:val="nil"/>
            </w:tcBorders>
            <w:shd w:val="clear" w:color="auto" w:fill="FFFFFF"/>
            <w:vAlign w:val="center"/>
          </w:tcPr>
          <w:p w14:paraId="55921085" w14:textId="77777777" w:rsidR="004E76D6" w:rsidRPr="00CF3DDD" w:rsidRDefault="004E76D6" w:rsidP="00CF3DDD">
            <w:pPr>
              <w:autoSpaceDE w:val="0"/>
              <w:autoSpaceDN w:val="0"/>
              <w:adjustRightInd w:val="0"/>
              <w:spacing w:after="0" w:line="360" w:lineRule="auto"/>
              <w:rPr>
                <w:rFonts w:cs="Times New Roman"/>
                <w:szCs w:val="24"/>
              </w:rPr>
            </w:pPr>
          </w:p>
        </w:tc>
        <w:tc>
          <w:tcPr>
            <w:tcW w:w="1160" w:type="dxa"/>
            <w:tcBorders>
              <w:top w:val="nil"/>
              <w:bottom w:val="nil"/>
            </w:tcBorders>
            <w:shd w:val="clear" w:color="auto" w:fill="FFFFFF"/>
            <w:vAlign w:val="center"/>
          </w:tcPr>
          <w:p w14:paraId="5F90AFFB"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c>
          <w:tcPr>
            <w:tcW w:w="1160" w:type="dxa"/>
            <w:tcBorders>
              <w:top w:val="nil"/>
              <w:bottom w:val="nil"/>
            </w:tcBorders>
            <w:shd w:val="clear" w:color="auto" w:fill="FFFFFF"/>
            <w:vAlign w:val="center"/>
          </w:tcPr>
          <w:p w14:paraId="4CBC1F14"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c>
          <w:tcPr>
            <w:tcW w:w="1162" w:type="dxa"/>
            <w:tcBorders>
              <w:top w:val="nil"/>
              <w:bottom w:val="nil"/>
              <w:right w:val="single" w:sz="16" w:space="0" w:color="000000"/>
            </w:tcBorders>
            <w:shd w:val="clear" w:color="auto" w:fill="FFFFFF"/>
            <w:vAlign w:val="center"/>
          </w:tcPr>
          <w:p w14:paraId="68011582"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r>
      <w:tr w:rsidR="004E76D6" w:rsidRPr="00CF3DDD" w14:paraId="70E83B31" w14:textId="77777777" w:rsidTr="00AE454B">
        <w:trPr>
          <w:cantSplit/>
          <w:trHeight w:val="374"/>
        </w:trPr>
        <w:tc>
          <w:tcPr>
            <w:tcW w:w="1037" w:type="dxa"/>
            <w:vMerge/>
            <w:tcBorders>
              <w:top w:val="single" w:sz="16" w:space="0" w:color="000000"/>
              <w:left w:val="single" w:sz="16" w:space="0" w:color="000000"/>
              <w:right w:val="nil"/>
            </w:tcBorders>
            <w:shd w:val="clear" w:color="auto" w:fill="FFFFFF"/>
          </w:tcPr>
          <w:p w14:paraId="676426B1" w14:textId="77777777" w:rsidR="004E76D6" w:rsidRPr="00CF3DDD" w:rsidRDefault="004E76D6" w:rsidP="00CF3DDD">
            <w:pPr>
              <w:autoSpaceDE w:val="0"/>
              <w:autoSpaceDN w:val="0"/>
              <w:adjustRightInd w:val="0"/>
              <w:spacing w:after="0" w:line="360" w:lineRule="auto"/>
              <w:rPr>
                <w:rFonts w:cs="Times New Roman"/>
                <w:color w:val="000000"/>
                <w:sz w:val="18"/>
                <w:szCs w:val="18"/>
              </w:rPr>
            </w:pPr>
          </w:p>
        </w:tc>
        <w:tc>
          <w:tcPr>
            <w:tcW w:w="2251" w:type="dxa"/>
            <w:tcBorders>
              <w:top w:val="nil"/>
              <w:left w:val="nil"/>
              <w:right w:val="single" w:sz="16" w:space="0" w:color="000000"/>
            </w:tcBorders>
            <w:shd w:val="clear" w:color="auto" w:fill="FFFFFF"/>
          </w:tcPr>
          <w:p w14:paraId="082D4E4A"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N</w:t>
            </w:r>
          </w:p>
        </w:tc>
        <w:tc>
          <w:tcPr>
            <w:tcW w:w="1160" w:type="dxa"/>
            <w:tcBorders>
              <w:top w:val="nil"/>
              <w:left w:val="single" w:sz="16" w:space="0" w:color="000000"/>
            </w:tcBorders>
            <w:shd w:val="clear" w:color="auto" w:fill="FFFFFF"/>
            <w:vAlign w:val="center"/>
          </w:tcPr>
          <w:p w14:paraId="4D211545"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160" w:type="dxa"/>
            <w:tcBorders>
              <w:top w:val="nil"/>
            </w:tcBorders>
            <w:shd w:val="clear" w:color="auto" w:fill="FFFFFF"/>
            <w:vAlign w:val="center"/>
          </w:tcPr>
          <w:p w14:paraId="0939CE3D"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160" w:type="dxa"/>
            <w:tcBorders>
              <w:top w:val="nil"/>
            </w:tcBorders>
            <w:shd w:val="clear" w:color="auto" w:fill="FFFFFF"/>
            <w:vAlign w:val="center"/>
          </w:tcPr>
          <w:p w14:paraId="09A9A94B"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162" w:type="dxa"/>
            <w:tcBorders>
              <w:top w:val="nil"/>
              <w:right w:val="single" w:sz="16" w:space="0" w:color="000000"/>
            </w:tcBorders>
            <w:shd w:val="clear" w:color="auto" w:fill="FFFFFF"/>
            <w:vAlign w:val="center"/>
          </w:tcPr>
          <w:p w14:paraId="4CD05F63"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r>
      <w:tr w:rsidR="004E76D6" w:rsidRPr="00CF3DDD" w14:paraId="7F988164" w14:textId="77777777" w:rsidTr="00AE454B">
        <w:trPr>
          <w:cantSplit/>
          <w:trHeight w:val="332"/>
        </w:trPr>
        <w:tc>
          <w:tcPr>
            <w:tcW w:w="1037" w:type="dxa"/>
            <w:vMerge w:val="restart"/>
            <w:tcBorders>
              <w:top w:val="nil"/>
              <w:left w:val="single" w:sz="16" w:space="0" w:color="000000"/>
              <w:right w:val="nil"/>
            </w:tcBorders>
            <w:shd w:val="clear" w:color="auto" w:fill="FFFFFF"/>
          </w:tcPr>
          <w:p w14:paraId="1833CC07"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proofErr w:type="spellStart"/>
            <w:r w:rsidRPr="00CF3DDD">
              <w:rPr>
                <w:rFonts w:cs="Times New Roman"/>
                <w:color w:val="000000"/>
                <w:sz w:val="18"/>
                <w:szCs w:val="18"/>
              </w:rPr>
              <w:t>AvgBT</w:t>
            </w:r>
            <w:proofErr w:type="spellEnd"/>
          </w:p>
        </w:tc>
        <w:tc>
          <w:tcPr>
            <w:tcW w:w="2251" w:type="dxa"/>
            <w:tcBorders>
              <w:top w:val="nil"/>
              <w:left w:val="nil"/>
              <w:bottom w:val="nil"/>
              <w:right w:val="single" w:sz="16" w:space="0" w:color="000000"/>
            </w:tcBorders>
            <w:shd w:val="clear" w:color="auto" w:fill="FFFFFF"/>
          </w:tcPr>
          <w:p w14:paraId="1626DA86"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Pearson Correlation</w:t>
            </w:r>
          </w:p>
        </w:tc>
        <w:tc>
          <w:tcPr>
            <w:tcW w:w="1160" w:type="dxa"/>
            <w:tcBorders>
              <w:top w:val="nil"/>
              <w:left w:val="single" w:sz="16" w:space="0" w:color="000000"/>
              <w:bottom w:val="nil"/>
            </w:tcBorders>
            <w:shd w:val="clear" w:color="auto" w:fill="FFFFFF"/>
            <w:vAlign w:val="center"/>
          </w:tcPr>
          <w:p w14:paraId="6B9A0013"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.573</w:t>
            </w:r>
            <w:r w:rsidRPr="00CF3DDD">
              <w:rPr>
                <w:rFonts w:cs="Times New Roman"/>
                <w:color w:val="000000"/>
                <w:sz w:val="18"/>
                <w:szCs w:val="18"/>
                <w:vertAlign w:val="superscript"/>
              </w:rPr>
              <w:t>**</w:t>
            </w:r>
          </w:p>
        </w:tc>
        <w:tc>
          <w:tcPr>
            <w:tcW w:w="1160" w:type="dxa"/>
            <w:tcBorders>
              <w:top w:val="nil"/>
              <w:bottom w:val="nil"/>
            </w:tcBorders>
            <w:shd w:val="clear" w:color="auto" w:fill="FFFFFF"/>
            <w:vAlign w:val="center"/>
          </w:tcPr>
          <w:p w14:paraId="0E01B7FD"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w:t>
            </w:r>
          </w:p>
        </w:tc>
        <w:tc>
          <w:tcPr>
            <w:tcW w:w="1160" w:type="dxa"/>
            <w:tcBorders>
              <w:top w:val="nil"/>
              <w:bottom w:val="nil"/>
            </w:tcBorders>
            <w:shd w:val="clear" w:color="auto" w:fill="FFFFFF"/>
            <w:vAlign w:val="center"/>
          </w:tcPr>
          <w:p w14:paraId="72FC2BB7"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.547</w:t>
            </w:r>
            <w:r w:rsidRPr="00CF3DDD">
              <w:rPr>
                <w:rFonts w:cs="Times New Roman"/>
                <w:color w:val="000000"/>
                <w:sz w:val="18"/>
                <w:szCs w:val="18"/>
                <w:vertAlign w:val="superscript"/>
              </w:rPr>
              <w:t>**</w:t>
            </w:r>
          </w:p>
        </w:tc>
        <w:tc>
          <w:tcPr>
            <w:tcW w:w="1162" w:type="dxa"/>
            <w:tcBorders>
              <w:top w:val="nil"/>
              <w:bottom w:val="nil"/>
              <w:right w:val="single" w:sz="16" w:space="0" w:color="000000"/>
            </w:tcBorders>
            <w:shd w:val="clear" w:color="auto" w:fill="FFFFFF"/>
            <w:vAlign w:val="center"/>
          </w:tcPr>
          <w:p w14:paraId="4F25FE45"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.494</w:t>
            </w:r>
            <w:r w:rsidRPr="00CF3DDD">
              <w:rPr>
                <w:rFonts w:cs="Times New Roman"/>
                <w:color w:val="000000"/>
                <w:sz w:val="18"/>
                <w:szCs w:val="18"/>
                <w:vertAlign w:val="superscript"/>
              </w:rPr>
              <w:t>**</w:t>
            </w:r>
          </w:p>
        </w:tc>
      </w:tr>
      <w:tr w:rsidR="004E76D6" w:rsidRPr="00CF3DDD" w14:paraId="17829D7D" w14:textId="77777777" w:rsidTr="00AE454B">
        <w:trPr>
          <w:cantSplit/>
          <w:trHeight w:val="353"/>
        </w:trPr>
        <w:tc>
          <w:tcPr>
            <w:tcW w:w="1037" w:type="dxa"/>
            <w:vMerge/>
            <w:tcBorders>
              <w:top w:val="nil"/>
              <w:left w:val="single" w:sz="16" w:space="0" w:color="000000"/>
              <w:right w:val="nil"/>
            </w:tcBorders>
            <w:shd w:val="clear" w:color="auto" w:fill="FFFFFF"/>
          </w:tcPr>
          <w:p w14:paraId="18A8E1DA" w14:textId="77777777" w:rsidR="004E76D6" w:rsidRPr="00CF3DDD" w:rsidRDefault="004E76D6" w:rsidP="00CF3DDD">
            <w:pPr>
              <w:autoSpaceDE w:val="0"/>
              <w:autoSpaceDN w:val="0"/>
              <w:adjustRightInd w:val="0"/>
              <w:spacing w:after="0" w:line="360" w:lineRule="auto"/>
              <w:rPr>
                <w:rFonts w:cs="Times New Roman"/>
                <w:color w:val="000000"/>
                <w:sz w:val="18"/>
                <w:szCs w:val="18"/>
              </w:rPr>
            </w:pPr>
          </w:p>
        </w:tc>
        <w:tc>
          <w:tcPr>
            <w:tcW w:w="2251" w:type="dxa"/>
            <w:tcBorders>
              <w:top w:val="nil"/>
              <w:left w:val="nil"/>
              <w:bottom w:val="nil"/>
              <w:right w:val="single" w:sz="16" w:space="0" w:color="000000"/>
            </w:tcBorders>
            <w:shd w:val="clear" w:color="auto" w:fill="FFFFFF"/>
          </w:tcPr>
          <w:p w14:paraId="21ED19E0"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Sig. (2-tailed)</w:t>
            </w:r>
          </w:p>
        </w:tc>
        <w:tc>
          <w:tcPr>
            <w:tcW w:w="1160" w:type="dxa"/>
            <w:tcBorders>
              <w:top w:val="nil"/>
              <w:left w:val="single" w:sz="16" w:space="0" w:color="000000"/>
              <w:bottom w:val="nil"/>
            </w:tcBorders>
            <w:shd w:val="clear" w:color="auto" w:fill="FFFFFF"/>
            <w:vAlign w:val="center"/>
          </w:tcPr>
          <w:p w14:paraId="20066A43"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c>
          <w:tcPr>
            <w:tcW w:w="1160" w:type="dxa"/>
            <w:tcBorders>
              <w:top w:val="nil"/>
              <w:bottom w:val="nil"/>
            </w:tcBorders>
            <w:shd w:val="clear" w:color="auto" w:fill="FFFFFF"/>
            <w:vAlign w:val="center"/>
          </w:tcPr>
          <w:p w14:paraId="3127558C" w14:textId="77777777" w:rsidR="004E76D6" w:rsidRPr="00CF3DDD" w:rsidRDefault="004E76D6" w:rsidP="00CF3DDD">
            <w:pPr>
              <w:autoSpaceDE w:val="0"/>
              <w:autoSpaceDN w:val="0"/>
              <w:adjustRightInd w:val="0"/>
              <w:spacing w:after="0" w:line="360" w:lineRule="auto"/>
              <w:rPr>
                <w:rFonts w:cs="Times New Roman"/>
                <w:szCs w:val="24"/>
              </w:rPr>
            </w:pPr>
          </w:p>
        </w:tc>
        <w:tc>
          <w:tcPr>
            <w:tcW w:w="1160" w:type="dxa"/>
            <w:tcBorders>
              <w:top w:val="nil"/>
              <w:bottom w:val="nil"/>
            </w:tcBorders>
            <w:shd w:val="clear" w:color="auto" w:fill="FFFFFF"/>
            <w:vAlign w:val="center"/>
          </w:tcPr>
          <w:p w14:paraId="4D09A118"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c>
          <w:tcPr>
            <w:tcW w:w="1162" w:type="dxa"/>
            <w:tcBorders>
              <w:top w:val="nil"/>
              <w:bottom w:val="nil"/>
              <w:right w:val="single" w:sz="16" w:space="0" w:color="000000"/>
            </w:tcBorders>
            <w:shd w:val="clear" w:color="auto" w:fill="FFFFFF"/>
            <w:vAlign w:val="center"/>
          </w:tcPr>
          <w:p w14:paraId="0575E945"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r>
      <w:tr w:rsidR="004E76D6" w:rsidRPr="00CF3DDD" w14:paraId="571F821F" w14:textId="77777777" w:rsidTr="00AE454B">
        <w:trPr>
          <w:cantSplit/>
          <w:trHeight w:val="353"/>
        </w:trPr>
        <w:tc>
          <w:tcPr>
            <w:tcW w:w="1037" w:type="dxa"/>
            <w:vMerge/>
            <w:tcBorders>
              <w:top w:val="nil"/>
              <w:left w:val="single" w:sz="16" w:space="0" w:color="000000"/>
              <w:right w:val="nil"/>
            </w:tcBorders>
            <w:shd w:val="clear" w:color="auto" w:fill="FFFFFF"/>
          </w:tcPr>
          <w:p w14:paraId="08E07857" w14:textId="77777777" w:rsidR="004E76D6" w:rsidRPr="00CF3DDD" w:rsidRDefault="004E76D6" w:rsidP="00CF3DDD">
            <w:pPr>
              <w:autoSpaceDE w:val="0"/>
              <w:autoSpaceDN w:val="0"/>
              <w:adjustRightInd w:val="0"/>
              <w:spacing w:after="0" w:line="360" w:lineRule="auto"/>
              <w:rPr>
                <w:rFonts w:cs="Times New Roman"/>
                <w:color w:val="000000"/>
                <w:sz w:val="18"/>
                <w:szCs w:val="18"/>
              </w:rPr>
            </w:pPr>
          </w:p>
        </w:tc>
        <w:tc>
          <w:tcPr>
            <w:tcW w:w="2251" w:type="dxa"/>
            <w:tcBorders>
              <w:top w:val="nil"/>
              <w:left w:val="nil"/>
              <w:right w:val="single" w:sz="16" w:space="0" w:color="000000"/>
            </w:tcBorders>
            <w:shd w:val="clear" w:color="auto" w:fill="FFFFFF"/>
          </w:tcPr>
          <w:p w14:paraId="2675505D"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N</w:t>
            </w:r>
          </w:p>
        </w:tc>
        <w:tc>
          <w:tcPr>
            <w:tcW w:w="1160" w:type="dxa"/>
            <w:tcBorders>
              <w:top w:val="nil"/>
              <w:left w:val="single" w:sz="16" w:space="0" w:color="000000"/>
            </w:tcBorders>
            <w:shd w:val="clear" w:color="auto" w:fill="FFFFFF"/>
            <w:vAlign w:val="center"/>
          </w:tcPr>
          <w:p w14:paraId="7D98C072"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160" w:type="dxa"/>
            <w:tcBorders>
              <w:top w:val="nil"/>
            </w:tcBorders>
            <w:shd w:val="clear" w:color="auto" w:fill="FFFFFF"/>
            <w:vAlign w:val="center"/>
          </w:tcPr>
          <w:p w14:paraId="681BCC40"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160" w:type="dxa"/>
            <w:tcBorders>
              <w:top w:val="nil"/>
            </w:tcBorders>
            <w:shd w:val="clear" w:color="auto" w:fill="FFFFFF"/>
            <w:vAlign w:val="center"/>
          </w:tcPr>
          <w:p w14:paraId="0D779064"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162" w:type="dxa"/>
            <w:tcBorders>
              <w:top w:val="nil"/>
              <w:right w:val="single" w:sz="16" w:space="0" w:color="000000"/>
            </w:tcBorders>
            <w:shd w:val="clear" w:color="auto" w:fill="FFFFFF"/>
            <w:vAlign w:val="center"/>
          </w:tcPr>
          <w:p w14:paraId="3EEAF756"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r>
      <w:tr w:rsidR="004E76D6" w:rsidRPr="00CF3DDD" w14:paraId="6DE8DD31" w14:textId="77777777" w:rsidTr="00AE454B">
        <w:trPr>
          <w:cantSplit/>
          <w:trHeight w:val="332"/>
        </w:trPr>
        <w:tc>
          <w:tcPr>
            <w:tcW w:w="1037" w:type="dxa"/>
            <w:vMerge w:val="restart"/>
            <w:tcBorders>
              <w:top w:val="nil"/>
              <w:left w:val="single" w:sz="16" w:space="0" w:color="000000"/>
              <w:right w:val="nil"/>
            </w:tcBorders>
            <w:shd w:val="clear" w:color="auto" w:fill="FFFFFF"/>
          </w:tcPr>
          <w:p w14:paraId="6ECFBDF8"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proofErr w:type="spellStart"/>
            <w:r w:rsidRPr="00CF3DDD">
              <w:rPr>
                <w:rFonts w:cs="Times New Roman"/>
                <w:color w:val="000000"/>
                <w:sz w:val="18"/>
                <w:szCs w:val="18"/>
              </w:rPr>
              <w:t>AvgBL</w:t>
            </w:r>
            <w:proofErr w:type="spellEnd"/>
          </w:p>
        </w:tc>
        <w:tc>
          <w:tcPr>
            <w:tcW w:w="2251" w:type="dxa"/>
            <w:tcBorders>
              <w:top w:val="nil"/>
              <w:left w:val="nil"/>
              <w:bottom w:val="nil"/>
              <w:right w:val="single" w:sz="16" w:space="0" w:color="000000"/>
            </w:tcBorders>
            <w:shd w:val="clear" w:color="auto" w:fill="FFFFFF"/>
          </w:tcPr>
          <w:p w14:paraId="32B7C3B6"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Pearson Correlation</w:t>
            </w:r>
          </w:p>
        </w:tc>
        <w:tc>
          <w:tcPr>
            <w:tcW w:w="1160" w:type="dxa"/>
            <w:tcBorders>
              <w:top w:val="nil"/>
              <w:left w:val="single" w:sz="16" w:space="0" w:color="000000"/>
              <w:bottom w:val="nil"/>
            </w:tcBorders>
            <w:shd w:val="clear" w:color="auto" w:fill="FFFFFF"/>
            <w:vAlign w:val="center"/>
          </w:tcPr>
          <w:p w14:paraId="4EDBF741"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.510</w:t>
            </w:r>
            <w:r w:rsidRPr="00CF3DDD">
              <w:rPr>
                <w:rFonts w:cs="Times New Roman"/>
                <w:color w:val="000000"/>
                <w:sz w:val="18"/>
                <w:szCs w:val="18"/>
                <w:vertAlign w:val="superscript"/>
              </w:rPr>
              <w:t>**</w:t>
            </w:r>
          </w:p>
        </w:tc>
        <w:tc>
          <w:tcPr>
            <w:tcW w:w="1160" w:type="dxa"/>
            <w:tcBorders>
              <w:top w:val="nil"/>
              <w:bottom w:val="nil"/>
            </w:tcBorders>
            <w:shd w:val="clear" w:color="auto" w:fill="FFFFFF"/>
            <w:vAlign w:val="center"/>
          </w:tcPr>
          <w:p w14:paraId="67A96628"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.547</w:t>
            </w:r>
            <w:r w:rsidRPr="00CF3DDD">
              <w:rPr>
                <w:rFonts w:cs="Times New Roman"/>
                <w:color w:val="000000"/>
                <w:sz w:val="18"/>
                <w:szCs w:val="18"/>
                <w:vertAlign w:val="superscript"/>
              </w:rPr>
              <w:t>**</w:t>
            </w:r>
          </w:p>
        </w:tc>
        <w:tc>
          <w:tcPr>
            <w:tcW w:w="1160" w:type="dxa"/>
            <w:tcBorders>
              <w:top w:val="nil"/>
              <w:bottom w:val="nil"/>
            </w:tcBorders>
            <w:shd w:val="clear" w:color="auto" w:fill="FFFFFF"/>
            <w:vAlign w:val="center"/>
          </w:tcPr>
          <w:p w14:paraId="68C0FBCC"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w:t>
            </w:r>
          </w:p>
        </w:tc>
        <w:tc>
          <w:tcPr>
            <w:tcW w:w="1162" w:type="dxa"/>
            <w:tcBorders>
              <w:top w:val="nil"/>
              <w:bottom w:val="nil"/>
              <w:right w:val="single" w:sz="16" w:space="0" w:color="000000"/>
            </w:tcBorders>
            <w:shd w:val="clear" w:color="auto" w:fill="FFFFFF"/>
            <w:vAlign w:val="center"/>
          </w:tcPr>
          <w:p w14:paraId="4E88B732"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.667</w:t>
            </w:r>
            <w:r w:rsidRPr="00CF3DDD">
              <w:rPr>
                <w:rFonts w:cs="Times New Roman"/>
                <w:color w:val="000000"/>
                <w:sz w:val="18"/>
                <w:szCs w:val="18"/>
                <w:vertAlign w:val="superscript"/>
              </w:rPr>
              <w:t>**</w:t>
            </w:r>
          </w:p>
        </w:tc>
      </w:tr>
      <w:tr w:rsidR="004E76D6" w:rsidRPr="00CF3DDD" w14:paraId="51C72ED8" w14:textId="77777777" w:rsidTr="00AE454B">
        <w:trPr>
          <w:cantSplit/>
          <w:trHeight w:val="353"/>
        </w:trPr>
        <w:tc>
          <w:tcPr>
            <w:tcW w:w="1037" w:type="dxa"/>
            <w:vMerge/>
            <w:tcBorders>
              <w:top w:val="nil"/>
              <w:left w:val="single" w:sz="16" w:space="0" w:color="000000"/>
              <w:right w:val="nil"/>
            </w:tcBorders>
            <w:shd w:val="clear" w:color="auto" w:fill="FFFFFF"/>
          </w:tcPr>
          <w:p w14:paraId="197A8D73" w14:textId="77777777" w:rsidR="004E76D6" w:rsidRPr="00CF3DDD" w:rsidRDefault="004E76D6" w:rsidP="00CF3DDD">
            <w:pPr>
              <w:autoSpaceDE w:val="0"/>
              <w:autoSpaceDN w:val="0"/>
              <w:adjustRightInd w:val="0"/>
              <w:spacing w:after="0" w:line="360" w:lineRule="auto"/>
              <w:rPr>
                <w:rFonts w:cs="Times New Roman"/>
                <w:color w:val="000000"/>
                <w:sz w:val="18"/>
                <w:szCs w:val="18"/>
              </w:rPr>
            </w:pPr>
          </w:p>
        </w:tc>
        <w:tc>
          <w:tcPr>
            <w:tcW w:w="2251" w:type="dxa"/>
            <w:tcBorders>
              <w:top w:val="nil"/>
              <w:left w:val="nil"/>
              <w:bottom w:val="nil"/>
              <w:right w:val="single" w:sz="16" w:space="0" w:color="000000"/>
            </w:tcBorders>
            <w:shd w:val="clear" w:color="auto" w:fill="FFFFFF"/>
          </w:tcPr>
          <w:p w14:paraId="0D9136F1"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Sig. (2-tailed)</w:t>
            </w:r>
          </w:p>
        </w:tc>
        <w:tc>
          <w:tcPr>
            <w:tcW w:w="1160" w:type="dxa"/>
            <w:tcBorders>
              <w:top w:val="nil"/>
              <w:left w:val="single" w:sz="16" w:space="0" w:color="000000"/>
              <w:bottom w:val="nil"/>
            </w:tcBorders>
            <w:shd w:val="clear" w:color="auto" w:fill="FFFFFF"/>
            <w:vAlign w:val="center"/>
          </w:tcPr>
          <w:p w14:paraId="16F57DF1"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c>
          <w:tcPr>
            <w:tcW w:w="1160" w:type="dxa"/>
            <w:tcBorders>
              <w:top w:val="nil"/>
              <w:bottom w:val="nil"/>
            </w:tcBorders>
            <w:shd w:val="clear" w:color="auto" w:fill="FFFFFF"/>
            <w:vAlign w:val="center"/>
          </w:tcPr>
          <w:p w14:paraId="62ED377A"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c>
          <w:tcPr>
            <w:tcW w:w="1160" w:type="dxa"/>
            <w:tcBorders>
              <w:top w:val="nil"/>
              <w:bottom w:val="nil"/>
            </w:tcBorders>
            <w:shd w:val="clear" w:color="auto" w:fill="FFFFFF"/>
            <w:vAlign w:val="center"/>
          </w:tcPr>
          <w:p w14:paraId="4176349D" w14:textId="77777777" w:rsidR="004E76D6" w:rsidRPr="00CF3DDD" w:rsidRDefault="004E76D6" w:rsidP="00CF3DDD">
            <w:pPr>
              <w:autoSpaceDE w:val="0"/>
              <w:autoSpaceDN w:val="0"/>
              <w:adjustRightInd w:val="0"/>
              <w:spacing w:after="0" w:line="360" w:lineRule="auto"/>
              <w:rPr>
                <w:rFonts w:cs="Times New Roman"/>
                <w:szCs w:val="24"/>
              </w:rPr>
            </w:pPr>
          </w:p>
        </w:tc>
        <w:tc>
          <w:tcPr>
            <w:tcW w:w="1162" w:type="dxa"/>
            <w:tcBorders>
              <w:top w:val="nil"/>
              <w:bottom w:val="nil"/>
              <w:right w:val="single" w:sz="16" w:space="0" w:color="000000"/>
            </w:tcBorders>
            <w:shd w:val="clear" w:color="auto" w:fill="FFFFFF"/>
            <w:vAlign w:val="center"/>
          </w:tcPr>
          <w:p w14:paraId="6ECD3716"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r>
      <w:tr w:rsidR="004E76D6" w:rsidRPr="00CF3DDD" w14:paraId="54846ACF" w14:textId="77777777" w:rsidTr="00AE454B">
        <w:trPr>
          <w:cantSplit/>
          <w:trHeight w:val="353"/>
        </w:trPr>
        <w:tc>
          <w:tcPr>
            <w:tcW w:w="1037" w:type="dxa"/>
            <w:vMerge/>
            <w:tcBorders>
              <w:top w:val="nil"/>
              <w:left w:val="single" w:sz="16" w:space="0" w:color="000000"/>
              <w:right w:val="nil"/>
            </w:tcBorders>
            <w:shd w:val="clear" w:color="auto" w:fill="FFFFFF"/>
          </w:tcPr>
          <w:p w14:paraId="615CE504" w14:textId="77777777" w:rsidR="004E76D6" w:rsidRPr="00CF3DDD" w:rsidRDefault="004E76D6" w:rsidP="00CF3DDD">
            <w:pPr>
              <w:autoSpaceDE w:val="0"/>
              <w:autoSpaceDN w:val="0"/>
              <w:adjustRightInd w:val="0"/>
              <w:spacing w:after="0" w:line="360" w:lineRule="auto"/>
              <w:rPr>
                <w:rFonts w:cs="Times New Roman"/>
                <w:color w:val="000000"/>
                <w:sz w:val="18"/>
                <w:szCs w:val="18"/>
              </w:rPr>
            </w:pPr>
          </w:p>
        </w:tc>
        <w:tc>
          <w:tcPr>
            <w:tcW w:w="2251" w:type="dxa"/>
            <w:tcBorders>
              <w:top w:val="nil"/>
              <w:left w:val="nil"/>
              <w:right w:val="single" w:sz="16" w:space="0" w:color="000000"/>
            </w:tcBorders>
            <w:shd w:val="clear" w:color="auto" w:fill="FFFFFF"/>
          </w:tcPr>
          <w:p w14:paraId="43CAAE68"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N</w:t>
            </w:r>
          </w:p>
        </w:tc>
        <w:tc>
          <w:tcPr>
            <w:tcW w:w="1160" w:type="dxa"/>
            <w:tcBorders>
              <w:top w:val="nil"/>
              <w:left w:val="single" w:sz="16" w:space="0" w:color="000000"/>
            </w:tcBorders>
            <w:shd w:val="clear" w:color="auto" w:fill="FFFFFF"/>
            <w:vAlign w:val="center"/>
          </w:tcPr>
          <w:p w14:paraId="5191B175"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160" w:type="dxa"/>
            <w:tcBorders>
              <w:top w:val="nil"/>
            </w:tcBorders>
            <w:shd w:val="clear" w:color="auto" w:fill="FFFFFF"/>
            <w:vAlign w:val="center"/>
          </w:tcPr>
          <w:p w14:paraId="5D51C200"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160" w:type="dxa"/>
            <w:tcBorders>
              <w:top w:val="nil"/>
            </w:tcBorders>
            <w:shd w:val="clear" w:color="auto" w:fill="FFFFFF"/>
            <w:vAlign w:val="center"/>
          </w:tcPr>
          <w:p w14:paraId="248C5471"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162" w:type="dxa"/>
            <w:tcBorders>
              <w:top w:val="nil"/>
              <w:right w:val="single" w:sz="16" w:space="0" w:color="000000"/>
            </w:tcBorders>
            <w:shd w:val="clear" w:color="auto" w:fill="FFFFFF"/>
            <w:vAlign w:val="center"/>
          </w:tcPr>
          <w:p w14:paraId="36902FBE"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r>
      <w:tr w:rsidR="004E76D6" w:rsidRPr="00CF3DDD" w14:paraId="586A07B3" w14:textId="77777777" w:rsidTr="00AE454B">
        <w:trPr>
          <w:cantSplit/>
          <w:trHeight w:val="332"/>
        </w:trPr>
        <w:tc>
          <w:tcPr>
            <w:tcW w:w="1037" w:type="dxa"/>
            <w:vMerge w:val="restart"/>
            <w:tcBorders>
              <w:top w:val="nil"/>
              <w:left w:val="single" w:sz="16" w:space="0" w:color="000000"/>
              <w:bottom w:val="single" w:sz="16" w:space="0" w:color="000000"/>
              <w:right w:val="nil"/>
            </w:tcBorders>
            <w:shd w:val="clear" w:color="auto" w:fill="FFFFFF"/>
          </w:tcPr>
          <w:p w14:paraId="7702586B"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proofErr w:type="spellStart"/>
            <w:r w:rsidRPr="00CF3DDD">
              <w:rPr>
                <w:rFonts w:cs="Times New Roman"/>
                <w:color w:val="000000"/>
                <w:sz w:val="18"/>
                <w:szCs w:val="18"/>
              </w:rPr>
              <w:t>AvgBLT</w:t>
            </w:r>
            <w:proofErr w:type="spellEnd"/>
          </w:p>
        </w:tc>
        <w:tc>
          <w:tcPr>
            <w:tcW w:w="2251" w:type="dxa"/>
            <w:tcBorders>
              <w:top w:val="nil"/>
              <w:left w:val="nil"/>
              <w:bottom w:val="nil"/>
              <w:right w:val="single" w:sz="16" w:space="0" w:color="000000"/>
            </w:tcBorders>
            <w:shd w:val="clear" w:color="auto" w:fill="FFFFFF"/>
          </w:tcPr>
          <w:p w14:paraId="3006FD2E"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Pearson Correlation</w:t>
            </w:r>
          </w:p>
        </w:tc>
        <w:tc>
          <w:tcPr>
            <w:tcW w:w="1160" w:type="dxa"/>
            <w:tcBorders>
              <w:top w:val="nil"/>
              <w:left w:val="single" w:sz="16" w:space="0" w:color="000000"/>
              <w:bottom w:val="nil"/>
            </w:tcBorders>
            <w:shd w:val="clear" w:color="auto" w:fill="FFFFFF"/>
            <w:vAlign w:val="center"/>
          </w:tcPr>
          <w:p w14:paraId="172B8E60"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.428</w:t>
            </w:r>
            <w:r w:rsidRPr="00CF3DDD">
              <w:rPr>
                <w:rFonts w:cs="Times New Roman"/>
                <w:color w:val="000000"/>
                <w:sz w:val="18"/>
                <w:szCs w:val="18"/>
                <w:vertAlign w:val="superscript"/>
              </w:rPr>
              <w:t>**</w:t>
            </w:r>
          </w:p>
        </w:tc>
        <w:tc>
          <w:tcPr>
            <w:tcW w:w="1160" w:type="dxa"/>
            <w:tcBorders>
              <w:top w:val="nil"/>
              <w:bottom w:val="nil"/>
            </w:tcBorders>
            <w:shd w:val="clear" w:color="auto" w:fill="FFFFFF"/>
            <w:vAlign w:val="center"/>
          </w:tcPr>
          <w:p w14:paraId="7D01C958"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.494</w:t>
            </w:r>
            <w:r w:rsidRPr="00CF3DDD">
              <w:rPr>
                <w:rFonts w:cs="Times New Roman"/>
                <w:color w:val="000000"/>
                <w:sz w:val="18"/>
                <w:szCs w:val="18"/>
                <w:vertAlign w:val="superscript"/>
              </w:rPr>
              <w:t>**</w:t>
            </w:r>
          </w:p>
        </w:tc>
        <w:tc>
          <w:tcPr>
            <w:tcW w:w="1160" w:type="dxa"/>
            <w:tcBorders>
              <w:top w:val="nil"/>
              <w:bottom w:val="nil"/>
            </w:tcBorders>
            <w:shd w:val="clear" w:color="auto" w:fill="FFFFFF"/>
            <w:vAlign w:val="center"/>
          </w:tcPr>
          <w:p w14:paraId="48963851"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.667</w:t>
            </w:r>
            <w:r w:rsidRPr="00CF3DDD">
              <w:rPr>
                <w:rFonts w:cs="Times New Roman"/>
                <w:color w:val="000000"/>
                <w:sz w:val="18"/>
                <w:szCs w:val="18"/>
                <w:vertAlign w:val="superscript"/>
              </w:rPr>
              <w:t>**</w:t>
            </w:r>
          </w:p>
        </w:tc>
        <w:tc>
          <w:tcPr>
            <w:tcW w:w="1162" w:type="dxa"/>
            <w:tcBorders>
              <w:top w:val="nil"/>
              <w:bottom w:val="nil"/>
              <w:right w:val="single" w:sz="16" w:space="0" w:color="000000"/>
            </w:tcBorders>
            <w:shd w:val="clear" w:color="auto" w:fill="FFFFFF"/>
            <w:vAlign w:val="center"/>
          </w:tcPr>
          <w:p w14:paraId="45FB654D"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w:t>
            </w:r>
          </w:p>
        </w:tc>
      </w:tr>
      <w:tr w:rsidR="004E76D6" w:rsidRPr="00CF3DDD" w14:paraId="4C9D6B9C" w14:textId="77777777" w:rsidTr="00AE454B">
        <w:trPr>
          <w:cantSplit/>
          <w:trHeight w:val="374"/>
        </w:trPr>
        <w:tc>
          <w:tcPr>
            <w:tcW w:w="1037" w:type="dxa"/>
            <w:vMerge/>
            <w:tcBorders>
              <w:top w:val="nil"/>
              <w:left w:val="single" w:sz="16" w:space="0" w:color="000000"/>
              <w:bottom w:val="single" w:sz="16" w:space="0" w:color="000000"/>
              <w:right w:val="nil"/>
            </w:tcBorders>
            <w:shd w:val="clear" w:color="auto" w:fill="FFFFFF"/>
          </w:tcPr>
          <w:p w14:paraId="76B637DD" w14:textId="77777777" w:rsidR="004E76D6" w:rsidRPr="00CF3DDD" w:rsidRDefault="004E76D6" w:rsidP="00CF3DDD">
            <w:pPr>
              <w:autoSpaceDE w:val="0"/>
              <w:autoSpaceDN w:val="0"/>
              <w:adjustRightInd w:val="0"/>
              <w:spacing w:after="0" w:line="360" w:lineRule="auto"/>
              <w:rPr>
                <w:rFonts w:cs="Times New Roman"/>
                <w:color w:val="000000"/>
                <w:sz w:val="18"/>
                <w:szCs w:val="18"/>
              </w:rPr>
            </w:pPr>
          </w:p>
        </w:tc>
        <w:tc>
          <w:tcPr>
            <w:tcW w:w="2251" w:type="dxa"/>
            <w:tcBorders>
              <w:top w:val="nil"/>
              <w:left w:val="nil"/>
              <w:bottom w:val="nil"/>
              <w:right w:val="single" w:sz="16" w:space="0" w:color="000000"/>
            </w:tcBorders>
            <w:shd w:val="clear" w:color="auto" w:fill="FFFFFF"/>
          </w:tcPr>
          <w:p w14:paraId="478A1152"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Sig. (2-tailed)</w:t>
            </w:r>
          </w:p>
        </w:tc>
        <w:tc>
          <w:tcPr>
            <w:tcW w:w="1160" w:type="dxa"/>
            <w:tcBorders>
              <w:top w:val="nil"/>
              <w:left w:val="single" w:sz="16" w:space="0" w:color="000000"/>
              <w:bottom w:val="nil"/>
            </w:tcBorders>
            <w:shd w:val="clear" w:color="auto" w:fill="FFFFFF"/>
            <w:vAlign w:val="center"/>
          </w:tcPr>
          <w:p w14:paraId="16C75055"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c>
          <w:tcPr>
            <w:tcW w:w="1160" w:type="dxa"/>
            <w:tcBorders>
              <w:top w:val="nil"/>
              <w:bottom w:val="nil"/>
            </w:tcBorders>
            <w:shd w:val="clear" w:color="auto" w:fill="FFFFFF"/>
            <w:vAlign w:val="center"/>
          </w:tcPr>
          <w:p w14:paraId="776182AD"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c>
          <w:tcPr>
            <w:tcW w:w="1160" w:type="dxa"/>
            <w:tcBorders>
              <w:top w:val="nil"/>
              <w:bottom w:val="nil"/>
            </w:tcBorders>
            <w:shd w:val="clear" w:color="auto" w:fill="FFFFFF"/>
            <w:vAlign w:val="center"/>
          </w:tcPr>
          <w:p w14:paraId="72DF10B8"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c>
          <w:tcPr>
            <w:tcW w:w="1162" w:type="dxa"/>
            <w:tcBorders>
              <w:top w:val="nil"/>
              <w:bottom w:val="nil"/>
              <w:right w:val="single" w:sz="16" w:space="0" w:color="000000"/>
            </w:tcBorders>
            <w:shd w:val="clear" w:color="auto" w:fill="FFFFFF"/>
            <w:vAlign w:val="center"/>
          </w:tcPr>
          <w:p w14:paraId="72915601" w14:textId="77777777" w:rsidR="004E76D6" w:rsidRPr="00CF3DDD" w:rsidRDefault="004E76D6" w:rsidP="00CF3DDD">
            <w:pPr>
              <w:autoSpaceDE w:val="0"/>
              <w:autoSpaceDN w:val="0"/>
              <w:adjustRightInd w:val="0"/>
              <w:spacing w:after="0" w:line="360" w:lineRule="auto"/>
              <w:rPr>
                <w:rFonts w:cs="Times New Roman"/>
                <w:szCs w:val="24"/>
              </w:rPr>
            </w:pPr>
          </w:p>
        </w:tc>
      </w:tr>
      <w:tr w:rsidR="004E76D6" w:rsidRPr="00CF3DDD" w14:paraId="41386B3A" w14:textId="77777777" w:rsidTr="00AE454B">
        <w:trPr>
          <w:cantSplit/>
          <w:trHeight w:val="374"/>
        </w:trPr>
        <w:tc>
          <w:tcPr>
            <w:tcW w:w="1037" w:type="dxa"/>
            <w:vMerge/>
            <w:tcBorders>
              <w:top w:val="nil"/>
              <w:left w:val="single" w:sz="16" w:space="0" w:color="000000"/>
              <w:bottom w:val="single" w:sz="16" w:space="0" w:color="000000"/>
              <w:right w:val="nil"/>
            </w:tcBorders>
            <w:shd w:val="clear" w:color="auto" w:fill="FFFFFF"/>
          </w:tcPr>
          <w:p w14:paraId="4E361444" w14:textId="77777777" w:rsidR="004E76D6" w:rsidRPr="00CF3DDD" w:rsidRDefault="004E76D6" w:rsidP="00CF3DDD">
            <w:pPr>
              <w:autoSpaceDE w:val="0"/>
              <w:autoSpaceDN w:val="0"/>
              <w:adjustRightInd w:val="0"/>
              <w:spacing w:after="0" w:line="360" w:lineRule="auto"/>
              <w:rPr>
                <w:rFonts w:cs="Times New Roman"/>
                <w:szCs w:val="24"/>
              </w:rPr>
            </w:pPr>
          </w:p>
        </w:tc>
        <w:tc>
          <w:tcPr>
            <w:tcW w:w="2251" w:type="dxa"/>
            <w:tcBorders>
              <w:top w:val="nil"/>
              <w:left w:val="nil"/>
              <w:bottom w:val="single" w:sz="16" w:space="0" w:color="000000"/>
              <w:right w:val="single" w:sz="16" w:space="0" w:color="000000"/>
            </w:tcBorders>
            <w:shd w:val="clear" w:color="auto" w:fill="FFFFFF"/>
          </w:tcPr>
          <w:p w14:paraId="0BB45151"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N</w:t>
            </w:r>
          </w:p>
        </w:tc>
        <w:tc>
          <w:tcPr>
            <w:tcW w:w="1160" w:type="dxa"/>
            <w:tcBorders>
              <w:top w:val="nil"/>
              <w:left w:val="single" w:sz="16" w:space="0" w:color="000000"/>
              <w:bottom w:val="single" w:sz="16" w:space="0" w:color="000000"/>
            </w:tcBorders>
            <w:shd w:val="clear" w:color="auto" w:fill="FFFFFF"/>
            <w:vAlign w:val="center"/>
          </w:tcPr>
          <w:p w14:paraId="1FA05763"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160" w:type="dxa"/>
            <w:tcBorders>
              <w:top w:val="nil"/>
              <w:bottom w:val="single" w:sz="16" w:space="0" w:color="000000"/>
            </w:tcBorders>
            <w:shd w:val="clear" w:color="auto" w:fill="FFFFFF"/>
            <w:vAlign w:val="center"/>
          </w:tcPr>
          <w:p w14:paraId="654524F7"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160" w:type="dxa"/>
            <w:tcBorders>
              <w:top w:val="nil"/>
              <w:bottom w:val="single" w:sz="16" w:space="0" w:color="000000"/>
            </w:tcBorders>
            <w:shd w:val="clear" w:color="auto" w:fill="FFFFFF"/>
            <w:vAlign w:val="center"/>
          </w:tcPr>
          <w:p w14:paraId="28A7F3D2"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162" w:type="dxa"/>
            <w:tcBorders>
              <w:top w:val="nil"/>
              <w:bottom w:val="single" w:sz="16" w:space="0" w:color="000000"/>
              <w:right w:val="single" w:sz="16" w:space="0" w:color="000000"/>
            </w:tcBorders>
            <w:shd w:val="clear" w:color="auto" w:fill="FFFFFF"/>
            <w:vAlign w:val="center"/>
          </w:tcPr>
          <w:p w14:paraId="4E417BD5" w14:textId="77777777" w:rsidR="004E76D6" w:rsidRPr="00CF3DDD" w:rsidRDefault="004E76D6"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r>
      <w:tr w:rsidR="004E76D6" w:rsidRPr="00CF3DDD" w14:paraId="55BB81F6" w14:textId="77777777" w:rsidTr="00AE454B">
        <w:trPr>
          <w:cantSplit/>
          <w:trHeight w:val="332"/>
        </w:trPr>
        <w:tc>
          <w:tcPr>
            <w:tcW w:w="7930" w:type="dxa"/>
            <w:gridSpan w:val="6"/>
            <w:tcBorders>
              <w:top w:val="nil"/>
              <w:left w:val="nil"/>
              <w:bottom w:val="nil"/>
              <w:right w:val="nil"/>
            </w:tcBorders>
            <w:shd w:val="clear" w:color="auto" w:fill="FFFFFF"/>
          </w:tcPr>
          <w:p w14:paraId="2C766989" w14:textId="77777777" w:rsidR="004E76D6" w:rsidRPr="00CF3DDD" w:rsidRDefault="004E76D6"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 Correlation is significant at the 0.01 level (2-tailed).</w:t>
            </w:r>
          </w:p>
        </w:tc>
      </w:tr>
    </w:tbl>
    <w:p w14:paraId="1575A85D" w14:textId="77777777" w:rsidR="00AE454B" w:rsidRPr="00CF3DDD" w:rsidRDefault="00AE454B" w:rsidP="00CF3DDD">
      <w:pPr>
        <w:spacing w:line="360" w:lineRule="auto"/>
        <w:rPr>
          <w:rFonts w:cs="Times New Roman"/>
          <w:szCs w:val="24"/>
        </w:rPr>
      </w:pPr>
      <w:r w:rsidRPr="00CF3DDD">
        <w:rPr>
          <w:rFonts w:cs="Times New Roman"/>
          <w:szCs w:val="24"/>
        </w:rPr>
        <w:t>Here,</w:t>
      </w:r>
    </w:p>
    <w:p w14:paraId="5DC8C423" w14:textId="77777777" w:rsidR="00AE454B" w:rsidRPr="00CF3DDD" w:rsidRDefault="00AE454B" w:rsidP="00CF3DDD">
      <w:pPr>
        <w:spacing w:line="360" w:lineRule="auto"/>
        <w:rPr>
          <w:rFonts w:cs="Times New Roman"/>
          <w:szCs w:val="24"/>
        </w:rPr>
      </w:pPr>
      <w:proofErr w:type="spellStart"/>
      <w:r w:rsidRPr="00CF3DDD">
        <w:rPr>
          <w:rFonts w:cs="Times New Roman"/>
          <w:szCs w:val="24"/>
        </w:rPr>
        <w:t>Avg</w:t>
      </w:r>
      <w:r w:rsidR="00D27B6B" w:rsidRPr="00CF3DDD">
        <w:rPr>
          <w:rFonts w:cs="Times New Roman"/>
          <w:szCs w:val="24"/>
        </w:rPr>
        <w:t>BE</w:t>
      </w:r>
      <w:proofErr w:type="spellEnd"/>
      <w:r w:rsidRPr="00CF3DDD">
        <w:rPr>
          <w:rFonts w:cs="Times New Roman"/>
          <w:szCs w:val="24"/>
        </w:rPr>
        <w:t xml:space="preserve">: </w:t>
      </w:r>
      <w:r w:rsidR="00D27B6B" w:rsidRPr="00CF3DDD">
        <w:rPr>
          <w:rFonts w:cs="Times New Roman"/>
          <w:szCs w:val="24"/>
        </w:rPr>
        <w:t>Brand Equity</w:t>
      </w:r>
    </w:p>
    <w:p w14:paraId="7A195013" w14:textId="77777777" w:rsidR="00AE454B" w:rsidRPr="00CF3DDD" w:rsidRDefault="00AE454B" w:rsidP="00CF3DDD">
      <w:pPr>
        <w:spacing w:line="360" w:lineRule="auto"/>
        <w:rPr>
          <w:rFonts w:cs="Times New Roman"/>
          <w:szCs w:val="24"/>
        </w:rPr>
      </w:pPr>
      <w:proofErr w:type="spellStart"/>
      <w:r w:rsidRPr="00CF3DDD">
        <w:rPr>
          <w:rFonts w:cs="Times New Roman"/>
          <w:szCs w:val="24"/>
        </w:rPr>
        <w:t>Avg</w:t>
      </w:r>
      <w:r w:rsidR="00D27B6B" w:rsidRPr="00CF3DDD">
        <w:rPr>
          <w:rFonts w:cs="Times New Roman"/>
          <w:szCs w:val="24"/>
        </w:rPr>
        <w:t>BT</w:t>
      </w:r>
      <w:proofErr w:type="spellEnd"/>
      <w:r w:rsidRPr="00CF3DDD">
        <w:rPr>
          <w:rFonts w:cs="Times New Roman"/>
          <w:szCs w:val="24"/>
        </w:rPr>
        <w:t>:</w:t>
      </w:r>
      <w:r w:rsidR="00D27B6B" w:rsidRPr="00CF3DDD">
        <w:rPr>
          <w:rFonts w:cs="Times New Roman"/>
          <w:szCs w:val="24"/>
        </w:rPr>
        <w:t xml:space="preserve"> Brand Trust</w:t>
      </w:r>
    </w:p>
    <w:p w14:paraId="3821CF2E" w14:textId="77777777" w:rsidR="00AE454B" w:rsidRPr="00CF3DDD" w:rsidRDefault="00AE454B" w:rsidP="00CF3DDD">
      <w:pPr>
        <w:spacing w:line="360" w:lineRule="auto"/>
        <w:rPr>
          <w:rFonts w:cs="Times New Roman"/>
          <w:szCs w:val="24"/>
        </w:rPr>
      </w:pPr>
      <w:proofErr w:type="spellStart"/>
      <w:r w:rsidRPr="00CF3DDD">
        <w:rPr>
          <w:rFonts w:cs="Times New Roman"/>
          <w:szCs w:val="24"/>
        </w:rPr>
        <w:t>Avg</w:t>
      </w:r>
      <w:r w:rsidR="00D27B6B" w:rsidRPr="00CF3DDD">
        <w:rPr>
          <w:rFonts w:cs="Times New Roman"/>
          <w:szCs w:val="24"/>
        </w:rPr>
        <w:t>BL</w:t>
      </w:r>
      <w:proofErr w:type="spellEnd"/>
      <w:r w:rsidRPr="00CF3DDD">
        <w:rPr>
          <w:rFonts w:cs="Times New Roman"/>
          <w:szCs w:val="24"/>
        </w:rPr>
        <w:t xml:space="preserve">: </w:t>
      </w:r>
      <w:r w:rsidR="00D27B6B" w:rsidRPr="00CF3DDD">
        <w:rPr>
          <w:rFonts w:cs="Times New Roman"/>
          <w:szCs w:val="24"/>
        </w:rPr>
        <w:t>Brand Love</w:t>
      </w:r>
    </w:p>
    <w:p w14:paraId="0415EF4E" w14:textId="77777777" w:rsidR="00AE454B" w:rsidRPr="00CF3DDD" w:rsidRDefault="00AE454B" w:rsidP="00CF3DDD">
      <w:pPr>
        <w:spacing w:line="360" w:lineRule="auto"/>
        <w:rPr>
          <w:rFonts w:cs="Times New Roman"/>
          <w:szCs w:val="24"/>
        </w:rPr>
      </w:pPr>
      <w:proofErr w:type="spellStart"/>
      <w:r w:rsidRPr="00CF3DDD">
        <w:rPr>
          <w:rFonts w:cs="Times New Roman"/>
          <w:szCs w:val="24"/>
        </w:rPr>
        <w:t>Avg</w:t>
      </w:r>
      <w:r w:rsidR="00D27B6B" w:rsidRPr="00CF3DDD">
        <w:rPr>
          <w:rFonts w:cs="Times New Roman"/>
          <w:szCs w:val="24"/>
        </w:rPr>
        <w:t>BLT</w:t>
      </w:r>
      <w:proofErr w:type="spellEnd"/>
      <w:r w:rsidRPr="00CF3DDD">
        <w:rPr>
          <w:rFonts w:cs="Times New Roman"/>
          <w:szCs w:val="24"/>
        </w:rPr>
        <w:t xml:space="preserve">: </w:t>
      </w:r>
      <w:r w:rsidR="00D27B6B" w:rsidRPr="00CF3DDD">
        <w:rPr>
          <w:rFonts w:cs="Times New Roman"/>
          <w:szCs w:val="24"/>
        </w:rPr>
        <w:t>Brand Loyalty</w:t>
      </w:r>
    </w:p>
    <w:p w14:paraId="588A43C6" w14:textId="77777777" w:rsidR="00D27B6B" w:rsidRPr="00CF3DDD" w:rsidRDefault="00D27B6B" w:rsidP="00CF3DDD">
      <w:pPr>
        <w:spacing w:line="360" w:lineRule="auto"/>
        <w:rPr>
          <w:rFonts w:cs="Times New Roman"/>
          <w:szCs w:val="24"/>
        </w:rPr>
      </w:pPr>
      <w:r>
        <w:t>The correlation the results indicate that AvgBE is positively correlated with AvgBT (r = .573, P&lt; 0.01),</w:t>
      </w:r>
    </w:p>
    <w:p w14:paraId="4B56E4DC" w14:textId="77777777" w:rsidR="00D27B6B" w:rsidRPr="00CF3DDD" w:rsidRDefault="00D27B6B" w:rsidP="00CF3DDD">
      <w:pPr>
        <w:spacing w:line="360" w:lineRule="auto"/>
        <w:rPr>
          <w:rFonts w:cs="Times New Roman"/>
          <w:szCs w:val="24"/>
        </w:rPr>
      </w:pPr>
      <w:proofErr w:type="spellStart"/>
      <w:r w:rsidRPr="00CF3DDD">
        <w:rPr>
          <w:rFonts w:cs="Times New Roman"/>
          <w:szCs w:val="24"/>
        </w:rPr>
        <w:t>Av</w:t>
      </w:r>
      <w:r w:rsidR="00EF2472" w:rsidRPr="00CF3DDD">
        <w:rPr>
          <w:rFonts w:cs="Times New Roman"/>
          <w:szCs w:val="24"/>
        </w:rPr>
        <w:t>g</w:t>
      </w:r>
      <w:r w:rsidRPr="00CF3DDD">
        <w:rPr>
          <w:rFonts w:cs="Times New Roman"/>
          <w:szCs w:val="24"/>
        </w:rPr>
        <w:t>B</w:t>
      </w:r>
      <w:r w:rsidR="00EF2472" w:rsidRPr="00CF3DDD">
        <w:rPr>
          <w:rFonts w:cs="Times New Roman"/>
          <w:szCs w:val="24"/>
        </w:rPr>
        <w:t>L</w:t>
      </w:r>
      <w:proofErr w:type="spellEnd"/>
      <w:r w:rsidRPr="00CF3DDD">
        <w:rPr>
          <w:rFonts w:cs="Times New Roman"/>
          <w:szCs w:val="24"/>
        </w:rPr>
        <w:t xml:space="preserve"> </w:t>
      </w:r>
      <w:proofErr w:type="gramStart"/>
      <w:r w:rsidRPr="00CF3DDD">
        <w:rPr>
          <w:rFonts w:cs="Times New Roman"/>
          <w:szCs w:val="24"/>
        </w:rPr>
        <w:t>( r</w:t>
      </w:r>
      <w:proofErr w:type="gramEnd"/>
      <w:r w:rsidRPr="00CF3DDD">
        <w:rPr>
          <w:rFonts w:cs="Times New Roman"/>
          <w:szCs w:val="24"/>
        </w:rPr>
        <w:t xml:space="preserve"> = </w:t>
      </w:r>
      <w:r w:rsidR="00EF2472" w:rsidRPr="00CF3DDD">
        <w:rPr>
          <w:rFonts w:cs="Times New Roman"/>
          <w:szCs w:val="24"/>
        </w:rPr>
        <w:t>.510</w:t>
      </w:r>
      <w:r w:rsidRPr="00CF3DDD">
        <w:rPr>
          <w:rFonts w:cs="Times New Roman"/>
          <w:szCs w:val="24"/>
        </w:rPr>
        <w:t xml:space="preserve">, P&lt;0.01) and </w:t>
      </w:r>
      <w:proofErr w:type="spellStart"/>
      <w:r w:rsidRPr="00CF3DDD">
        <w:rPr>
          <w:rFonts w:cs="Times New Roman"/>
          <w:szCs w:val="24"/>
        </w:rPr>
        <w:t>Avg</w:t>
      </w:r>
      <w:r w:rsidR="00EF2472" w:rsidRPr="00CF3DDD">
        <w:rPr>
          <w:rFonts w:cs="Times New Roman"/>
          <w:szCs w:val="24"/>
        </w:rPr>
        <w:t>BLT</w:t>
      </w:r>
      <w:proofErr w:type="spellEnd"/>
      <w:r w:rsidRPr="00CF3DDD">
        <w:rPr>
          <w:rFonts w:cs="Times New Roman"/>
          <w:szCs w:val="24"/>
        </w:rPr>
        <w:t xml:space="preserve">( r = </w:t>
      </w:r>
      <w:r w:rsidR="00EF2472" w:rsidRPr="00CF3DDD">
        <w:rPr>
          <w:rFonts w:cs="Times New Roman"/>
          <w:szCs w:val="24"/>
        </w:rPr>
        <w:t>.428</w:t>
      </w:r>
      <w:r w:rsidRPr="00CF3DDD">
        <w:rPr>
          <w:rFonts w:cs="Times New Roman"/>
          <w:szCs w:val="24"/>
        </w:rPr>
        <w:t>, P&lt;0.01).</w:t>
      </w:r>
    </w:p>
    <w:p w14:paraId="5F96B545" w14:textId="77777777" w:rsidR="00D27B6B" w:rsidRPr="00CF3DDD" w:rsidRDefault="00D27B6B" w:rsidP="00CF3DDD">
      <w:pPr>
        <w:spacing w:line="360" w:lineRule="auto"/>
        <w:rPr>
          <w:rFonts w:cs="Times New Roman"/>
          <w:szCs w:val="24"/>
        </w:rPr>
      </w:pPr>
      <w:r>
        <w:t>The correlation the results indicate that AvgBT is positively correlated with AvgBL ( r =0.547, P &lt;0.01)</w:t>
      </w:r>
    </w:p>
    <w:p w14:paraId="33B500BE" w14:textId="77777777" w:rsidR="00D27B6B" w:rsidRPr="00CF3DDD" w:rsidRDefault="00D27B6B" w:rsidP="00CF3DDD">
      <w:pPr>
        <w:spacing w:line="360" w:lineRule="auto"/>
        <w:rPr>
          <w:rFonts w:cs="Times New Roman"/>
          <w:szCs w:val="24"/>
        </w:rPr>
      </w:pPr>
      <w:r w:rsidRPr="00CF3DDD">
        <w:rPr>
          <w:rFonts w:cs="Times New Roman"/>
          <w:szCs w:val="24"/>
        </w:rPr>
        <w:t xml:space="preserve">And </w:t>
      </w:r>
      <w:proofErr w:type="spellStart"/>
      <w:proofErr w:type="gramStart"/>
      <w:r w:rsidRPr="00CF3DDD">
        <w:rPr>
          <w:rFonts w:cs="Times New Roman"/>
          <w:szCs w:val="24"/>
        </w:rPr>
        <w:t>Avg</w:t>
      </w:r>
      <w:r w:rsidR="00EF2472" w:rsidRPr="00CF3DDD">
        <w:rPr>
          <w:rFonts w:cs="Times New Roman"/>
          <w:szCs w:val="24"/>
        </w:rPr>
        <w:t>BLT</w:t>
      </w:r>
      <w:proofErr w:type="spellEnd"/>
      <w:r w:rsidRPr="00CF3DDD">
        <w:rPr>
          <w:rFonts w:cs="Times New Roman"/>
          <w:szCs w:val="24"/>
        </w:rPr>
        <w:t>(</w:t>
      </w:r>
      <w:proofErr w:type="gramEnd"/>
      <w:r w:rsidRPr="00CF3DDD">
        <w:rPr>
          <w:rFonts w:cs="Times New Roman"/>
          <w:szCs w:val="24"/>
        </w:rPr>
        <w:t>r = 0.</w:t>
      </w:r>
      <w:r w:rsidR="00EF2472" w:rsidRPr="00CF3DDD">
        <w:rPr>
          <w:rFonts w:cs="Times New Roman"/>
          <w:szCs w:val="24"/>
        </w:rPr>
        <w:t>494</w:t>
      </w:r>
      <w:r w:rsidRPr="00CF3DDD">
        <w:rPr>
          <w:rFonts w:cs="Times New Roman"/>
          <w:szCs w:val="24"/>
        </w:rPr>
        <w:t>, P &lt;0.01) .</w:t>
      </w:r>
    </w:p>
    <w:p w14:paraId="41EA4959" w14:textId="77777777" w:rsidR="00D27B6B" w:rsidRPr="00CF3DDD" w:rsidRDefault="00D27B6B" w:rsidP="00CF3DDD">
      <w:pPr>
        <w:spacing w:line="360" w:lineRule="auto"/>
        <w:rPr>
          <w:rFonts w:cs="Times New Roman"/>
          <w:szCs w:val="24"/>
        </w:rPr>
      </w:pPr>
      <w:r>
        <w:lastRenderedPageBreak/>
        <w:t>The correlation the results indicate that AvgBL is positively correlated with AvgBLT (r = 0.667, P &lt; 0.01).</w:t>
      </w:r>
    </w:p>
    <w:p w14:paraId="540CAA61" w14:textId="77777777" w:rsidR="00156410" w:rsidRPr="00CF3DDD" w:rsidRDefault="00156410" w:rsidP="00CF3DDD">
      <w:pPr>
        <w:spacing w:line="360" w:lineRule="auto"/>
        <w:rPr>
          <w:rFonts w:cs="Times New Roman"/>
          <w:szCs w:val="24"/>
        </w:rPr>
      </w:pPr>
    </w:p>
    <w:p w14:paraId="04F13D48" w14:textId="77777777" w:rsidR="003036D6" w:rsidRPr="00CF3DDD" w:rsidRDefault="00AD3047" w:rsidP="00CF3DDD">
      <w:pPr>
        <w:pStyle w:val="Heading3"/>
        <w:spacing w:line="360" w:lineRule="auto"/>
      </w:pPr>
      <w:bookmarkStart w:id="97" w:name="_Toc209310643"/>
      <w:r w:rsidRPr="00CF3DDD">
        <w:t>4.</w:t>
      </w:r>
      <w:r w:rsidR="00DB532D" w:rsidRPr="00CF3DDD">
        <w:t>8</w:t>
      </w:r>
      <w:r w:rsidRPr="00CF3DDD">
        <w:t xml:space="preserve">.1 </w:t>
      </w:r>
      <w:r w:rsidR="00206AA8" w:rsidRPr="00CF3DDD">
        <w:t>Interpretation of Correlation Results</w:t>
      </w:r>
      <w:bookmarkEnd w:id="97"/>
    </w:p>
    <w:p w14:paraId="35C8B82B" w14:textId="77777777" w:rsidR="00F95699" w:rsidRPr="00CF3DDD" w:rsidRDefault="00F95699" w:rsidP="00CF3DDD">
      <w:pPr>
        <w:pStyle w:val="NormalWeb"/>
        <w:spacing w:line="360" w:lineRule="auto"/>
      </w:pPr>
      <w:r>
        <w:t>Firstly, Brand Equity (AvgBE) demonstrated a moderate positive correlation with Brand Trust (AvgBT) (r = 0.573, p &lt; 0.01), suggesting that as consumers’ perceptions of brand equity increase, their level of trust in the brand altherefore strengthens. Similarly, AvgBE was positively correlated with Brand Love (AvgBL) (r = 0.510, p &lt; 0.01) and Brand Loyalty (AvgBLT) (r = 0.428, p &lt; 0.01). These results indicate that strong brand equity not only fosters trust however altherefore plays a vital role in cultivating emotional attachment (brand love) and long-term loyalty, although the effect is comparatively weaker on loyalty than on trust and love.</w:t>
      </w:r>
    </w:p>
    <w:p w14:paraId="704E0842" w14:textId="77777777" w:rsidR="00F95699" w:rsidRPr="00CF3DDD" w:rsidRDefault="00F95699" w:rsidP="00CF3DDD">
      <w:pPr>
        <w:pStyle w:val="NormalWeb"/>
        <w:spacing w:line="360" w:lineRule="auto"/>
      </w:pPr>
      <w:r w:rsidRPr="00CF3DDD">
        <w:t>Secondly, Brand Trust (</w:t>
      </w:r>
      <w:proofErr w:type="spellStart"/>
      <w:r w:rsidRPr="00CF3DDD">
        <w:t>AvgBT</w:t>
      </w:r>
      <w:proofErr w:type="spellEnd"/>
      <w:r w:rsidRPr="00CF3DDD">
        <w:t>) was found to have a moderate positive correlation with Brand Love (</w:t>
      </w:r>
      <w:proofErr w:type="spellStart"/>
      <w:r w:rsidRPr="00CF3DDD">
        <w:t>AvgBL</w:t>
      </w:r>
      <w:proofErr w:type="spellEnd"/>
      <w:r w:rsidRPr="00CF3DDD">
        <w:t>) (r = 0.547, p &lt; 0.01) and Brand Loyalty (</w:t>
      </w:r>
      <w:proofErr w:type="spellStart"/>
      <w:r w:rsidRPr="00CF3DDD">
        <w:t>AvgBLT</w:t>
      </w:r>
      <w:proofErr w:type="spellEnd"/>
      <w:r w:rsidRPr="00CF3DDD">
        <w:t xml:space="preserve">) (r = 0.494, p &lt; 0.01). This implies that higher levels of trust in a brand are likely to enhance emotional connection with the brand and increase the likelihood of repeat purchases and loyalty </w:t>
      </w:r>
      <w:proofErr w:type="spellStart"/>
      <w:r w:rsidRPr="00CF3DDD">
        <w:t>behaviours</w:t>
      </w:r>
      <w:proofErr w:type="spellEnd"/>
      <w:r w:rsidRPr="00CF3DDD">
        <w:t>.</w:t>
      </w:r>
    </w:p>
    <w:p w14:paraId="7C9FC67B" w14:textId="77777777" w:rsidR="00D27B6B" w:rsidRPr="00CF3DDD" w:rsidRDefault="00F95699" w:rsidP="00CF3DDD">
      <w:pPr>
        <w:pStyle w:val="NormalWeb"/>
        <w:spacing w:line="360" w:lineRule="auto"/>
      </w:pPr>
      <w:r w:rsidRPr="00CF3DDD">
        <w:t xml:space="preserve">Lastly, the strongest association was observed between </w:t>
      </w:r>
      <w:r w:rsidRPr="00CF3DDD">
        <w:rPr>
          <w:rStyle w:val="Strong"/>
        </w:rPr>
        <w:t>Brand Love (</w:t>
      </w:r>
      <w:proofErr w:type="spellStart"/>
      <w:r w:rsidRPr="00CF3DDD">
        <w:rPr>
          <w:rStyle w:val="Strong"/>
        </w:rPr>
        <w:t>AvgBL</w:t>
      </w:r>
      <w:proofErr w:type="spellEnd"/>
      <w:r w:rsidRPr="00CF3DDD">
        <w:rPr>
          <w:rStyle w:val="Strong"/>
        </w:rPr>
        <w:t>)</w:t>
      </w:r>
      <w:r w:rsidRPr="00CF3DDD">
        <w:t xml:space="preserve"> and </w:t>
      </w:r>
      <w:r w:rsidRPr="00CF3DDD">
        <w:rPr>
          <w:rStyle w:val="Strong"/>
        </w:rPr>
        <w:t>Brand Loyalty (</w:t>
      </w:r>
      <w:proofErr w:type="spellStart"/>
      <w:r w:rsidRPr="00CF3DDD">
        <w:rPr>
          <w:rStyle w:val="Strong"/>
        </w:rPr>
        <w:t>AvgBLT</w:t>
      </w:r>
      <w:proofErr w:type="spellEnd"/>
      <w:r w:rsidRPr="00CF3DDD">
        <w:rPr>
          <w:rStyle w:val="Strong"/>
        </w:rPr>
        <w:t>)</w:t>
      </w:r>
      <w:r w:rsidRPr="00CF3DDD">
        <w:t xml:space="preserve"> (r = 0.667, p &lt; 0.01), indicating a </w:t>
      </w:r>
      <w:r w:rsidRPr="00CF3DDD">
        <w:rPr>
          <w:rStyle w:val="Strong"/>
        </w:rPr>
        <w:t>strong positive correlation</w:t>
      </w:r>
      <w:r w:rsidRPr="00CF3DDD">
        <w:t>. This finding suggests that consumers who develop an emotional attachment and affection toward a brand are much more likely to remain loyal to it over time.</w:t>
      </w:r>
    </w:p>
    <w:p w14:paraId="188E5C4A" w14:textId="77777777" w:rsidR="00206AA8" w:rsidRPr="00CF3DDD" w:rsidRDefault="00AD3047" w:rsidP="00CF3DDD">
      <w:pPr>
        <w:pStyle w:val="Heading2"/>
        <w:spacing w:line="360" w:lineRule="auto"/>
      </w:pPr>
      <w:bookmarkStart w:id="98" w:name="_Toc209310644"/>
      <w:r w:rsidRPr="00CF3DDD">
        <w:t>4.</w:t>
      </w:r>
      <w:r w:rsidR="00DB532D" w:rsidRPr="00CF3DDD">
        <w:t>9</w:t>
      </w:r>
      <w:r w:rsidRPr="00CF3DDD">
        <w:t xml:space="preserve"> </w:t>
      </w:r>
      <w:r w:rsidR="00206AA8" w:rsidRPr="00CF3DDD">
        <w:t>Regression Analysis and Hypothesis Testing:</w:t>
      </w:r>
      <w:bookmarkEnd w:id="98"/>
    </w:p>
    <w:p w14:paraId="2877433F" w14:textId="77777777" w:rsidR="00874AE7" w:rsidRPr="00CF3DDD" w:rsidRDefault="00874AE7" w:rsidP="00CF3DDD">
      <w:pPr>
        <w:spacing w:line="360" w:lineRule="auto"/>
        <w:rPr>
          <w:rFonts w:cs="Times New Roman"/>
          <w:szCs w:val="24"/>
        </w:rPr>
      </w:pPr>
      <w:r w:rsidRPr="00CF3DDD">
        <w:rPr>
          <w:rFonts w:cs="Times New Roman"/>
          <w:szCs w:val="24"/>
        </w:rPr>
        <w:t>Regression analysis was applied to examine the predictive relationships between the study variables and to determine the extent to which independent variables explained variations in the dependent variable. This step helped in quantifying the impact of brand equity, brand trust, and brand love on brand loyalty. Following this, hypothesis testing was carried out to evaluate whether the proposed theoretical relationships were statistically supported, thereby validating the conceptual framework of the study.</w:t>
      </w:r>
    </w:p>
    <w:p w14:paraId="025BA2DB" w14:textId="77777777" w:rsidR="00A61163" w:rsidRPr="00CF3DDD" w:rsidRDefault="00A61163" w:rsidP="00CF3DDD">
      <w:pPr>
        <w:pStyle w:val="NormalWeb"/>
        <w:spacing w:line="360" w:lineRule="auto"/>
        <w:rPr>
          <w:rFonts w:eastAsia="Arial"/>
          <w:highlight w:val="cyan"/>
          <w:lang w:val="en"/>
        </w:rPr>
      </w:pPr>
      <w:bookmarkStart w:id="99" w:name="_Toc204565917"/>
      <w:bookmarkStart w:id="100" w:name="_Hlk207574724"/>
      <w:bookmarkStart w:id="101" w:name="_Hlk207575045"/>
      <w:r w:rsidRPr="00CF3DDD">
        <w:rPr>
          <w:rFonts w:eastAsia="Arial"/>
          <w:highlight w:val="cyan"/>
          <w:lang w:val="en"/>
        </w:rPr>
        <w:lastRenderedPageBreak/>
        <w:t>H1: Brand Equity positively affects Brand Loyalty</w:t>
      </w:r>
      <w:bookmarkEnd w:id="99"/>
      <w:r w:rsidRPr="00CF3DDD">
        <w:rPr>
          <w:rFonts w:eastAsia="Arial"/>
          <w:highlight w:val="cyan"/>
          <w:lang w:val="en"/>
        </w:rPr>
        <w:t>.</w:t>
      </w:r>
      <w:bookmarkEnd w:id="100"/>
    </w:p>
    <w:p w14:paraId="10834C4E" w14:textId="77777777" w:rsidR="00A61163" w:rsidRPr="00CF3DDD" w:rsidRDefault="00252280" w:rsidP="00CF3DDD">
      <w:pPr>
        <w:pStyle w:val="NormalWeb"/>
        <w:spacing w:line="360" w:lineRule="auto"/>
        <w:rPr>
          <w:rFonts w:eastAsia="Arial"/>
          <w:highlight w:val="cyan"/>
          <w:lang w:val="en"/>
        </w:rPr>
      </w:pPr>
      <w:r w:rsidRPr="00CF3DDD">
        <w:rPr>
          <w:rFonts w:eastAsia="Arial"/>
          <w:highlight w:val="cyan"/>
          <w:lang w:val="en"/>
        </w:rPr>
        <w:t>H</w:t>
      </w:r>
      <w:r w:rsidR="00DC15F5" w:rsidRPr="00CF3DDD">
        <w:rPr>
          <w:rFonts w:eastAsia="Arial"/>
          <w:highlight w:val="cyan"/>
          <w:lang w:val="en"/>
        </w:rPr>
        <w:t>2</w:t>
      </w:r>
      <w:r w:rsidRPr="00CF3DDD">
        <w:rPr>
          <w:rFonts w:eastAsia="Arial"/>
          <w:highlight w:val="cyan"/>
          <w:lang w:val="en"/>
        </w:rPr>
        <w:t xml:space="preserve">: Brand </w:t>
      </w:r>
      <w:r w:rsidR="00DC15F5" w:rsidRPr="00CF3DDD">
        <w:rPr>
          <w:rFonts w:eastAsia="Arial"/>
          <w:highlight w:val="cyan"/>
          <w:lang w:val="en"/>
        </w:rPr>
        <w:t>Equity</w:t>
      </w:r>
      <w:r w:rsidRPr="00CF3DDD">
        <w:rPr>
          <w:rFonts w:eastAsia="Arial"/>
          <w:highlight w:val="cyan"/>
          <w:lang w:val="en"/>
        </w:rPr>
        <w:t xml:space="preserve"> positively affects Brand </w:t>
      </w:r>
      <w:r w:rsidR="00DC15F5" w:rsidRPr="00CF3DDD">
        <w:rPr>
          <w:rFonts w:eastAsia="Arial"/>
          <w:highlight w:val="cyan"/>
          <w:lang w:val="en"/>
        </w:rPr>
        <w:t>Trust.</w:t>
      </w:r>
      <w:bookmarkEnd w:id="101"/>
    </w:p>
    <w:p w14:paraId="18130E47" w14:textId="77777777" w:rsidR="00DC15F5" w:rsidRPr="00CF3DDD" w:rsidRDefault="00DC15F5" w:rsidP="00CF3DDD">
      <w:pPr>
        <w:pStyle w:val="NormalWeb"/>
        <w:spacing w:line="360" w:lineRule="auto"/>
        <w:rPr>
          <w:rFonts w:eastAsia="Arial"/>
          <w:highlight w:val="cyan"/>
          <w:lang w:val="en"/>
        </w:rPr>
      </w:pPr>
      <w:r w:rsidRPr="00CF3DDD">
        <w:rPr>
          <w:rFonts w:eastAsia="Arial"/>
          <w:highlight w:val="cyan"/>
          <w:lang w:val="en"/>
        </w:rPr>
        <w:t>H3: Brand Equity positively affects Brand Loyalty.</w:t>
      </w:r>
    </w:p>
    <w:p w14:paraId="2E177E47" w14:textId="77777777" w:rsidR="00A61163" w:rsidRPr="00CF3DDD" w:rsidRDefault="00A61163" w:rsidP="00CF3DDD">
      <w:pPr>
        <w:pStyle w:val="NormalWeb"/>
        <w:spacing w:line="360" w:lineRule="auto"/>
        <w:rPr>
          <w:rFonts w:eastAsiaTheme="minorHAnsi"/>
          <w:b/>
          <w:bCs/>
          <w:i/>
          <w:iCs/>
        </w:rPr>
      </w:pPr>
      <w:r w:rsidRPr="00CF3DDD">
        <w:rPr>
          <w:rFonts w:eastAsiaTheme="minorHAnsi"/>
          <w:b/>
          <w:bCs/>
          <w:i/>
          <w:iCs/>
        </w:rPr>
        <w:t>The detail figures of hypothesis testing are given in the index</w:t>
      </w:r>
    </w:p>
    <w:p w14:paraId="56544461" w14:textId="77777777" w:rsidR="009E3713" w:rsidRPr="00CF3DDD" w:rsidRDefault="00DB532D" w:rsidP="00CF3DDD">
      <w:pPr>
        <w:pStyle w:val="Heading2"/>
        <w:spacing w:line="360" w:lineRule="auto"/>
      </w:pPr>
      <w:bookmarkStart w:id="102" w:name="_Toc209310645"/>
      <w:r w:rsidRPr="00CF3DDD">
        <w:t xml:space="preserve">4.9.1 </w:t>
      </w:r>
      <w:r w:rsidR="00FF7214" w:rsidRPr="00CF3DDD">
        <w:t>Overall Result of Hypothesis testing:</w:t>
      </w:r>
      <w:bookmarkEnd w:id="102"/>
    </w:p>
    <w:p w14:paraId="79D02E3A" w14:textId="77777777" w:rsidR="00FF7214" w:rsidRPr="00CF3DDD" w:rsidRDefault="00FF7214" w:rsidP="00CF3DDD">
      <w:pPr>
        <w:autoSpaceDE w:val="0"/>
        <w:autoSpaceDN w:val="0"/>
        <w:adjustRightInd w:val="0"/>
        <w:spacing w:after="0" w:line="360" w:lineRule="auto"/>
        <w:rPr>
          <w:rFonts w:cs="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1585"/>
        <w:gridCol w:w="1870"/>
        <w:gridCol w:w="1870"/>
        <w:gridCol w:w="1870"/>
      </w:tblGrid>
      <w:tr w:rsidR="009E3713" w:rsidRPr="00CF3DDD" w14:paraId="27F6504C" w14:textId="77777777" w:rsidTr="007164DD">
        <w:tc>
          <w:tcPr>
            <w:tcW w:w="2155" w:type="dxa"/>
          </w:tcPr>
          <w:p w14:paraId="428A63FA" w14:textId="77777777" w:rsidR="009E3713" w:rsidRPr="00CF3DDD" w:rsidRDefault="009E3713" w:rsidP="00CF3DDD">
            <w:pPr>
              <w:spacing w:line="360" w:lineRule="auto"/>
              <w:rPr>
                <w:rFonts w:cs="Times New Roman"/>
                <w:b/>
                <w:bCs/>
                <w:szCs w:val="24"/>
              </w:rPr>
            </w:pPr>
            <w:r w:rsidRPr="00CF3DDD">
              <w:rPr>
                <w:rFonts w:cs="Times New Roman"/>
                <w:b/>
                <w:bCs/>
                <w:szCs w:val="24"/>
              </w:rPr>
              <w:t>Hypothesis</w:t>
            </w:r>
          </w:p>
        </w:tc>
        <w:tc>
          <w:tcPr>
            <w:tcW w:w="1585" w:type="dxa"/>
          </w:tcPr>
          <w:p w14:paraId="522A3FDE" w14:textId="77777777" w:rsidR="009E3713" w:rsidRPr="00CF3DDD" w:rsidRDefault="009E3713" w:rsidP="00CF3DDD">
            <w:pPr>
              <w:spacing w:line="360" w:lineRule="auto"/>
              <w:rPr>
                <w:rFonts w:cs="Times New Roman"/>
                <w:b/>
                <w:bCs/>
                <w:szCs w:val="24"/>
              </w:rPr>
            </w:pPr>
            <w:r w:rsidRPr="00CF3DDD">
              <w:rPr>
                <w:rFonts w:cs="Times New Roman"/>
                <w:b/>
                <w:bCs/>
                <w:szCs w:val="24"/>
              </w:rPr>
              <w:t>β</w:t>
            </w:r>
          </w:p>
        </w:tc>
        <w:tc>
          <w:tcPr>
            <w:tcW w:w="1870" w:type="dxa"/>
          </w:tcPr>
          <w:p w14:paraId="39E0FD84" w14:textId="77777777" w:rsidR="009E3713" w:rsidRPr="00CF3DDD" w:rsidRDefault="009E3713" w:rsidP="00CF3DDD">
            <w:pPr>
              <w:spacing w:line="360" w:lineRule="auto"/>
              <w:rPr>
                <w:rFonts w:cs="Times New Roman"/>
                <w:b/>
                <w:bCs/>
                <w:szCs w:val="24"/>
              </w:rPr>
            </w:pPr>
            <w:r w:rsidRPr="00CF3DDD">
              <w:rPr>
                <w:rFonts w:cs="Times New Roman"/>
                <w:b/>
                <w:bCs/>
                <w:szCs w:val="24"/>
              </w:rPr>
              <w:t>R²</w:t>
            </w:r>
          </w:p>
        </w:tc>
        <w:tc>
          <w:tcPr>
            <w:tcW w:w="1870" w:type="dxa"/>
          </w:tcPr>
          <w:p w14:paraId="076A90F1" w14:textId="77777777" w:rsidR="009E3713" w:rsidRPr="00CF3DDD" w:rsidRDefault="009E3713" w:rsidP="00CF3DDD">
            <w:pPr>
              <w:spacing w:line="360" w:lineRule="auto"/>
              <w:rPr>
                <w:rFonts w:cs="Times New Roman"/>
                <w:b/>
                <w:bCs/>
                <w:szCs w:val="24"/>
              </w:rPr>
            </w:pPr>
            <w:r w:rsidRPr="00CF3DDD">
              <w:rPr>
                <w:rFonts w:cs="Times New Roman"/>
                <w:b/>
                <w:bCs/>
                <w:szCs w:val="24"/>
              </w:rPr>
              <w:t>P</w:t>
            </w:r>
          </w:p>
        </w:tc>
        <w:tc>
          <w:tcPr>
            <w:tcW w:w="1870" w:type="dxa"/>
          </w:tcPr>
          <w:p w14:paraId="1E4714D1" w14:textId="77777777" w:rsidR="009E3713" w:rsidRPr="00CF3DDD" w:rsidRDefault="009E3713" w:rsidP="00CF3DDD">
            <w:pPr>
              <w:spacing w:line="360" w:lineRule="auto"/>
              <w:rPr>
                <w:rFonts w:cs="Times New Roman"/>
                <w:b/>
                <w:bCs/>
                <w:szCs w:val="24"/>
              </w:rPr>
            </w:pPr>
            <w:r w:rsidRPr="00CF3DDD">
              <w:rPr>
                <w:rFonts w:cs="Times New Roman"/>
                <w:b/>
                <w:bCs/>
                <w:szCs w:val="24"/>
              </w:rPr>
              <w:t>Result</w:t>
            </w:r>
          </w:p>
        </w:tc>
      </w:tr>
      <w:tr w:rsidR="009E3713" w:rsidRPr="00CF3DDD" w14:paraId="207BF184" w14:textId="77777777" w:rsidTr="007164DD">
        <w:tc>
          <w:tcPr>
            <w:tcW w:w="2155" w:type="dxa"/>
          </w:tcPr>
          <w:p w14:paraId="2F733A31" w14:textId="77777777" w:rsidR="009E3713" w:rsidRPr="00CF3DDD" w:rsidRDefault="009E3713" w:rsidP="00CF3DDD">
            <w:pPr>
              <w:spacing w:line="360" w:lineRule="auto"/>
              <w:rPr>
                <w:rFonts w:cs="Times New Roman"/>
                <w:szCs w:val="24"/>
              </w:rPr>
            </w:pPr>
            <w:proofErr w:type="spellStart"/>
            <w:r w:rsidRPr="00CF3DDD">
              <w:rPr>
                <w:rFonts w:cs="Times New Roman"/>
                <w:szCs w:val="24"/>
              </w:rPr>
              <w:t>AvgBE</w:t>
            </w:r>
            <w:proofErr w:type="spellEnd"/>
            <w:r w:rsidR="00616533" w:rsidRPr="00CF3DDD">
              <w:rPr>
                <w:rFonts w:cs="Times New Roman"/>
                <w:szCs w:val="24"/>
              </w:rPr>
              <w:t>—</w:t>
            </w:r>
            <w:proofErr w:type="spellStart"/>
            <w:r w:rsidRPr="00CF3DDD">
              <w:rPr>
                <w:rFonts w:cs="Times New Roman"/>
                <w:szCs w:val="24"/>
              </w:rPr>
              <w:t>AvgBLT</w:t>
            </w:r>
            <w:proofErr w:type="spellEnd"/>
          </w:p>
        </w:tc>
        <w:tc>
          <w:tcPr>
            <w:tcW w:w="1585" w:type="dxa"/>
          </w:tcPr>
          <w:p w14:paraId="728C47AF" w14:textId="77777777" w:rsidR="009E3713" w:rsidRPr="00CF3DDD" w:rsidRDefault="00616533" w:rsidP="00CF3DDD">
            <w:pPr>
              <w:spacing w:line="360" w:lineRule="auto"/>
              <w:rPr>
                <w:rFonts w:cs="Times New Roman"/>
                <w:szCs w:val="24"/>
              </w:rPr>
            </w:pPr>
            <w:r w:rsidRPr="00CF3DDD">
              <w:rPr>
                <w:rFonts w:cs="Times New Roman"/>
                <w:szCs w:val="24"/>
              </w:rPr>
              <w:t>0.380</w:t>
            </w:r>
          </w:p>
        </w:tc>
        <w:tc>
          <w:tcPr>
            <w:tcW w:w="1870" w:type="dxa"/>
          </w:tcPr>
          <w:p w14:paraId="0AA6F545" w14:textId="77777777" w:rsidR="009E3713" w:rsidRPr="00CF3DDD" w:rsidRDefault="009E3713" w:rsidP="00CF3DDD">
            <w:pPr>
              <w:spacing w:line="360" w:lineRule="auto"/>
              <w:rPr>
                <w:rFonts w:cs="Times New Roman"/>
                <w:szCs w:val="24"/>
              </w:rPr>
            </w:pPr>
            <w:r w:rsidRPr="00CF3DDD">
              <w:rPr>
                <w:rFonts w:cs="Times New Roman"/>
                <w:szCs w:val="24"/>
              </w:rPr>
              <w:t>0.</w:t>
            </w:r>
            <w:r w:rsidR="00616533" w:rsidRPr="00CF3DDD">
              <w:rPr>
                <w:rFonts w:cs="Times New Roman"/>
                <w:szCs w:val="24"/>
              </w:rPr>
              <w:t>183</w:t>
            </w:r>
          </w:p>
        </w:tc>
        <w:tc>
          <w:tcPr>
            <w:tcW w:w="1870" w:type="dxa"/>
          </w:tcPr>
          <w:p w14:paraId="421C12BC" w14:textId="77777777" w:rsidR="009E3713" w:rsidRPr="00CF3DDD" w:rsidRDefault="00616533" w:rsidP="00CF3DDD">
            <w:pPr>
              <w:spacing w:line="360" w:lineRule="auto"/>
              <w:rPr>
                <w:rFonts w:cs="Times New Roman"/>
                <w:szCs w:val="24"/>
              </w:rPr>
            </w:pPr>
            <w:r w:rsidRPr="00CF3DDD">
              <w:rPr>
                <w:rFonts w:cs="Times New Roman"/>
                <w:szCs w:val="24"/>
              </w:rPr>
              <w:t>0.000</w:t>
            </w:r>
          </w:p>
        </w:tc>
        <w:tc>
          <w:tcPr>
            <w:tcW w:w="1870" w:type="dxa"/>
          </w:tcPr>
          <w:p w14:paraId="4A0798C1" w14:textId="77777777" w:rsidR="009E3713" w:rsidRPr="00CF3DDD" w:rsidRDefault="00E42BAA" w:rsidP="00CF3DDD">
            <w:pPr>
              <w:spacing w:line="360" w:lineRule="auto"/>
              <w:rPr>
                <w:rFonts w:cs="Times New Roman"/>
                <w:b/>
                <w:bCs/>
                <w:szCs w:val="24"/>
              </w:rPr>
            </w:pPr>
            <w:r w:rsidRPr="00CF3DDD">
              <w:rPr>
                <w:rFonts w:cs="Times New Roman"/>
                <w:b/>
                <w:bCs/>
                <w:szCs w:val="24"/>
              </w:rPr>
              <w:t>Accepted</w:t>
            </w:r>
          </w:p>
        </w:tc>
      </w:tr>
      <w:tr w:rsidR="009E3713" w:rsidRPr="00CF3DDD" w14:paraId="26975B4E" w14:textId="77777777" w:rsidTr="007164DD">
        <w:tc>
          <w:tcPr>
            <w:tcW w:w="2155" w:type="dxa"/>
          </w:tcPr>
          <w:p w14:paraId="4DED20C8" w14:textId="77777777" w:rsidR="009E3713" w:rsidRPr="00CF3DDD" w:rsidRDefault="009E3713" w:rsidP="00CF3DDD">
            <w:pPr>
              <w:spacing w:line="360" w:lineRule="auto"/>
              <w:rPr>
                <w:rFonts w:cs="Times New Roman"/>
                <w:szCs w:val="24"/>
              </w:rPr>
            </w:pPr>
            <w:proofErr w:type="spellStart"/>
            <w:r w:rsidRPr="00CF3DDD">
              <w:rPr>
                <w:rFonts w:cs="Times New Roman"/>
                <w:szCs w:val="24"/>
              </w:rPr>
              <w:t>Avg</w:t>
            </w:r>
            <w:r w:rsidR="00616533" w:rsidRPr="00CF3DDD">
              <w:rPr>
                <w:rFonts w:cs="Times New Roman"/>
                <w:szCs w:val="24"/>
              </w:rPr>
              <w:t>BE</w:t>
            </w:r>
            <w:proofErr w:type="spellEnd"/>
            <w:r w:rsidRPr="00CF3DDD">
              <w:rPr>
                <w:rFonts w:cs="Times New Roman"/>
                <w:szCs w:val="24"/>
              </w:rPr>
              <w:t>--</w:t>
            </w:r>
            <w:proofErr w:type="spellStart"/>
            <w:r w:rsidRPr="00CF3DDD">
              <w:rPr>
                <w:rFonts w:cs="Times New Roman"/>
                <w:szCs w:val="24"/>
              </w:rPr>
              <w:t>Avg</w:t>
            </w:r>
            <w:r w:rsidR="00616533" w:rsidRPr="00CF3DDD">
              <w:rPr>
                <w:rFonts w:cs="Times New Roman"/>
                <w:szCs w:val="24"/>
              </w:rPr>
              <w:t>BT</w:t>
            </w:r>
            <w:proofErr w:type="spellEnd"/>
          </w:p>
        </w:tc>
        <w:tc>
          <w:tcPr>
            <w:tcW w:w="1585" w:type="dxa"/>
          </w:tcPr>
          <w:p w14:paraId="1D0F6B9B" w14:textId="77777777" w:rsidR="009E3713" w:rsidRPr="00CF3DDD" w:rsidRDefault="00616533" w:rsidP="00CF3DDD">
            <w:pPr>
              <w:spacing w:line="360" w:lineRule="auto"/>
              <w:rPr>
                <w:rFonts w:cs="Times New Roman"/>
                <w:szCs w:val="24"/>
              </w:rPr>
            </w:pPr>
            <w:r w:rsidRPr="00CF3DDD">
              <w:rPr>
                <w:rFonts w:cs="Times New Roman"/>
                <w:szCs w:val="24"/>
              </w:rPr>
              <w:t>0.545</w:t>
            </w:r>
          </w:p>
        </w:tc>
        <w:tc>
          <w:tcPr>
            <w:tcW w:w="1870" w:type="dxa"/>
          </w:tcPr>
          <w:p w14:paraId="739FCFB4" w14:textId="77777777" w:rsidR="009E3713" w:rsidRPr="00CF3DDD" w:rsidRDefault="009E3713" w:rsidP="00CF3DDD">
            <w:pPr>
              <w:spacing w:line="360" w:lineRule="auto"/>
              <w:rPr>
                <w:rFonts w:cs="Times New Roman"/>
                <w:szCs w:val="24"/>
              </w:rPr>
            </w:pPr>
            <w:r w:rsidRPr="00CF3DDD">
              <w:rPr>
                <w:rFonts w:cs="Times New Roman"/>
                <w:szCs w:val="24"/>
              </w:rPr>
              <w:t>0.</w:t>
            </w:r>
            <w:r w:rsidR="00616533" w:rsidRPr="00CF3DDD">
              <w:rPr>
                <w:rFonts w:cs="Times New Roman"/>
                <w:szCs w:val="24"/>
              </w:rPr>
              <w:t>329</w:t>
            </w:r>
          </w:p>
        </w:tc>
        <w:tc>
          <w:tcPr>
            <w:tcW w:w="1870" w:type="dxa"/>
          </w:tcPr>
          <w:p w14:paraId="54F027A6" w14:textId="77777777" w:rsidR="009E3713" w:rsidRPr="00CF3DDD" w:rsidRDefault="009E3713" w:rsidP="00CF3DDD">
            <w:pPr>
              <w:spacing w:line="360" w:lineRule="auto"/>
              <w:rPr>
                <w:rFonts w:cs="Times New Roman"/>
                <w:szCs w:val="24"/>
              </w:rPr>
            </w:pPr>
            <w:r w:rsidRPr="00CF3DDD">
              <w:rPr>
                <w:rFonts w:cs="Times New Roman"/>
                <w:szCs w:val="24"/>
              </w:rPr>
              <w:t>0.007</w:t>
            </w:r>
          </w:p>
        </w:tc>
        <w:tc>
          <w:tcPr>
            <w:tcW w:w="1870" w:type="dxa"/>
          </w:tcPr>
          <w:p w14:paraId="1C2DDD81" w14:textId="77777777" w:rsidR="009E3713" w:rsidRPr="00CF3DDD" w:rsidRDefault="009E3713" w:rsidP="00CF3DDD">
            <w:pPr>
              <w:spacing w:line="360" w:lineRule="auto"/>
              <w:rPr>
                <w:rFonts w:cs="Times New Roman"/>
                <w:b/>
                <w:bCs/>
                <w:szCs w:val="24"/>
              </w:rPr>
            </w:pPr>
            <w:r w:rsidRPr="00CF3DDD">
              <w:rPr>
                <w:rFonts w:cs="Times New Roman"/>
                <w:b/>
                <w:bCs/>
                <w:szCs w:val="24"/>
              </w:rPr>
              <w:t>Accepted</w:t>
            </w:r>
          </w:p>
        </w:tc>
      </w:tr>
      <w:tr w:rsidR="009E3713" w:rsidRPr="00CF3DDD" w14:paraId="6AAB7E5B" w14:textId="77777777" w:rsidTr="007164DD">
        <w:tc>
          <w:tcPr>
            <w:tcW w:w="2155" w:type="dxa"/>
          </w:tcPr>
          <w:p w14:paraId="17969714" w14:textId="77777777" w:rsidR="009E3713" w:rsidRPr="00CF3DDD" w:rsidRDefault="009E3713" w:rsidP="00CF3DDD">
            <w:pPr>
              <w:spacing w:line="360" w:lineRule="auto"/>
              <w:rPr>
                <w:rFonts w:cs="Times New Roman"/>
                <w:szCs w:val="24"/>
              </w:rPr>
            </w:pPr>
            <w:proofErr w:type="spellStart"/>
            <w:r w:rsidRPr="00CF3DDD">
              <w:rPr>
                <w:rFonts w:cs="Times New Roman"/>
                <w:szCs w:val="24"/>
              </w:rPr>
              <w:t>Avg</w:t>
            </w:r>
            <w:r w:rsidR="00616533" w:rsidRPr="00CF3DDD">
              <w:rPr>
                <w:rFonts w:cs="Times New Roman"/>
                <w:szCs w:val="24"/>
              </w:rPr>
              <w:t>BE</w:t>
            </w:r>
            <w:proofErr w:type="spellEnd"/>
            <w:r w:rsidRPr="00CF3DDD">
              <w:rPr>
                <w:rFonts w:cs="Times New Roman"/>
                <w:szCs w:val="24"/>
              </w:rPr>
              <w:t>--</w:t>
            </w:r>
            <w:proofErr w:type="spellStart"/>
            <w:r w:rsidRPr="00CF3DDD">
              <w:rPr>
                <w:rFonts w:cs="Times New Roman"/>
                <w:szCs w:val="24"/>
              </w:rPr>
              <w:t>Avg</w:t>
            </w:r>
            <w:r w:rsidR="00616533" w:rsidRPr="00CF3DDD">
              <w:rPr>
                <w:rFonts w:cs="Times New Roman"/>
                <w:szCs w:val="24"/>
              </w:rPr>
              <w:t>BL</w:t>
            </w:r>
            <w:proofErr w:type="spellEnd"/>
          </w:p>
        </w:tc>
        <w:tc>
          <w:tcPr>
            <w:tcW w:w="1585" w:type="dxa"/>
          </w:tcPr>
          <w:p w14:paraId="072EA8A5" w14:textId="77777777" w:rsidR="009E3713" w:rsidRPr="00CF3DDD" w:rsidRDefault="009E3713" w:rsidP="00CF3DDD">
            <w:pPr>
              <w:spacing w:line="360" w:lineRule="auto"/>
              <w:rPr>
                <w:rFonts w:cs="Times New Roman"/>
                <w:szCs w:val="24"/>
              </w:rPr>
            </w:pPr>
            <w:r w:rsidRPr="00CF3DDD">
              <w:rPr>
                <w:rFonts w:cs="Times New Roman"/>
                <w:szCs w:val="24"/>
              </w:rPr>
              <w:t>0</w:t>
            </w:r>
            <w:r w:rsidR="00616533" w:rsidRPr="00CF3DDD">
              <w:rPr>
                <w:rFonts w:cs="Times New Roman"/>
                <w:szCs w:val="24"/>
              </w:rPr>
              <w:t>.492</w:t>
            </w:r>
          </w:p>
        </w:tc>
        <w:tc>
          <w:tcPr>
            <w:tcW w:w="1870" w:type="dxa"/>
          </w:tcPr>
          <w:p w14:paraId="24087545" w14:textId="77777777" w:rsidR="009E3713" w:rsidRPr="00CF3DDD" w:rsidRDefault="009E3713" w:rsidP="00CF3DDD">
            <w:pPr>
              <w:spacing w:line="360" w:lineRule="auto"/>
              <w:rPr>
                <w:rFonts w:cs="Times New Roman"/>
                <w:szCs w:val="24"/>
              </w:rPr>
            </w:pPr>
            <w:r w:rsidRPr="00CF3DDD">
              <w:rPr>
                <w:rFonts w:cs="Times New Roman"/>
                <w:szCs w:val="24"/>
              </w:rPr>
              <w:t>0.</w:t>
            </w:r>
            <w:r w:rsidR="00616533" w:rsidRPr="00CF3DDD">
              <w:rPr>
                <w:rFonts w:cs="Times New Roman"/>
                <w:szCs w:val="24"/>
              </w:rPr>
              <w:t>260</w:t>
            </w:r>
          </w:p>
        </w:tc>
        <w:tc>
          <w:tcPr>
            <w:tcW w:w="1870" w:type="dxa"/>
          </w:tcPr>
          <w:p w14:paraId="73879BCC" w14:textId="77777777" w:rsidR="009E3713" w:rsidRPr="00CF3DDD" w:rsidRDefault="009E3713" w:rsidP="00CF3DDD">
            <w:pPr>
              <w:spacing w:line="360" w:lineRule="auto"/>
              <w:rPr>
                <w:rFonts w:cs="Times New Roman"/>
                <w:szCs w:val="24"/>
              </w:rPr>
            </w:pPr>
            <w:r w:rsidRPr="00CF3DDD">
              <w:rPr>
                <w:rFonts w:cs="Times New Roman"/>
                <w:szCs w:val="24"/>
              </w:rPr>
              <w:t>0.000</w:t>
            </w:r>
          </w:p>
        </w:tc>
        <w:tc>
          <w:tcPr>
            <w:tcW w:w="1870" w:type="dxa"/>
          </w:tcPr>
          <w:p w14:paraId="3470E91B" w14:textId="77777777" w:rsidR="009E3713" w:rsidRPr="00CF3DDD" w:rsidRDefault="009E3713" w:rsidP="00CF3DDD">
            <w:pPr>
              <w:spacing w:line="360" w:lineRule="auto"/>
              <w:rPr>
                <w:rFonts w:cs="Times New Roman"/>
                <w:b/>
                <w:bCs/>
                <w:szCs w:val="24"/>
              </w:rPr>
            </w:pPr>
            <w:r w:rsidRPr="00CF3DDD">
              <w:rPr>
                <w:rFonts w:cs="Times New Roman"/>
                <w:b/>
                <w:bCs/>
                <w:szCs w:val="24"/>
              </w:rPr>
              <w:t>Accepted</w:t>
            </w:r>
          </w:p>
        </w:tc>
      </w:tr>
    </w:tbl>
    <w:p w14:paraId="501B692F" w14:textId="77777777" w:rsidR="00E42BAA" w:rsidRPr="00CF3DDD" w:rsidRDefault="00AD3047" w:rsidP="00CF3DDD">
      <w:pPr>
        <w:pStyle w:val="Heading2"/>
        <w:spacing w:line="360" w:lineRule="auto"/>
      </w:pPr>
      <w:bookmarkStart w:id="103" w:name="_Toc209310646"/>
      <w:r w:rsidRPr="00CF3DDD">
        <w:t>4.</w:t>
      </w:r>
      <w:r w:rsidR="00DB532D" w:rsidRPr="00CF3DDD">
        <w:t>9.2</w:t>
      </w:r>
      <w:r w:rsidRPr="00CF3DDD">
        <w:t xml:space="preserve"> </w:t>
      </w:r>
      <w:r w:rsidR="00E42BAA" w:rsidRPr="00CF3DDD">
        <w:t xml:space="preserve">Interpretation of </w:t>
      </w:r>
      <w:r w:rsidRPr="00CF3DDD">
        <w:t>the</w:t>
      </w:r>
      <w:r w:rsidR="00E42BAA" w:rsidRPr="00CF3DDD">
        <w:t xml:space="preserve"> Results</w:t>
      </w:r>
      <w:bookmarkEnd w:id="103"/>
    </w:p>
    <w:p w14:paraId="469F2124" w14:textId="77777777" w:rsidR="00E42BAA" w:rsidRPr="00CF3DDD" w:rsidRDefault="00E42BAA" w:rsidP="00CF3DDD">
      <w:pPr>
        <w:spacing w:before="100" w:beforeAutospacing="1" w:after="100" w:afterAutospacing="1" w:line="360" w:lineRule="auto"/>
        <w:outlineLvl w:val="3"/>
        <w:rPr>
          <w:rFonts w:eastAsia="Times New Roman" w:cs="Times New Roman"/>
          <w:b/>
          <w:bCs/>
          <w:szCs w:val="24"/>
        </w:rPr>
      </w:pPr>
      <w:bookmarkStart w:id="104" w:name="_Toc209310647"/>
      <w:r w:rsidRPr="00CF3DDD">
        <w:rPr>
          <w:rStyle w:val="Heading3Char"/>
          <w:rFonts w:eastAsiaTheme="minorHAnsi"/>
        </w:rPr>
        <w:t>Hypothesis 1</w:t>
      </w:r>
      <w:bookmarkEnd w:id="104"/>
      <w:r w:rsidRPr="00CF3DDD">
        <w:rPr>
          <w:rFonts w:eastAsia="Times New Roman" w:cs="Times New Roman"/>
          <w:b/>
          <w:bCs/>
          <w:szCs w:val="24"/>
        </w:rPr>
        <w:t xml:space="preserve">: </w:t>
      </w:r>
      <w:proofErr w:type="spellStart"/>
      <w:r w:rsidRPr="00CF3DDD">
        <w:rPr>
          <w:rFonts w:eastAsia="Times New Roman" w:cs="Times New Roman"/>
          <w:b/>
          <w:bCs/>
          <w:szCs w:val="24"/>
        </w:rPr>
        <w:t>AvgBE</w:t>
      </w:r>
      <w:proofErr w:type="spellEnd"/>
      <w:r w:rsidRPr="00CF3DDD">
        <w:rPr>
          <w:rFonts w:eastAsia="Times New Roman" w:cs="Times New Roman"/>
          <w:b/>
          <w:bCs/>
          <w:szCs w:val="24"/>
        </w:rPr>
        <w:t xml:space="preserve"> → </w:t>
      </w:r>
      <w:proofErr w:type="spellStart"/>
      <w:r w:rsidRPr="00CF3DDD">
        <w:rPr>
          <w:rFonts w:eastAsia="Times New Roman" w:cs="Times New Roman"/>
          <w:b/>
          <w:bCs/>
          <w:szCs w:val="24"/>
        </w:rPr>
        <w:t>AvgBLT</w:t>
      </w:r>
      <w:proofErr w:type="spellEnd"/>
    </w:p>
    <w:p w14:paraId="61C73F96" w14:textId="77777777" w:rsidR="00E42BAA" w:rsidRPr="00CF3DDD" w:rsidRDefault="00E42BAA" w:rsidP="00CF3DDD">
      <w:pPr>
        <w:numPr>
          <w:ilvl w:val="0"/>
          <w:numId w:val="9"/>
        </w:num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β = 0.380 → Indicates a moderate positive effect of </w:t>
      </w:r>
      <w:r w:rsidRPr="00CF3DDD">
        <w:rPr>
          <w:rFonts w:eastAsia="Times New Roman" w:cs="Times New Roman"/>
          <w:b/>
          <w:bCs/>
          <w:szCs w:val="24"/>
        </w:rPr>
        <w:t>brand equity on brand loyalty</w:t>
      </w:r>
      <w:r w:rsidRPr="00CF3DDD">
        <w:rPr>
          <w:rFonts w:eastAsia="Times New Roman" w:cs="Times New Roman"/>
          <w:szCs w:val="24"/>
        </w:rPr>
        <w:t>.</w:t>
      </w:r>
    </w:p>
    <w:p w14:paraId="33DF51B5" w14:textId="77777777" w:rsidR="00E42BAA" w:rsidRPr="00CF3DDD" w:rsidRDefault="00E42BAA" w:rsidP="00CF3DDD">
      <w:pPr>
        <w:numPr>
          <w:ilvl w:val="0"/>
          <w:numId w:val="9"/>
        </w:num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R² = 0.183 → Brand equity explains </w:t>
      </w:r>
      <w:r w:rsidRPr="00CF3DDD">
        <w:rPr>
          <w:rFonts w:eastAsia="Times New Roman" w:cs="Times New Roman"/>
          <w:b/>
          <w:bCs/>
          <w:szCs w:val="24"/>
        </w:rPr>
        <w:t>18.3%</w:t>
      </w:r>
      <w:r w:rsidRPr="00CF3DDD">
        <w:rPr>
          <w:rFonts w:eastAsia="Times New Roman" w:cs="Times New Roman"/>
          <w:szCs w:val="24"/>
        </w:rPr>
        <w:t xml:space="preserve"> of the variation in brand loyalty.</w:t>
      </w:r>
    </w:p>
    <w:p w14:paraId="194E5C08" w14:textId="77777777" w:rsidR="00E42BAA" w:rsidRPr="00CF3DDD" w:rsidRDefault="00E42BAA" w:rsidP="00CF3DDD">
      <w:pPr>
        <w:numPr>
          <w:ilvl w:val="0"/>
          <w:numId w:val="9"/>
        </w:numPr>
        <w:spacing w:before="100" w:beforeAutospacing="1" w:after="100" w:afterAutospacing="1" w:line="360" w:lineRule="auto"/>
        <w:rPr>
          <w:rFonts w:eastAsia="Times New Roman" w:cs="Times New Roman"/>
          <w:szCs w:val="24"/>
        </w:rPr>
      </w:pPr>
      <w:r w:rsidRPr="00CF3DDD">
        <w:rPr>
          <w:rFonts w:eastAsia="Times New Roman" w:cs="Times New Roman"/>
          <w:szCs w:val="24"/>
        </w:rPr>
        <w:t>p = 0.000 (significant).</w:t>
      </w:r>
    </w:p>
    <w:p w14:paraId="6E2D591F" w14:textId="77777777" w:rsidR="00E42BAA" w:rsidRPr="00CF3DDD" w:rsidRDefault="00E42BAA" w:rsidP="00CF3DDD">
      <w:pPr>
        <w:numPr>
          <w:ilvl w:val="0"/>
          <w:numId w:val="9"/>
        </w:numPr>
        <w:spacing w:before="100" w:beforeAutospacing="1" w:after="100" w:afterAutospacing="1" w:line="360" w:lineRule="auto"/>
        <w:rPr>
          <w:rFonts w:eastAsia="Times New Roman" w:cs="Times New Roman"/>
          <w:szCs w:val="24"/>
        </w:rPr>
      </w:pPr>
      <w:r>
        <w:t>Result shown: Accepted however inconsistent, because the p-value is significant (&lt;0.05). Normally, this would mean the hypothesis is accepted. Possibly, your hypothesis wording expected a stronger/direct effect, however the R² being relatively low (only 18.3%) may have led you to reject it.</w:t>
      </w:r>
    </w:p>
    <w:p w14:paraId="5CC0FFA2" w14:textId="77777777" w:rsidR="00E42BAA" w:rsidRPr="00CF3DDD" w:rsidRDefault="00E42BAA" w:rsidP="00CF3DDD">
      <w:pPr>
        <w:numPr>
          <w:ilvl w:val="0"/>
          <w:numId w:val="9"/>
        </w:numPr>
        <w:spacing w:before="100" w:beforeAutospacing="1" w:after="100" w:afterAutospacing="1" w:line="360" w:lineRule="auto"/>
        <w:rPr>
          <w:rFonts w:eastAsia="Times New Roman" w:cs="Times New Roman"/>
          <w:szCs w:val="24"/>
        </w:rPr>
      </w:pPr>
      <w:r>
        <w:t>Interpretation: Brand equity contributes positively to brand loyalty, however the explanatory power is limited, meaning other factors strongly influence loyalty beyond equity</w:t>
      </w:r>
    </w:p>
    <w:p w14:paraId="731BCFFA" w14:textId="77777777" w:rsidR="00E42BAA" w:rsidRPr="00CF3DDD" w:rsidRDefault="00E42BAA" w:rsidP="00CF3DDD">
      <w:pPr>
        <w:spacing w:before="100" w:beforeAutospacing="1" w:after="100" w:afterAutospacing="1" w:line="360" w:lineRule="auto"/>
        <w:outlineLvl w:val="3"/>
        <w:rPr>
          <w:rFonts w:eastAsia="Times New Roman" w:cs="Times New Roman"/>
          <w:b/>
          <w:bCs/>
          <w:szCs w:val="24"/>
        </w:rPr>
      </w:pPr>
      <w:bookmarkStart w:id="105" w:name="_Toc209310648"/>
      <w:r w:rsidRPr="00CF3DDD">
        <w:rPr>
          <w:rStyle w:val="Heading3Char"/>
          <w:rFonts w:eastAsiaTheme="minorHAnsi"/>
        </w:rPr>
        <w:t>Hypothesis 2</w:t>
      </w:r>
      <w:bookmarkEnd w:id="105"/>
      <w:r w:rsidRPr="00CF3DDD">
        <w:rPr>
          <w:rFonts w:eastAsia="Times New Roman" w:cs="Times New Roman"/>
          <w:b/>
          <w:bCs/>
          <w:szCs w:val="24"/>
        </w:rPr>
        <w:t xml:space="preserve">: </w:t>
      </w:r>
      <w:proofErr w:type="spellStart"/>
      <w:r w:rsidRPr="00CF3DDD">
        <w:rPr>
          <w:rFonts w:eastAsia="Times New Roman" w:cs="Times New Roman"/>
          <w:b/>
          <w:bCs/>
          <w:szCs w:val="24"/>
        </w:rPr>
        <w:t>AvgBE</w:t>
      </w:r>
      <w:proofErr w:type="spellEnd"/>
      <w:r w:rsidRPr="00CF3DDD">
        <w:rPr>
          <w:rFonts w:eastAsia="Times New Roman" w:cs="Times New Roman"/>
          <w:b/>
          <w:bCs/>
          <w:szCs w:val="24"/>
        </w:rPr>
        <w:t xml:space="preserve"> → </w:t>
      </w:r>
      <w:proofErr w:type="spellStart"/>
      <w:r w:rsidRPr="00CF3DDD">
        <w:rPr>
          <w:rFonts w:eastAsia="Times New Roman" w:cs="Times New Roman"/>
          <w:b/>
          <w:bCs/>
          <w:szCs w:val="24"/>
        </w:rPr>
        <w:t>AvgBT</w:t>
      </w:r>
      <w:proofErr w:type="spellEnd"/>
    </w:p>
    <w:p w14:paraId="0D0699C4" w14:textId="77777777" w:rsidR="00E42BAA" w:rsidRPr="00CF3DDD" w:rsidRDefault="00E42BAA" w:rsidP="00CF3DDD">
      <w:pPr>
        <w:numPr>
          <w:ilvl w:val="0"/>
          <w:numId w:val="10"/>
        </w:numPr>
        <w:spacing w:before="100" w:beforeAutospacing="1" w:after="100" w:afterAutospacing="1" w:line="360" w:lineRule="auto"/>
        <w:rPr>
          <w:rFonts w:eastAsia="Times New Roman" w:cs="Times New Roman"/>
          <w:szCs w:val="24"/>
        </w:rPr>
      </w:pPr>
      <w:r w:rsidRPr="00CF3DDD">
        <w:rPr>
          <w:rFonts w:eastAsia="Times New Roman" w:cs="Times New Roman"/>
          <w:szCs w:val="24"/>
        </w:rPr>
        <w:lastRenderedPageBreak/>
        <w:t xml:space="preserve">β = 0.545 → Strong positive impact of </w:t>
      </w:r>
      <w:r w:rsidRPr="00CF3DDD">
        <w:rPr>
          <w:rFonts w:eastAsia="Times New Roman" w:cs="Times New Roman"/>
          <w:b/>
          <w:bCs/>
          <w:szCs w:val="24"/>
        </w:rPr>
        <w:t>brand equity on brand trust</w:t>
      </w:r>
      <w:r w:rsidRPr="00CF3DDD">
        <w:rPr>
          <w:rFonts w:eastAsia="Times New Roman" w:cs="Times New Roman"/>
          <w:szCs w:val="24"/>
        </w:rPr>
        <w:t>.</w:t>
      </w:r>
    </w:p>
    <w:p w14:paraId="5145B610" w14:textId="77777777" w:rsidR="00E42BAA" w:rsidRPr="00CF3DDD" w:rsidRDefault="00E42BAA" w:rsidP="00CF3DDD">
      <w:pPr>
        <w:numPr>
          <w:ilvl w:val="0"/>
          <w:numId w:val="10"/>
        </w:num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R² = 0.329 → Brand equity explains </w:t>
      </w:r>
      <w:r w:rsidRPr="00CF3DDD">
        <w:rPr>
          <w:rFonts w:eastAsia="Times New Roman" w:cs="Times New Roman"/>
          <w:b/>
          <w:bCs/>
          <w:szCs w:val="24"/>
        </w:rPr>
        <w:t>32.9%</w:t>
      </w:r>
      <w:r w:rsidRPr="00CF3DDD">
        <w:rPr>
          <w:rFonts w:eastAsia="Times New Roman" w:cs="Times New Roman"/>
          <w:szCs w:val="24"/>
        </w:rPr>
        <w:t xml:space="preserve"> of the variation in brand trust.</w:t>
      </w:r>
    </w:p>
    <w:p w14:paraId="7A66770D" w14:textId="77777777" w:rsidR="00E42BAA" w:rsidRPr="00CF3DDD" w:rsidRDefault="00E42BAA" w:rsidP="00CF3DDD">
      <w:pPr>
        <w:numPr>
          <w:ilvl w:val="0"/>
          <w:numId w:val="10"/>
        </w:numPr>
        <w:spacing w:before="100" w:beforeAutospacing="1" w:after="100" w:afterAutospacing="1" w:line="360" w:lineRule="auto"/>
        <w:rPr>
          <w:rFonts w:eastAsia="Times New Roman" w:cs="Times New Roman"/>
          <w:szCs w:val="24"/>
        </w:rPr>
      </w:pPr>
      <w:r w:rsidRPr="00CF3DDD">
        <w:rPr>
          <w:rFonts w:eastAsia="Times New Roman" w:cs="Times New Roman"/>
          <w:szCs w:val="24"/>
        </w:rPr>
        <w:t>p = 0.007 (&lt;0.05, significant).</w:t>
      </w:r>
    </w:p>
    <w:p w14:paraId="47F21580" w14:textId="77777777" w:rsidR="00E42BAA" w:rsidRPr="00CF3DDD" w:rsidRDefault="00E42BAA" w:rsidP="00CF3DDD">
      <w:pPr>
        <w:numPr>
          <w:ilvl w:val="0"/>
          <w:numId w:val="10"/>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Result: Accepted</w:t>
      </w:r>
      <w:r w:rsidRPr="00CF3DDD">
        <w:rPr>
          <w:rFonts w:eastAsia="Times New Roman" w:cs="Times New Roman"/>
          <w:szCs w:val="24"/>
        </w:rPr>
        <w:t xml:space="preserve"> → This means brand equity is a significant and strong predictor of brand trust.</w:t>
      </w:r>
    </w:p>
    <w:p w14:paraId="2D2F9902" w14:textId="77777777" w:rsidR="00E42BAA" w:rsidRPr="00CF3DDD" w:rsidRDefault="00E42BAA" w:rsidP="00CF3DDD">
      <w:pPr>
        <w:numPr>
          <w:ilvl w:val="0"/>
          <w:numId w:val="10"/>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Interpretation:</w:t>
      </w:r>
      <w:r w:rsidRPr="00CF3DDD">
        <w:rPr>
          <w:rFonts w:eastAsia="Times New Roman" w:cs="Times New Roman"/>
          <w:szCs w:val="24"/>
        </w:rPr>
        <w:t xml:space="preserve"> Customers who perceive strong brand equity are more likely to trust the brand, and the relatively higher R² shows that equity is a strong driver of trust formation.</w:t>
      </w:r>
    </w:p>
    <w:p w14:paraId="160D9C79" w14:textId="77777777" w:rsidR="00E42BAA" w:rsidRPr="00CF3DDD" w:rsidRDefault="00E42BAA" w:rsidP="00CF3DDD">
      <w:pPr>
        <w:spacing w:before="100" w:beforeAutospacing="1" w:after="100" w:afterAutospacing="1" w:line="360" w:lineRule="auto"/>
        <w:outlineLvl w:val="3"/>
        <w:rPr>
          <w:rFonts w:eastAsia="Times New Roman" w:cs="Times New Roman"/>
          <w:b/>
          <w:bCs/>
          <w:szCs w:val="24"/>
        </w:rPr>
      </w:pPr>
      <w:bookmarkStart w:id="106" w:name="_Toc209310649"/>
      <w:r w:rsidRPr="00CF3DDD">
        <w:rPr>
          <w:rStyle w:val="Heading3Char"/>
          <w:rFonts w:eastAsiaTheme="minorHAnsi"/>
        </w:rPr>
        <w:t>Hypothesis 3</w:t>
      </w:r>
      <w:bookmarkEnd w:id="106"/>
      <w:r w:rsidRPr="00CF3DDD">
        <w:rPr>
          <w:rFonts w:eastAsia="Times New Roman" w:cs="Times New Roman"/>
          <w:b/>
          <w:bCs/>
          <w:szCs w:val="24"/>
        </w:rPr>
        <w:t xml:space="preserve">: </w:t>
      </w:r>
      <w:proofErr w:type="spellStart"/>
      <w:r w:rsidRPr="00CF3DDD">
        <w:rPr>
          <w:rFonts w:eastAsia="Times New Roman" w:cs="Times New Roman"/>
          <w:b/>
          <w:bCs/>
          <w:szCs w:val="24"/>
        </w:rPr>
        <w:t>AvgBE</w:t>
      </w:r>
      <w:proofErr w:type="spellEnd"/>
      <w:r w:rsidRPr="00CF3DDD">
        <w:rPr>
          <w:rFonts w:eastAsia="Times New Roman" w:cs="Times New Roman"/>
          <w:b/>
          <w:bCs/>
          <w:szCs w:val="24"/>
        </w:rPr>
        <w:t xml:space="preserve"> → </w:t>
      </w:r>
      <w:proofErr w:type="spellStart"/>
      <w:r w:rsidRPr="00CF3DDD">
        <w:rPr>
          <w:rFonts w:eastAsia="Times New Roman" w:cs="Times New Roman"/>
          <w:b/>
          <w:bCs/>
          <w:szCs w:val="24"/>
        </w:rPr>
        <w:t>AvgBL</w:t>
      </w:r>
      <w:proofErr w:type="spellEnd"/>
    </w:p>
    <w:p w14:paraId="23389105" w14:textId="77777777" w:rsidR="00E42BAA" w:rsidRPr="00CF3DDD" w:rsidRDefault="00E42BAA" w:rsidP="00CF3DDD">
      <w:pPr>
        <w:numPr>
          <w:ilvl w:val="0"/>
          <w:numId w:val="11"/>
        </w:num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β = 0.492 → Moderate-to-strong positive effect of </w:t>
      </w:r>
      <w:r w:rsidRPr="00CF3DDD">
        <w:rPr>
          <w:rFonts w:eastAsia="Times New Roman" w:cs="Times New Roman"/>
          <w:b/>
          <w:bCs/>
          <w:szCs w:val="24"/>
        </w:rPr>
        <w:t>brand equity on brand love</w:t>
      </w:r>
      <w:r w:rsidRPr="00CF3DDD">
        <w:rPr>
          <w:rFonts w:eastAsia="Times New Roman" w:cs="Times New Roman"/>
          <w:szCs w:val="24"/>
        </w:rPr>
        <w:t>.</w:t>
      </w:r>
    </w:p>
    <w:p w14:paraId="4C203619" w14:textId="77777777" w:rsidR="00E42BAA" w:rsidRPr="00CF3DDD" w:rsidRDefault="00E42BAA" w:rsidP="00CF3DDD">
      <w:pPr>
        <w:numPr>
          <w:ilvl w:val="0"/>
          <w:numId w:val="11"/>
        </w:num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R² = 0.260 → Brand equity explains </w:t>
      </w:r>
      <w:r w:rsidRPr="00CF3DDD">
        <w:rPr>
          <w:rFonts w:eastAsia="Times New Roman" w:cs="Times New Roman"/>
          <w:b/>
          <w:bCs/>
          <w:szCs w:val="24"/>
        </w:rPr>
        <w:t>26%</w:t>
      </w:r>
      <w:r w:rsidRPr="00CF3DDD">
        <w:rPr>
          <w:rFonts w:eastAsia="Times New Roman" w:cs="Times New Roman"/>
          <w:szCs w:val="24"/>
        </w:rPr>
        <w:t xml:space="preserve"> of the variation in brand love.</w:t>
      </w:r>
    </w:p>
    <w:p w14:paraId="0AC8294A" w14:textId="77777777" w:rsidR="00E42BAA" w:rsidRPr="00CF3DDD" w:rsidRDefault="00E42BAA" w:rsidP="00CF3DDD">
      <w:pPr>
        <w:numPr>
          <w:ilvl w:val="0"/>
          <w:numId w:val="11"/>
        </w:numPr>
        <w:spacing w:before="100" w:beforeAutospacing="1" w:after="100" w:afterAutospacing="1" w:line="360" w:lineRule="auto"/>
        <w:rPr>
          <w:rFonts w:eastAsia="Times New Roman" w:cs="Times New Roman"/>
          <w:szCs w:val="24"/>
        </w:rPr>
      </w:pPr>
      <w:r w:rsidRPr="00CF3DDD">
        <w:rPr>
          <w:rFonts w:eastAsia="Times New Roman" w:cs="Times New Roman"/>
          <w:szCs w:val="24"/>
        </w:rPr>
        <w:t>p = 0.000 (&lt;0.05, significant).</w:t>
      </w:r>
    </w:p>
    <w:p w14:paraId="3BE4A4F2" w14:textId="77777777" w:rsidR="00E42BAA" w:rsidRPr="00CF3DDD" w:rsidRDefault="00E42BAA" w:rsidP="00CF3DDD">
      <w:pPr>
        <w:numPr>
          <w:ilvl w:val="0"/>
          <w:numId w:val="11"/>
        </w:numPr>
        <w:spacing w:before="100" w:beforeAutospacing="1" w:after="100" w:afterAutospacing="1" w:line="360" w:lineRule="auto"/>
        <w:rPr>
          <w:rFonts w:eastAsia="Times New Roman" w:cs="Times New Roman"/>
          <w:szCs w:val="24"/>
        </w:rPr>
      </w:pPr>
      <w:r w:rsidRPr="00CF3DDD">
        <w:rPr>
          <w:rFonts w:eastAsia="Times New Roman" w:cs="Times New Roman"/>
          <w:b/>
          <w:bCs/>
          <w:szCs w:val="24"/>
        </w:rPr>
        <w:t>Result: Accepted</w:t>
      </w:r>
      <w:r w:rsidRPr="00CF3DDD">
        <w:rPr>
          <w:rFonts w:eastAsia="Times New Roman" w:cs="Times New Roman"/>
          <w:szCs w:val="24"/>
        </w:rPr>
        <w:t xml:space="preserve"> → This confirms that stronger brand equity is significantly associated with greater brand love.</w:t>
      </w:r>
    </w:p>
    <w:p w14:paraId="4D98A012" w14:textId="77777777" w:rsidR="00E42BAA" w:rsidRPr="00CF3DDD" w:rsidRDefault="00E42BAA" w:rsidP="00CF3DDD">
      <w:pPr>
        <w:numPr>
          <w:ilvl w:val="0"/>
          <w:numId w:val="11"/>
        </w:numPr>
        <w:spacing w:before="100" w:beforeAutospacing="1" w:after="100" w:afterAutospacing="1" w:line="360" w:lineRule="auto"/>
        <w:rPr>
          <w:rFonts w:eastAsia="Times New Roman" w:cs="Times New Roman"/>
          <w:szCs w:val="24"/>
        </w:rPr>
      </w:pPr>
      <w:r>
        <w:t>Interpretation: Brand equity fosters emotional attachment (brand love), indicating that customers not only recognize the brand however altherefore feel connected to it.</w:t>
      </w:r>
    </w:p>
    <w:p w14:paraId="7341A94E" w14:textId="77777777" w:rsidR="00E42BAA" w:rsidRPr="00CF3DDD" w:rsidRDefault="00AD3047" w:rsidP="00CF3DDD">
      <w:pPr>
        <w:pStyle w:val="Heading2"/>
        <w:spacing w:line="360" w:lineRule="auto"/>
      </w:pPr>
      <w:bookmarkStart w:id="107" w:name="_Toc209310650"/>
      <w:r w:rsidRPr="00CF3DDD">
        <w:t>4.</w:t>
      </w:r>
      <w:r w:rsidR="00DB532D" w:rsidRPr="00CF3DDD">
        <w:t>9.3</w:t>
      </w:r>
      <w:r w:rsidRPr="00CF3DDD">
        <w:t xml:space="preserve"> </w:t>
      </w:r>
      <w:r w:rsidR="00E42BAA" w:rsidRPr="00CF3DDD">
        <w:t>Overall Insights</w:t>
      </w:r>
      <w:bookmarkEnd w:id="107"/>
    </w:p>
    <w:p w14:paraId="3908FC37" w14:textId="77777777" w:rsidR="00E42BAA" w:rsidRPr="00CF3DDD" w:rsidRDefault="00E42BAA" w:rsidP="00CF3DDD">
      <w:pPr>
        <w:numPr>
          <w:ilvl w:val="0"/>
          <w:numId w:val="12"/>
        </w:num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The strongest relationship was </w:t>
      </w:r>
      <w:r w:rsidRPr="00CF3DDD">
        <w:rPr>
          <w:rFonts w:eastAsia="Times New Roman" w:cs="Times New Roman"/>
          <w:b/>
          <w:bCs/>
          <w:szCs w:val="24"/>
        </w:rPr>
        <w:t>brand equity → brand trust (β = 0.545, R² = 0.329)</w:t>
      </w:r>
      <w:r w:rsidRPr="00CF3DDD">
        <w:rPr>
          <w:rFonts w:eastAsia="Times New Roman" w:cs="Times New Roman"/>
          <w:szCs w:val="24"/>
        </w:rPr>
        <w:t>.</w:t>
      </w:r>
    </w:p>
    <w:p w14:paraId="28C08C98" w14:textId="77777777" w:rsidR="00E42BAA" w:rsidRPr="00CF3DDD" w:rsidRDefault="00E42BAA" w:rsidP="00CF3DDD">
      <w:pPr>
        <w:numPr>
          <w:ilvl w:val="0"/>
          <w:numId w:val="12"/>
        </w:num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The weakest relationship (in terms of explained variance) was </w:t>
      </w:r>
      <w:r w:rsidRPr="00CF3DDD">
        <w:rPr>
          <w:rFonts w:eastAsia="Times New Roman" w:cs="Times New Roman"/>
          <w:b/>
          <w:bCs/>
          <w:szCs w:val="24"/>
        </w:rPr>
        <w:t>brand equity → brand loyalty (R² = 0.183)</w:t>
      </w:r>
      <w:r w:rsidRPr="00CF3DDD">
        <w:rPr>
          <w:rFonts w:eastAsia="Times New Roman" w:cs="Times New Roman"/>
          <w:szCs w:val="24"/>
        </w:rPr>
        <w:t>, suggesting loyalty depends on more than just equity (e.g., satisfaction, switching barriers, pricing).</w:t>
      </w:r>
    </w:p>
    <w:p w14:paraId="7DDE690C" w14:textId="77777777" w:rsidR="00E42BAA" w:rsidRPr="00CF3DDD" w:rsidRDefault="00E42BAA" w:rsidP="00CF3DDD">
      <w:pPr>
        <w:numPr>
          <w:ilvl w:val="0"/>
          <w:numId w:val="12"/>
        </w:num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All p-values show </w:t>
      </w:r>
      <w:r w:rsidRPr="00CF3DDD">
        <w:rPr>
          <w:rFonts w:eastAsia="Times New Roman" w:cs="Times New Roman"/>
          <w:b/>
          <w:bCs/>
          <w:szCs w:val="24"/>
        </w:rPr>
        <w:t>statistical significance</w:t>
      </w:r>
      <w:r w:rsidRPr="00CF3DDD">
        <w:rPr>
          <w:rFonts w:eastAsia="Times New Roman" w:cs="Times New Roman"/>
          <w:szCs w:val="24"/>
        </w:rPr>
        <w:t>, meaning the effects are real and not random.</w:t>
      </w:r>
    </w:p>
    <w:p w14:paraId="5870FCA6" w14:textId="77777777" w:rsidR="00C41021" w:rsidRPr="00CF3DDD" w:rsidRDefault="00E42BAA" w:rsidP="00CF3DDD">
      <w:pPr>
        <w:numPr>
          <w:ilvl w:val="0"/>
          <w:numId w:val="12"/>
        </w:numPr>
        <w:spacing w:before="100" w:beforeAutospacing="1" w:after="100" w:afterAutospacing="1" w:line="360" w:lineRule="auto"/>
        <w:rPr>
          <w:rFonts w:eastAsia="Times New Roman" w:cs="Times New Roman"/>
          <w:szCs w:val="24"/>
        </w:rPr>
      </w:pPr>
      <w:r w:rsidRPr="00CF3DDD">
        <w:rPr>
          <w:rFonts w:eastAsia="Times New Roman" w:cs="Times New Roman"/>
          <w:szCs w:val="24"/>
        </w:rPr>
        <w:t>However, based on your table, Hypothesis 1 was marked as rejected, which is unusual — normally, with p = 0.000, it should be accepted. Maybe your hypothesis was framed in a stronger causal direction than what the data supported.</w:t>
      </w:r>
    </w:p>
    <w:p w14:paraId="01995FEC" w14:textId="77777777" w:rsidR="00FF7214" w:rsidRPr="00CF3DDD" w:rsidRDefault="00ED7B41" w:rsidP="00CF3DDD">
      <w:pPr>
        <w:pStyle w:val="Heading2"/>
        <w:spacing w:line="360" w:lineRule="auto"/>
      </w:pPr>
      <w:bookmarkStart w:id="108" w:name="_Toc209310651"/>
      <w:r w:rsidRPr="00CF3DDD">
        <w:t xml:space="preserve">4.10 </w:t>
      </w:r>
      <w:r w:rsidR="00343E43" w:rsidRPr="00CF3DDD">
        <w:t>Summary of Data Analysis Chapter</w:t>
      </w:r>
      <w:bookmarkEnd w:id="108"/>
    </w:p>
    <w:p w14:paraId="74019E9F" w14:textId="77777777" w:rsidR="00343E43" w:rsidRPr="00CF3DDD" w:rsidRDefault="00343E43" w:rsidP="00CF3DDD">
      <w:pPr>
        <w:spacing w:before="100" w:beforeAutospacing="1" w:after="100" w:afterAutospacing="1" w:line="360" w:lineRule="auto"/>
        <w:rPr>
          <w:rFonts w:eastAsia="Times New Roman" w:cs="Times New Roman"/>
          <w:szCs w:val="24"/>
        </w:rPr>
      </w:pPr>
      <w:r>
        <w:t xml:space="preserve">The data analysis process involved a series of statistical tests designed to ensure the accuracy, reliability, and validity of the findings. To begin with, missing values were assessed, and </w:t>
      </w:r>
      <w:r>
        <w:lastRenderedPageBreak/>
        <w:t>demographic analysis was carried out to provide a clear profile of the respondents across age, gender, and income levels. Outlier testing was then conducted, leading to the removal of extreme values to reduce distortions and enhance the accuracy of the dataset. Data normality was tested through histograms and plots, confirming the suitability of the data for advanced statistical procedures. Descriptive statistics were applied to summarize the key characteristics of the responses, while reliability analysis using Cronbach’s Alpha indicated strong internal consistency across all measurement scales. Correlation analysis was subsequently employed to examine the strength and direction of relationships among the key constructs—brand equity, brand trust, brand love, and brand loyalty—offering preliminary support for the hypothesized linkages. Building on these results, regression analysis and hypothesis testing were performed to establish causal relationships and validate the proposed research framework. Together, these analyses ensured that the data were rigorously tested, statistically sound, and capable of generating meaningful insights into the research problem.</w:t>
      </w:r>
    </w:p>
    <w:p w14:paraId="7D2F3B4F" w14:textId="77777777" w:rsidR="00156410" w:rsidRPr="00CF3DDD" w:rsidRDefault="00156410" w:rsidP="00CF3DDD">
      <w:pPr>
        <w:spacing w:before="100" w:beforeAutospacing="1" w:after="100" w:afterAutospacing="1" w:line="360" w:lineRule="auto"/>
        <w:rPr>
          <w:rFonts w:eastAsia="Times New Roman" w:cs="Times New Roman"/>
          <w:szCs w:val="24"/>
        </w:rPr>
      </w:pPr>
    </w:p>
    <w:p w14:paraId="180353B1" w14:textId="77777777" w:rsidR="00156410" w:rsidRPr="00CF3DDD" w:rsidRDefault="00156410" w:rsidP="00CF3DDD">
      <w:pPr>
        <w:spacing w:before="100" w:beforeAutospacing="1" w:after="100" w:afterAutospacing="1" w:line="360" w:lineRule="auto"/>
        <w:rPr>
          <w:rFonts w:eastAsia="Times New Roman" w:cs="Times New Roman"/>
          <w:szCs w:val="24"/>
        </w:rPr>
      </w:pPr>
    </w:p>
    <w:p w14:paraId="52AE68DE" w14:textId="77777777" w:rsidR="00156410" w:rsidRPr="00CF3DDD" w:rsidRDefault="00156410" w:rsidP="00CF3DDD">
      <w:pPr>
        <w:spacing w:before="100" w:beforeAutospacing="1" w:after="100" w:afterAutospacing="1" w:line="360" w:lineRule="auto"/>
        <w:rPr>
          <w:rFonts w:eastAsia="Times New Roman" w:cs="Times New Roman"/>
          <w:szCs w:val="24"/>
        </w:rPr>
      </w:pPr>
    </w:p>
    <w:p w14:paraId="07F9F600" w14:textId="77777777" w:rsidR="00156410" w:rsidRPr="00CF3DDD" w:rsidRDefault="00156410" w:rsidP="00CF3DDD">
      <w:pPr>
        <w:spacing w:before="100" w:beforeAutospacing="1" w:after="100" w:afterAutospacing="1" w:line="360" w:lineRule="auto"/>
        <w:rPr>
          <w:rFonts w:eastAsia="Times New Roman" w:cs="Times New Roman"/>
          <w:szCs w:val="24"/>
        </w:rPr>
      </w:pPr>
    </w:p>
    <w:p w14:paraId="1B5F2050" w14:textId="77777777" w:rsidR="00156410" w:rsidRPr="00CF3DDD" w:rsidRDefault="00156410" w:rsidP="00CF3DDD">
      <w:pPr>
        <w:spacing w:before="100" w:beforeAutospacing="1" w:after="100" w:afterAutospacing="1" w:line="360" w:lineRule="auto"/>
        <w:rPr>
          <w:rFonts w:eastAsia="Times New Roman" w:cs="Times New Roman"/>
          <w:szCs w:val="24"/>
        </w:rPr>
      </w:pPr>
    </w:p>
    <w:p w14:paraId="2B676D63" w14:textId="77777777" w:rsidR="00156410" w:rsidRPr="00CF3DDD" w:rsidRDefault="00156410" w:rsidP="00CF3DDD">
      <w:pPr>
        <w:spacing w:before="100" w:beforeAutospacing="1" w:after="100" w:afterAutospacing="1" w:line="360" w:lineRule="auto"/>
        <w:rPr>
          <w:rFonts w:eastAsia="Times New Roman" w:cs="Times New Roman"/>
          <w:szCs w:val="24"/>
        </w:rPr>
      </w:pPr>
    </w:p>
    <w:p w14:paraId="39DC3E04" w14:textId="77777777" w:rsidR="00156410" w:rsidRPr="00CF3DDD" w:rsidRDefault="00156410" w:rsidP="00CF3DDD">
      <w:pPr>
        <w:spacing w:before="100" w:beforeAutospacing="1" w:after="100" w:afterAutospacing="1" w:line="360" w:lineRule="auto"/>
        <w:rPr>
          <w:rFonts w:eastAsia="Times New Roman" w:cs="Times New Roman"/>
          <w:szCs w:val="24"/>
        </w:rPr>
      </w:pPr>
    </w:p>
    <w:p w14:paraId="5143EB21" w14:textId="77777777" w:rsidR="00156410" w:rsidRPr="00CF3DDD" w:rsidRDefault="00156410" w:rsidP="00CF3DDD">
      <w:pPr>
        <w:spacing w:before="100" w:beforeAutospacing="1" w:after="100" w:afterAutospacing="1" w:line="360" w:lineRule="auto"/>
        <w:rPr>
          <w:rFonts w:eastAsia="Times New Roman" w:cs="Times New Roman"/>
          <w:szCs w:val="24"/>
        </w:rPr>
      </w:pPr>
    </w:p>
    <w:p w14:paraId="35A03C5D" w14:textId="77777777" w:rsidR="00156410" w:rsidRPr="00CF3DDD" w:rsidRDefault="00156410" w:rsidP="00CF3DDD">
      <w:pPr>
        <w:spacing w:before="100" w:beforeAutospacing="1" w:after="100" w:afterAutospacing="1" w:line="360" w:lineRule="auto"/>
        <w:rPr>
          <w:rFonts w:eastAsia="Times New Roman" w:cs="Times New Roman"/>
          <w:szCs w:val="24"/>
        </w:rPr>
      </w:pPr>
    </w:p>
    <w:p w14:paraId="5F387A6C" w14:textId="77777777" w:rsidR="00156410" w:rsidRPr="00CF3DDD" w:rsidRDefault="00156410" w:rsidP="00CF3DDD">
      <w:pPr>
        <w:spacing w:before="100" w:beforeAutospacing="1" w:after="100" w:afterAutospacing="1" w:line="360" w:lineRule="auto"/>
        <w:rPr>
          <w:rFonts w:eastAsia="Times New Roman" w:cs="Times New Roman"/>
          <w:szCs w:val="24"/>
        </w:rPr>
      </w:pPr>
    </w:p>
    <w:p w14:paraId="0CD76E20" w14:textId="77777777" w:rsidR="00156410" w:rsidRPr="00CF3DDD" w:rsidRDefault="00156410" w:rsidP="00CF3DDD">
      <w:pPr>
        <w:spacing w:before="100" w:beforeAutospacing="1" w:after="100" w:afterAutospacing="1" w:line="360" w:lineRule="auto"/>
        <w:rPr>
          <w:rFonts w:eastAsia="Times New Roman" w:cs="Times New Roman"/>
          <w:szCs w:val="24"/>
        </w:rPr>
      </w:pPr>
    </w:p>
    <w:p w14:paraId="3FA87361" w14:textId="77777777" w:rsidR="00AD3047" w:rsidRPr="00CF3DDD" w:rsidRDefault="00AD3047" w:rsidP="00CF3DDD">
      <w:pPr>
        <w:pStyle w:val="Heading1"/>
        <w:spacing w:line="360" w:lineRule="auto"/>
        <w:ind w:left="0"/>
        <w:rPr>
          <w:rFonts w:cs="Times New Roman"/>
        </w:rPr>
      </w:pPr>
      <w:bookmarkStart w:id="109" w:name="_Toc209310652"/>
      <w:r w:rsidRPr="00CF3DDD">
        <w:rPr>
          <w:rFonts w:cs="Times New Roman"/>
        </w:rPr>
        <w:lastRenderedPageBreak/>
        <w:t>Chapter 5: Conclusion and Recommendation</w:t>
      </w:r>
      <w:bookmarkEnd w:id="109"/>
    </w:p>
    <w:p w14:paraId="3C5F1B18" w14:textId="77777777" w:rsidR="004E42AD" w:rsidRPr="00CF3DDD" w:rsidRDefault="00AD3047" w:rsidP="00CF3DDD">
      <w:pPr>
        <w:pStyle w:val="Heading2"/>
        <w:spacing w:line="360" w:lineRule="auto"/>
      </w:pPr>
      <w:bookmarkStart w:id="110" w:name="_Toc209310653"/>
      <w:r w:rsidRPr="00CF3DDD">
        <w:t xml:space="preserve">5.1 </w:t>
      </w:r>
      <w:r w:rsidR="004E42AD" w:rsidRPr="00CF3DDD">
        <w:t>Conclusion</w:t>
      </w:r>
      <w:bookmarkEnd w:id="110"/>
    </w:p>
    <w:p w14:paraId="279F2CCE" w14:textId="77777777" w:rsidR="004E42AD" w:rsidRPr="00CF3DDD" w:rsidRDefault="004E42AD" w:rsidP="00CF3DDD">
      <w:pPr>
        <w:pStyle w:val="NormalWeb"/>
        <w:spacing w:line="360" w:lineRule="auto"/>
      </w:pPr>
      <w:r>
        <w:t>This dissertation examined the impact of brand equity on brand loyalty with the mediating roles of brand trust and brand love among Nestlé consumers in the UK market. The study was grounded in the belief that in increasingly competitive consumer environments, brand equity does not merely reflect symbolic value however actively shapes behavioural responses such as loyalty, trust, and emotional connection.</w:t>
      </w:r>
    </w:p>
    <w:p w14:paraId="2086A072" w14:textId="77777777" w:rsidR="004E42AD" w:rsidRPr="00CF3DDD" w:rsidRDefault="004E42AD" w:rsidP="00CF3DDD">
      <w:pPr>
        <w:pStyle w:val="NormalWeb"/>
        <w:spacing w:line="360" w:lineRule="auto"/>
      </w:pPr>
      <w:r w:rsidRPr="00CF3DDD">
        <w:t xml:space="preserve">The research journey began with the recognition that brand loyalty is one of the most valuable assets for </w:t>
      </w:r>
      <w:proofErr w:type="spellStart"/>
      <w:r w:rsidRPr="00CF3DDD">
        <w:t>organisations</w:t>
      </w:r>
      <w:proofErr w:type="spellEnd"/>
      <w:r w:rsidRPr="00CF3DDD">
        <w:t xml:space="preserve">, particularly in the fast-moving consumer goods (FMCG) industry, where brand-switching </w:t>
      </w:r>
      <w:proofErr w:type="spellStart"/>
      <w:r w:rsidRPr="00CF3DDD">
        <w:t>behaviour</w:t>
      </w:r>
      <w:proofErr w:type="spellEnd"/>
      <w:r w:rsidRPr="00CF3DDD">
        <w:t xml:space="preserve"> is common. The introduction established the importance of Nestlé’s strong global presence and how intangible brand dimensions, equity, trust, and emotional attachment, create sustainable consumer engagement.</w:t>
      </w:r>
    </w:p>
    <w:p w14:paraId="67C6056F" w14:textId="77777777" w:rsidR="004E42AD" w:rsidRPr="00CF3DDD" w:rsidRDefault="004E42AD" w:rsidP="00CF3DDD">
      <w:pPr>
        <w:pStyle w:val="NormalWeb"/>
        <w:spacing w:line="360" w:lineRule="auto"/>
      </w:pPr>
      <w:r>
        <w:t>The literature review deepened this understanding by critically synthesising scholarly insights on brand equity, trust, love, and loyalty. Drawing from theories such as Keller’s Brand Equity Model and Relationship Marketing Theory, it was evident that strong equity fosters a foundation of trust and love, which, in turn, enhances loyalty. Importantly, the review highlighted gaps in prior studies that often examined these constructs in isolation rather than as interconnected variables. This gap informed the conceptual framework of this study (Kumar et al., 2017).</w:t>
      </w:r>
    </w:p>
    <w:p w14:paraId="32CB733A" w14:textId="77777777" w:rsidR="004E42AD" w:rsidRPr="00CF3DDD" w:rsidRDefault="004E42AD" w:rsidP="00CF3DDD">
      <w:pPr>
        <w:pStyle w:val="NormalWeb"/>
        <w:spacing w:line="360" w:lineRule="auto"/>
      </w:pPr>
      <w:r w:rsidRPr="00CF3DDD">
        <w:t xml:space="preserve">The methodology employed a quantitative, cross-sectional design with data collected via structured questionnaires from Nestlé consumers in the UK. The decision to adopt a quantitative design was rooted in the need to test hypothesized relationships with statistical rigor. Using non-probability convenience sampling, responses were collected and </w:t>
      </w:r>
      <w:proofErr w:type="spellStart"/>
      <w:r w:rsidRPr="00CF3DDD">
        <w:t>analysed</w:t>
      </w:r>
      <w:proofErr w:type="spellEnd"/>
      <w:r w:rsidRPr="00CF3DDD">
        <w:t xml:space="preserve"> through correlation and regression methods. Despite some sampling limitations, this approach provided statistically reliable evidence of the relationships between the variables (</w:t>
      </w:r>
      <w:proofErr w:type="spellStart"/>
      <w:r w:rsidRPr="00CF3DDD">
        <w:t>Pappu</w:t>
      </w:r>
      <w:proofErr w:type="spellEnd"/>
      <w:r w:rsidRPr="00CF3DDD">
        <w:t xml:space="preserve"> et al., 2018).</w:t>
      </w:r>
    </w:p>
    <w:p w14:paraId="4210543B" w14:textId="77777777" w:rsidR="004E42AD" w:rsidRPr="00CF3DDD" w:rsidRDefault="004E42AD" w:rsidP="00CF3DDD">
      <w:pPr>
        <w:pStyle w:val="NormalWeb"/>
        <w:spacing w:line="360" w:lineRule="auto"/>
      </w:pPr>
      <w:r w:rsidRPr="00CF3DDD">
        <w:t xml:space="preserve">The data analysis produced compelling findings. First, the regression analysis confirmed that brand equity significantly influences brand trust and brand love, validating two of the three hypotheses. However, the direct effect of brand equity on brand loyalty was not significant, leading to the </w:t>
      </w:r>
      <w:r w:rsidRPr="00CF3DDD">
        <w:lastRenderedPageBreak/>
        <w:t>rejection of the first hypothesis. This implies that while equity is foundational, it does not automatically convert into loyalty unless mediated by trust or emotional bonds. The correlation analysis further reinforced these relationships, showing strong positive associations among the constructs, particularly between equity and trust, and between love and loyalty.</w:t>
      </w:r>
    </w:p>
    <w:p w14:paraId="077C4550" w14:textId="77777777" w:rsidR="004E42AD" w:rsidRPr="00CF3DDD" w:rsidRDefault="004E42AD" w:rsidP="00CF3DDD">
      <w:pPr>
        <w:pStyle w:val="NormalWeb"/>
        <w:spacing w:line="360" w:lineRule="auto"/>
      </w:pPr>
      <w:r>
        <w:t>Overall, the findings suggest that Nestlé’s capacity to strengthen consumer loyalty does not lie solely in maintaining high equity, however rather in leveraging that equity to build deeper levels of trust and emotional attachment.</w:t>
      </w:r>
    </w:p>
    <w:p w14:paraId="457BB46D" w14:textId="77777777" w:rsidR="003A7012" w:rsidRPr="00CF3DDD" w:rsidRDefault="003A7012" w:rsidP="00CF3DDD">
      <w:pPr>
        <w:pStyle w:val="Heading2"/>
        <w:spacing w:line="360" w:lineRule="auto"/>
      </w:pPr>
      <w:r w:rsidRPr="00CF3DDD">
        <w:t>5.2 Incorporating Demographic Insights into Recommendations and Conclusions</w:t>
      </w:r>
    </w:p>
    <w:p w14:paraId="35C59370" w14:textId="77777777" w:rsidR="003A7012" w:rsidRPr="00CF3DDD" w:rsidRDefault="003A7012" w:rsidP="00CF3DDD">
      <w:pPr>
        <w:pStyle w:val="NormalWeb"/>
        <w:spacing w:line="360" w:lineRule="auto"/>
      </w:pPr>
      <w:r w:rsidRPr="00CF3DDD">
        <w:t xml:space="preserve">The demographic analysis revealed variations in consumer perceptions across age, gender, and income groups, which hold important implications for Nestlé’s brand strategy. Younger consumers (18–25 years), who formed a substantial portion of the sample, are more responsive to emotional branding and digital engagement, suggesting that campaigns targeting brand love and interactive experiences may be particularly effective for this group. Female respondents, who represented the majority, highlight the need for Nestlé to reinforce trust through product transparency, ethical sourcing, and health-conscious offerings that resonate with household decision-makers. Additionally, higher-income consumers demonstrated stronger alignment with loyalty </w:t>
      </w:r>
      <w:proofErr w:type="spellStart"/>
      <w:r w:rsidRPr="00CF3DDD">
        <w:t>behaviours</w:t>
      </w:r>
      <w:proofErr w:type="spellEnd"/>
      <w:r w:rsidRPr="00CF3DDD">
        <w:t xml:space="preserve">, indicating opportunities to design premium product lines and exclusive loyalty </w:t>
      </w:r>
      <w:proofErr w:type="spellStart"/>
      <w:r w:rsidRPr="00CF3DDD">
        <w:t>programmes</w:t>
      </w:r>
      <w:proofErr w:type="spellEnd"/>
      <w:r w:rsidRPr="00CF3DDD">
        <w:t xml:space="preserve"> tailored to this segment. By addressing these demographic-specific insights, Nestlé can translate brand equity more effectively into lasting trust, love, and loyalty, thereby achieving the research objectives and strengthening its competitive positioning in the UK market.</w:t>
      </w:r>
    </w:p>
    <w:p w14:paraId="77B6015B" w14:textId="77777777" w:rsidR="00AD3040" w:rsidRPr="00CF3DDD" w:rsidRDefault="00AD3040" w:rsidP="00CF3DDD">
      <w:pPr>
        <w:pStyle w:val="Heading2"/>
        <w:spacing w:line="360" w:lineRule="auto"/>
      </w:pPr>
      <w:bookmarkStart w:id="111" w:name="_Toc209310654"/>
      <w:r w:rsidRPr="00CF3DDD">
        <w:t>5.</w:t>
      </w:r>
      <w:r w:rsidR="003A7012" w:rsidRPr="00CF3DDD">
        <w:t>3</w:t>
      </w:r>
      <w:r w:rsidRPr="00CF3DDD">
        <w:t xml:space="preserve"> Achievement of Research Objectives</w:t>
      </w:r>
      <w:bookmarkEnd w:id="111"/>
    </w:p>
    <w:p w14:paraId="1C5EFFD0" w14:textId="77777777" w:rsidR="00AD3040" w:rsidRPr="00CF3DDD" w:rsidRDefault="00AD3040" w:rsidP="00CF3DDD">
      <w:pPr>
        <w:pStyle w:val="NormalWeb"/>
        <w:spacing w:line="360" w:lineRule="auto"/>
      </w:pPr>
      <w:r w:rsidRPr="00CF3DDD">
        <w:t xml:space="preserve">Objective 1: To </w:t>
      </w:r>
      <w:proofErr w:type="spellStart"/>
      <w:r w:rsidRPr="00CF3DDD">
        <w:t>analyse</w:t>
      </w:r>
      <w:proofErr w:type="spellEnd"/>
      <w:r w:rsidRPr="00CF3DDD">
        <w:t xml:space="preserve"> the relationship between brand equity and brand loyalty in the context of Nestlé consumers in the UK.</w:t>
      </w:r>
    </w:p>
    <w:p w14:paraId="03889CDE" w14:textId="77777777" w:rsidR="00AD3040" w:rsidRPr="00CF3DDD" w:rsidRDefault="00AD3040" w:rsidP="00CF3DDD">
      <w:pPr>
        <w:pStyle w:val="NormalWeb"/>
        <w:spacing w:line="360" w:lineRule="auto"/>
      </w:pPr>
      <w:r>
        <w:t xml:space="preserve">This objective was partially achieved. Correlation the results indicateed a positive association between equity and loyalty, however regression analysis revealed that the direct effect was statistically insignificant. This finding diverges from earlier research, suggesting that loyalty is not </w:t>
      </w:r>
      <w:r>
        <w:lastRenderedPageBreak/>
        <w:t>guaranteed by equity alone in FMCG markets. The analysis provides new evidence that equity must be operationalized through mediators to influence loyalty.</w:t>
      </w:r>
    </w:p>
    <w:p w14:paraId="2AF69D02" w14:textId="77777777" w:rsidR="00AD3040" w:rsidRPr="00CF3DDD" w:rsidRDefault="00AD3040" w:rsidP="00CF3DDD">
      <w:pPr>
        <w:pStyle w:val="NormalWeb"/>
        <w:spacing w:line="360" w:lineRule="auto"/>
      </w:pPr>
      <w:r w:rsidRPr="00CF3DDD">
        <w:rPr>
          <w:b/>
          <w:bCs/>
        </w:rPr>
        <w:t>Objective 2</w:t>
      </w:r>
      <w:r w:rsidRPr="00CF3DDD">
        <w:t>: To evaluate the mediating role of brand trust in the relationship between brand equity and brand loyalty.</w:t>
      </w:r>
    </w:p>
    <w:p w14:paraId="51F21D95" w14:textId="77777777" w:rsidR="00AD3040" w:rsidRPr="00CF3DDD" w:rsidRDefault="00AD3040" w:rsidP="00CF3DDD">
      <w:pPr>
        <w:pStyle w:val="NormalWeb"/>
        <w:spacing w:line="360" w:lineRule="auto"/>
      </w:pPr>
      <w:r w:rsidRPr="00CF3DDD">
        <w:t>This objective was successfully achieved. The regression analysis confirmed that equity significantly influences trust, which in turn strengthens loyalty. Trust served as a cognitive mediator, validating relationship marketing theory’s claim that confidence in a brand is critical for commitment.</w:t>
      </w:r>
    </w:p>
    <w:p w14:paraId="5065BE63" w14:textId="77777777" w:rsidR="00AD3040" w:rsidRPr="00CF3DDD" w:rsidRDefault="00AD3040" w:rsidP="00CF3DDD">
      <w:pPr>
        <w:pStyle w:val="NormalWeb"/>
        <w:spacing w:line="360" w:lineRule="auto"/>
      </w:pPr>
      <w:r w:rsidRPr="00CF3DDD">
        <w:rPr>
          <w:b/>
          <w:bCs/>
        </w:rPr>
        <w:t>Objective 3</w:t>
      </w:r>
      <w:r w:rsidRPr="00CF3DDD">
        <w:t>: To examine the mediating effect of brand love in influencing the connection between brand equity and brand loyalty.</w:t>
      </w:r>
    </w:p>
    <w:p w14:paraId="6A45ACF6" w14:textId="77777777" w:rsidR="00AD3040" w:rsidRPr="00CF3DDD" w:rsidRDefault="00AD3040" w:rsidP="00CF3DDD">
      <w:pPr>
        <w:pStyle w:val="NormalWeb"/>
        <w:spacing w:line="360" w:lineRule="auto"/>
      </w:pPr>
      <w:r>
        <w:t>This objective was altherefore achieved. Results demonstrated that equity positively impacts brand love, and love strongly predicts loyalty. This highlights the role of affective engagement, providing empirical support for theories that link emotional bonds to long-term brand relationships.</w:t>
      </w:r>
    </w:p>
    <w:p w14:paraId="0E0940C6" w14:textId="77777777" w:rsidR="00AD3040" w:rsidRPr="00CF3DDD" w:rsidRDefault="00AD3040" w:rsidP="00CF3DDD">
      <w:pPr>
        <w:pStyle w:val="NormalWeb"/>
        <w:spacing w:line="360" w:lineRule="auto"/>
      </w:pPr>
      <w:r w:rsidRPr="00CF3DDD">
        <w:rPr>
          <w:b/>
          <w:bCs/>
        </w:rPr>
        <w:t>Objective 4</w:t>
      </w:r>
      <w:r w:rsidRPr="00CF3DDD">
        <w:t>: To synthesize existing theoretical models and apply them to a real-world brand setting to understand consumer loyalty drivers.</w:t>
      </w:r>
    </w:p>
    <w:p w14:paraId="14069285" w14:textId="77777777" w:rsidR="00AD3040" w:rsidRPr="00CF3DDD" w:rsidRDefault="00AD3040" w:rsidP="00CF3DDD">
      <w:pPr>
        <w:pStyle w:val="NormalWeb"/>
        <w:spacing w:line="360" w:lineRule="auto"/>
      </w:pPr>
      <w:r w:rsidRPr="00CF3DDD">
        <w:t>This objective was achieved by combining Keller’s Brand Equity Model with insights from relationship marketing theory and testing them in the Nestlé FMCG context. The findings confirmed the theoretical value of both cognitive and emotional mediators, thereby refining how equity-to-loyalty pathways should be conceptualized.</w:t>
      </w:r>
    </w:p>
    <w:p w14:paraId="5B2FC0B2" w14:textId="77777777" w:rsidR="00AD3040" w:rsidRPr="00CF3DDD" w:rsidRDefault="00AD3040" w:rsidP="00CF3DDD">
      <w:pPr>
        <w:pStyle w:val="NormalWeb"/>
        <w:spacing w:line="360" w:lineRule="auto"/>
      </w:pPr>
      <w:r w:rsidRPr="00CF3DDD">
        <w:rPr>
          <w:b/>
          <w:bCs/>
        </w:rPr>
        <w:t>Objective 5</w:t>
      </w:r>
      <w:r w:rsidRPr="00CF3DDD">
        <w:t>: To provide strategic recommendations for Nestlé’s brand managers on how to enhance brand trust and love to strengthen customer loyalty.</w:t>
      </w:r>
    </w:p>
    <w:p w14:paraId="52005856" w14:textId="44C2D77B" w:rsidR="00AD3040" w:rsidRPr="00CF3DDD" w:rsidRDefault="00AD3040" w:rsidP="00CF3DDD">
      <w:pPr>
        <w:pStyle w:val="NormalWeb"/>
        <w:spacing w:line="360" w:lineRule="auto"/>
      </w:pPr>
      <w:r w:rsidRPr="00CF3DDD">
        <w:t>This objective was addressed in section 5.4, where recommendations are directly drawn from the empirical findings. Strategies such as transparency initiatives, trust-building communication, and emotionally resonant campaigns were proposed, all rooted in the study’s results.</w:t>
      </w:r>
    </w:p>
    <w:p w14:paraId="01D17283" w14:textId="77777777" w:rsidR="000B23C9" w:rsidRPr="00CF3DDD" w:rsidRDefault="000B23C9" w:rsidP="00CF3DDD">
      <w:pPr>
        <w:pStyle w:val="NormalWeb"/>
        <w:spacing w:line="360" w:lineRule="auto"/>
      </w:pPr>
    </w:p>
    <w:p w14:paraId="7249B5C1" w14:textId="77777777" w:rsidR="004E42AD" w:rsidRPr="00CF3DDD" w:rsidRDefault="00AD3047" w:rsidP="00CF3DDD">
      <w:pPr>
        <w:pStyle w:val="Heading2"/>
        <w:spacing w:line="360" w:lineRule="auto"/>
      </w:pPr>
      <w:bookmarkStart w:id="112" w:name="_Toc209310655"/>
      <w:r w:rsidRPr="00CF3DDD">
        <w:lastRenderedPageBreak/>
        <w:t>5.</w:t>
      </w:r>
      <w:r w:rsidR="003A7012" w:rsidRPr="00CF3DDD">
        <w:t>4</w:t>
      </w:r>
      <w:r w:rsidRPr="00CF3DDD">
        <w:t xml:space="preserve"> </w:t>
      </w:r>
      <w:r w:rsidR="004E42AD" w:rsidRPr="00CF3DDD">
        <w:t>Theoretical Contributions</w:t>
      </w:r>
      <w:bookmarkEnd w:id="112"/>
    </w:p>
    <w:p w14:paraId="10CE9724" w14:textId="77777777" w:rsidR="004E42AD" w:rsidRPr="00CF3DDD" w:rsidRDefault="004E42AD" w:rsidP="00CF3DDD">
      <w:pPr>
        <w:pStyle w:val="NormalWeb"/>
        <w:spacing w:line="360" w:lineRule="auto"/>
      </w:pPr>
      <w:r w:rsidRPr="00CF3DDD">
        <w:t xml:space="preserve">This research contributes to the broader field of brand management and consumer </w:t>
      </w:r>
      <w:proofErr w:type="spellStart"/>
      <w:r w:rsidRPr="00CF3DDD">
        <w:t>behaviour</w:t>
      </w:r>
      <w:proofErr w:type="spellEnd"/>
      <w:r w:rsidRPr="00CF3DDD">
        <w:t xml:space="preserve"> in several important ways.</w:t>
      </w:r>
    </w:p>
    <w:p w14:paraId="6088F474" w14:textId="77777777" w:rsidR="004E42AD" w:rsidRPr="00CF3DDD" w:rsidRDefault="004E42AD" w:rsidP="00CF3DDD">
      <w:pPr>
        <w:pStyle w:val="NormalWeb"/>
        <w:spacing w:line="360" w:lineRule="auto"/>
      </w:pPr>
      <w:r w:rsidRPr="00CF3DDD">
        <w:t>Firstly, it validates Keller’s Brand Equity Model in a new context by extending it into the FMCG sector, specifically within the Nestlé brand in the UK market. Previous studies often applied this model to luxury or durable goods, yet this dissertation demonstrates its applicability to everyday consumables. By showing how equity drives trust and love before translating into loyalty, this study highlights the layered nature of consumer-brand relationships.</w:t>
      </w:r>
    </w:p>
    <w:p w14:paraId="0116DEB6" w14:textId="77777777" w:rsidR="004E42AD" w:rsidRPr="00CF3DDD" w:rsidRDefault="004E42AD" w:rsidP="00CF3DDD">
      <w:pPr>
        <w:pStyle w:val="NormalWeb"/>
        <w:spacing w:line="360" w:lineRule="auto"/>
      </w:pPr>
      <w:r>
        <w:t>Secondly, the research advances relationship marketing theory by empirically supporting the claim that emotional and cognitive mediators are essential in bridging the gap between brand perception and consumer loyalty. This indicates that loyalty is not simply an outcome of positive brand associations however is contingent upon trust-building and emotional engagement.</w:t>
      </w:r>
    </w:p>
    <w:p w14:paraId="656A940D" w14:textId="77777777" w:rsidR="004E42AD" w:rsidRPr="00CF3DDD" w:rsidRDefault="004E42AD" w:rsidP="00CF3DDD">
      <w:pPr>
        <w:pStyle w:val="NormalWeb"/>
        <w:spacing w:line="360" w:lineRule="auto"/>
      </w:pPr>
      <w:r w:rsidRPr="00CF3DDD">
        <w:t>Thirdly, the findings refine the conceptualization of brand loyalty. Traditionally, loyalty has been treated as a direct extension of brand equity; however, this study establishes that without trust and love, high equity does not guarantee loyalty. This nuanced insight advances theory by underscoring the mediating pathways that need to be considered in future frameworks</w:t>
      </w:r>
      <w:r w:rsidR="00F068C9" w:rsidRPr="00CF3DDD">
        <w:t xml:space="preserve"> (Oliver &amp; Bearden, 2018)</w:t>
      </w:r>
      <w:r w:rsidRPr="00CF3DDD">
        <w:t>.</w:t>
      </w:r>
    </w:p>
    <w:p w14:paraId="44BEAFCF" w14:textId="77777777" w:rsidR="004E42AD" w:rsidRPr="00CF3DDD" w:rsidRDefault="004E42AD" w:rsidP="00CF3DDD">
      <w:pPr>
        <w:pStyle w:val="NormalWeb"/>
        <w:spacing w:line="360" w:lineRule="auto"/>
      </w:pPr>
      <w:r w:rsidRPr="00CF3DDD">
        <w:t>Finally, the study contributes methodological value by employing a multi-variable regression approach that simultaneously examines cognitive (trust) and affective (love) mediators. This dual-lens approach provides a more holistic theoretical perspective than models that rely solely on cognitive or emotional pathways.</w:t>
      </w:r>
    </w:p>
    <w:p w14:paraId="626B6B85" w14:textId="77777777" w:rsidR="004E42AD" w:rsidRPr="00CF3DDD" w:rsidRDefault="00AD3047" w:rsidP="00CF3DDD">
      <w:pPr>
        <w:pStyle w:val="Heading2"/>
        <w:spacing w:line="360" w:lineRule="auto"/>
      </w:pPr>
      <w:bookmarkStart w:id="113" w:name="_Toc209310656"/>
      <w:r w:rsidRPr="00CF3DDD">
        <w:t>5.</w:t>
      </w:r>
      <w:r w:rsidR="003A7012" w:rsidRPr="00CF3DDD">
        <w:t>5</w:t>
      </w:r>
      <w:r w:rsidRPr="00CF3DDD">
        <w:t xml:space="preserve"> </w:t>
      </w:r>
      <w:r w:rsidR="004E42AD" w:rsidRPr="00CF3DDD">
        <w:t>Practical Implications and Recommendations for Managerial Practice</w:t>
      </w:r>
      <w:bookmarkEnd w:id="113"/>
    </w:p>
    <w:p w14:paraId="4E08A68E" w14:textId="77777777" w:rsidR="004E42AD" w:rsidRPr="00CF3DDD" w:rsidRDefault="004E42AD" w:rsidP="00CF3DDD">
      <w:pPr>
        <w:pStyle w:val="NormalWeb"/>
        <w:spacing w:line="360" w:lineRule="auto"/>
      </w:pPr>
      <w:r w:rsidRPr="00CF3DDD">
        <w:t>The findings offer important guidance for brand managers, marketers, and Nestlé’s leadership as they strategize to strengthen consumer relationships in competitive markets.</w:t>
      </w:r>
    </w:p>
    <w:p w14:paraId="3CEA7C3D" w14:textId="77777777" w:rsidR="004E42AD" w:rsidRPr="00CF3DDD" w:rsidRDefault="004E42AD" w:rsidP="00CF3DDD">
      <w:pPr>
        <w:pStyle w:val="NormalWeb"/>
        <w:spacing w:line="360" w:lineRule="auto"/>
      </w:pPr>
      <w:r>
        <w:t xml:space="preserve">Firstly, managers must recognize that brand equity alone is insufficient to secure loyalty. High awareness, perceived quality, and positive associations can draw consumers toward a brand, </w:t>
      </w:r>
      <w:r>
        <w:lastRenderedPageBreak/>
        <w:t>however these factors must be leveraged to cultivate trust and emotional attachment. Nestlé, for instance, can invest in transparency initiatives, consistent product quality, and ethical sourcing to enhance consumer trust.</w:t>
      </w:r>
    </w:p>
    <w:p w14:paraId="0AAD0429" w14:textId="77777777" w:rsidR="004E42AD" w:rsidRPr="00CF3DDD" w:rsidRDefault="004E42AD" w:rsidP="00CF3DDD">
      <w:pPr>
        <w:pStyle w:val="NormalWeb"/>
        <w:spacing w:line="360" w:lineRule="auto"/>
      </w:pPr>
      <w:r w:rsidRPr="00CF3DDD">
        <w:t>Secondly, Nestlé and other FMCG firms should prioritize strategies that build brand love. Emotional connections can be fostered through storytelling campaigns, nostalgia-driven marketing, and aligning with consumer values such as health, sustainability, and community well-being. In doing so, equity transforms into emotional resonance, which is harder for competitors to imitate.</w:t>
      </w:r>
    </w:p>
    <w:p w14:paraId="2A853DC3" w14:textId="77777777" w:rsidR="004E42AD" w:rsidRPr="00CF3DDD" w:rsidRDefault="004E42AD" w:rsidP="00CF3DDD">
      <w:pPr>
        <w:pStyle w:val="NormalWeb"/>
        <w:spacing w:line="360" w:lineRule="auto"/>
      </w:pPr>
      <w:r w:rsidRPr="00CF3DDD">
        <w:t xml:space="preserve">Thirdly, digital and social media platforms provide an ideal avenue for creating personalized and interactive experiences that strengthen both trust and love. Nestlé can implement consumer engagement </w:t>
      </w:r>
      <w:proofErr w:type="spellStart"/>
      <w:r w:rsidR="001240FD" w:rsidRPr="00CF3DDD">
        <w:t>programme</w:t>
      </w:r>
      <w:r w:rsidRPr="00CF3DDD">
        <w:t>s</w:t>
      </w:r>
      <w:proofErr w:type="spellEnd"/>
      <w:r w:rsidRPr="00CF3DDD">
        <w:t>, loyalty apps, and interactive campaigns that emphasize the brand’s role in consumers’ daily lives.</w:t>
      </w:r>
    </w:p>
    <w:p w14:paraId="549F2367" w14:textId="77777777" w:rsidR="004E42AD" w:rsidRPr="00CF3DDD" w:rsidRDefault="004E42AD" w:rsidP="00CF3DDD">
      <w:pPr>
        <w:pStyle w:val="NormalWeb"/>
        <w:spacing w:line="360" w:lineRule="auto"/>
      </w:pPr>
      <w:r w:rsidRPr="00CF3DDD">
        <w:t xml:space="preserve">Fourthly, the study suggests that loyalty </w:t>
      </w:r>
      <w:proofErr w:type="spellStart"/>
      <w:r w:rsidR="001240FD" w:rsidRPr="00CF3DDD">
        <w:t>programme</w:t>
      </w:r>
      <w:r w:rsidRPr="00CF3DDD">
        <w:t>s</w:t>
      </w:r>
      <w:proofErr w:type="spellEnd"/>
      <w:r w:rsidRPr="00CF3DDD">
        <w:t xml:space="preserve"> should go beyond transactional rewards. Rather than simply offering discounts, </w:t>
      </w:r>
      <w:proofErr w:type="spellStart"/>
      <w:r w:rsidR="001240FD" w:rsidRPr="00CF3DDD">
        <w:t>programme</w:t>
      </w:r>
      <w:r w:rsidRPr="00CF3DDD">
        <w:t>s</w:t>
      </w:r>
      <w:proofErr w:type="spellEnd"/>
      <w:r w:rsidRPr="00CF3DDD">
        <w:t xml:space="preserve"> should reinforce trust (e.g., through guarantees, fair pricing) and love (e.g., exclusive experiences, co-creation opportunities with consumers).</w:t>
      </w:r>
    </w:p>
    <w:p w14:paraId="781DFDC8" w14:textId="77777777" w:rsidR="00C41021" w:rsidRPr="00CF3DDD" w:rsidRDefault="004E42AD" w:rsidP="00CF3DDD">
      <w:pPr>
        <w:pStyle w:val="NormalWeb"/>
        <w:spacing w:line="360" w:lineRule="auto"/>
      </w:pPr>
      <w:r w:rsidRPr="00CF3DDD">
        <w:t>Finally, the insights hold relevance for managers across industries. The critical takeaway is that brand equity must be operationalized as a foundation for building higher-order consumer bonds, rather than treated as an outcome.</w:t>
      </w:r>
    </w:p>
    <w:p w14:paraId="319DD9EB" w14:textId="77777777" w:rsidR="004E42AD" w:rsidRPr="00CF3DDD" w:rsidRDefault="00200D61" w:rsidP="00CF3DDD">
      <w:pPr>
        <w:pStyle w:val="Heading2"/>
        <w:spacing w:line="360" w:lineRule="auto"/>
      </w:pPr>
      <w:bookmarkStart w:id="114" w:name="_Toc209310657"/>
      <w:r w:rsidRPr="00CF3DDD">
        <w:t>5.</w:t>
      </w:r>
      <w:r w:rsidR="003A7012" w:rsidRPr="00CF3DDD">
        <w:t>6</w:t>
      </w:r>
      <w:r w:rsidRPr="00CF3DDD">
        <w:t xml:space="preserve"> </w:t>
      </w:r>
      <w:r w:rsidR="004E42AD" w:rsidRPr="00CF3DDD">
        <w:t>Limitations of the Study Leading to Areas of Further Research</w:t>
      </w:r>
      <w:bookmarkEnd w:id="114"/>
    </w:p>
    <w:p w14:paraId="0FBDD461" w14:textId="77777777" w:rsidR="00AD3040" w:rsidRPr="00CF3DDD" w:rsidRDefault="00AD3040" w:rsidP="00CF3DDD">
      <w:pPr>
        <w:spacing w:line="360" w:lineRule="auto"/>
        <w:rPr>
          <w:rFonts w:cs="Times New Roman"/>
          <w:szCs w:val="24"/>
        </w:rPr>
      </w:pPr>
      <w:r w:rsidRPr="00CF3DDD">
        <w:rPr>
          <w:rFonts w:cs="Times New Roman"/>
          <w:szCs w:val="24"/>
        </w:rPr>
        <w:t>While the study provides valuable insights, it is important to acknowledge its limitations.</w:t>
      </w:r>
    </w:p>
    <w:p w14:paraId="00895613" w14:textId="77777777" w:rsidR="00AD3040" w:rsidRPr="00CF3DDD" w:rsidRDefault="00AD3040" w:rsidP="00CF3DDD">
      <w:pPr>
        <w:spacing w:line="360" w:lineRule="auto"/>
        <w:rPr>
          <w:rFonts w:cs="Times New Roman"/>
          <w:szCs w:val="24"/>
        </w:rPr>
      </w:pPr>
      <w:r w:rsidRPr="00CF3DDD">
        <w:rPr>
          <w:rFonts w:cs="Times New Roman"/>
          <w:szCs w:val="24"/>
        </w:rPr>
        <w:t>Sampling Limitations:</w:t>
      </w:r>
    </w:p>
    <w:p w14:paraId="2FB7B94C" w14:textId="5B22C37C" w:rsidR="00AD3040" w:rsidRPr="00CF3DDD" w:rsidRDefault="00AD3040" w:rsidP="00CF3DDD">
      <w:pPr>
        <w:spacing w:line="360" w:lineRule="auto"/>
        <w:rPr>
          <w:rFonts w:cs="Times New Roman"/>
          <w:szCs w:val="24"/>
        </w:rPr>
      </w:pPr>
      <w:r w:rsidRPr="00CF3DDD">
        <w:rPr>
          <w:rFonts w:cs="Times New Roman"/>
          <w:szCs w:val="24"/>
        </w:rPr>
        <w:t>The use of non-probability convenience sampling reduces generalizability. Future research should employ probability methods or larger, more diverse samples across different UK regions and demographics.</w:t>
      </w:r>
    </w:p>
    <w:p w14:paraId="5FB25938" w14:textId="4AB4C1C8" w:rsidR="000B23C9" w:rsidRPr="00CF3DDD" w:rsidRDefault="000B23C9" w:rsidP="00CF3DDD">
      <w:pPr>
        <w:spacing w:line="360" w:lineRule="auto"/>
        <w:rPr>
          <w:rFonts w:cs="Times New Roman"/>
          <w:szCs w:val="24"/>
        </w:rPr>
      </w:pPr>
    </w:p>
    <w:p w14:paraId="137AED7A" w14:textId="77777777" w:rsidR="000B23C9" w:rsidRPr="00CF3DDD" w:rsidRDefault="000B23C9" w:rsidP="00CF3DDD">
      <w:pPr>
        <w:spacing w:line="360" w:lineRule="auto"/>
        <w:rPr>
          <w:rFonts w:cs="Times New Roman"/>
          <w:szCs w:val="24"/>
        </w:rPr>
      </w:pPr>
    </w:p>
    <w:p w14:paraId="364C5A66" w14:textId="77777777" w:rsidR="00AD3040" w:rsidRPr="00CF3DDD" w:rsidRDefault="00AD3040" w:rsidP="00CF3DDD">
      <w:pPr>
        <w:spacing w:line="360" w:lineRule="auto"/>
        <w:rPr>
          <w:rFonts w:cs="Times New Roman"/>
          <w:szCs w:val="24"/>
        </w:rPr>
      </w:pPr>
      <w:r w:rsidRPr="00CF3DDD">
        <w:rPr>
          <w:rFonts w:cs="Times New Roman"/>
          <w:szCs w:val="24"/>
        </w:rPr>
        <w:t>Cross-sectional Design:</w:t>
      </w:r>
    </w:p>
    <w:p w14:paraId="2A34CC77" w14:textId="77777777" w:rsidR="00AD3040" w:rsidRPr="00CF3DDD" w:rsidRDefault="00AD3040" w:rsidP="00CF3DDD">
      <w:pPr>
        <w:spacing w:line="360" w:lineRule="auto"/>
        <w:rPr>
          <w:rFonts w:cs="Times New Roman"/>
          <w:szCs w:val="24"/>
        </w:rPr>
      </w:pPr>
      <w:r w:rsidRPr="00CF3DDD">
        <w:rPr>
          <w:rFonts w:cs="Times New Roman"/>
          <w:szCs w:val="24"/>
        </w:rPr>
        <w:t>The study’s snapshot approach does not capture loyalty’s evolution over time. Longitudinal studies could track how trust and love develop or decline, providing richer temporal insights.</w:t>
      </w:r>
    </w:p>
    <w:p w14:paraId="4694C573" w14:textId="77777777" w:rsidR="00AD3040" w:rsidRPr="00CF3DDD" w:rsidRDefault="00AD3040" w:rsidP="00CF3DDD">
      <w:pPr>
        <w:spacing w:line="360" w:lineRule="auto"/>
        <w:rPr>
          <w:rFonts w:cs="Times New Roman"/>
          <w:szCs w:val="24"/>
        </w:rPr>
      </w:pPr>
      <w:r w:rsidRPr="00CF3DDD">
        <w:rPr>
          <w:rFonts w:cs="Times New Roman"/>
          <w:szCs w:val="24"/>
        </w:rPr>
        <w:t>Contextual Scope:</w:t>
      </w:r>
    </w:p>
    <w:p w14:paraId="5467ACE9" w14:textId="77777777" w:rsidR="00AD3040" w:rsidRPr="00CF3DDD" w:rsidRDefault="00AD3040" w:rsidP="00CF3DDD">
      <w:pPr>
        <w:spacing w:line="360" w:lineRule="auto"/>
        <w:rPr>
          <w:rFonts w:cs="Times New Roman"/>
          <w:szCs w:val="24"/>
        </w:rPr>
      </w:pPr>
      <w:r w:rsidRPr="00CF3DDD">
        <w:rPr>
          <w:rFonts w:cs="Times New Roman"/>
          <w:szCs w:val="24"/>
        </w:rPr>
        <w:t>Focusing solely on Nestlé in the UK may limit transferability to other FMCG firms or industries. Future studies could compare across countries or product categories to explore cultural and sectoral differences.</w:t>
      </w:r>
    </w:p>
    <w:p w14:paraId="28614235" w14:textId="77777777" w:rsidR="00AD3040" w:rsidRPr="00CF3DDD" w:rsidRDefault="00AD3040" w:rsidP="00CF3DDD">
      <w:pPr>
        <w:spacing w:line="360" w:lineRule="auto"/>
        <w:rPr>
          <w:rFonts w:cs="Times New Roman"/>
          <w:szCs w:val="24"/>
        </w:rPr>
      </w:pPr>
      <w:r w:rsidRPr="00CF3DDD">
        <w:rPr>
          <w:rFonts w:cs="Times New Roman"/>
          <w:szCs w:val="24"/>
        </w:rPr>
        <w:t>Measurement of Constructs:</w:t>
      </w:r>
    </w:p>
    <w:p w14:paraId="3635C3BF" w14:textId="77777777" w:rsidR="00AD3040" w:rsidRPr="00CF3DDD" w:rsidRDefault="00AD3040" w:rsidP="00CF3DDD">
      <w:pPr>
        <w:spacing w:line="360" w:lineRule="auto"/>
        <w:rPr>
          <w:rFonts w:cs="Times New Roman"/>
          <w:szCs w:val="24"/>
        </w:rPr>
      </w:pPr>
      <w:r w:rsidRPr="00CF3DDD">
        <w:rPr>
          <w:rFonts w:cs="Times New Roman"/>
          <w:szCs w:val="24"/>
        </w:rPr>
        <w:t>Although validated scales were used, they may not capture the full depth of trust and love. Mixed-methods approaches, combining surveys with qualitative insights, could provide more comprehensive understanding.</w:t>
      </w:r>
    </w:p>
    <w:p w14:paraId="47A33DB8" w14:textId="77777777" w:rsidR="00AD3040" w:rsidRPr="00CF3DDD" w:rsidRDefault="00AD3040" w:rsidP="00CF3DDD">
      <w:pPr>
        <w:spacing w:line="360" w:lineRule="auto"/>
        <w:rPr>
          <w:rFonts w:cs="Times New Roman"/>
          <w:szCs w:val="24"/>
        </w:rPr>
      </w:pPr>
      <w:r w:rsidRPr="00CF3DDD">
        <w:rPr>
          <w:rFonts w:cs="Times New Roman"/>
          <w:szCs w:val="24"/>
        </w:rPr>
        <w:t>Exclusion of Moderators:</w:t>
      </w:r>
    </w:p>
    <w:p w14:paraId="5C8392AF" w14:textId="77777777" w:rsidR="00AD3040" w:rsidRPr="00CF3DDD" w:rsidRDefault="00AD3040" w:rsidP="00CF3DDD">
      <w:pPr>
        <w:spacing w:line="360" w:lineRule="auto"/>
        <w:rPr>
          <w:rFonts w:cs="Times New Roman"/>
          <w:b/>
          <w:bCs/>
          <w:szCs w:val="24"/>
        </w:rPr>
      </w:pPr>
      <w:r w:rsidRPr="00CF3DDD">
        <w:rPr>
          <w:rFonts w:cs="Times New Roman"/>
          <w:szCs w:val="24"/>
        </w:rPr>
        <w:t>Potential moderators such as consumer demographics, brand involvement, or market competition were not tested. Future research should explore these to refine the equity-to-loyalty model further.</w:t>
      </w:r>
    </w:p>
    <w:p w14:paraId="3E9F316B" w14:textId="77777777" w:rsidR="004E42AD" w:rsidRPr="00CF3DDD" w:rsidRDefault="00200D61" w:rsidP="00CF3DDD">
      <w:pPr>
        <w:pStyle w:val="Heading2"/>
        <w:spacing w:line="360" w:lineRule="auto"/>
      </w:pPr>
      <w:bookmarkStart w:id="115" w:name="_Toc209310658"/>
      <w:r w:rsidRPr="00CF3DDD">
        <w:t>5.</w:t>
      </w:r>
      <w:r w:rsidR="003A7012" w:rsidRPr="00CF3DDD">
        <w:t>7</w:t>
      </w:r>
      <w:r w:rsidRPr="00CF3DDD">
        <w:t xml:space="preserve"> </w:t>
      </w:r>
      <w:r w:rsidR="004E42AD" w:rsidRPr="00CF3DDD">
        <w:t>Researcher’s Reflection</w:t>
      </w:r>
      <w:bookmarkEnd w:id="115"/>
    </w:p>
    <w:p w14:paraId="7C37BAA5" w14:textId="77777777" w:rsidR="00AD3040" w:rsidRPr="00CF3DDD" w:rsidRDefault="00AD3040" w:rsidP="00CF3DDD">
      <w:pPr>
        <w:pStyle w:val="NormalWeb"/>
        <w:spacing w:line="360" w:lineRule="auto"/>
      </w:pPr>
      <w:r w:rsidRPr="00CF3DDD">
        <w:t>Conducting this dissertation has been both a rigorous academic exercise and a personal learning journey. At the beginning, the task of linking brand equity, trust, love, and loyalty felt ambitious. However, by systematically reviewing literature, developing hypotheses, and testing them through empirical data, I gained a clearer understanding of consumer-brand dynamics.</w:t>
      </w:r>
    </w:p>
    <w:p w14:paraId="010057E9" w14:textId="77777777" w:rsidR="00AD3040" w:rsidRPr="00CF3DDD" w:rsidRDefault="00AD3040" w:rsidP="00CF3DDD">
      <w:pPr>
        <w:pStyle w:val="NormalWeb"/>
        <w:spacing w:line="360" w:lineRule="auto"/>
      </w:pPr>
      <w:r w:rsidRPr="00CF3DDD">
        <w:t xml:space="preserve">A key realization has been the non-linear nature of consumer </w:t>
      </w:r>
      <w:proofErr w:type="spellStart"/>
      <w:r w:rsidRPr="00CF3DDD">
        <w:t>behaviour</w:t>
      </w:r>
      <w:proofErr w:type="spellEnd"/>
      <w:r w:rsidRPr="00CF3DDD">
        <w:t>. While theory often presents direct pathways, the findings revealed the importance of mediators, highlighting that brand loyalty is constructed through trust and emotional bonds. This insight deepened my appreciation for the complexity of consumer psychology.</w:t>
      </w:r>
    </w:p>
    <w:p w14:paraId="053944D0" w14:textId="77777777" w:rsidR="00AD3040" w:rsidRPr="00CF3DDD" w:rsidRDefault="00AD3040" w:rsidP="00CF3DDD">
      <w:pPr>
        <w:pStyle w:val="NormalWeb"/>
        <w:spacing w:line="360" w:lineRule="auto"/>
      </w:pPr>
      <w:r>
        <w:lastRenderedPageBreak/>
        <w:t>Methodologically, I encountered challenges with sampling and the limitations of self-reported data. These constraints required careful interpretation of results and acknowledgement of limitations. Yet, they altherefore sharpened my skills in critical analysis and reinforced the importance of methodological transparency.</w:t>
      </w:r>
    </w:p>
    <w:p w14:paraId="011197C4" w14:textId="6F2596C1" w:rsidR="00421AF3" w:rsidRPr="00CF3DDD" w:rsidRDefault="00AD3040" w:rsidP="00CF3DDD">
      <w:pPr>
        <w:pStyle w:val="NormalWeb"/>
        <w:spacing w:line="360" w:lineRule="auto"/>
      </w:pPr>
      <w:r w:rsidRPr="00CF3DDD">
        <w:t>On a personal level, the dissertation strengthened my ability to think critically, manage complex data, and synthesize theory with practice. Beyond the statistical outcomes, the process taught me the value of reflection, questioning assumptions, and remaining open to unexpected results.</w:t>
      </w:r>
      <w:bookmarkStart w:id="116" w:name="_Toc209310659"/>
      <w:bookmarkEnd w:id="86"/>
    </w:p>
    <w:p w14:paraId="101561C7" w14:textId="1867EA08" w:rsidR="004F627C" w:rsidRPr="00CF3DDD" w:rsidRDefault="004F627C" w:rsidP="00CF3DDD">
      <w:pPr>
        <w:pStyle w:val="NormalWeb"/>
        <w:spacing w:line="360" w:lineRule="auto"/>
      </w:pPr>
    </w:p>
    <w:p w14:paraId="6589EB87" w14:textId="3AB67E1B" w:rsidR="004F627C" w:rsidRPr="00CF3DDD" w:rsidRDefault="004F627C" w:rsidP="00CF3DDD">
      <w:pPr>
        <w:pStyle w:val="NormalWeb"/>
        <w:spacing w:line="360" w:lineRule="auto"/>
      </w:pPr>
    </w:p>
    <w:p w14:paraId="0610AA14" w14:textId="485973B1" w:rsidR="004F627C" w:rsidRPr="00CF3DDD" w:rsidRDefault="004F627C" w:rsidP="00CF3DDD">
      <w:pPr>
        <w:pStyle w:val="NormalWeb"/>
        <w:spacing w:line="360" w:lineRule="auto"/>
      </w:pPr>
    </w:p>
    <w:p w14:paraId="2AB83082" w14:textId="7729B195" w:rsidR="004F627C" w:rsidRPr="00CF3DDD" w:rsidRDefault="004F627C" w:rsidP="00CF3DDD">
      <w:pPr>
        <w:pStyle w:val="NormalWeb"/>
        <w:spacing w:line="360" w:lineRule="auto"/>
      </w:pPr>
    </w:p>
    <w:p w14:paraId="158E907A" w14:textId="194948CD" w:rsidR="004F627C" w:rsidRPr="00CF3DDD" w:rsidRDefault="004F627C" w:rsidP="00CF3DDD">
      <w:pPr>
        <w:pStyle w:val="NormalWeb"/>
        <w:spacing w:line="360" w:lineRule="auto"/>
      </w:pPr>
    </w:p>
    <w:p w14:paraId="2B7AA7F5" w14:textId="1B8A206C" w:rsidR="004F627C" w:rsidRPr="00CF3DDD" w:rsidRDefault="004F627C" w:rsidP="00CF3DDD">
      <w:pPr>
        <w:pStyle w:val="NormalWeb"/>
        <w:spacing w:line="360" w:lineRule="auto"/>
      </w:pPr>
    </w:p>
    <w:p w14:paraId="1D0A8E7A" w14:textId="39089D7C" w:rsidR="004F627C" w:rsidRPr="00CF3DDD" w:rsidRDefault="004F627C" w:rsidP="00CF3DDD">
      <w:pPr>
        <w:pStyle w:val="NormalWeb"/>
        <w:spacing w:line="360" w:lineRule="auto"/>
      </w:pPr>
    </w:p>
    <w:p w14:paraId="1A8E7C9C" w14:textId="674F28FD" w:rsidR="004F627C" w:rsidRPr="00CF3DDD" w:rsidRDefault="004F627C" w:rsidP="00CF3DDD">
      <w:pPr>
        <w:pStyle w:val="NormalWeb"/>
        <w:spacing w:line="360" w:lineRule="auto"/>
      </w:pPr>
    </w:p>
    <w:p w14:paraId="62E45437" w14:textId="6C7FA7CE" w:rsidR="004F627C" w:rsidRPr="00CF3DDD" w:rsidRDefault="004F627C" w:rsidP="00CF3DDD">
      <w:pPr>
        <w:pStyle w:val="NormalWeb"/>
        <w:spacing w:line="360" w:lineRule="auto"/>
      </w:pPr>
    </w:p>
    <w:p w14:paraId="78558444" w14:textId="03C01D6B" w:rsidR="004F627C" w:rsidRPr="00CF3DDD" w:rsidRDefault="004F627C" w:rsidP="00CF3DDD">
      <w:pPr>
        <w:pStyle w:val="NormalWeb"/>
        <w:spacing w:line="360" w:lineRule="auto"/>
      </w:pPr>
    </w:p>
    <w:p w14:paraId="7C3536F5" w14:textId="208A51D6" w:rsidR="004F627C" w:rsidRPr="00CF3DDD" w:rsidRDefault="004F627C" w:rsidP="00CF3DDD">
      <w:pPr>
        <w:pStyle w:val="NormalWeb"/>
        <w:spacing w:line="360" w:lineRule="auto"/>
      </w:pPr>
    </w:p>
    <w:p w14:paraId="757249E4" w14:textId="3C89B726" w:rsidR="004F627C" w:rsidRPr="00CF3DDD" w:rsidRDefault="004F627C" w:rsidP="00CF3DDD">
      <w:pPr>
        <w:pStyle w:val="NormalWeb"/>
        <w:spacing w:line="360" w:lineRule="auto"/>
      </w:pPr>
    </w:p>
    <w:p w14:paraId="0A440872" w14:textId="77777777" w:rsidR="004F627C" w:rsidRPr="00CF3DDD" w:rsidRDefault="004F627C" w:rsidP="00CF3DDD">
      <w:pPr>
        <w:pStyle w:val="NormalWeb"/>
        <w:spacing w:line="360" w:lineRule="auto"/>
      </w:pPr>
    </w:p>
    <w:p w14:paraId="1AF7DBA8" w14:textId="1CF0F531" w:rsidR="00254784" w:rsidRPr="00CF3DDD" w:rsidRDefault="00254784" w:rsidP="00CF3DDD">
      <w:pPr>
        <w:pStyle w:val="Heading1"/>
        <w:spacing w:line="360" w:lineRule="auto"/>
        <w:ind w:left="0"/>
        <w:rPr>
          <w:rFonts w:cs="Times New Roman"/>
        </w:rPr>
      </w:pPr>
      <w:r w:rsidRPr="00CF3DDD">
        <w:rPr>
          <w:rFonts w:cs="Times New Roman"/>
        </w:rPr>
        <w:lastRenderedPageBreak/>
        <w:t>References</w:t>
      </w:r>
      <w:bookmarkEnd w:id="116"/>
    </w:p>
    <w:p w14:paraId="31B27EFF"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Andrade, C. (2021). </w:t>
      </w:r>
      <w:r w:rsidRPr="00CF3DDD">
        <w:rPr>
          <w:rFonts w:eastAsia="Times New Roman" w:cs="Times New Roman"/>
          <w:i/>
          <w:iCs/>
          <w:szCs w:val="24"/>
        </w:rPr>
        <w:t>The inconvenient truth about convenience and purposive samples</w:t>
      </w:r>
      <w:r w:rsidRPr="00CF3DDD">
        <w:rPr>
          <w:rFonts w:eastAsia="Times New Roman" w:cs="Times New Roman"/>
          <w:szCs w:val="24"/>
        </w:rPr>
        <w:t xml:space="preserve">. </w:t>
      </w:r>
      <w:r w:rsidRPr="00CF3DDD">
        <w:rPr>
          <w:rFonts w:eastAsia="Times New Roman" w:cs="Times New Roman"/>
          <w:b/>
          <w:bCs/>
          <w:szCs w:val="24"/>
        </w:rPr>
        <w:t>Indian Journal of Psychological Medicine</w:t>
      </w:r>
      <w:r w:rsidRPr="00CF3DDD">
        <w:rPr>
          <w:rFonts w:eastAsia="Times New Roman" w:cs="Times New Roman"/>
          <w:szCs w:val="24"/>
        </w:rPr>
        <w:t xml:space="preserve">, </w:t>
      </w:r>
      <w:r w:rsidRPr="00CF3DDD">
        <w:rPr>
          <w:rFonts w:eastAsia="Times New Roman" w:cs="Times New Roman"/>
          <w:i/>
          <w:iCs/>
          <w:szCs w:val="24"/>
        </w:rPr>
        <w:t>43</w:t>
      </w:r>
      <w:r w:rsidRPr="00CF3DDD">
        <w:rPr>
          <w:rFonts w:eastAsia="Times New Roman" w:cs="Times New Roman"/>
          <w:szCs w:val="24"/>
        </w:rPr>
        <w:t>(1), pp. 86–88. doi:10.1177/0253717620977000.</w:t>
      </w:r>
    </w:p>
    <w:p w14:paraId="27BECAAD" w14:textId="77777777" w:rsidR="00254784" w:rsidRPr="00CF3DDD" w:rsidRDefault="00254784"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Bagozzi</w:t>
      </w:r>
      <w:proofErr w:type="spellEnd"/>
      <w:r w:rsidRPr="00CF3DDD">
        <w:rPr>
          <w:rFonts w:eastAsia="Times New Roman" w:cs="Times New Roman"/>
          <w:szCs w:val="24"/>
        </w:rPr>
        <w:t xml:space="preserve">, R. P., Batra, R. &amp; </w:t>
      </w:r>
      <w:proofErr w:type="spellStart"/>
      <w:r w:rsidRPr="00CF3DDD">
        <w:rPr>
          <w:rFonts w:eastAsia="Times New Roman" w:cs="Times New Roman"/>
          <w:szCs w:val="24"/>
        </w:rPr>
        <w:t>Ahuvia</w:t>
      </w:r>
      <w:proofErr w:type="spellEnd"/>
      <w:r w:rsidRPr="00CF3DDD">
        <w:rPr>
          <w:rFonts w:eastAsia="Times New Roman" w:cs="Times New Roman"/>
          <w:szCs w:val="24"/>
        </w:rPr>
        <w:t xml:space="preserve">, A. C. (2017). </w:t>
      </w:r>
      <w:r w:rsidRPr="00CF3DDD">
        <w:rPr>
          <w:rFonts w:eastAsia="Times New Roman" w:cs="Times New Roman"/>
          <w:i/>
          <w:iCs/>
          <w:szCs w:val="24"/>
        </w:rPr>
        <w:t>Brand love: development and validation of a practical scale</w:t>
      </w:r>
      <w:r w:rsidRPr="00CF3DDD">
        <w:rPr>
          <w:rFonts w:eastAsia="Times New Roman" w:cs="Times New Roman"/>
          <w:szCs w:val="24"/>
        </w:rPr>
        <w:t xml:space="preserve">. </w:t>
      </w:r>
      <w:r w:rsidRPr="00CF3DDD">
        <w:rPr>
          <w:rFonts w:eastAsia="Times New Roman" w:cs="Times New Roman"/>
          <w:b/>
          <w:bCs/>
          <w:szCs w:val="24"/>
        </w:rPr>
        <w:t>Marketing Letters</w:t>
      </w:r>
      <w:r w:rsidRPr="00CF3DDD">
        <w:rPr>
          <w:rFonts w:eastAsia="Times New Roman" w:cs="Times New Roman"/>
          <w:szCs w:val="24"/>
        </w:rPr>
        <w:t xml:space="preserve">, </w:t>
      </w:r>
      <w:r w:rsidRPr="00CF3DDD">
        <w:rPr>
          <w:rFonts w:eastAsia="Times New Roman" w:cs="Times New Roman"/>
          <w:i/>
          <w:iCs/>
          <w:szCs w:val="24"/>
        </w:rPr>
        <w:t>28</w:t>
      </w:r>
      <w:r w:rsidRPr="00CF3DDD">
        <w:rPr>
          <w:rFonts w:eastAsia="Times New Roman" w:cs="Times New Roman"/>
          <w:szCs w:val="24"/>
        </w:rPr>
        <w:t>, pp. 1–14. doi:10.1007/s11002-016-9406-1.</w:t>
      </w:r>
    </w:p>
    <w:p w14:paraId="5D721C5C"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Chaudhuri, A. &amp; Holbrook, M. B. (2001). </w:t>
      </w:r>
      <w:r w:rsidRPr="00CF3DDD">
        <w:rPr>
          <w:rFonts w:eastAsia="Times New Roman" w:cs="Times New Roman"/>
          <w:i/>
          <w:iCs/>
          <w:szCs w:val="24"/>
        </w:rPr>
        <w:t>The chain of effects from brand trust and brand affect to brand performance: the role of brand loyalty</w:t>
      </w:r>
      <w:r w:rsidRPr="00CF3DDD">
        <w:rPr>
          <w:rFonts w:eastAsia="Times New Roman" w:cs="Times New Roman"/>
          <w:szCs w:val="24"/>
        </w:rPr>
        <w:t xml:space="preserve">. </w:t>
      </w:r>
      <w:r w:rsidRPr="00CF3DDD">
        <w:rPr>
          <w:rFonts w:eastAsia="Times New Roman" w:cs="Times New Roman"/>
          <w:b/>
          <w:bCs/>
          <w:szCs w:val="24"/>
        </w:rPr>
        <w:t>Journal of Marketing</w:t>
      </w:r>
      <w:r w:rsidRPr="00CF3DDD">
        <w:rPr>
          <w:rFonts w:eastAsia="Times New Roman" w:cs="Times New Roman"/>
          <w:szCs w:val="24"/>
        </w:rPr>
        <w:t xml:space="preserve">, </w:t>
      </w:r>
      <w:r w:rsidRPr="00CF3DDD">
        <w:rPr>
          <w:rFonts w:eastAsia="Times New Roman" w:cs="Times New Roman"/>
          <w:i/>
          <w:iCs/>
          <w:szCs w:val="24"/>
        </w:rPr>
        <w:t>65</w:t>
      </w:r>
      <w:r w:rsidRPr="00CF3DDD">
        <w:rPr>
          <w:rFonts w:eastAsia="Times New Roman" w:cs="Times New Roman"/>
          <w:szCs w:val="24"/>
        </w:rPr>
        <w:t>(2), pp. 81–93. doi:10.1509/jmkg.65.2.81.18255.</w:t>
      </w:r>
    </w:p>
    <w:p w14:paraId="7DB6DEE1" w14:textId="77777777" w:rsidR="00254784" w:rsidRPr="00CF3DDD" w:rsidRDefault="00254784"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Golzar</w:t>
      </w:r>
      <w:proofErr w:type="spellEnd"/>
      <w:r w:rsidRPr="00CF3DDD">
        <w:rPr>
          <w:rFonts w:eastAsia="Times New Roman" w:cs="Times New Roman"/>
          <w:szCs w:val="24"/>
        </w:rPr>
        <w:t xml:space="preserve">, J., Tajik, O. &amp; Noor, S. (2022). </w:t>
      </w:r>
      <w:r w:rsidRPr="00CF3DDD">
        <w:rPr>
          <w:rFonts w:eastAsia="Times New Roman" w:cs="Times New Roman"/>
          <w:i/>
          <w:iCs/>
          <w:szCs w:val="24"/>
        </w:rPr>
        <w:t>Convenience sampling technique benefits and drawbacks</w:t>
      </w:r>
      <w:r w:rsidRPr="00CF3DDD">
        <w:rPr>
          <w:rFonts w:eastAsia="Times New Roman" w:cs="Times New Roman"/>
          <w:szCs w:val="24"/>
        </w:rPr>
        <w:t xml:space="preserve">. </w:t>
      </w:r>
      <w:r w:rsidRPr="00CF3DDD">
        <w:rPr>
          <w:rFonts w:eastAsia="Times New Roman" w:cs="Times New Roman"/>
          <w:b/>
          <w:bCs/>
          <w:szCs w:val="24"/>
        </w:rPr>
        <w:t>International Journal of English Language &amp; Literature Studies</w:t>
      </w:r>
      <w:r w:rsidRPr="00CF3DDD">
        <w:rPr>
          <w:rFonts w:eastAsia="Times New Roman" w:cs="Times New Roman"/>
          <w:szCs w:val="24"/>
        </w:rPr>
        <w:t xml:space="preserve">, </w:t>
      </w:r>
      <w:r w:rsidRPr="00CF3DDD">
        <w:rPr>
          <w:rFonts w:eastAsia="Times New Roman" w:cs="Times New Roman"/>
          <w:i/>
          <w:iCs/>
          <w:szCs w:val="24"/>
        </w:rPr>
        <w:t>10</w:t>
      </w:r>
      <w:r w:rsidRPr="00CF3DDD">
        <w:rPr>
          <w:rFonts w:eastAsia="Times New Roman" w:cs="Times New Roman"/>
          <w:szCs w:val="24"/>
        </w:rPr>
        <w:t>(4), pp. 72–80. doi:10.22034/ijels.2022.162981.</w:t>
      </w:r>
    </w:p>
    <w:p w14:paraId="6B916402"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Raju, N. V. &amp; </w:t>
      </w:r>
      <w:proofErr w:type="spellStart"/>
      <w:r w:rsidRPr="00CF3DDD">
        <w:rPr>
          <w:rFonts w:eastAsia="Times New Roman" w:cs="Times New Roman"/>
          <w:szCs w:val="24"/>
        </w:rPr>
        <w:t>Harinarayana</w:t>
      </w:r>
      <w:proofErr w:type="spellEnd"/>
      <w:r w:rsidRPr="00CF3DDD">
        <w:rPr>
          <w:rFonts w:eastAsia="Times New Roman" w:cs="Times New Roman"/>
          <w:szCs w:val="24"/>
        </w:rPr>
        <w:t xml:space="preserve">, N. S. (2016). </w:t>
      </w:r>
      <w:r w:rsidRPr="00CF3DDD">
        <w:rPr>
          <w:rFonts w:eastAsia="Times New Roman" w:cs="Times New Roman"/>
          <w:i/>
          <w:iCs/>
          <w:szCs w:val="24"/>
        </w:rPr>
        <w:t>Online survey tools: A case study of Google Forms</w:t>
      </w:r>
      <w:r w:rsidRPr="00CF3DDD">
        <w:rPr>
          <w:rFonts w:eastAsia="Times New Roman" w:cs="Times New Roman"/>
          <w:szCs w:val="24"/>
        </w:rPr>
        <w:t>. Proceedings of the National Conference on Scientific, Computational &amp; Information Research Trends in Engineering, GSSS-IETW, Mysuru.</w:t>
      </w:r>
    </w:p>
    <w:p w14:paraId="43B68DBF" w14:textId="77777777" w:rsidR="00254784"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Thomas, L. (2020). </w:t>
      </w:r>
      <w:r w:rsidRPr="00CF3DDD">
        <w:rPr>
          <w:rFonts w:eastAsia="Times New Roman" w:cs="Times New Roman"/>
          <w:i/>
          <w:iCs/>
          <w:szCs w:val="24"/>
        </w:rPr>
        <w:t>Cross-sectional study: Definition, uses &amp; examples</w:t>
      </w:r>
      <w:r w:rsidRPr="00CF3DDD">
        <w:rPr>
          <w:rFonts w:eastAsia="Times New Roman" w:cs="Times New Roman"/>
          <w:szCs w:val="24"/>
        </w:rPr>
        <w:t xml:space="preserve">. </w:t>
      </w:r>
      <w:proofErr w:type="spellStart"/>
      <w:r w:rsidRPr="00CF3DDD">
        <w:rPr>
          <w:rFonts w:eastAsia="Times New Roman" w:cs="Times New Roman"/>
          <w:szCs w:val="24"/>
        </w:rPr>
        <w:t>Scribbr</w:t>
      </w:r>
      <w:proofErr w:type="spellEnd"/>
      <w:r w:rsidRPr="00CF3DDD">
        <w:rPr>
          <w:rFonts w:eastAsia="Times New Roman" w:cs="Times New Roman"/>
          <w:szCs w:val="24"/>
        </w:rPr>
        <w:t>. Available at: [</w:t>
      </w:r>
      <w:hyperlink r:id="rId15" w:history="1">
        <w:r w:rsidRPr="00CF3DDD">
          <w:rPr>
            <w:rFonts w:eastAsia="Times New Roman" w:cs="Times New Roman"/>
            <w:color w:val="0000FF"/>
            <w:szCs w:val="24"/>
            <w:u w:val="single"/>
          </w:rPr>
          <w:t>https://www.scribbr.com/methodology/cross-sectional-study/</w:t>
        </w:r>
      </w:hyperlink>
      <w:r w:rsidRPr="00CF3DDD">
        <w:rPr>
          <w:rFonts w:eastAsia="Times New Roman" w:cs="Times New Roman"/>
          <w:szCs w:val="24"/>
        </w:rPr>
        <w:t>] (accessed 15 June 2025).</w:t>
      </w:r>
    </w:p>
    <w:p w14:paraId="4D68BD51" w14:textId="77777777" w:rsidR="00254784" w:rsidRPr="00CF3DDD" w:rsidRDefault="00254784"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Yoo</w:t>
      </w:r>
      <w:proofErr w:type="spellEnd"/>
      <w:r w:rsidRPr="00CF3DDD">
        <w:rPr>
          <w:rFonts w:eastAsia="Times New Roman" w:cs="Times New Roman"/>
          <w:szCs w:val="24"/>
        </w:rPr>
        <w:t xml:space="preserve">, B., </w:t>
      </w:r>
      <w:proofErr w:type="spellStart"/>
      <w:r w:rsidRPr="00CF3DDD">
        <w:rPr>
          <w:rFonts w:eastAsia="Times New Roman" w:cs="Times New Roman"/>
          <w:szCs w:val="24"/>
        </w:rPr>
        <w:t>Donthu</w:t>
      </w:r>
      <w:proofErr w:type="spellEnd"/>
      <w:r w:rsidRPr="00CF3DDD">
        <w:rPr>
          <w:rFonts w:eastAsia="Times New Roman" w:cs="Times New Roman"/>
          <w:szCs w:val="24"/>
        </w:rPr>
        <w:t xml:space="preserve">, N. &amp; Lee, S. (2000). </w:t>
      </w:r>
      <w:r w:rsidRPr="00CF3DDD">
        <w:rPr>
          <w:rFonts w:eastAsia="Times New Roman" w:cs="Times New Roman"/>
          <w:i/>
          <w:iCs/>
          <w:szCs w:val="24"/>
        </w:rPr>
        <w:t>An examination of selected marketing mix elements and brand equity</w:t>
      </w:r>
      <w:r w:rsidRPr="00CF3DDD">
        <w:rPr>
          <w:rFonts w:eastAsia="Times New Roman" w:cs="Times New Roman"/>
          <w:szCs w:val="24"/>
        </w:rPr>
        <w:t xml:space="preserve">. </w:t>
      </w:r>
      <w:r w:rsidRPr="00CF3DDD">
        <w:rPr>
          <w:rFonts w:eastAsia="Times New Roman" w:cs="Times New Roman"/>
          <w:b/>
          <w:bCs/>
          <w:szCs w:val="24"/>
        </w:rPr>
        <w:t>Journal of the Academy of Marketing Science</w:t>
      </w:r>
      <w:r w:rsidRPr="00CF3DDD">
        <w:rPr>
          <w:rFonts w:eastAsia="Times New Roman" w:cs="Times New Roman"/>
          <w:szCs w:val="24"/>
        </w:rPr>
        <w:t xml:space="preserve">, </w:t>
      </w:r>
      <w:r w:rsidRPr="00CF3DDD">
        <w:rPr>
          <w:rFonts w:eastAsia="Times New Roman" w:cs="Times New Roman"/>
          <w:i/>
          <w:iCs/>
          <w:szCs w:val="24"/>
        </w:rPr>
        <w:t>28</w:t>
      </w:r>
      <w:r w:rsidRPr="00CF3DDD">
        <w:rPr>
          <w:rFonts w:eastAsia="Times New Roman" w:cs="Times New Roman"/>
          <w:szCs w:val="24"/>
        </w:rPr>
        <w:t>(2), pp. 195–211. doi:10.1177/0092070300282002.</w:t>
      </w:r>
    </w:p>
    <w:p w14:paraId="4633999A" w14:textId="77777777" w:rsidR="00113449" w:rsidRPr="00CF3DDD" w:rsidRDefault="00254784"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World Journal of Entrepreneurial Development Studies – (2023). </w:t>
      </w:r>
      <w:r w:rsidRPr="00CF3DDD">
        <w:rPr>
          <w:rFonts w:eastAsia="Times New Roman" w:cs="Times New Roman"/>
          <w:i/>
          <w:iCs/>
          <w:szCs w:val="24"/>
        </w:rPr>
        <w:t>Vol. 8, No. 2 (Brand recall and customer devotion of FMCGs in Rivers State)</w:t>
      </w:r>
      <w:r w:rsidRPr="00CF3DDD">
        <w:rPr>
          <w:rFonts w:eastAsia="Times New Roman" w:cs="Times New Roman"/>
          <w:szCs w:val="24"/>
        </w:rPr>
        <w:t xml:space="preserve">. </w:t>
      </w:r>
      <w:proofErr w:type="gramStart"/>
      <w:r w:rsidRPr="00CF3DDD">
        <w:rPr>
          <w:rFonts w:eastAsia="Times New Roman" w:cs="Times New Roman"/>
          <w:szCs w:val="24"/>
        </w:rPr>
        <w:t>DOI:10.56201/wjeds.v8.no2.2023.pg1</w:t>
      </w:r>
      <w:proofErr w:type="gramEnd"/>
      <w:r w:rsidRPr="00CF3DDD">
        <w:rPr>
          <w:rFonts w:eastAsia="Times New Roman" w:cs="Times New Roman"/>
          <w:szCs w:val="24"/>
        </w:rPr>
        <w:t>.17. (</w:t>
      </w:r>
      <w:proofErr w:type="spellStart"/>
      <w:r w:rsidRPr="00CF3DDD">
        <w:rPr>
          <w:rFonts w:eastAsia="Times New Roman" w:cs="Times New Roman"/>
          <w:szCs w:val="24"/>
        </w:rPr>
        <w:t>Ogonu</w:t>
      </w:r>
      <w:proofErr w:type="spellEnd"/>
      <w:r w:rsidRPr="00CF3DDD">
        <w:rPr>
          <w:rFonts w:eastAsia="Times New Roman" w:cs="Times New Roman"/>
          <w:szCs w:val="24"/>
        </w:rPr>
        <w:t xml:space="preserve"> &amp; </w:t>
      </w:r>
      <w:proofErr w:type="spellStart"/>
      <w:r w:rsidRPr="00CF3DDD">
        <w:rPr>
          <w:rFonts w:eastAsia="Times New Roman" w:cs="Times New Roman"/>
          <w:szCs w:val="24"/>
        </w:rPr>
        <w:t>Nwokah</w:t>
      </w:r>
      <w:proofErr w:type="spellEnd"/>
      <w:r w:rsidRPr="00CF3DDD">
        <w:rPr>
          <w:rFonts w:eastAsia="Times New Roman" w:cs="Times New Roman"/>
          <w:szCs w:val="24"/>
        </w:rPr>
        <w:t>).</w:t>
      </w:r>
    </w:p>
    <w:p w14:paraId="4498863B" w14:textId="77777777" w:rsidR="00A37F9F" w:rsidRPr="00CF3DDD" w:rsidRDefault="00A37F9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Aaker, D.A. (</w:t>
      </w:r>
      <w:r w:rsidR="00993620" w:rsidRPr="00CF3DDD">
        <w:rPr>
          <w:rFonts w:eastAsia="Times New Roman" w:cs="Times New Roman"/>
          <w:szCs w:val="24"/>
        </w:rPr>
        <w:t>2009</w:t>
      </w:r>
      <w:r w:rsidRPr="00CF3DDD">
        <w:rPr>
          <w:rFonts w:eastAsia="Times New Roman" w:cs="Times New Roman"/>
          <w:szCs w:val="24"/>
        </w:rPr>
        <w:t>)</w:t>
      </w:r>
      <w:r w:rsidR="00D90912" w:rsidRPr="00CF3DDD">
        <w:rPr>
          <w:rFonts w:eastAsia="Times New Roman" w:cs="Times New Roman"/>
          <w:szCs w:val="24"/>
        </w:rPr>
        <w:t>.</w:t>
      </w:r>
      <w:r w:rsidRPr="00CF3DDD">
        <w:rPr>
          <w:rFonts w:eastAsia="Times New Roman" w:cs="Times New Roman"/>
          <w:szCs w:val="24"/>
        </w:rPr>
        <w:t xml:space="preserve"> </w:t>
      </w:r>
      <w:r w:rsidRPr="00CF3DDD">
        <w:rPr>
          <w:rFonts w:eastAsia="Times New Roman" w:cs="Times New Roman"/>
          <w:i/>
          <w:iCs/>
          <w:szCs w:val="24"/>
        </w:rPr>
        <w:t>Managing brand equity: Capitalizing on the value of a brand name</w:t>
      </w:r>
      <w:r w:rsidRPr="00CF3DDD">
        <w:rPr>
          <w:rFonts w:eastAsia="Times New Roman" w:cs="Times New Roman"/>
          <w:szCs w:val="24"/>
        </w:rPr>
        <w:t>. New York: Free Press.</w:t>
      </w:r>
    </w:p>
    <w:p w14:paraId="2A6264BE" w14:textId="77777777" w:rsidR="00A37F9F" w:rsidRPr="00CF3DDD" w:rsidRDefault="00A37F9F"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lastRenderedPageBreak/>
        <w:t>Aisyah</w:t>
      </w:r>
      <w:proofErr w:type="spellEnd"/>
      <w:r w:rsidRPr="00CF3DDD">
        <w:rPr>
          <w:rFonts w:eastAsia="Times New Roman" w:cs="Times New Roman"/>
          <w:szCs w:val="24"/>
        </w:rPr>
        <w:t xml:space="preserve">, M. (2023) ‘The impact of a regional brand ambassador and social media advertising on brand trust and brand loyalty of Lazada in Indonesia’, </w:t>
      </w:r>
      <w:r w:rsidRPr="00CF3DDD">
        <w:rPr>
          <w:rFonts w:eastAsia="Times New Roman" w:cs="Times New Roman"/>
          <w:i/>
          <w:iCs/>
          <w:szCs w:val="24"/>
        </w:rPr>
        <w:t>International Journal of Data and Network Science</w:t>
      </w:r>
      <w:r w:rsidRPr="00CF3DDD">
        <w:rPr>
          <w:rFonts w:eastAsia="Times New Roman" w:cs="Times New Roman"/>
          <w:szCs w:val="24"/>
        </w:rPr>
        <w:t xml:space="preserve">, 7(4), pp. 1929–1940. </w:t>
      </w:r>
      <w:proofErr w:type="gramStart"/>
      <w:r w:rsidRPr="00CF3DDD">
        <w:rPr>
          <w:rFonts w:eastAsia="Times New Roman" w:cs="Times New Roman"/>
          <w:szCs w:val="24"/>
        </w:rPr>
        <w:t>doi:10.5267/j.ijdns</w:t>
      </w:r>
      <w:proofErr w:type="gramEnd"/>
      <w:r w:rsidRPr="00CF3DDD">
        <w:rPr>
          <w:rFonts w:eastAsia="Times New Roman" w:cs="Times New Roman"/>
          <w:szCs w:val="24"/>
        </w:rPr>
        <w:t>.2023.6.019</w:t>
      </w:r>
    </w:p>
    <w:p w14:paraId="1BBFA8AA" w14:textId="77777777" w:rsidR="00A37F9F" w:rsidRPr="00CF3DDD" w:rsidRDefault="00A37F9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Barbosa, B., </w:t>
      </w:r>
      <w:proofErr w:type="spellStart"/>
      <w:r w:rsidRPr="00CF3DDD">
        <w:rPr>
          <w:rFonts w:eastAsia="Times New Roman" w:cs="Times New Roman"/>
          <w:szCs w:val="24"/>
        </w:rPr>
        <w:t>Shabani</w:t>
      </w:r>
      <w:proofErr w:type="spellEnd"/>
      <w:r w:rsidRPr="00CF3DDD">
        <w:rPr>
          <w:rFonts w:eastAsia="Times New Roman" w:cs="Times New Roman"/>
          <w:szCs w:val="24"/>
        </w:rPr>
        <w:t xml:space="preserve"> </w:t>
      </w:r>
      <w:proofErr w:type="spellStart"/>
      <w:r w:rsidRPr="00CF3DDD">
        <w:rPr>
          <w:rFonts w:eastAsia="Times New Roman" w:cs="Times New Roman"/>
          <w:szCs w:val="24"/>
        </w:rPr>
        <w:t>Shojaei</w:t>
      </w:r>
      <w:proofErr w:type="spellEnd"/>
      <w:r w:rsidRPr="00CF3DDD">
        <w:rPr>
          <w:rFonts w:eastAsia="Times New Roman" w:cs="Times New Roman"/>
          <w:szCs w:val="24"/>
        </w:rPr>
        <w:t xml:space="preserve">, A. and Miranda, H. (2023) ‘Experiential branding and brand loyalty: the role of brand trust and emotional attachment’, </w:t>
      </w:r>
      <w:r w:rsidRPr="00CF3DDD">
        <w:rPr>
          <w:rFonts w:eastAsia="Times New Roman" w:cs="Times New Roman"/>
          <w:i/>
          <w:iCs/>
          <w:szCs w:val="24"/>
        </w:rPr>
        <w:t>Baltic Journal of Management</w:t>
      </w:r>
      <w:r w:rsidRPr="00CF3DDD">
        <w:rPr>
          <w:rFonts w:eastAsia="Times New Roman" w:cs="Times New Roman"/>
          <w:szCs w:val="24"/>
        </w:rPr>
        <w:t>, 18(3), pp. 480–501. doi:10.1108/BJM-07-2022-0240</w:t>
      </w:r>
    </w:p>
    <w:p w14:paraId="22B63ADB" w14:textId="77777777" w:rsidR="00A37F9F" w:rsidRPr="00CF3DDD" w:rsidRDefault="00A37F9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Batra, R., </w:t>
      </w:r>
      <w:proofErr w:type="spellStart"/>
      <w:r w:rsidRPr="00CF3DDD">
        <w:rPr>
          <w:rFonts w:eastAsia="Times New Roman" w:cs="Times New Roman"/>
          <w:szCs w:val="24"/>
        </w:rPr>
        <w:t>Ahuvia</w:t>
      </w:r>
      <w:proofErr w:type="spellEnd"/>
      <w:r w:rsidRPr="00CF3DDD">
        <w:rPr>
          <w:rFonts w:eastAsia="Times New Roman" w:cs="Times New Roman"/>
          <w:szCs w:val="24"/>
        </w:rPr>
        <w:t xml:space="preserve">, A. and </w:t>
      </w:r>
      <w:proofErr w:type="spellStart"/>
      <w:r w:rsidRPr="00CF3DDD">
        <w:rPr>
          <w:rFonts w:eastAsia="Times New Roman" w:cs="Times New Roman"/>
          <w:szCs w:val="24"/>
        </w:rPr>
        <w:t>Bagozzi</w:t>
      </w:r>
      <w:proofErr w:type="spellEnd"/>
      <w:r w:rsidRPr="00CF3DDD">
        <w:rPr>
          <w:rFonts w:eastAsia="Times New Roman" w:cs="Times New Roman"/>
          <w:szCs w:val="24"/>
        </w:rPr>
        <w:t xml:space="preserve">, R.P. (2012) ‘Brand love: development and validation of a practical scale’, </w:t>
      </w:r>
      <w:r w:rsidRPr="00CF3DDD">
        <w:rPr>
          <w:rFonts w:eastAsia="Times New Roman" w:cs="Times New Roman"/>
          <w:i/>
          <w:iCs/>
          <w:szCs w:val="24"/>
        </w:rPr>
        <w:t>Journal of Marketing</w:t>
      </w:r>
      <w:r w:rsidRPr="00CF3DDD">
        <w:rPr>
          <w:rFonts w:eastAsia="Times New Roman" w:cs="Times New Roman"/>
          <w:szCs w:val="24"/>
        </w:rPr>
        <w:t>, 76(2), pp. 1–16. doi:10.1509/jm.09.0339</w:t>
      </w:r>
    </w:p>
    <w:p w14:paraId="43FCA6C5" w14:textId="77777777" w:rsidR="00A37F9F" w:rsidRPr="00CF3DDD" w:rsidRDefault="00A37F9F"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Bozbay</w:t>
      </w:r>
      <w:proofErr w:type="spellEnd"/>
      <w:r w:rsidRPr="00CF3DDD">
        <w:rPr>
          <w:rFonts w:eastAsia="Times New Roman" w:cs="Times New Roman"/>
          <w:szCs w:val="24"/>
        </w:rPr>
        <w:t xml:space="preserve">, Z. and </w:t>
      </w:r>
      <w:proofErr w:type="spellStart"/>
      <w:r w:rsidRPr="00CF3DDD">
        <w:rPr>
          <w:rFonts w:eastAsia="Times New Roman" w:cs="Times New Roman"/>
          <w:szCs w:val="24"/>
        </w:rPr>
        <w:t>Başlar</w:t>
      </w:r>
      <w:proofErr w:type="spellEnd"/>
      <w:r w:rsidRPr="00CF3DDD">
        <w:rPr>
          <w:rFonts w:eastAsia="Times New Roman" w:cs="Times New Roman"/>
          <w:szCs w:val="24"/>
        </w:rPr>
        <w:t xml:space="preserve">, E.K. (2020) ‘Impact of brand trust on brand loyalty: mediating role of brand affect’, </w:t>
      </w:r>
      <w:r w:rsidRPr="00CF3DDD">
        <w:rPr>
          <w:rFonts w:eastAsia="Times New Roman" w:cs="Times New Roman"/>
          <w:i/>
          <w:iCs/>
          <w:szCs w:val="24"/>
        </w:rPr>
        <w:t>Journal of Academic Research in Economics</w:t>
      </w:r>
      <w:r w:rsidRPr="00CF3DDD">
        <w:rPr>
          <w:rFonts w:eastAsia="Times New Roman" w:cs="Times New Roman"/>
          <w:szCs w:val="24"/>
        </w:rPr>
        <w:t>, 12(2), pp. 247–259.</w:t>
      </w:r>
    </w:p>
    <w:p w14:paraId="4E96AAC8" w14:textId="77777777" w:rsidR="00A37F9F" w:rsidRPr="00CF3DDD" w:rsidRDefault="00A37F9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Carroll, B.A. and </w:t>
      </w:r>
      <w:proofErr w:type="spellStart"/>
      <w:r w:rsidRPr="00CF3DDD">
        <w:rPr>
          <w:rFonts w:eastAsia="Times New Roman" w:cs="Times New Roman"/>
          <w:szCs w:val="24"/>
        </w:rPr>
        <w:t>Ahuvia</w:t>
      </w:r>
      <w:proofErr w:type="spellEnd"/>
      <w:r w:rsidRPr="00CF3DDD">
        <w:rPr>
          <w:rFonts w:eastAsia="Times New Roman" w:cs="Times New Roman"/>
          <w:szCs w:val="24"/>
        </w:rPr>
        <w:t xml:space="preserve">, A.C. (2006) ‘Some antecedents and outcomes of brand love’, </w:t>
      </w:r>
      <w:r w:rsidRPr="00CF3DDD">
        <w:rPr>
          <w:rFonts w:eastAsia="Times New Roman" w:cs="Times New Roman"/>
          <w:i/>
          <w:iCs/>
          <w:szCs w:val="24"/>
        </w:rPr>
        <w:t>Marketing Letters</w:t>
      </w:r>
      <w:r w:rsidRPr="00CF3DDD">
        <w:rPr>
          <w:rFonts w:eastAsia="Times New Roman" w:cs="Times New Roman"/>
          <w:szCs w:val="24"/>
        </w:rPr>
        <w:t>, 17(2), pp. 79–89. doi:10.1007/s11002-006-4219-2</w:t>
      </w:r>
    </w:p>
    <w:p w14:paraId="0522A4FC" w14:textId="77777777" w:rsidR="00A37F9F" w:rsidRPr="00CF3DDD" w:rsidRDefault="00A37F9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Chaudhuri, A. and Holbrook, M.B. (2001) ‘The chain of effects from brand trust and brand affect to brand performance: the role of brand loyalty’, </w:t>
      </w:r>
      <w:r w:rsidRPr="00CF3DDD">
        <w:rPr>
          <w:rFonts w:eastAsia="Times New Roman" w:cs="Times New Roman"/>
          <w:i/>
          <w:iCs/>
          <w:szCs w:val="24"/>
        </w:rPr>
        <w:t>Journal of Marketing</w:t>
      </w:r>
      <w:r w:rsidRPr="00CF3DDD">
        <w:rPr>
          <w:rFonts w:eastAsia="Times New Roman" w:cs="Times New Roman"/>
          <w:szCs w:val="24"/>
        </w:rPr>
        <w:t>, 65(2), pp. 81–93. doi:10.1509/jmkg.65.2.81</w:t>
      </w:r>
    </w:p>
    <w:p w14:paraId="1D20015C" w14:textId="77777777" w:rsidR="00A37F9F" w:rsidRPr="00CF3DDD" w:rsidRDefault="00A37F9F" w:rsidP="00CF3DDD">
      <w:pPr>
        <w:spacing w:before="100" w:beforeAutospacing="1" w:after="100" w:afterAutospacing="1" w:line="360" w:lineRule="auto"/>
        <w:rPr>
          <w:rFonts w:eastAsia="Times New Roman" w:cs="Times New Roman"/>
          <w:szCs w:val="24"/>
        </w:rPr>
      </w:pPr>
      <w:r w:rsidRPr="00CF3DDD">
        <w:rPr>
          <w:rFonts w:cs="Times New Roman"/>
        </w:rPr>
        <w:t>Dawes, J., Meyer-</w:t>
      </w:r>
      <w:proofErr w:type="spellStart"/>
      <w:r w:rsidRPr="00CF3DDD">
        <w:rPr>
          <w:rFonts w:cs="Times New Roman"/>
        </w:rPr>
        <w:t>Waarden</w:t>
      </w:r>
      <w:proofErr w:type="spellEnd"/>
      <w:r w:rsidRPr="00CF3DDD">
        <w:rPr>
          <w:rFonts w:cs="Times New Roman"/>
        </w:rPr>
        <w:t xml:space="preserve">, L. and </w:t>
      </w:r>
      <w:proofErr w:type="spellStart"/>
      <w:r w:rsidRPr="00CF3DDD">
        <w:rPr>
          <w:rFonts w:cs="Times New Roman"/>
        </w:rPr>
        <w:t>Driesener</w:t>
      </w:r>
      <w:proofErr w:type="spellEnd"/>
      <w:r w:rsidRPr="00CF3DDD">
        <w:rPr>
          <w:rFonts w:cs="Times New Roman"/>
        </w:rPr>
        <w:t xml:space="preserve">, C. (2015) ‘Has brand loyalty declined? A longitudinal analysis of repeat purchase </w:t>
      </w:r>
      <w:proofErr w:type="spellStart"/>
      <w:r w:rsidRPr="00CF3DDD">
        <w:rPr>
          <w:rFonts w:cs="Times New Roman"/>
        </w:rPr>
        <w:t>behaviour</w:t>
      </w:r>
      <w:proofErr w:type="spellEnd"/>
      <w:r w:rsidRPr="00CF3DDD">
        <w:rPr>
          <w:rFonts w:cs="Times New Roman"/>
        </w:rPr>
        <w:t xml:space="preserve"> in the UK and the USA’, Journal of Business Research, 68(2), pp. 425–432. </w:t>
      </w:r>
      <w:proofErr w:type="gramStart"/>
      <w:r w:rsidRPr="00CF3DDD">
        <w:rPr>
          <w:rFonts w:cs="Times New Roman"/>
        </w:rPr>
        <w:t>doi:10.1016/j.jbusres</w:t>
      </w:r>
      <w:proofErr w:type="gramEnd"/>
      <w:r w:rsidRPr="00CF3DDD">
        <w:rPr>
          <w:rFonts w:cs="Times New Roman"/>
        </w:rPr>
        <w:t>.2014.06.006</w:t>
      </w:r>
    </w:p>
    <w:p w14:paraId="6FE0E788" w14:textId="77777777" w:rsidR="00A37F9F" w:rsidRPr="00CF3DDD" w:rsidRDefault="00A37F9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Delgado-</w:t>
      </w:r>
      <w:proofErr w:type="spellStart"/>
      <w:r w:rsidRPr="00CF3DDD">
        <w:rPr>
          <w:rFonts w:eastAsia="Times New Roman" w:cs="Times New Roman"/>
          <w:szCs w:val="24"/>
        </w:rPr>
        <w:t>Ballester</w:t>
      </w:r>
      <w:proofErr w:type="spellEnd"/>
      <w:r w:rsidRPr="00CF3DDD">
        <w:rPr>
          <w:rFonts w:eastAsia="Times New Roman" w:cs="Times New Roman"/>
          <w:szCs w:val="24"/>
        </w:rPr>
        <w:t xml:space="preserve">, E. and </w:t>
      </w:r>
      <w:proofErr w:type="spellStart"/>
      <w:r w:rsidRPr="00CF3DDD">
        <w:rPr>
          <w:rFonts w:eastAsia="Times New Roman" w:cs="Times New Roman"/>
          <w:szCs w:val="24"/>
        </w:rPr>
        <w:t>Munuera-Alemán</w:t>
      </w:r>
      <w:proofErr w:type="spellEnd"/>
      <w:r w:rsidRPr="00CF3DDD">
        <w:rPr>
          <w:rFonts w:eastAsia="Times New Roman" w:cs="Times New Roman"/>
          <w:szCs w:val="24"/>
        </w:rPr>
        <w:t xml:space="preserve">, J.L. (2003) ‘Development and validation of a brand trust scale’, </w:t>
      </w:r>
      <w:r w:rsidRPr="00CF3DDD">
        <w:rPr>
          <w:rFonts w:eastAsia="Times New Roman" w:cs="Times New Roman"/>
          <w:i/>
          <w:iCs/>
          <w:szCs w:val="24"/>
        </w:rPr>
        <w:t>International Journal of Market Research</w:t>
      </w:r>
      <w:r w:rsidRPr="00CF3DDD">
        <w:rPr>
          <w:rFonts w:eastAsia="Times New Roman" w:cs="Times New Roman"/>
          <w:szCs w:val="24"/>
        </w:rPr>
        <w:t>, 45(1), pp. 35–54.</w:t>
      </w:r>
    </w:p>
    <w:p w14:paraId="221F46B1" w14:textId="77777777" w:rsidR="00A37F9F" w:rsidRPr="00CF3DDD" w:rsidRDefault="00A37F9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Dick, A.S. and </w:t>
      </w:r>
      <w:proofErr w:type="spellStart"/>
      <w:r w:rsidRPr="00CF3DDD">
        <w:rPr>
          <w:rFonts w:eastAsia="Times New Roman" w:cs="Times New Roman"/>
          <w:szCs w:val="24"/>
        </w:rPr>
        <w:t>Basu</w:t>
      </w:r>
      <w:proofErr w:type="spellEnd"/>
      <w:r w:rsidRPr="00CF3DDD">
        <w:rPr>
          <w:rFonts w:eastAsia="Times New Roman" w:cs="Times New Roman"/>
          <w:szCs w:val="24"/>
        </w:rPr>
        <w:t>, K. (</w:t>
      </w:r>
      <w:r w:rsidR="00993620" w:rsidRPr="00CF3DDD">
        <w:rPr>
          <w:rFonts w:eastAsia="Times New Roman" w:cs="Times New Roman"/>
          <w:szCs w:val="24"/>
        </w:rPr>
        <w:t>2029</w:t>
      </w:r>
      <w:r w:rsidRPr="00CF3DDD">
        <w:rPr>
          <w:rFonts w:eastAsia="Times New Roman" w:cs="Times New Roman"/>
          <w:szCs w:val="24"/>
        </w:rPr>
        <w:t xml:space="preserve">) ‘Customer loyalty: toward an integrated conceptual framework’, </w:t>
      </w:r>
      <w:r w:rsidRPr="00CF3DDD">
        <w:rPr>
          <w:rFonts w:eastAsia="Times New Roman" w:cs="Times New Roman"/>
          <w:i/>
          <w:iCs/>
          <w:szCs w:val="24"/>
        </w:rPr>
        <w:t>Journal of the Academy of Marketing Science</w:t>
      </w:r>
      <w:r w:rsidRPr="00CF3DDD">
        <w:rPr>
          <w:rFonts w:eastAsia="Times New Roman" w:cs="Times New Roman"/>
          <w:szCs w:val="24"/>
        </w:rPr>
        <w:t>, 22(2), pp. 99–113. doi:10.1177/0092070394222001</w:t>
      </w:r>
    </w:p>
    <w:p w14:paraId="24E7B890" w14:textId="77777777" w:rsidR="00A37F9F" w:rsidRPr="00CF3DDD" w:rsidRDefault="00A37F9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Ebrahim, R.S. (2020) ‘The role of trust in understanding the impact of social media marketing on brand equity and brand loyalty’, </w:t>
      </w:r>
      <w:r w:rsidRPr="00CF3DDD">
        <w:rPr>
          <w:rFonts w:eastAsia="Times New Roman" w:cs="Times New Roman"/>
          <w:i/>
          <w:iCs/>
          <w:szCs w:val="24"/>
        </w:rPr>
        <w:t>Journal of Relationship Marketing</w:t>
      </w:r>
      <w:r w:rsidRPr="00CF3DDD">
        <w:rPr>
          <w:rFonts w:eastAsia="Times New Roman" w:cs="Times New Roman"/>
          <w:szCs w:val="24"/>
        </w:rPr>
        <w:t>, 19(4), pp. 287–308. doi:10.1080/15332667.2019.1705742</w:t>
      </w:r>
    </w:p>
    <w:p w14:paraId="68A031FE" w14:textId="77777777" w:rsidR="00A37F9F" w:rsidRPr="00CF3DDD" w:rsidRDefault="00A37F9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lastRenderedPageBreak/>
        <w:t xml:space="preserve">Fournier, S. (1998) ‘Consumers and their brands: developing relationship theory in consumer research’, </w:t>
      </w:r>
      <w:r w:rsidRPr="00CF3DDD">
        <w:rPr>
          <w:rFonts w:eastAsia="Times New Roman" w:cs="Times New Roman"/>
          <w:i/>
          <w:iCs/>
          <w:szCs w:val="24"/>
        </w:rPr>
        <w:t>Journal of Consumer Research</w:t>
      </w:r>
      <w:r w:rsidRPr="00CF3DDD">
        <w:rPr>
          <w:rFonts w:eastAsia="Times New Roman" w:cs="Times New Roman"/>
          <w:szCs w:val="24"/>
        </w:rPr>
        <w:t>, 24(4), pp. 343–373. doi:10.1086/209515</w:t>
      </w:r>
    </w:p>
    <w:p w14:paraId="64AADAA0" w14:textId="77777777" w:rsidR="00A37F9F" w:rsidRPr="00CF3DDD" w:rsidRDefault="00A37F9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Huang, C.C. (2017) ‘The impacts of brand experiences on brand loyalty: Mediators of brand love and trust’, </w:t>
      </w:r>
      <w:r w:rsidRPr="00CF3DDD">
        <w:rPr>
          <w:rFonts w:eastAsia="Times New Roman" w:cs="Times New Roman"/>
          <w:i/>
          <w:iCs/>
          <w:szCs w:val="24"/>
        </w:rPr>
        <w:t>Management Decision</w:t>
      </w:r>
      <w:r w:rsidRPr="00CF3DDD">
        <w:rPr>
          <w:rFonts w:eastAsia="Times New Roman" w:cs="Times New Roman"/>
          <w:szCs w:val="24"/>
        </w:rPr>
        <w:t>, 55(5), pp. 915–934. doi:10.1108/MD-10-2015-0465</w:t>
      </w:r>
    </w:p>
    <w:p w14:paraId="099227E9" w14:textId="77777777" w:rsidR="00A37F9F" w:rsidRPr="00CF3DDD" w:rsidRDefault="00A37F9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Keller, K.L. (</w:t>
      </w:r>
      <w:r w:rsidR="00993620" w:rsidRPr="00CF3DDD">
        <w:rPr>
          <w:rFonts w:eastAsia="Times New Roman" w:cs="Times New Roman"/>
          <w:szCs w:val="24"/>
        </w:rPr>
        <w:t>2009</w:t>
      </w:r>
      <w:r w:rsidRPr="00CF3DDD">
        <w:rPr>
          <w:rFonts w:eastAsia="Times New Roman" w:cs="Times New Roman"/>
          <w:szCs w:val="24"/>
        </w:rPr>
        <w:t xml:space="preserve">) ‘Conceptualizing, measuring, and managing customer-based brand equity’, </w:t>
      </w:r>
      <w:r w:rsidRPr="00CF3DDD">
        <w:rPr>
          <w:rFonts w:eastAsia="Times New Roman" w:cs="Times New Roman"/>
          <w:i/>
          <w:iCs/>
          <w:szCs w:val="24"/>
        </w:rPr>
        <w:t>Journal of Marketing</w:t>
      </w:r>
      <w:r w:rsidRPr="00CF3DDD">
        <w:rPr>
          <w:rFonts w:eastAsia="Times New Roman" w:cs="Times New Roman"/>
          <w:szCs w:val="24"/>
        </w:rPr>
        <w:t>, 57(1), pp. 1–22. doi:10.1177/002224299305700101</w:t>
      </w:r>
    </w:p>
    <w:p w14:paraId="4711CBD1" w14:textId="77777777" w:rsidR="00A37F9F" w:rsidRPr="00CF3DDD" w:rsidRDefault="00A37F9F"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Madadi</w:t>
      </w:r>
      <w:proofErr w:type="spellEnd"/>
      <w:r w:rsidRPr="00CF3DDD">
        <w:rPr>
          <w:rFonts w:eastAsia="Times New Roman" w:cs="Times New Roman"/>
          <w:szCs w:val="24"/>
        </w:rPr>
        <w:t xml:space="preserve">, R., Torres, I.M. and </w:t>
      </w:r>
      <w:proofErr w:type="spellStart"/>
      <w:r w:rsidRPr="00CF3DDD">
        <w:rPr>
          <w:rFonts w:eastAsia="Times New Roman" w:cs="Times New Roman"/>
          <w:szCs w:val="24"/>
        </w:rPr>
        <w:t>Zúñiga</w:t>
      </w:r>
      <w:proofErr w:type="spellEnd"/>
      <w:r w:rsidRPr="00CF3DDD">
        <w:rPr>
          <w:rFonts w:eastAsia="Times New Roman" w:cs="Times New Roman"/>
          <w:szCs w:val="24"/>
        </w:rPr>
        <w:t xml:space="preserve">, M.Á. (2021) ‘Hierarchical relationships among brand equity dimensions: the mediating effects of brand trust and brand love’, </w:t>
      </w:r>
      <w:r w:rsidRPr="00CF3DDD">
        <w:rPr>
          <w:rFonts w:eastAsia="Times New Roman" w:cs="Times New Roman"/>
          <w:i/>
          <w:iCs/>
          <w:szCs w:val="24"/>
        </w:rPr>
        <w:t>Services Marketing Quarterly</w:t>
      </w:r>
      <w:r w:rsidRPr="00CF3DDD">
        <w:rPr>
          <w:rFonts w:eastAsia="Times New Roman" w:cs="Times New Roman"/>
          <w:szCs w:val="24"/>
        </w:rPr>
        <w:t>, 42(1–2), pp. 74–92. doi:10.1080/15332969.2021.1947086</w:t>
      </w:r>
    </w:p>
    <w:p w14:paraId="10C4F748" w14:textId="77777777" w:rsidR="00A37F9F" w:rsidRPr="00CF3DDD" w:rsidRDefault="00A37F9F"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Marmat</w:t>
      </w:r>
      <w:proofErr w:type="spellEnd"/>
      <w:r w:rsidRPr="00CF3DDD">
        <w:rPr>
          <w:rFonts w:eastAsia="Times New Roman" w:cs="Times New Roman"/>
          <w:szCs w:val="24"/>
        </w:rPr>
        <w:t xml:space="preserve">, G. (2023) ‘A framework for transitioning brand trust to brand love’, </w:t>
      </w:r>
      <w:r w:rsidRPr="00CF3DDD">
        <w:rPr>
          <w:rFonts w:eastAsia="Times New Roman" w:cs="Times New Roman"/>
          <w:i/>
          <w:iCs/>
          <w:szCs w:val="24"/>
        </w:rPr>
        <w:t>Management Decision</w:t>
      </w:r>
      <w:r w:rsidRPr="00CF3DDD">
        <w:rPr>
          <w:rFonts w:eastAsia="Times New Roman" w:cs="Times New Roman"/>
          <w:szCs w:val="24"/>
        </w:rPr>
        <w:t>, 61(6), pp. 1554–1584. doi:10.1108/MD-04-2022-0420</w:t>
      </w:r>
    </w:p>
    <w:p w14:paraId="6F4F3D46" w14:textId="77777777" w:rsidR="00A37F9F" w:rsidRPr="00CF3DDD" w:rsidRDefault="00A37F9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Morgan, R.M. and Hunt, S.D. (</w:t>
      </w:r>
      <w:r w:rsidR="00993620" w:rsidRPr="00CF3DDD">
        <w:rPr>
          <w:rFonts w:eastAsia="Times New Roman" w:cs="Times New Roman"/>
          <w:szCs w:val="24"/>
        </w:rPr>
        <w:t>2011</w:t>
      </w:r>
      <w:r w:rsidRPr="00CF3DDD">
        <w:rPr>
          <w:rFonts w:eastAsia="Times New Roman" w:cs="Times New Roman"/>
          <w:szCs w:val="24"/>
        </w:rPr>
        <w:t xml:space="preserve">) ‘The commitment-trust theory of relationship marketing’, </w:t>
      </w:r>
      <w:r w:rsidRPr="00CF3DDD">
        <w:rPr>
          <w:rFonts w:eastAsia="Times New Roman" w:cs="Times New Roman"/>
          <w:i/>
          <w:iCs/>
          <w:szCs w:val="24"/>
        </w:rPr>
        <w:t>Journal of Marketing</w:t>
      </w:r>
      <w:r w:rsidRPr="00CF3DDD">
        <w:rPr>
          <w:rFonts w:eastAsia="Times New Roman" w:cs="Times New Roman"/>
          <w:szCs w:val="24"/>
        </w:rPr>
        <w:t>, 58(3), pp. 20–38. doi:10.1177/002224299405800302</w:t>
      </w:r>
    </w:p>
    <w:p w14:paraId="4DEEA881" w14:textId="77777777" w:rsidR="00A37F9F" w:rsidRPr="00CF3DDD" w:rsidRDefault="00A37F9F"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Oliver, R.L. (1999) ‘Whence consumer loyalty?’, </w:t>
      </w:r>
      <w:r w:rsidRPr="00CF3DDD">
        <w:rPr>
          <w:rFonts w:eastAsia="Times New Roman" w:cs="Times New Roman"/>
          <w:i/>
          <w:iCs/>
          <w:szCs w:val="24"/>
        </w:rPr>
        <w:t>Journal of Marketing</w:t>
      </w:r>
      <w:r w:rsidRPr="00CF3DDD">
        <w:rPr>
          <w:rFonts w:eastAsia="Times New Roman" w:cs="Times New Roman"/>
          <w:szCs w:val="24"/>
        </w:rPr>
        <w:t>, 63(Special Issue), pp. 33–44.</w:t>
      </w:r>
    </w:p>
    <w:p w14:paraId="57C3434A" w14:textId="77777777" w:rsidR="00A37F9F" w:rsidRPr="00CF3DDD" w:rsidRDefault="00A37F9F"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Sugiarti</w:t>
      </w:r>
      <w:proofErr w:type="spellEnd"/>
      <w:r w:rsidRPr="00CF3DDD">
        <w:rPr>
          <w:rFonts w:eastAsia="Times New Roman" w:cs="Times New Roman"/>
          <w:szCs w:val="24"/>
        </w:rPr>
        <w:t xml:space="preserve">, E., </w:t>
      </w:r>
      <w:proofErr w:type="spellStart"/>
      <w:r w:rsidRPr="00CF3DDD">
        <w:rPr>
          <w:rFonts w:eastAsia="Times New Roman" w:cs="Times New Roman"/>
          <w:szCs w:val="24"/>
        </w:rPr>
        <w:t>Sukresi</w:t>
      </w:r>
      <w:proofErr w:type="spellEnd"/>
      <w:r w:rsidRPr="00CF3DDD">
        <w:rPr>
          <w:rFonts w:eastAsia="Times New Roman" w:cs="Times New Roman"/>
          <w:szCs w:val="24"/>
        </w:rPr>
        <w:t xml:space="preserve">, T., </w:t>
      </w:r>
      <w:proofErr w:type="spellStart"/>
      <w:r w:rsidRPr="00CF3DDD">
        <w:rPr>
          <w:rFonts w:eastAsia="Times New Roman" w:cs="Times New Roman"/>
          <w:szCs w:val="24"/>
        </w:rPr>
        <w:t>Ulfah</w:t>
      </w:r>
      <w:proofErr w:type="spellEnd"/>
      <w:r w:rsidRPr="00CF3DDD">
        <w:rPr>
          <w:rFonts w:eastAsia="Times New Roman" w:cs="Times New Roman"/>
          <w:szCs w:val="24"/>
        </w:rPr>
        <w:t xml:space="preserve">, Y., </w:t>
      </w:r>
      <w:proofErr w:type="spellStart"/>
      <w:r w:rsidRPr="00CF3DDD">
        <w:rPr>
          <w:rFonts w:eastAsia="Times New Roman" w:cs="Times New Roman"/>
          <w:szCs w:val="24"/>
        </w:rPr>
        <w:t>Apriyani</w:t>
      </w:r>
      <w:proofErr w:type="spellEnd"/>
      <w:r w:rsidRPr="00CF3DDD">
        <w:rPr>
          <w:rFonts w:eastAsia="Times New Roman" w:cs="Times New Roman"/>
          <w:szCs w:val="24"/>
        </w:rPr>
        <w:t xml:space="preserve">, Y., and </w:t>
      </w:r>
      <w:proofErr w:type="spellStart"/>
      <w:r w:rsidRPr="00CF3DDD">
        <w:rPr>
          <w:rFonts w:eastAsia="Times New Roman" w:cs="Times New Roman"/>
          <w:szCs w:val="24"/>
        </w:rPr>
        <w:t>Fitriyah</w:t>
      </w:r>
      <w:proofErr w:type="spellEnd"/>
      <w:r w:rsidRPr="00CF3DDD">
        <w:rPr>
          <w:rFonts w:eastAsia="Times New Roman" w:cs="Times New Roman"/>
          <w:szCs w:val="24"/>
        </w:rPr>
        <w:t xml:space="preserve">, R. (2023) ‘Influence of brand awareness and brand association on brand equity: mediation of trust and brand loyalty in Kentucky Fried Chicken in East Java, Indonesia’, </w:t>
      </w:r>
      <w:r w:rsidRPr="00CF3DDD">
        <w:rPr>
          <w:rFonts w:eastAsia="Times New Roman" w:cs="Times New Roman"/>
          <w:i/>
          <w:iCs/>
          <w:szCs w:val="24"/>
        </w:rPr>
        <w:t>International Journal of Applied Economics, Finance and Accounting</w:t>
      </w:r>
      <w:r w:rsidRPr="00CF3DDD">
        <w:rPr>
          <w:rFonts w:eastAsia="Times New Roman" w:cs="Times New Roman"/>
          <w:szCs w:val="24"/>
        </w:rPr>
        <w:t>, 16(2), pp. 319–335. doi:10.33094/</w:t>
      </w:r>
      <w:proofErr w:type="gramStart"/>
      <w:r w:rsidRPr="00CF3DDD">
        <w:rPr>
          <w:rFonts w:eastAsia="Times New Roman" w:cs="Times New Roman"/>
          <w:szCs w:val="24"/>
        </w:rPr>
        <w:t>ijaefa.v</w:t>
      </w:r>
      <w:proofErr w:type="gramEnd"/>
      <w:r w:rsidRPr="00CF3DDD">
        <w:rPr>
          <w:rFonts w:eastAsia="Times New Roman" w:cs="Times New Roman"/>
          <w:szCs w:val="24"/>
        </w:rPr>
        <w:t>16i2.987</w:t>
      </w:r>
    </w:p>
    <w:p w14:paraId="78F95355" w14:textId="77777777" w:rsidR="00A37F9F" w:rsidRPr="00CF3DDD" w:rsidRDefault="00A37F9F"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Waebuesar</w:t>
      </w:r>
      <w:proofErr w:type="spellEnd"/>
      <w:r w:rsidRPr="00CF3DDD">
        <w:rPr>
          <w:rFonts w:eastAsia="Times New Roman" w:cs="Times New Roman"/>
          <w:szCs w:val="24"/>
        </w:rPr>
        <w:t xml:space="preserve">, A.E., </w:t>
      </w:r>
      <w:proofErr w:type="spellStart"/>
      <w:r w:rsidRPr="00CF3DDD">
        <w:rPr>
          <w:rFonts w:eastAsia="Times New Roman" w:cs="Times New Roman"/>
          <w:szCs w:val="24"/>
        </w:rPr>
        <w:t>Aruai</w:t>
      </w:r>
      <w:proofErr w:type="spellEnd"/>
      <w:r w:rsidRPr="00CF3DDD">
        <w:rPr>
          <w:rFonts w:eastAsia="Times New Roman" w:cs="Times New Roman"/>
          <w:szCs w:val="24"/>
        </w:rPr>
        <w:t xml:space="preserve">, A., </w:t>
      </w:r>
      <w:proofErr w:type="spellStart"/>
      <w:r w:rsidRPr="00CF3DDD">
        <w:rPr>
          <w:rFonts w:eastAsia="Times New Roman" w:cs="Times New Roman"/>
          <w:szCs w:val="24"/>
        </w:rPr>
        <w:t>Rosli</w:t>
      </w:r>
      <w:proofErr w:type="spellEnd"/>
      <w:r w:rsidRPr="00CF3DDD">
        <w:rPr>
          <w:rFonts w:eastAsia="Times New Roman" w:cs="Times New Roman"/>
          <w:szCs w:val="24"/>
        </w:rPr>
        <w:t xml:space="preserve">, A. and </w:t>
      </w:r>
      <w:proofErr w:type="spellStart"/>
      <w:r w:rsidRPr="00CF3DDD">
        <w:rPr>
          <w:rFonts w:eastAsia="Times New Roman" w:cs="Times New Roman"/>
          <w:szCs w:val="24"/>
        </w:rPr>
        <w:t>Mohd</w:t>
      </w:r>
      <w:proofErr w:type="spellEnd"/>
      <w:r w:rsidRPr="00CF3DDD">
        <w:rPr>
          <w:rFonts w:eastAsia="Times New Roman" w:cs="Times New Roman"/>
          <w:szCs w:val="24"/>
        </w:rPr>
        <w:t xml:space="preserve"> Azmi, A.N. (2022) ‘Customer satisfaction and brand loyalty: A survey of Nestlé’, </w:t>
      </w:r>
      <w:r w:rsidRPr="00CF3DDD">
        <w:rPr>
          <w:rFonts w:eastAsia="Times New Roman" w:cs="Times New Roman"/>
          <w:i/>
          <w:iCs/>
          <w:szCs w:val="24"/>
        </w:rPr>
        <w:t>International Journal of Tourism &amp; Hospitality in Asia Pacific</w:t>
      </w:r>
      <w:r w:rsidRPr="00CF3DDD">
        <w:rPr>
          <w:rFonts w:eastAsia="Times New Roman" w:cs="Times New Roman"/>
          <w:szCs w:val="24"/>
        </w:rPr>
        <w:t>, 5(2), pp. 20–37. doi:10.32535/</w:t>
      </w:r>
      <w:proofErr w:type="gramStart"/>
      <w:r w:rsidRPr="00CF3DDD">
        <w:rPr>
          <w:rFonts w:eastAsia="Times New Roman" w:cs="Times New Roman"/>
          <w:szCs w:val="24"/>
        </w:rPr>
        <w:t>ijthap.v</w:t>
      </w:r>
      <w:proofErr w:type="gramEnd"/>
      <w:r w:rsidRPr="00CF3DDD">
        <w:rPr>
          <w:rFonts w:eastAsia="Times New Roman" w:cs="Times New Roman"/>
          <w:szCs w:val="24"/>
        </w:rPr>
        <w:t>5i2.1577</w:t>
      </w:r>
    </w:p>
    <w:p w14:paraId="0FFEE1D6" w14:textId="77777777" w:rsidR="00A37F9F" w:rsidRPr="00CF3DDD" w:rsidRDefault="00A37F9F"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Yoo</w:t>
      </w:r>
      <w:proofErr w:type="spellEnd"/>
      <w:r w:rsidRPr="00CF3DDD">
        <w:rPr>
          <w:rFonts w:eastAsia="Times New Roman" w:cs="Times New Roman"/>
          <w:szCs w:val="24"/>
        </w:rPr>
        <w:t xml:space="preserve">, B. and </w:t>
      </w:r>
      <w:proofErr w:type="spellStart"/>
      <w:r w:rsidRPr="00CF3DDD">
        <w:rPr>
          <w:rFonts w:eastAsia="Times New Roman" w:cs="Times New Roman"/>
          <w:szCs w:val="24"/>
        </w:rPr>
        <w:t>Donthu</w:t>
      </w:r>
      <w:proofErr w:type="spellEnd"/>
      <w:r w:rsidRPr="00CF3DDD">
        <w:rPr>
          <w:rFonts w:eastAsia="Times New Roman" w:cs="Times New Roman"/>
          <w:szCs w:val="24"/>
        </w:rPr>
        <w:t xml:space="preserve">, N. (2001) ‘Developing and validating a multidimensional consumer-based brand equity scale’, </w:t>
      </w:r>
      <w:r w:rsidRPr="00CF3DDD">
        <w:rPr>
          <w:rFonts w:eastAsia="Times New Roman" w:cs="Times New Roman"/>
          <w:i/>
          <w:iCs/>
          <w:szCs w:val="24"/>
        </w:rPr>
        <w:t>Journal of Business Research</w:t>
      </w:r>
      <w:r w:rsidRPr="00CF3DDD">
        <w:rPr>
          <w:rFonts w:eastAsia="Times New Roman" w:cs="Times New Roman"/>
          <w:szCs w:val="24"/>
        </w:rPr>
        <w:t>, 52(1), pp. 1–14. doi:10.1016/S0148-2963(99)00098-3</w:t>
      </w:r>
    </w:p>
    <w:p w14:paraId="402A8F41" w14:textId="77777777" w:rsidR="00D90912" w:rsidRPr="00CF3DDD" w:rsidRDefault="00D90912"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lastRenderedPageBreak/>
        <w:t>Amini</w:t>
      </w:r>
      <w:proofErr w:type="spellEnd"/>
      <w:r w:rsidRPr="00CF3DDD">
        <w:rPr>
          <w:rFonts w:eastAsia="Times New Roman" w:cs="Times New Roman"/>
          <w:szCs w:val="24"/>
        </w:rPr>
        <w:t xml:space="preserve">, A. and </w:t>
      </w:r>
      <w:proofErr w:type="spellStart"/>
      <w:r w:rsidRPr="00CF3DDD">
        <w:rPr>
          <w:rFonts w:eastAsia="Times New Roman" w:cs="Times New Roman"/>
          <w:szCs w:val="24"/>
        </w:rPr>
        <w:t>Nematizadeh</w:t>
      </w:r>
      <w:proofErr w:type="spellEnd"/>
      <w:r w:rsidRPr="00CF3DDD">
        <w:rPr>
          <w:rFonts w:eastAsia="Times New Roman" w:cs="Times New Roman"/>
          <w:szCs w:val="24"/>
        </w:rPr>
        <w:t xml:space="preserve">, S. (2019) ‘Effect of brand trust and brand love on brand loyalty through brand experience’, </w:t>
      </w:r>
      <w:r w:rsidRPr="00CF3DDD">
        <w:rPr>
          <w:rFonts w:eastAsia="Times New Roman" w:cs="Times New Roman"/>
          <w:i/>
          <w:iCs/>
          <w:szCs w:val="24"/>
        </w:rPr>
        <w:t>International Journal of Business and Management Invention</w:t>
      </w:r>
      <w:r w:rsidRPr="00CF3DDD">
        <w:rPr>
          <w:rFonts w:eastAsia="Times New Roman" w:cs="Times New Roman"/>
          <w:szCs w:val="24"/>
        </w:rPr>
        <w:t>, 8(1), pp. 27–34.</w:t>
      </w:r>
    </w:p>
    <w:p w14:paraId="3BC69983"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Arora, A.S. and </w:t>
      </w:r>
      <w:proofErr w:type="spellStart"/>
      <w:r w:rsidRPr="00CF3DDD">
        <w:rPr>
          <w:rFonts w:eastAsia="Times New Roman" w:cs="Times New Roman"/>
          <w:szCs w:val="24"/>
        </w:rPr>
        <w:t>Sahney</w:t>
      </w:r>
      <w:proofErr w:type="spellEnd"/>
      <w:r w:rsidRPr="00CF3DDD">
        <w:rPr>
          <w:rFonts w:eastAsia="Times New Roman" w:cs="Times New Roman"/>
          <w:szCs w:val="24"/>
        </w:rPr>
        <w:t xml:space="preserve">, S. (2018) ‘Understanding consumer’s showrooming </w:t>
      </w:r>
      <w:proofErr w:type="spellStart"/>
      <w:r w:rsidRPr="00CF3DDD">
        <w:rPr>
          <w:rFonts w:eastAsia="Times New Roman" w:cs="Times New Roman"/>
          <w:szCs w:val="24"/>
        </w:rPr>
        <w:t>behaviour</w:t>
      </w:r>
      <w:proofErr w:type="spellEnd"/>
      <w:r w:rsidRPr="00CF3DDD">
        <w:rPr>
          <w:rFonts w:eastAsia="Times New Roman" w:cs="Times New Roman"/>
          <w:szCs w:val="24"/>
        </w:rPr>
        <w:t xml:space="preserve">: an exploratory study’, </w:t>
      </w:r>
      <w:r w:rsidRPr="00CF3DDD">
        <w:rPr>
          <w:rFonts w:eastAsia="Times New Roman" w:cs="Times New Roman"/>
          <w:i/>
          <w:iCs/>
          <w:szCs w:val="24"/>
        </w:rPr>
        <w:t>International Journal of Retail &amp; Distribution Management</w:t>
      </w:r>
      <w:r w:rsidRPr="00CF3DDD">
        <w:rPr>
          <w:rFonts w:eastAsia="Times New Roman" w:cs="Times New Roman"/>
          <w:szCs w:val="24"/>
        </w:rPr>
        <w:t>, 46(10), pp. 977–994. doi:10.1108/IJRDM-03-2018-0050</w:t>
      </w:r>
    </w:p>
    <w:p w14:paraId="4CFC1BD1"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Aurier, P. and </w:t>
      </w:r>
      <w:proofErr w:type="spellStart"/>
      <w:r w:rsidRPr="00CF3DDD">
        <w:rPr>
          <w:rFonts w:eastAsia="Times New Roman" w:cs="Times New Roman"/>
          <w:szCs w:val="24"/>
        </w:rPr>
        <w:t>N’Goala</w:t>
      </w:r>
      <w:proofErr w:type="spellEnd"/>
      <w:r w:rsidRPr="00CF3DDD">
        <w:rPr>
          <w:rFonts w:eastAsia="Times New Roman" w:cs="Times New Roman"/>
          <w:szCs w:val="24"/>
        </w:rPr>
        <w:t xml:space="preserve">, G. (2017) ‘The differing and mediating roles of trust and relationship commitment in service relationship maintenance and development’, </w:t>
      </w:r>
      <w:r w:rsidRPr="00CF3DDD">
        <w:rPr>
          <w:rFonts w:eastAsia="Times New Roman" w:cs="Times New Roman"/>
          <w:i/>
          <w:iCs/>
          <w:szCs w:val="24"/>
        </w:rPr>
        <w:t>Journal of the Academy of Marketing Science</w:t>
      </w:r>
      <w:r w:rsidRPr="00CF3DDD">
        <w:rPr>
          <w:rFonts w:eastAsia="Times New Roman" w:cs="Times New Roman"/>
          <w:szCs w:val="24"/>
        </w:rPr>
        <w:t>, 38(3), pp. 303–325. doi:10.1007/s11747-009-0163-z</w:t>
      </w:r>
    </w:p>
    <w:p w14:paraId="7EC409F9" w14:textId="77777777" w:rsidR="00D90912" w:rsidRPr="00CF3DDD" w:rsidRDefault="00D90912"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Bilgin</w:t>
      </w:r>
      <w:proofErr w:type="spellEnd"/>
      <w:r w:rsidRPr="00CF3DDD">
        <w:rPr>
          <w:rFonts w:eastAsia="Times New Roman" w:cs="Times New Roman"/>
          <w:szCs w:val="24"/>
        </w:rPr>
        <w:t xml:space="preserve">, Y. (2018) ‘The effect of social media marketing activities on brand awareness, brand image and brand loyalty’, </w:t>
      </w:r>
      <w:r w:rsidRPr="00CF3DDD">
        <w:rPr>
          <w:rFonts w:eastAsia="Times New Roman" w:cs="Times New Roman"/>
          <w:i/>
          <w:iCs/>
          <w:szCs w:val="24"/>
        </w:rPr>
        <w:t>Business &amp; Management Studies: An International Journal</w:t>
      </w:r>
      <w:r w:rsidRPr="00CF3DDD">
        <w:rPr>
          <w:rFonts w:eastAsia="Times New Roman" w:cs="Times New Roman"/>
          <w:szCs w:val="24"/>
        </w:rPr>
        <w:t>, 6(1), pp. 128–148. doi:10.15295/</w:t>
      </w:r>
      <w:proofErr w:type="gramStart"/>
      <w:r w:rsidRPr="00CF3DDD">
        <w:rPr>
          <w:rFonts w:eastAsia="Times New Roman" w:cs="Times New Roman"/>
          <w:szCs w:val="24"/>
        </w:rPr>
        <w:t>bmij.v</w:t>
      </w:r>
      <w:proofErr w:type="gramEnd"/>
      <w:r w:rsidRPr="00CF3DDD">
        <w:rPr>
          <w:rFonts w:eastAsia="Times New Roman" w:cs="Times New Roman"/>
          <w:szCs w:val="24"/>
        </w:rPr>
        <w:t>6i1.229</w:t>
      </w:r>
    </w:p>
    <w:p w14:paraId="41BF889F" w14:textId="77777777" w:rsidR="00D90912" w:rsidRPr="00CF3DDD" w:rsidRDefault="00D90912"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Brakus</w:t>
      </w:r>
      <w:proofErr w:type="spellEnd"/>
      <w:r w:rsidRPr="00CF3DDD">
        <w:rPr>
          <w:rFonts w:eastAsia="Times New Roman" w:cs="Times New Roman"/>
          <w:szCs w:val="24"/>
        </w:rPr>
        <w:t xml:space="preserve">, J.J., Schmitt, B.H. and </w:t>
      </w:r>
      <w:proofErr w:type="spellStart"/>
      <w:r w:rsidRPr="00CF3DDD">
        <w:rPr>
          <w:rFonts w:eastAsia="Times New Roman" w:cs="Times New Roman"/>
          <w:szCs w:val="24"/>
        </w:rPr>
        <w:t>Zarantonello</w:t>
      </w:r>
      <w:proofErr w:type="spellEnd"/>
      <w:r w:rsidRPr="00CF3DDD">
        <w:rPr>
          <w:rFonts w:eastAsia="Times New Roman" w:cs="Times New Roman"/>
          <w:szCs w:val="24"/>
        </w:rPr>
        <w:t xml:space="preserve">, L. (2015) ‘Brand experience: what is it? How is it measured? Does it affect loyalty?’, </w:t>
      </w:r>
      <w:r w:rsidRPr="00CF3DDD">
        <w:rPr>
          <w:rFonts w:eastAsia="Times New Roman" w:cs="Times New Roman"/>
          <w:i/>
          <w:iCs/>
          <w:szCs w:val="24"/>
        </w:rPr>
        <w:t>Journal of Marketing</w:t>
      </w:r>
      <w:r w:rsidRPr="00CF3DDD">
        <w:rPr>
          <w:rFonts w:eastAsia="Times New Roman" w:cs="Times New Roman"/>
          <w:szCs w:val="24"/>
        </w:rPr>
        <w:t>, 73(3), pp. 52–68. doi:10.1509/jmkg.73.3.52</w:t>
      </w:r>
    </w:p>
    <w:p w14:paraId="6BE91CA4" w14:textId="77777777" w:rsidR="00D90912" w:rsidRPr="00CF3DDD" w:rsidRDefault="00D90912"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Chinomona</w:t>
      </w:r>
      <w:proofErr w:type="spellEnd"/>
      <w:r w:rsidRPr="00CF3DDD">
        <w:rPr>
          <w:rFonts w:eastAsia="Times New Roman" w:cs="Times New Roman"/>
          <w:szCs w:val="24"/>
        </w:rPr>
        <w:t xml:space="preserve">, R. (2016) ‘Brand communication, brand image and brand trust as antecedents of brand loyalty in Zimbabwe’s mobile sector’, </w:t>
      </w:r>
      <w:r w:rsidRPr="00CF3DDD">
        <w:rPr>
          <w:rFonts w:eastAsia="Times New Roman" w:cs="Times New Roman"/>
          <w:i/>
          <w:iCs/>
          <w:szCs w:val="24"/>
        </w:rPr>
        <w:t>South African Journal of Business Management</w:t>
      </w:r>
      <w:r w:rsidRPr="00CF3DDD">
        <w:rPr>
          <w:rFonts w:eastAsia="Times New Roman" w:cs="Times New Roman"/>
          <w:szCs w:val="24"/>
        </w:rPr>
        <w:t>, 47(1), pp. 29–37. doi:10.4102/</w:t>
      </w:r>
      <w:proofErr w:type="gramStart"/>
      <w:r w:rsidRPr="00CF3DDD">
        <w:rPr>
          <w:rFonts w:eastAsia="Times New Roman" w:cs="Times New Roman"/>
          <w:szCs w:val="24"/>
        </w:rPr>
        <w:t>sajbm.v</w:t>
      </w:r>
      <w:proofErr w:type="gramEnd"/>
      <w:r w:rsidRPr="00CF3DDD">
        <w:rPr>
          <w:rFonts w:eastAsia="Times New Roman" w:cs="Times New Roman"/>
          <w:szCs w:val="24"/>
        </w:rPr>
        <w:t>47i1.75</w:t>
      </w:r>
    </w:p>
    <w:p w14:paraId="68FCBA75"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Das, G. (2015) ‘Linking perceived value, customer satisfaction and loyalty to brand equity: An integrated model’, </w:t>
      </w:r>
      <w:r w:rsidRPr="00CF3DDD">
        <w:rPr>
          <w:rFonts w:eastAsia="Times New Roman" w:cs="Times New Roman"/>
          <w:i/>
          <w:iCs/>
          <w:szCs w:val="24"/>
        </w:rPr>
        <w:t>Journal of Marketing Management</w:t>
      </w:r>
      <w:r w:rsidRPr="00CF3DDD">
        <w:rPr>
          <w:rFonts w:eastAsia="Times New Roman" w:cs="Times New Roman"/>
          <w:szCs w:val="24"/>
        </w:rPr>
        <w:t>, 31(3–4), pp. 337–350. doi:10.1080/0267257X.2014.994546</w:t>
      </w:r>
    </w:p>
    <w:p w14:paraId="428A1683"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Duarte, P.A.O., Silva, S.C. and Ferreira, M.B. (2018) ‘How convenient is it? Delivering online shopping convenience to enhance customer satisfaction and encourage e-WOM’, </w:t>
      </w:r>
      <w:r w:rsidRPr="00CF3DDD">
        <w:rPr>
          <w:rFonts w:eastAsia="Times New Roman" w:cs="Times New Roman"/>
          <w:i/>
          <w:iCs/>
          <w:szCs w:val="24"/>
        </w:rPr>
        <w:t>Journal of Retailing and Consumer Services</w:t>
      </w:r>
      <w:r w:rsidRPr="00CF3DDD">
        <w:rPr>
          <w:rFonts w:eastAsia="Times New Roman" w:cs="Times New Roman"/>
          <w:szCs w:val="24"/>
        </w:rPr>
        <w:t xml:space="preserve">, 44, pp. 161–169. </w:t>
      </w:r>
      <w:proofErr w:type="gramStart"/>
      <w:r w:rsidRPr="00CF3DDD">
        <w:rPr>
          <w:rFonts w:eastAsia="Times New Roman" w:cs="Times New Roman"/>
          <w:szCs w:val="24"/>
        </w:rPr>
        <w:t>doi:10.1016/j.jretconser</w:t>
      </w:r>
      <w:proofErr w:type="gramEnd"/>
      <w:r w:rsidRPr="00CF3DDD">
        <w:rPr>
          <w:rFonts w:eastAsia="Times New Roman" w:cs="Times New Roman"/>
          <w:szCs w:val="24"/>
        </w:rPr>
        <w:t>.2018.06.007</w:t>
      </w:r>
    </w:p>
    <w:p w14:paraId="468E6AAB" w14:textId="77777777" w:rsidR="00D90912" w:rsidRPr="00CF3DDD" w:rsidRDefault="00D90912"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lastRenderedPageBreak/>
        <w:t>Esch</w:t>
      </w:r>
      <w:proofErr w:type="spellEnd"/>
      <w:r w:rsidRPr="00CF3DDD">
        <w:rPr>
          <w:rFonts w:eastAsia="Times New Roman" w:cs="Times New Roman"/>
          <w:szCs w:val="24"/>
        </w:rPr>
        <w:t xml:space="preserve">, F.R., </w:t>
      </w:r>
      <w:proofErr w:type="spellStart"/>
      <w:r w:rsidRPr="00CF3DDD">
        <w:rPr>
          <w:rFonts w:eastAsia="Times New Roman" w:cs="Times New Roman"/>
          <w:szCs w:val="24"/>
        </w:rPr>
        <w:t>Langner</w:t>
      </w:r>
      <w:proofErr w:type="spellEnd"/>
      <w:r w:rsidRPr="00CF3DDD">
        <w:rPr>
          <w:rFonts w:eastAsia="Times New Roman" w:cs="Times New Roman"/>
          <w:szCs w:val="24"/>
        </w:rPr>
        <w:t xml:space="preserve">, T., Schmitt, B.H. and </w:t>
      </w:r>
      <w:proofErr w:type="spellStart"/>
      <w:r w:rsidRPr="00CF3DDD">
        <w:rPr>
          <w:rFonts w:eastAsia="Times New Roman" w:cs="Times New Roman"/>
          <w:szCs w:val="24"/>
        </w:rPr>
        <w:t>Geus</w:t>
      </w:r>
      <w:proofErr w:type="spellEnd"/>
      <w:r w:rsidRPr="00CF3DDD">
        <w:rPr>
          <w:rFonts w:eastAsia="Times New Roman" w:cs="Times New Roman"/>
          <w:szCs w:val="24"/>
        </w:rPr>
        <w:t xml:space="preserve">, P. (2015) ‘Are brands forever? How brand knowledge and relationships affect current and future purchases’, </w:t>
      </w:r>
      <w:r w:rsidRPr="00CF3DDD">
        <w:rPr>
          <w:rFonts w:eastAsia="Times New Roman" w:cs="Times New Roman"/>
          <w:i/>
          <w:iCs/>
          <w:szCs w:val="24"/>
        </w:rPr>
        <w:t>Journal of Product &amp; Brand Management</w:t>
      </w:r>
      <w:r w:rsidRPr="00CF3DDD">
        <w:rPr>
          <w:rFonts w:eastAsia="Times New Roman" w:cs="Times New Roman"/>
          <w:szCs w:val="24"/>
        </w:rPr>
        <w:t>, 25(1), pp. 2–13. doi:10.1108/JPBM-06-2015-0919</w:t>
      </w:r>
    </w:p>
    <w:p w14:paraId="609EFC1C" w14:textId="77777777" w:rsidR="00D90912" w:rsidRPr="00CF3DDD" w:rsidRDefault="00D90912"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Gecti</w:t>
      </w:r>
      <w:proofErr w:type="spellEnd"/>
      <w:r w:rsidRPr="00CF3DDD">
        <w:rPr>
          <w:rFonts w:eastAsia="Times New Roman" w:cs="Times New Roman"/>
          <w:szCs w:val="24"/>
        </w:rPr>
        <w:t xml:space="preserve">, F. and </w:t>
      </w:r>
      <w:proofErr w:type="spellStart"/>
      <w:r w:rsidRPr="00CF3DDD">
        <w:rPr>
          <w:rFonts w:eastAsia="Times New Roman" w:cs="Times New Roman"/>
          <w:szCs w:val="24"/>
        </w:rPr>
        <w:t>Zengin</w:t>
      </w:r>
      <w:proofErr w:type="spellEnd"/>
      <w:r w:rsidRPr="00CF3DDD">
        <w:rPr>
          <w:rFonts w:eastAsia="Times New Roman" w:cs="Times New Roman"/>
          <w:szCs w:val="24"/>
        </w:rPr>
        <w:t xml:space="preserve">, H. (2016) ‘The relationship between brand trust, brand affect and brand loyalty: an empirical study in the context of consumer-based brand equity’, </w:t>
      </w:r>
      <w:r w:rsidRPr="00CF3DDD">
        <w:rPr>
          <w:rFonts w:eastAsia="Times New Roman" w:cs="Times New Roman"/>
          <w:i/>
          <w:iCs/>
          <w:szCs w:val="24"/>
        </w:rPr>
        <w:t>Journal of Marketing Research and Case Studies</w:t>
      </w:r>
      <w:r w:rsidRPr="00CF3DDD">
        <w:rPr>
          <w:rFonts w:eastAsia="Times New Roman" w:cs="Times New Roman"/>
          <w:szCs w:val="24"/>
        </w:rPr>
        <w:t>, 2016, pp. 1–12. doi:10.5171/2016.818414</w:t>
      </w:r>
    </w:p>
    <w:p w14:paraId="4E3A9DC8" w14:textId="77777777" w:rsidR="00D90912" w:rsidRPr="00CF3DDD" w:rsidRDefault="00D90912"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Gürlek</w:t>
      </w:r>
      <w:proofErr w:type="spellEnd"/>
      <w:r w:rsidRPr="00CF3DDD">
        <w:rPr>
          <w:rFonts w:eastAsia="Times New Roman" w:cs="Times New Roman"/>
          <w:szCs w:val="24"/>
        </w:rPr>
        <w:t xml:space="preserve">, M., </w:t>
      </w:r>
      <w:proofErr w:type="spellStart"/>
      <w:r w:rsidRPr="00CF3DDD">
        <w:rPr>
          <w:rFonts w:eastAsia="Times New Roman" w:cs="Times New Roman"/>
          <w:szCs w:val="24"/>
        </w:rPr>
        <w:t>Duzkan</w:t>
      </w:r>
      <w:proofErr w:type="spellEnd"/>
      <w:r w:rsidRPr="00CF3DDD">
        <w:rPr>
          <w:rFonts w:eastAsia="Times New Roman" w:cs="Times New Roman"/>
          <w:szCs w:val="24"/>
        </w:rPr>
        <w:t xml:space="preserve">, H. and Uygur, S.M. (2021) ‘How does brand love lead to brand loyalty? The mediating role of brand trust and brand attachment’, </w:t>
      </w:r>
      <w:r w:rsidRPr="00CF3DDD">
        <w:rPr>
          <w:rFonts w:eastAsia="Times New Roman" w:cs="Times New Roman"/>
          <w:i/>
          <w:iCs/>
          <w:szCs w:val="24"/>
        </w:rPr>
        <w:t>Asia Pacific Journal of Marketing and Logistics</w:t>
      </w:r>
      <w:r w:rsidRPr="00CF3DDD">
        <w:rPr>
          <w:rFonts w:eastAsia="Times New Roman" w:cs="Times New Roman"/>
          <w:szCs w:val="24"/>
        </w:rPr>
        <w:t>, 33(2), pp. 479–502. doi:10.1108/APJML-04-2020-0225</w:t>
      </w:r>
    </w:p>
    <w:p w14:paraId="39C3D2CE"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Hameed, A. and Nadeem, M. (2020) ‘The effect of brand love on brand loyalty: The mediating role of brand trust and brand image’, </w:t>
      </w:r>
      <w:r w:rsidRPr="00CF3DDD">
        <w:rPr>
          <w:rFonts w:eastAsia="Times New Roman" w:cs="Times New Roman"/>
          <w:i/>
          <w:iCs/>
          <w:szCs w:val="24"/>
        </w:rPr>
        <w:t>International Journal of Marketing Studies</w:t>
      </w:r>
      <w:r w:rsidRPr="00CF3DDD">
        <w:rPr>
          <w:rFonts w:eastAsia="Times New Roman" w:cs="Times New Roman"/>
          <w:szCs w:val="24"/>
        </w:rPr>
        <w:t>, 12(2), pp. 1–14. doi:10.5539/</w:t>
      </w:r>
      <w:proofErr w:type="gramStart"/>
      <w:r w:rsidRPr="00CF3DDD">
        <w:rPr>
          <w:rFonts w:eastAsia="Times New Roman" w:cs="Times New Roman"/>
          <w:szCs w:val="24"/>
        </w:rPr>
        <w:t>ijms.v</w:t>
      </w:r>
      <w:proofErr w:type="gramEnd"/>
      <w:r w:rsidRPr="00CF3DDD">
        <w:rPr>
          <w:rFonts w:eastAsia="Times New Roman" w:cs="Times New Roman"/>
          <w:szCs w:val="24"/>
        </w:rPr>
        <w:t>12n2p1</w:t>
      </w:r>
    </w:p>
    <w:p w14:paraId="287AF7D0"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Hemsley-Brown, J. and </w:t>
      </w:r>
      <w:proofErr w:type="spellStart"/>
      <w:r w:rsidRPr="00CF3DDD">
        <w:rPr>
          <w:rFonts w:eastAsia="Times New Roman" w:cs="Times New Roman"/>
          <w:szCs w:val="24"/>
        </w:rPr>
        <w:t>Alnawas</w:t>
      </w:r>
      <w:proofErr w:type="spellEnd"/>
      <w:r w:rsidRPr="00CF3DDD">
        <w:rPr>
          <w:rFonts w:eastAsia="Times New Roman" w:cs="Times New Roman"/>
          <w:szCs w:val="24"/>
        </w:rPr>
        <w:t xml:space="preserve">, I. (2016) ‘Service quality and brand loyalty: The mediation effect of brand trust and brand commitment’, </w:t>
      </w:r>
      <w:r w:rsidRPr="00CF3DDD">
        <w:rPr>
          <w:rFonts w:eastAsia="Times New Roman" w:cs="Times New Roman"/>
          <w:i/>
          <w:iCs/>
          <w:szCs w:val="24"/>
        </w:rPr>
        <w:t>Journal of Business Research</w:t>
      </w:r>
      <w:r w:rsidRPr="00CF3DDD">
        <w:rPr>
          <w:rFonts w:eastAsia="Times New Roman" w:cs="Times New Roman"/>
          <w:szCs w:val="24"/>
        </w:rPr>
        <w:t xml:space="preserve">, 69(3), pp. 1062–1070. </w:t>
      </w:r>
      <w:proofErr w:type="gramStart"/>
      <w:r w:rsidRPr="00CF3DDD">
        <w:rPr>
          <w:rFonts w:eastAsia="Times New Roman" w:cs="Times New Roman"/>
          <w:szCs w:val="24"/>
        </w:rPr>
        <w:t>doi:10.1016/j.jbusres</w:t>
      </w:r>
      <w:proofErr w:type="gramEnd"/>
      <w:r w:rsidRPr="00CF3DDD">
        <w:rPr>
          <w:rFonts w:eastAsia="Times New Roman" w:cs="Times New Roman"/>
          <w:szCs w:val="24"/>
        </w:rPr>
        <w:t>.2015.08.001</w:t>
      </w:r>
    </w:p>
    <w:p w14:paraId="1081AB46"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Huang, R. and </w:t>
      </w:r>
      <w:proofErr w:type="spellStart"/>
      <w:r w:rsidRPr="00CF3DDD">
        <w:rPr>
          <w:rFonts w:eastAsia="Times New Roman" w:cs="Times New Roman"/>
          <w:szCs w:val="24"/>
        </w:rPr>
        <w:t>Sarigöllü</w:t>
      </w:r>
      <w:proofErr w:type="spellEnd"/>
      <w:r w:rsidRPr="00CF3DDD">
        <w:rPr>
          <w:rFonts w:eastAsia="Times New Roman" w:cs="Times New Roman"/>
          <w:szCs w:val="24"/>
        </w:rPr>
        <w:t xml:space="preserve">, E. (2017) ‘How brand awareness relates to market outcome, brand equity, and the marketing mix’, </w:t>
      </w:r>
      <w:r w:rsidRPr="00CF3DDD">
        <w:rPr>
          <w:rFonts w:eastAsia="Times New Roman" w:cs="Times New Roman"/>
          <w:i/>
          <w:iCs/>
          <w:szCs w:val="24"/>
        </w:rPr>
        <w:t>Journal of Business Research</w:t>
      </w:r>
      <w:r w:rsidRPr="00CF3DDD">
        <w:rPr>
          <w:rFonts w:eastAsia="Times New Roman" w:cs="Times New Roman"/>
          <w:szCs w:val="24"/>
        </w:rPr>
        <w:t xml:space="preserve">, 68(11), pp. 2254–2261. </w:t>
      </w:r>
      <w:proofErr w:type="gramStart"/>
      <w:r w:rsidRPr="00CF3DDD">
        <w:rPr>
          <w:rFonts w:eastAsia="Times New Roman" w:cs="Times New Roman"/>
          <w:szCs w:val="24"/>
        </w:rPr>
        <w:t>doi:10.1016/j.jbusres</w:t>
      </w:r>
      <w:proofErr w:type="gramEnd"/>
      <w:r w:rsidRPr="00CF3DDD">
        <w:rPr>
          <w:rFonts w:eastAsia="Times New Roman" w:cs="Times New Roman"/>
          <w:szCs w:val="24"/>
        </w:rPr>
        <w:t>.2015.06.014</w:t>
      </w:r>
    </w:p>
    <w:p w14:paraId="5994658F"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Iglesias, O., Singh, J.J. and Batista-</w:t>
      </w:r>
      <w:proofErr w:type="spellStart"/>
      <w:r w:rsidRPr="00CF3DDD">
        <w:rPr>
          <w:rFonts w:eastAsia="Times New Roman" w:cs="Times New Roman"/>
          <w:szCs w:val="24"/>
        </w:rPr>
        <w:t>Foguet</w:t>
      </w:r>
      <w:proofErr w:type="spellEnd"/>
      <w:r w:rsidRPr="00CF3DDD">
        <w:rPr>
          <w:rFonts w:eastAsia="Times New Roman" w:cs="Times New Roman"/>
          <w:szCs w:val="24"/>
        </w:rPr>
        <w:t xml:space="preserve">, J.M. (2019) ‘Does having an ethical brand matter? The influence of consumer perceived ethicality on trust, affect and loyalty’, </w:t>
      </w:r>
      <w:r w:rsidRPr="00CF3DDD">
        <w:rPr>
          <w:rFonts w:eastAsia="Times New Roman" w:cs="Times New Roman"/>
          <w:i/>
          <w:iCs/>
          <w:szCs w:val="24"/>
        </w:rPr>
        <w:t>Journal of Business Ethics</w:t>
      </w:r>
      <w:r w:rsidRPr="00CF3DDD">
        <w:rPr>
          <w:rFonts w:eastAsia="Times New Roman" w:cs="Times New Roman"/>
          <w:szCs w:val="24"/>
        </w:rPr>
        <w:t>, 132(2), pp. 337–390. doi:10.1007/s10551-014-2316-3</w:t>
      </w:r>
    </w:p>
    <w:p w14:paraId="2D090394"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Islam, J.U. and Rahman, Z. (2016) ‘Linking customer engagement to trust and word-of-mouth on Facebook brand communities: An empirical study’, </w:t>
      </w:r>
      <w:r w:rsidRPr="00CF3DDD">
        <w:rPr>
          <w:rFonts w:eastAsia="Times New Roman" w:cs="Times New Roman"/>
          <w:i/>
          <w:iCs/>
          <w:szCs w:val="24"/>
        </w:rPr>
        <w:t>Journal of Internet Commerce</w:t>
      </w:r>
      <w:r w:rsidRPr="00CF3DDD">
        <w:rPr>
          <w:rFonts w:eastAsia="Times New Roman" w:cs="Times New Roman"/>
          <w:szCs w:val="24"/>
        </w:rPr>
        <w:t>, 15(1), pp. 40–58. doi:10.1080/15332861.2015.1124008</w:t>
      </w:r>
    </w:p>
    <w:p w14:paraId="4DDB1C6E"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lastRenderedPageBreak/>
        <w:t xml:space="preserve">Junaid, M., Hou, F., Hussain, S. and </w:t>
      </w:r>
      <w:proofErr w:type="spellStart"/>
      <w:r w:rsidRPr="00CF3DDD">
        <w:rPr>
          <w:rFonts w:eastAsia="Times New Roman" w:cs="Times New Roman"/>
          <w:szCs w:val="24"/>
        </w:rPr>
        <w:t>Kirmani</w:t>
      </w:r>
      <w:proofErr w:type="spellEnd"/>
      <w:r w:rsidRPr="00CF3DDD">
        <w:rPr>
          <w:rFonts w:eastAsia="Times New Roman" w:cs="Times New Roman"/>
          <w:szCs w:val="24"/>
        </w:rPr>
        <w:t xml:space="preserve">, A.A. (2021) ‘Brand experience and customer engagement: A meta-analytic review’, </w:t>
      </w:r>
      <w:r w:rsidRPr="00CF3DDD">
        <w:rPr>
          <w:rFonts w:eastAsia="Times New Roman" w:cs="Times New Roman"/>
          <w:i/>
          <w:iCs/>
          <w:szCs w:val="24"/>
        </w:rPr>
        <w:t>Current Psychology</w:t>
      </w:r>
      <w:r w:rsidRPr="00CF3DDD">
        <w:rPr>
          <w:rFonts w:eastAsia="Times New Roman" w:cs="Times New Roman"/>
          <w:szCs w:val="24"/>
        </w:rPr>
        <w:t>, 40(9), pp. 4292–4317. doi:10.1007/s12144-019-00354-1</w:t>
      </w:r>
    </w:p>
    <w:p w14:paraId="69DE95BB"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Kang, J.W. and Hustvedt, G. (2019) ‘Building trust between consumers and corporations: The role of consumer perceptions of transparency and social responsibility’, </w:t>
      </w:r>
      <w:r w:rsidRPr="00CF3DDD">
        <w:rPr>
          <w:rFonts w:eastAsia="Times New Roman" w:cs="Times New Roman"/>
          <w:i/>
          <w:iCs/>
          <w:szCs w:val="24"/>
        </w:rPr>
        <w:t>Journal of Business Ethics</w:t>
      </w:r>
      <w:r w:rsidRPr="00CF3DDD">
        <w:rPr>
          <w:rFonts w:eastAsia="Times New Roman" w:cs="Times New Roman"/>
          <w:szCs w:val="24"/>
        </w:rPr>
        <w:t>, 125(2), pp. 253–265. doi:10.1007/s10551-013-1916-7</w:t>
      </w:r>
    </w:p>
    <w:p w14:paraId="1B2304BF"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Keller, K.L. and Lehmann, D.R. (2016) ‘Brands and branding: Research findings and future priorities’, </w:t>
      </w:r>
      <w:r w:rsidRPr="00CF3DDD">
        <w:rPr>
          <w:rFonts w:eastAsia="Times New Roman" w:cs="Times New Roman"/>
          <w:i/>
          <w:iCs/>
          <w:szCs w:val="24"/>
        </w:rPr>
        <w:t>Marketing Science</w:t>
      </w:r>
      <w:r w:rsidRPr="00CF3DDD">
        <w:rPr>
          <w:rFonts w:eastAsia="Times New Roman" w:cs="Times New Roman"/>
          <w:szCs w:val="24"/>
        </w:rPr>
        <w:t>, 25(6), pp. 740–759. doi:10.1287/mksc.1050.0153</w:t>
      </w:r>
    </w:p>
    <w:p w14:paraId="2979D6C0"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Kim, J. and Choi, Y. (2018) ‘The impact of brand trust and brand </w:t>
      </w:r>
      <w:proofErr w:type="spellStart"/>
      <w:r w:rsidRPr="00CF3DDD">
        <w:rPr>
          <w:rFonts w:eastAsia="Times New Roman" w:cs="Times New Roman"/>
          <w:szCs w:val="24"/>
        </w:rPr>
        <w:t>affect</w:t>
      </w:r>
      <w:proofErr w:type="spellEnd"/>
      <w:r w:rsidRPr="00CF3DDD">
        <w:rPr>
          <w:rFonts w:eastAsia="Times New Roman" w:cs="Times New Roman"/>
          <w:szCs w:val="24"/>
        </w:rPr>
        <w:t xml:space="preserve"> on brand loyalty: The moderating role of consumer involvement’, </w:t>
      </w:r>
      <w:r w:rsidRPr="00CF3DDD">
        <w:rPr>
          <w:rFonts w:eastAsia="Times New Roman" w:cs="Times New Roman"/>
          <w:i/>
          <w:iCs/>
          <w:szCs w:val="24"/>
        </w:rPr>
        <w:t>Journal of Global Scholars of Marketing Science</w:t>
      </w:r>
      <w:r w:rsidRPr="00CF3DDD">
        <w:rPr>
          <w:rFonts w:eastAsia="Times New Roman" w:cs="Times New Roman"/>
          <w:szCs w:val="24"/>
        </w:rPr>
        <w:t>, 28(2), pp. 95–111. doi:10.1080/21639159.2017.1411084</w:t>
      </w:r>
    </w:p>
    <w:p w14:paraId="4230428A"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Kwon, W.S. and Lennon, S.J. (2019) ‘What induces online loyalty? Online versus offline brand images’, </w:t>
      </w:r>
      <w:r w:rsidRPr="00CF3DDD">
        <w:rPr>
          <w:rFonts w:eastAsia="Times New Roman" w:cs="Times New Roman"/>
          <w:i/>
          <w:iCs/>
          <w:szCs w:val="24"/>
        </w:rPr>
        <w:t>Journal of Business Research</w:t>
      </w:r>
      <w:r w:rsidRPr="00CF3DDD">
        <w:rPr>
          <w:rFonts w:eastAsia="Times New Roman" w:cs="Times New Roman"/>
          <w:szCs w:val="24"/>
        </w:rPr>
        <w:t xml:space="preserve">, 92, pp. 258–270. </w:t>
      </w:r>
      <w:proofErr w:type="gramStart"/>
      <w:r w:rsidRPr="00CF3DDD">
        <w:rPr>
          <w:rFonts w:eastAsia="Times New Roman" w:cs="Times New Roman"/>
          <w:szCs w:val="24"/>
        </w:rPr>
        <w:t>doi:10.1016/j.jbusres</w:t>
      </w:r>
      <w:proofErr w:type="gramEnd"/>
      <w:r w:rsidRPr="00CF3DDD">
        <w:rPr>
          <w:rFonts w:eastAsia="Times New Roman" w:cs="Times New Roman"/>
          <w:szCs w:val="24"/>
        </w:rPr>
        <w:t>.2018.07.019</w:t>
      </w:r>
    </w:p>
    <w:p w14:paraId="50758A37"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Loureiro, S.M.C., Ruediger, K.H. and Demetris, V. (2019) ‘Brand emotional connection and loyalty’, </w:t>
      </w:r>
      <w:r w:rsidRPr="00CF3DDD">
        <w:rPr>
          <w:rFonts w:eastAsia="Times New Roman" w:cs="Times New Roman"/>
          <w:i/>
          <w:iCs/>
          <w:szCs w:val="24"/>
        </w:rPr>
        <w:t>Journal of Brand Management</w:t>
      </w:r>
      <w:r w:rsidRPr="00CF3DDD">
        <w:rPr>
          <w:rFonts w:eastAsia="Times New Roman" w:cs="Times New Roman"/>
          <w:szCs w:val="24"/>
        </w:rPr>
        <w:t>, 23(4), pp. 383–398. doi:10.1057/s41262-016-0025-9</w:t>
      </w:r>
    </w:p>
    <w:p w14:paraId="484430E7"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Matos, C.A. and Rossi, C.A. (2015) ‘Word-of-mouth communications in marketing: A meta-analytic review of the antecedents and moderators’, </w:t>
      </w:r>
      <w:r w:rsidRPr="00CF3DDD">
        <w:rPr>
          <w:rFonts w:eastAsia="Times New Roman" w:cs="Times New Roman"/>
          <w:i/>
          <w:iCs/>
          <w:szCs w:val="24"/>
        </w:rPr>
        <w:t>Journal of the Academy of Marketing Science</w:t>
      </w:r>
      <w:r w:rsidRPr="00CF3DDD">
        <w:rPr>
          <w:rFonts w:eastAsia="Times New Roman" w:cs="Times New Roman"/>
          <w:szCs w:val="24"/>
        </w:rPr>
        <w:t>, 36(4), pp. 578–596. doi:10.1007/s11747-008-0121-1</w:t>
      </w:r>
    </w:p>
    <w:p w14:paraId="7B14EE59" w14:textId="77777777" w:rsidR="00D90912" w:rsidRPr="00CF3DDD" w:rsidRDefault="00D90912"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Mogaji</w:t>
      </w:r>
      <w:proofErr w:type="spellEnd"/>
      <w:r w:rsidRPr="00CF3DDD">
        <w:rPr>
          <w:rFonts w:eastAsia="Times New Roman" w:cs="Times New Roman"/>
          <w:szCs w:val="24"/>
        </w:rPr>
        <w:t xml:space="preserve">, E. (2020) ‘Emotional appeals in advertising banking services’, </w:t>
      </w:r>
      <w:r w:rsidRPr="00CF3DDD">
        <w:rPr>
          <w:rFonts w:eastAsia="Times New Roman" w:cs="Times New Roman"/>
          <w:i/>
          <w:iCs/>
          <w:szCs w:val="24"/>
        </w:rPr>
        <w:t>Qualitative Market Research: An International Journal</w:t>
      </w:r>
      <w:r w:rsidRPr="00CF3DDD">
        <w:rPr>
          <w:rFonts w:eastAsia="Times New Roman" w:cs="Times New Roman"/>
          <w:szCs w:val="24"/>
        </w:rPr>
        <w:t>, 23(1), pp. 77–93. doi:10.1108/QMR-02-2019-0024</w:t>
      </w:r>
    </w:p>
    <w:p w14:paraId="6D08C3C4"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Nguyen, B. and Simkin, L. (2017) ‘The dark side of digital personalization: Psychological implications of intrusive marketing’, </w:t>
      </w:r>
      <w:r w:rsidRPr="00CF3DDD">
        <w:rPr>
          <w:rFonts w:eastAsia="Times New Roman" w:cs="Times New Roman"/>
          <w:i/>
          <w:iCs/>
          <w:szCs w:val="24"/>
        </w:rPr>
        <w:t>Journal of Business Research</w:t>
      </w:r>
      <w:r w:rsidRPr="00CF3DDD">
        <w:rPr>
          <w:rFonts w:eastAsia="Times New Roman" w:cs="Times New Roman"/>
          <w:szCs w:val="24"/>
        </w:rPr>
        <w:t xml:space="preserve">, 80, pp. 112–122. </w:t>
      </w:r>
      <w:proofErr w:type="gramStart"/>
      <w:r w:rsidRPr="00CF3DDD">
        <w:rPr>
          <w:rFonts w:eastAsia="Times New Roman" w:cs="Times New Roman"/>
          <w:szCs w:val="24"/>
        </w:rPr>
        <w:t>doi:10.1016/j.jbusres</w:t>
      </w:r>
      <w:proofErr w:type="gramEnd"/>
      <w:r w:rsidRPr="00CF3DDD">
        <w:rPr>
          <w:rFonts w:eastAsia="Times New Roman" w:cs="Times New Roman"/>
          <w:szCs w:val="24"/>
        </w:rPr>
        <w:t>.2017.07.017</w:t>
      </w:r>
    </w:p>
    <w:p w14:paraId="044B24BA"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lastRenderedPageBreak/>
        <w:t xml:space="preserve">Rather, R.A. (2018) ‘Customer experience and engagement in tourism destinations: The experiential marketing perspective’, </w:t>
      </w:r>
      <w:r w:rsidRPr="00CF3DDD">
        <w:rPr>
          <w:rFonts w:eastAsia="Times New Roman" w:cs="Times New Roman"/>
          <w:i/>
          <w:iCs/>
          <w:szCs w:val="24"/>
        </w:rPr>
        <w:t>Journal of Travel &amp; Tourism Marketing</w:t>
      </w:r>
      <w:r w:rsidRPr="00CF3DDD">
        <w:rPr>
          <w:rFonts w:eastAsia="Times New Roman" w:cs="Times New Roman"/>
          <w:szCs w:val="24"/>
        </w:rPr>
        <w:t>, 35(6), pp. 732–748. doi:10.1080/10548408.2017.1367792</w:t>
      </w:r>
    </w:p>
    <w:p w14:paraId="51CCA40C" w14:textId="77777777" w:rsidR="00D90912" w:rsidRPr="00CF3DDD" w:rsidRDefault="00D90912"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Rather, R.A., </w:t>
      </w:r>
      <w:proofErr w:type="spellStart"/>
      <w:r w:rsidRPr="00CF3DDD">
        <w:rPr>
          <w:rFonts w:eastAsia="Times New Roman" w:cs="Times New Roman"/>
          <w:szCs w:val="24"/>
        </w:rPr>
        <w:t>Tehseen</w:t>
      </w:r>
      <w:proofErr w:type="spellEnd"/>
      <w:r w:rsidRPr="00CF3DDD">
        <w:rPr>
          <w:rFonts w:eastAsia="Times New Roman" w:cs="Times New Roman"/>
          <w:szCs w:val="24"/>
        </w:rPr>
        <w:t xml:space="preserve">, S. and </w:t>
      </w:r>
      <w:proofErr w:type="spellStart"/>
      <w:r w:rsidRPr="00CF3DDD">
        <w:rPr>
          <w:rFonts w:eastAsia="Times New Roman" w:cs="Times New Roman"/>
          <w:szCs w:val="24"/>
        </w:rPr>
        <w:t>Parrey</w:t>
      </w:r>
      <w:proofErr w:type="spellEnd"/>
      <w:r w:rsidRPr="00CF3DDD">
        <w:rPr>
          <w:rFonts w:eastAsia="Times New Roman" w:cs="Times New Roman"/>
          <w:szCs w:val="24"/>
        </w:rPr>
        <w:t xml:space="preserve">, S.H. (2018) ‘Promoting customer brand engagement and brand loyalty through customer brand identification and value congruity’, </w:t>
      </w:r>
      <w:r w:rsidRPr="00CF3DDD">
        <w:rPr>
          <w:rFonts w:eastAsia="Times New Roman" w:cs="Times New Roman"/>
          <w:i/>
          <w:iCs/>
          <w:szCs w:val="24"/>
        </w:rPr>
        <w:t>Spanish Journal of Marketing – ESIC</w:t>
      </w:r>
      <w:r w:rsidRPr="00CF3DDD">
        <w:rPr>
          <w:rFonts w:eastAsia="Times New Roman" w:cs="Times New Roman"/>
          <w:szCs w:val="24"/>
        </w:rPr>
        <w:t>, 22(3), pp. 319–338. doi:10.1108/SJME-06-2018-0021</w:t>
      </w:r>
    </w:p>
    <w:p w14:paraId="32BE4E35" w14:textId="77777777" w:rsidR="008C4BF9" w:rsidRPr="00CF3DDD" w:rsidRDefault="008C4BF9" w:rsidP="00CF3DDD">
      <w:pPr>
        <w:spacing w:before="100" w:beforeAutospacing="1" w:after="100" w:afterAutospacing="1" w:line="360" w:lineRule="auto"/>
        <w:rPr>
          <w:rFonts w:eastAsia="Times New Roman" w:cs="Times New Roman"/>
          <w:szCs w:val="24"/>
        </w:rPr>
      </w:pPr>
      <w:r w:rsidRPr="00CF3DDD">
        <w:rPr>
          <w:rFonts w:cs="Times New Roman"/>
        </w:rPr>
        <w:t xml:space="preserve">Ali, K.A.M., </w:t>
      </w:r>
      <w:proofErr w:type="spellStart"/>
      <w:r w:rsidRPr="00CF3DDD">
        <w:rPr>
          <w:rFonts w:cs="Times New Roman"/>
        </w:rPr>
        <w:t>Mohd</w:t>
      </w:r>
      <w:proofErr w:type="spellEnd"/>
      <w:r w:rsidRPr="00CF3DDD">
        <w:rPr>
          <w:rFonts w:cs="Times New Roman"/>
        </w:rPr>
        <w:t xml:space="preserve"> Ali, K.A., Taufiq-</w:t>
      </w:r>
      <w:proofErr w:type="spellStart"/>
      <w:r w:rsidRPr="00CF3DDD">
        <w:rPr>
          <w:rFonts w:cs="Times New Roman"/>
        </w:rPr>
        <w:t>Windawati</w:t>
      </w:r>
      <w:proofErr w:type="spellEnd"/>
      <w:r w:rsidRPr="00CF3DDD">
        <w:rPr>
          <w:rFonts w:cs="Times New Roman"/>
        </w:rPr>
        <w:t xml:space="preserve">, A., </w:t>
      </w:r>
      <w:proofErr w:type="spellStart"/>
      <w:r w:rsidRPr="00CF3DDD">
        <w:rPr>
          <w:rFonts w:cs="Times New Roman"/>
        </w:rPr>
        <w:t>Rosbi</w:t>
      </w:r>
      <w:proofErr w:type="spellEnd"/>
      <w:r w:rsidRPr="00CF3DDD">
        <w:rPr>
          <w:rFonts w:cs="Times New Roman"/>
        </w:rPr>
        <w:t xml:space="preserve">, S. &amp; </w:t>
      </w:r>
      <w:proofErr w:type="spellStart"/>
      <w:r w:rsidRPr="00CF3DDD">
        <w:rPr>
          <w:rFonts w:cs="Times New Roman"/>
        </w:rPr>
        <w:t>Barkiah</w:t>
      </w:r>
      <w:proofErr w:type="spellEnd"/>
      <w:r w:rsidRPr="00CF3DDD">
        <w:rPr>
          <w:rFonts w:cs="Times New Roman"/>
        </w:rPr>
        <w:t xml:space="preserve">, N. (2023) ‘The Mediating Role of Brand Trust and Brand Love between Brand Experience and Loyalty: A Study on Smartphones in China’, </w:t>
      </w:r>
      <w:proofErr w:type="spellStart"/>
      <w:r w:rsidRPr="00CF3DDD">
        <w:rPr>
          <w:rFonts w:cs="Times New Roman"/>
        </w:rPr>
        <w:t>Behavioural</w:t>
      </w:r>
      <w:proofErr w:type="spellEnd"/>
      <w:r w:rsidRPr="00CF3DDD">
        <w:rPr>
          <w:rFonts w:cs="Times New Roman"/>
        </w:rPr>
        <w:t xml:space="preserve"> Sciences, 13(6), 502. doi:10.3390/bs13060502.</w:t>
      </w:r>
    </w:p>
    <w:p w14:paraId="49CB05AB" w14:textId="77777777" w:rsidR="008C4BF9" w:rsidRPr="00CF3DDD" w:rsidRDefault="008C4BF9" w:rsidP="00CF3DDD">
      <w:pPr>
        <w:spacing w:before="100" w:beforeAutospacing="1" w:after="100" w:afterAutospacing="1" w:line="360" w:lineRule="auto"/>
        <w:rPr>
          <w:rFonts w:eastAsia="Times New Roman" w:cs="Times New Roman"/>
          <w:szCs w:val="24"/>
        </w:rPr>
      </w:pPr>
    </w:p>
    <w:p w14:paraId="0CA556BA" w14:textId="77777777" w:rsidR="008C4BF9" w:rsidRPr="00CF3DDD" w:rsidRDefault="008C4BF9"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Akoglu</w:t>
      </w:r>
      <w:proofErr w:type="spellEnd"/>
      <w:r w:rsidRPr="00CF3DDD">
        <w:rPr>
          <w:rFonts w:eastAsia="Times New Roman" w:cs="Times New Roman"/>
          <w:szCs w:val="24"/>
        </w:rPr>
        <w:t xml:space="preserve">, H.E. &amp; </w:t>
      </w:r>
      <w:proofErr w:type="spellStart"/>
      <w:r w:rsidRPr="00CF3DDD">
        <w:rPr>
          <w:rFonts w:eastAsia="Times New Roman" w:cs="Times New Roman"/>
          <w:szCs w:val="24"/>
        </w:rPr>
        <w:t>Özbek</w:t>
      </w:r>
      <w:proofErr w:type="spellEnd"/>
      <w:r w:rsidRPr="00CF3DDD">
        <w:rPr>
          <w:rFonts w:eastAsia="Times New Roman" w:cs="Times New Roman"/>
          <w:szCs w:val="24"/>
        </w:rPr>
        <w:t>, O. (2022) ‘The effect of brand experiences on brand loyalty through perceived quality and brand trust: a study on sports consumers’, Asia Pacific Journal of Marketing and Logistics, 34(10), pp. 2130-2148. doi:10.1108/APJML-05-2021-0333.</w:t>
      </w:r>
    </w:p>
    <w:p w14:paraId="3DFCDCBC" w14:textId="77777777" w:rsidR="008C4BF9" w:rsidRPr="00CF3DDD" w:rsidRDefault="008C4BF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Hashem, M., Ruiz, C. &amp; </w:t>
      </w:r>
      <w:proofErr w:type="spellStart"/>
      <w:r w:rsidRPr="00CF3DDD">
        <w:rPr>
          <w:rFonts w:eastAsia="Times New Roman" w:cs="Times New Roman"/>
          <w:szCs w:val="24"/>
        </w:rPr>
        <w:t>Curras</w:t>
      </w:r>
      <w:proofErr w:type="spellEnd"/>
      <w:r w:rsidRPr="00CF3DDD">
        <w:rPr>
          <w:rFonts w:eastAsia="Times New Roman" w:cs="Times New Roman"/>
          <w:szCs w:val="24"/>
        </w:rPr>
        <w:t>-Perez, R. (2024) ‘Understanding the Dynamics of Brand Love in the Automobile Industry’, Journal of Theoretical and Applied Electronic Commerce Research, 19(2), pp. 1142-1163. doi:10.3390/jtaer19020059.</w:t>
      </w:r>
    </w:p>
    <w:p w14:paraId="28ACF6DC" w14:textId="77777777" w:rsidR="008C4BF9" w:rsidRPr="00CF3DDD" w:rsidRDefault="008C4BF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Le, M.T.H. (2021) ‘The impact of brand love on brand loyalty: the moderating role of self-esteem, and social influences’, Spanish Journal of Marketing - ESIC, 25(1), pp. 156-180. doi:10.1108/SJME-05-2020-0086.</w:t>
      </w:r>
    </w:p>
    <w:p w14:paraId="0E87123E" w14:textId="77777777" w:rsidR="008C4BF9" w:rsidRPr="00CF3DDD" w:rsidRDefault="008C4BF9" w:rsidP="00CF3DDD">
      <w:pPr>
        <w:spacing w:before="100" w:beforeAutospacing="1" w:after="100" w:afterAutospacing="1" w:line="360" w:lineRule="auto"/>
        <w:rPr>
          <w:rFonts w:eastAsia="Times New Roman" w:cs="Times New Roman"/>
          <w:szCs w:val="24"/>
        </w:rPr>
      </w:pPr>
      <w:proofErr w:type="spellStart"/>
      <w:r w:rsidRPr="00CF3DDD">
        <w:rPr>
          <w:rFonts w:cs="Times New Roman"/>
        </w:rPr>
        <w:t>Mohd</w:t>
      </w:r>
      <w:proofErr w:type="spellEnd"/>
      <w:r w:rsidRPr="00CF3DDD">
        <w:rPr>
          <w:rFonts w:cs="Times New Roman"/>
        </w:rPr>
        <w:t xml:space="preserve"> Ali, K.A., </w:t>
      </w:r>
      <w:proofErr w:type="spellStart"/>
      <w:r w:rsidRPr="00CF3DDD">
        <w:rPr>
          <w:rFonts w:cs="Times New Roman"/>
        </w:rPr>
        <w:t>Anuar</w:t>
      </w:r>
      <w:proofErr w:type="spellEnd"/>
      <w:r w:rsidRPr="00CF3DDD">
        <w:rPr>
          <w:rFonts w:cs="Times New Roman"/>
        </w:rPr>
        <w:t xml:space="preserve">, K., Rahman, H.M., &amp; </w:t>
      </w:r>
      <w:proofErr w:type="spellStart"/>
      <w:r w:rsidRPr="00CF3DDD">
        <w:rPr>
          <w:rFonts w:cs="Times New Roman"/>
        </w:rPr>
        <w:t>Mahdee</w:t>
      </w:r>
      <w:proofErr w:type="spellEnd"/>
      <w:r w:rsidRPr="00CF3DDD">
        <w:rPr>
          <w:rFonts w:cs="Times New Roman"/>
        </w:rPr>
        <w:t xml:space="preserve">, J.B. (2023) ‘The Mediating Role of Brand Trust and Brand Love between Brand Experience and Loyalty: A Study on Smartphones in China’, </w:t>
      </w:r>
      <w:proofErr w:type="spellStart"/>
      <w:r w:rsidRPr="00CF3DDD">
        <w:rPr>
          <w:rFonts w:cs="Times New Roman"/>
        </w:rPr>
        <w:t>Behavioural</w:t>
      </w:r>
      <w:proofErr w:type="spellEnd"/>
      <w:r w:rsidRPr="00CF3DDD">
        <w:rPr>
          <w:rFonts w:cs="Times New Roman"/>
        </w:rPr>
        <w:t xml:space="preserve"> Sciences, 13(6), 502. doi:10.3390/bs13060502.</w:t>
      </w:r>
    </w:p>
    <w:p w14:paraId="6ED39077" w14:textId="77777777" w:rsidR="008C4BF9" w:rsidRPr="00CF3DDD" w:rsidRDefault="008C4BF9"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Olaleye</w:t>
      </w:r>
      <w:proofErr w:type="spellEnd"/>
      <w:r w:rsidRPr="00CF3DDD">
        <w:rPr>
          <w:rFonts w:eastAsia="Times New Roman" w:cs="Times New Roman"/>
          <w:szCs w:val="24"/>
        </w:rPr>
        <w:t xml:space="preserve">, B.R., </w:t>
      </w:r>
      <w:proofErr w:type="spellStart"/>
      <w:r w:rsidRPr="00CF3DDD">
        <w:rPr>
          <w:rFonts w:eastAsia="Times New Roman" w:cs="Times New Roman"/>
          <w:szCs w:val="24"/>
        </w:rPr>
        <w:t>Sekhampu</w:t>
      </w:r>
      <w:proofErr w:type="spellEnd"/>
      <w:r w:rsidRPr="00CF3DDD">
        <w:rPr>
          <w:rFonts w:eastAsia="Times New Roman" w:cs="Times New Roman"/>
          <w:szCs w:val="24"/>
        </w:rPr>
        <w:t xml:space="preserve">, T.J., </w:t>
      </w:r>
      <w:proofErr w:type="spellStart"/>
      <w:r w:rsidRPr="00CF3DDD">
        <w:rPr>
          <w:rFonts w:eastAsia="Times New Roman" w:cs="Times New Roman"/>
          <w:szCs w:val="24"/>
        </w:rPr>
        <w:t>Lekunze</w:t>
      </w:r>
      <w:proofErr w:type="spellEnd"/>
      <w:r w:rsidRPr="00CF3DDD">
        <w:rPr>
          <w:rFonts w:eastAsia="Times New Roman" w:cs="Times New Roman"/>
          <w:szCs w:val="24"/>
        </w:rPr>
        <w:t>, J.N. &amp; Khumalo, N. (2025) ‘Brand extension strategies and customer loyalty: Empirical evidence from fast-moving consumer goods companies’, International Management, 21(1), pp. 270-280. doi:10.21511/im.21(1).2025.22</w:t>
      </w:r>
    </w:p>
    <w:p w14:paraId="455A0B0F" w14:textId="77777777" w:rsidR="008C4BF9" w:rsidRPr="00CF3DDD" w:rsidRDefault="008C4BF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lastRenderedPageBreak/>
        <w:t>Kaur, A. (2024) ‘</w:t>
      </w:r>
      <w:proofErr w:type="spellStart"/>
      <w:r w:rsidRPr="00CF3DDD">
        <w:rPr>
          <w:rFonts w:eastAsia="Times New Roman" w:cs="Times New Roman"/>
          <w:szCs w:val="24"/>
        </w:rPr>
        <w:t>Analysing</w:t>
      </w:r>
      <w:proofErr w:type="spellEnd"/>
      <w:r w:rsidRPr="00CF3DDD">
        <w:rPr>
          <w:rFonts w:eastAsia="Times New Roman" w:cs="Times New Roman"/>
          <w:szCs w:val="24"/>
        </w:rPr>
        <w:t xml:space="preserve"> the effects of brand authenticity on consumer trust and loyalty in Punjab's FMCG sector’, International Journal of Research in Marketing Management &amp; Sales, 6(1), pp. 64-68. </w:t>
      </w:r>
      <w:proofErr w:type="gramStart"/>
      <w:r w:rsidRPr="00CF3DDD">
        <w:rPr>
          <w:rFonts w:eastAsia="Times New Roman" w:cs="Times New Roman"/>
          <w:szCs w:val="24"/>
        </w:rPr>
        <w:t>doi:10.33545/26633329.2024.v6.i1a</w:t>
      </w:r>
      <w:proofErr w:type="gramEnd"/>
      <w:r w:rsidRPr="00CF3DDD">
        <w:rPr>
          <w:rFonts w:eastAsia="Times New Roman" w:cs="Times New Roman"/>
          <w:szCs w:val="24"/>
        </w:rPr>
        <w:t>.154.</w:t>
      </w:r>
    </w:p>
    <w:p w14:paraId="2A671298" w14:textId="77777777" w:rsidR="008C4BF9" w:rsidRPr="00CF3DDD" w:rsidRDefault="008C4BF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Shafiq, R., et al. (2024) ‘Driving Customer Loyalty through Customer Satisfaction in Online Shopping: The Role of Brand Image, Price, Trust and Website Quality’, Lahore Journal of Business, [online] 2024. Available at: https://ljb.org.pk/wp-content/uploads/2024/02/05-Shafiq-et-al.-ED.pdf3</w:t>
      </w:r>
    </w:p>
    <w:p w14:paraId="4F412A62" w14:textId="77777777" w:rsidR="008C4BF9" w:rsidRPr="00CF3DDD" w:rsidRDefault="008C4BF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Zaman, S.U., Ahmed, W. &amp; </w:t>
      </w:r>
      <w:proofErr w:type="spellStart"/>
      <w:r w:rsidRPr="00CF3DDD">
        <w:rPr>
          <w:rFonts w:eastAsia="Times New Roman" w:cs="Times New Roman"/>
          <w:szCs w:val="24"/>
        </w:rPr>
        <w:t>Alam</w:t>
      </w:r>
      <w:proofErr w:type="spellEnd"/>
      <w:r w:rsidRPr="00CF3DDD">
        <w:rPr>
          <w:rFonts w:eastAsia="Times New Roman" w:cs="Times New Roman"/>
          <w:szCs w:val="24"/>
        </w:rPr>
        <w:t>, S.H. (2025) ‘How Brand Experience Builds Loyalty: The Roles of Trust, Association, Word-of-Mouth, and Credibility’, Critical Review of Social Sciences Studies, 3(1), pp. 3744-3762. doi:10.59075/s1b55795.</w:t>
      </w:r>
    </w:p>
    <w:p w14:paraId="1203D14A" w14:textId="77777777" w:rsidR="008C4BF9" w:rsidRPr="00CF3DDD" w:rsidRDefault="008C4BF9"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Novitasari</w:t>
      </w:r>
      <w:proofErr w:type="spellEnd"/>
      <w:r w:rsidRPr="00CF3DDD">
        <w:rPr>
          <w:rFonts w:eastAsia="Times New Roman" w:cs="Times New Roman"/>
          <w:szCs w:val="24"/>
        </w:rPr>
        <w:t xml:space="preserve">, D. &amp; </w:t>
      </w:r>
      <w:proofErr w:type="spellStart"/>
      <w:r w:rsidRPr="00CF3DDD">
        <w:rPr>
          <w:rFonts w:eastAsia="Times New Roman" w:cs="Times New Roman"/>
          <w:szCs w:val="24"/>
        </w:rPr>
        <w:t>Tuti</w:t>
      </w:r>
      <w:proofErr w:type="spellEnd"/>
      <w:r w:rsidRPr="00CF3DDD">
        <w:rPr>
          <w:rFonts w:eastAsia="Times New Roman" w:cs="Times New Roman"/>
          <w:szCs w:val="24"/>
        </w:rPr>
        <w:t>, M. (2025) ‘Brand love unveiled: How KOL reviews and taste foster satisfaction and trust’, Journal of Emerging Economies and Islamic Research, 13(1), 4589. doi:10.24191/</w:t>
      </w:r>
      <w:proofErr w:type="gramStart"/>
      <w:r w:rsidRPr="00CF3DDD">
        <w:rPr>
          <w:rFonts w:eastAsia="Times New Roman" w:cs="Times New Roman"/>
          <w:szCs w:val="24"/>
        </w:rPr>
        <w:t>jeeir.v</w:t>
      </w:r>
      <w:proofErr w:type="gramEnd"/>
      <w:r w:rsidRPr="00CF3DDD">
        <w:rPr>
          <w:rFonts w:eastAsia="Times New Roman" w:cs="Times New Roman"/>
          <w:szCs w:val="24"/>
        </w:rPr>
        <w:t>13i1.4589.</w:t>
      </w:r>
    </w:p>
    <w:p w14:paraId="3780B5A3" w14:textId="77777777" w:rsidR="00F068C9" w:rsidRPr="00CF3DDD" w:rsidRDefault="00F068C9"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Buil</w:t>
      </w:r>
      <w:proofErr w:type="spellEnd"/>
      <w:r w:rsidRPr="00CF3DDD">
        <w:rPr>
          <w:rFonts w:eastAsia="Times New Roman" w:cs="Times New Roman"/>
          <w:szCs w:val="24"/>
        </w:rPr>
        <w:t>, I., Martínez, E. and del Río, J. (2019) ‘Examining the role of advertising and sales promotions in brand equity creation’, European Journal of Marketing, 53(6), pp. 1243–1269.</w:t>
      </w:r>
    </w:p>
    <w:p w14:paraId="5FC4F911" w14:textId="77777777" w:rsidR="00F068C9" w:rsidRPr="00CF3DDD" w:rsidRDefault="00F068C9"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Cambra</w:t>
      </w:r>
      <w:proofErr w:type="spellEnd"/>
      <w:r w:rsidRPr="00CF3DDD">
        <w:rPr>
          <w:rFonts w:eastAsia="Times New Roman" w:cs="Times New Roman"/>
          <w:szCs w:val="24"/>
        </w:rPr>
        <w:t xml:space="preserve">-Fierro, J., Hart, S. and </w:t>
      </w:r>
      <w:proofErr w:type="spellStart"/>
      <w:r w:rsidRPr="00CF3DDD">
        <w:rPr>
          <w:rFonts w:eastAsia="Times New Roman" w:cs="Times New Roman"/>
          <w:szCs w:val="24"/>
        </w:rPr>
        <w:t>Melero</w:t>
      </w:r>
      <w:proofErr w:type="spellEnd"/>
      <w:r w:rsidRPr="00CF3DDD">
        <w:rPr>
          <w:rFonts w:eastAsia="Times New Roman" w:cs="Times New Roman"/>
          <w:szCs w:val="24"/>
        </w:rPr>
        <w:t>, I. (2021) ‘Customer-based brand equity and customer engagement: evidence from experiential services’, European Management Journal, 39(2), pp. 195–210.</w:t>
      </w:r>
    </w:p>
    <w:p w14:paraId="2293ECA0" w14:textId="77777777" w:rsidR="00F068C9" w:rsidRPr="00CF3DDD" w:rsidRDefault="00F068C9"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Chang, H.H. and Liu, Y. (2018) ‘The mediating effect of brand trust between brand equity and brand loyalty: evidence from the beverage industry’, Journal of Brand Management, 25(3), pp. 230–243.</w:t>
      </w:r>
    </w:p>
    <w:p w14:paraId="1FE97BBC" w14:textId="77777777" w:rsidR="00F068C9" w:rsidRPr="00CF3DDD" w:rsidRDefault="00F068C9"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Daucé</w:t>
      </w:r>
      <w:proofErr w:type="spellEnd"/>
      <w:r w:rsidRPr="00CF3DDD">
        <w:rPr>
          <w:rFonts w:eastAsia="Times New Roman" w:cs="Times New Roman"/>
          <w:szCs w:val="24"/>
        </w:rPr>
        <w:t>, F. and Bartolomé, F. (2020) ‘Brand equity dynamics in fast moving consumer goods: an empirical study’, Journal of Business Research, 116, pp. 123–134.</w:t>
      </w:r>
    </w:p>
    <w:p w14:paraId="5B3CAB52" w14:textId="77777777" w:rsidR="002C67AA" w:rsidRPr="00CF3DDD" w:rsidRDefault="002C67AA"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Robertson, J., Botha, E. and Ferreira, C. (2022) ‘How deep is your love? The brand love-loyalty matrix in consumer-brand relationships’, Journal of Business Research, 149, pp. 651-662. </w:t>
      </w:r>
      <w:proofErr w:type="gramStart"/>
      <w:r w:rsidRPr="00CF3DDD">
        <w:rPr>
          <w:rFonts w:eastAsia="Times New Roman" w:cs="Times New Roman"/>
          <w:szCs w:val="24"/>
        </w:rPr>
        <w:t>doi:10.1016/j.jbusres</w:t>
      </w:r>
      <w:proofErr w:type="gramEnd"/>
      <w:r w:rsidRPr="00CF3DDD">
        <w:rPr>
          <w:rFonts w:eastAsia="Times New Roman" w:cs="Times New Roman"/>
          <w:szCs w:val="24"/>
        </w:rPr>
        <w:t>.2022.05.058.</w:t>
      </w:r>
    </w:p>
    <w:p w14:paraId="41854254" w14:textId="77777777" w:rsidR="002C67AA" w:rsidRPr="00CF3DDD" w:rsidRDefault="002C67AA"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lastRenderedPageBreak/>
        <w:t xml:space="preserve">Mustafa, K., Ahmad, F., Qaisar, M.N., Zada, S., Jamil, S., </w:t>
      </w:r>
      <w:proofErr w:type="spellStart"/>
      <w:r w:rsidRPr="00CF3DDD">
        <w:rPr>
          <w:rFonts w:eastAsia="Times New Roman" w:cs="Times New Roman"/>
          <w:szCs w:val="24"/>
        </w:rPr>
        <w:t>Anwer</w:t>
      </w:r>
      <w:proofErr w:type="spellEnd"/>
      <w:r w:rsidRPr="00CF3DDD">
        <w:rPr>
          <w:rFonts w:eastAsia="Times New Roman" w:cs="Times New Roman"/>
          <w:szCs w:val="24"/>
        </w:rPr>
        <w:t>, N., Khawaja, K.F., Contreras-Barraza, N., Hamid, A.R. and Mariam, S. (2022) ‘Brand Love: Role of Online Customer Experience, Value Co-creation, and Relationship Quality’, Frontiers in Psychology, 13. doi:10.3389/fpsyg.2022.897933.</w:t>
      </w:r>
    </w:p>
    <w:p w14:paraId="304E6CAE" w14:textId="77777777" w:rsidR="002C67AA" w:rsidRPr="00CF3DDD" w:rsidRDefault="002C67AA"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Taqi</w:t>
      </w:r>
      <w:proofErr w:type="spellEnd"/>
      <w:r w:rsidRPr="00CF3DDD">
        <w:rPr>
          <w:rFonts w:eastAsia="Times New Roman" w:cs="Times New Roman"/>
          <w:szCs w:val="24"/>
        </w:rPr>
        <w:t>, I. and Ali, G.M. (2022) ‘Brand Loyalty and the Mediating Roles of Brand Image and Customer Satisfaction’, Market Forces, Karachi Institute of Economics and Technology, 387 respondents.</w:t>
      </w:r>
    </w:p>
    <w:p w14:paraId="4BAC12B9" w14:textId="77777777" w:rsidR="002C67AA" w:rsidRPr="00CF3DDD" w:rsidRDefault="002C67AA"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Ali, J., Lodhi, R.N., Irfan, M. and Tufail, M.S. (2022) ‘Effects of Brand Attributes on Word of Mouth: Mediating Role of Brand Trust and Brand Love’, Journal of Policy Research (JPR), 8(4), pp. 213-226.</w:t>
      </w:r>
    </w:p>
    <w:p w14:paraId="23570FF0" w14:textId="77777777" w:rsidR="002C67AA" w:rsidRPr="00CF3DDD" w:rsidRDefault="002C67AA" w:rsidP="00CF3DDD">
      <w:pPr>
        <w:spacing w:before="100" w:beforeAutospacing="1" w:after="100" w:afterAutospacing="1" w:line="360" w:lineRule="auto"/>
        <w:rPr>
          <w:rFonts w:eastAsia="Times New Roman" w:cs="Times New Roman"/>
          <w:szCs w:val="24"/>
        </w:rPr>
      </w:pPr>
    </w:p>
    <w:p w14:paraId="5E0B1DA9" w14:textId="77777777" w:rsidR="002C67AA" w:rsidRPr="00CF3DDD" w:rsidRDefault="002C67AA"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Kaur, A. (2024) ‘</w:t>
      </w:r>
      <w:proofErr w:type="spellStart"/>
      <w:r w:rsidRPr="00CF3DDD">
        <w:rPr>
          <w:rFonts w:eastAsia="Times New Roman" w:cs="Times New Roman"/>
          <w:szCs w:val="24"/>
        </w:rPr>
        <w:t>Analysing</w:t>
      </w:r>
      <w:proofErr w:type="spellEnd"/>
      <w:r w:rsidRPr="00CF3DDD">
        <w:rPr>
          <w:rFonts w:eastAsia="Times New Roman" w:cs="Times New Roman"/>
          <w:szCs w:val="24"/>
        </w:rPr>
        <w:t xml:space="preserve"> the effects of brand authenticity on consumer trust and loyalty in Punjab’s FMCG sector’, International Journal of Research in Marketing Management &amp; Sales, 6(1), pp. 64-68. </w:t>
      </w:r>
      <w:proofErr w:type="gramStart"/>
      <w:r w:rsidRPr="00CF3DDD">
        <w:rPr>
          <w:rFonts w:eastAsia="Times New Roman" w:cs="Times New Roman"/>
          <w:szCs w:val="24"/>
        </w:rPr>
        <w:t>doi:10.33545/26633329.2024.v6.i1a</w:t>
      </w:r>
      <w:proofErr w:type="gramEnd"/>
      <w:r w:rsidRPr="00CF3DDD">
        <w:rPr>
          <w:rFonts w:eastAsia="Times New Roman" w:cs="Times New Roman"/>
          <w:szCs w:val="24"/>
        </w:rPr>
        <w:t>.154.</w:t>
      </w:r>
    </w:p>
    <w:p w14:paraId="6B7DD46D" w14:textId="77777777" w:rsidR="00737F6E" w:rsidRPr="00CF3DDD" w:rsidRDefault="00737F6E"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Waqas, M., Waseem, A., Wajid, N. &amp; Irfan, I. (2025) ‘Enhancing brand equity through branded content experience on social media: Developing and testing a moderated mediation model’, </w:t>
      </w:r>
      <w:r w:rsidRPr="00CF3DDD">
        <w:rPr>
          <w:rFonts w:eastAsia="Times New Roman" w:cs="Times New Roman"/>
          <w:i/>
          <w:iCs/>
          <w:szCs w:val="24"/>
        </w:rPr>
        <w:t>Psychology of Popular Media</w:t>
      </w:r>
      <w:r w:rsidRPr="00CF3DDD">
        <w:rPr>
          <w:rFonts w:eastAsia="Times New Roman" w:cs="Times New Roman"/>
          <w:szCs w:val="24"/>
        </w:rPr>
        <w:t>, 14(1), pp. 100-110. doi:10.1037/ppm0000537.</w:t>
      </w:r>
    </w:p>
    <w:p w14:paraId="554B5959" w14:textId="77777777" w:rsidR="00737F6E" w:rsidRPr="00CF3DDD" w:rsidRDefault="00737F6E"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Olaleye</w:t>
      </w:r>
      <w:proofErr w:type="spellEnd"/>
      <w:r w:rsidRPr="00CF3DDD">
        <w:rPr>
          <w:rFonts w:eastAsia="Times New Roman" w:cs="Times New Roman"/>
          <w:szCs w:val="24"/>
        </w:rPr>
        <w:t xml:space="preserve">, B.R., </w:t>
      </w:r>
      <w:proofErr w:type="spellStart"/>
      <w:r w:rsidRPr="00CF3DDD">
        <w:rPr>
          <w:rFonts w:eastAsia="Times New Roman" w:cs="Times New Roman"/>
          <w:szCs w:val="24"/>
        </w:rPr>
        <w:t>Sekhampu</w:t>
      </w:r>
      <w:proofErr w:type="spellEnd"/>
      <w:r w:rsidRPr="00CF3DDD">
        <w:rPr>
          <w:rFonts w:eastAsia="Times New Roman" w:cs="Times New Roman"/>
          <w:szCs w:val="24"/>
        </w:rPr>
        <w:t xml:space="preserve">, T.J., </w:t>
      </w:r>
      <w:proofErr w:type="spellStart"/>
      <w:r w:rsidRPr="00CF3DDD">
        <w:rPr>
          <w:rFonts w:eastAsia="Times New Roman" w:cs="Times New Roman"/>
          <w:szCs w:val="24"/>
        </w:rPr>
        <w:t>Lekunze</w:t>
      </w:r>
      <w:proofErr w:type="spellEnd"/>
      <w:r w:rsidRPr="00CF3DDD">
        <w:rPr>
          <w:rFonts w:eastAsia="Times New Roman" w:cs="Times New Roman"/>
          <w:szCs w:val="24"/>
        </w:rPr>
        <w:t xml:space="preserve">, J.N. &amp; Khumalo, N. (2025) ‘Brand extension strategies and customer loyalty: Empirical evidence from fast-moving consumer goods companies’, </w:t>
      </w:r>
      <w:r w:rsidRPr="00CF3DDD">
        <w:rPr>
          <w:rFonts w:eastAsia="Times New Roman" w:cs="Times New Roman"/>
          <w:i/>
          <w:iCs/>
          <w:szCs w:val="24"/>
        </w:rPr>
        <w:t>International Management</w:t>
      </w:r>
      <w:r w:rsidRPr="00CF3DDD">
        <w:rPr>
          <w:rFonts w:eastAsia="Times New Roman" w:cs="Times New Roman"/>
          <w:szCs w:val="24"/>
        </w:rPr>
        <w:t>, 21(1), pp. 270-280. doi:10.21511/im.21(1).2025.22.</w:t>
      </w:r>
    </w:p>
    <w:p w14:paraId="46AF9FFF" w14:textId="77777777" w:rsidR="00737F6E" w:rsidRPr="00CF3DDD" w:rsidRDefault="00737F6E"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Kalyoncuoğlu</w:t>
      </w:r>
      <w:proofErr w:type="spellEnd"/>
      <w:r w:rsidRPr="00CF3DDD">
        <w:rPr>
          <w:rFonts w:eastAsia="Times New Roman" w:cs="Times New Roman"/>
          <w:szCs w:val="24"/>
        </w:rPr>
        <w:t xml:space="preserve">, S. (2024) ‘The mediating role of brand love in the relationship of brand trust and brand loyalty: A research on Starbucks as a brand’, </w:t>
      </w:r>
      <w:r w:rsidRPr="00CF3DDD">
        <w:rPr>
          <w:rFonts w:eastAsia="Times New Roman" w:cs="Times New Roman"/>
          <w:i/>
          <w:iCs/>
          <w:szCs w:val="24"/>
        </w:rPr>
        <w:t>Journal of Tourism &amp; Gastronomy Studies</w:t>
      </w:r>
      <w:r w:rsidRPr="00CF3DDD">
        <w:rPr>
          <w:rFonts w:eastAsia="Times New Roman" w:cs="Times New Roman"/>
          <w:szCs w:val="24"/>
        </w:rPr>
        <w:t>, (issue?), pp. relevant pages.</w:t>
      </w:r>
    </w:p>
    <w:p w14:paraId="5A99CC5B" w14:textId="77777777" w:rsidR="00737F6E" w:rsidRPr="00CF3DDD" w:rsidRDefault="00737F6E"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Mustafa, K., Ahmad, F., Qaisar, M.N., Zada, S., Jamil, S., </w:t>
      </w:r>
      <w:proofErr w:type="spellStart"/>
      <w:r w:rsidRPr="00CF3DDD">
        <w:rPr>
          <w:rFonts w:eastAsia="Times New Roman" w:cs="Times New Roman"/>
          <w:szCs w:val="24"/>
        </w:rPr>
        <w:t>Anwer</w:t>
      </w:r>
      <w:proofErr w:type="spellEnd"/>
      <w:r w:rsidRPr="00CF3DDD">
        <w:rPr>
          <w:rFonts w:eastAsia="Times New Roman" w:cs="Times New Roman"/>
          <w:szCs w:val="24"/>
        </w:rPr>
        <w:t xml:space="preserve">, N., Khawaja, K.F., et al. (2022) ‘Brand Love: Role of Online Customer Experience, Value Co-creation, and Relationship Quality’, </w:t>
      </w:r>
      <w:r w:rsidRPr="00CF3DDD">
        <w:rPr>
          <w:rFonts w:eastAsia="Times New Roman" w:cs="Times New Roman"/>
          <w:i/>
          <w:iCs/>
          <w:szCs w:val="24"/>
        </w:rPr>
        <w:t>Frontiers in Psychology</w:t>
      </w:r>
      <w:r w:rsidRPr="00CF3DDD">
        <w:rPr>
          <w:rFonts w:eastAsia="Times New Roman" w:cs="Times New Roman"/>
          <w:szCs w:val="24"/>
        </w:rPr>
        <w:t>, 13, article 897933. doi:10.3389/fpsyg.2022.897933.</w:t>
      </w:r>
    </w:p>
    <w:p w14:paraId="5941AD47" w14:textId="77777777" w:rsidR="00737F6E" w:rsidRPr="00CF3DDD" w:rsidRDefault="00737F6E"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lastRenderedPageBreak/>
        <w:t xml:space="preserve">Kazmi, S.H.A. &amp; </w:t>
      </w:r>
      <w:proofErr w:type="spellStart"/>
      <w:r w:rsidRPr="00CF3DDD">
        <w:rPr>
          <w:rFonts w:eastAsia="Times New Roman" w:cs="Times New Roman"/>
          <w:szCs w:val="24"/>
        </w:rPr>
        <w:t>Khalique</w:t>
      </w:r>
      <w:proofErr w:type="spellEnd"/>
      <w:r w:rsidRPr="00CF3DDD">
        <w:rPr>
          <w:rFonts w:eastAsia="Times New Roman" w:cs="Times New Roman"/>
          <w:szCs w:val="24"/>
        </w:rPr>
        <w:t xml:space="preserve">, M. (2022) ‘Effect of brand experiences on brand loyalty mediated by brand love: the moderated mediation role of brand trust’, </w:t>
      </w:r>
      <w:r w:rsidRPr="00CF3DDD">
        <w:rPr>
          <w:rFonts w:eastAsia="Times New Roman" w:cs="Times New Roman"/>
          <w:i/>
          <w:iCs/>
          <w:szCs w:val="24"/>
        </w:rPr>
        <w:t>Asia Pacific Journal of Marketing and Logistics</w:t>
      </w:r>
      <w:r w:rsidRPr="00CF3DDD">
        <w:rPr>
          <w:rFonts w:eastAsia="Times New Roman" w:cs="Times New Roman"/>
          <w:szCs w:val="24"/>
        </w:rPr>
        <w:t>, (ahead-of-print).</w:t>
      </w:r>
    </w:p>
    <w:p w14:paraId="47A15E0D" w14:textId="77777777" w:rsidR="00737F6E" w:rsidRPr="00CF3DDD" w:rsidRDefault="00737F6E"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Pourazada</w:t>
      </w:r>
      <w:proofErr w:type="spellEnd"/>
      <w:r w:rsidRPr="00CF3DDD">
        <w:rPr>
          <w:rFonts w:eastAsia="Times New Roman" w:cs="Times New Roman"/>
          <w:szCs w:val="24"/>
        </w:rPr>
        <w:t xml:space="preserve">, N., </w:t>
      </w:r>
      <w:proofErr w:type="spellStart"/>
      <w:r w:rsidRPr="00CF3DDD">
        <w:rPr>
          <w:rFonts w:eastAsia="Times New Roman" w:cs="Times New Roman"/>
          <w:szCs w:val="24"/>
        </w:rPr>
        <w:t>Stocchi</w:t>
      </w:r>
      <w:proofErr w:type="spellEnd"/>
      <w:r w:rsidRPr="00CF3DDD">
        <w:rPr>
          <w:rFonts w:eastAsia="Times New Roman" w:cs="Times New Roman"/>
          <w:szCs w:val="24"/>
        </w:rPr>
        <w:t xml:space="preserve">, L., </w:t>
      </w:r>
      <w:proofErr w:type="spellStart"/>
      <w:r w:rsidRPr="00CF3DDD">
        <w:rPr>
          <w:rFonts w:eastAsia="Times New Roman" w:cs="Times New Roman"/>
          <w:szCs w:val="24"/>
        </w:rPr>
        <w:t>Michaelidou</w:t>
      </w:r>
      <w:proofErr w:type="spellEnd"/>
      <w:r w:rsidRPr="00CF3DDD">
        <w:rPr>
          <w:rFonts w:eastAsia="Times New Roman" w:cs="Times New Roman"/>
          <w:szCs w:val="24"/>
        </w:rPr>
        <w:t xml:space="preserve">, N. &amp; </w:t>
      </w:r>
      <w:proofErr w:type="spellStart"/>
      <w:r w:rsidRPr="00CF3DDD">
        <w:rPr>
          <w:rFonts w:eastAsia="Times New Roman" w:cs="Times New Roman"/>
          <w:szCs w:val="24"/>
        </w:rPr>
        <w:t>Pera</w:t>
      </w:r>
      <w:proofErr w:type="spellEnd"/>
      <w:r w:rsidRPr="00CF3DDD">
        <w:rPr>
          <w:rFonts w:eastAsia="Times New Roman" w:cs="Times New Roman"/>
          <w:szCs w:val="24"/>
        </w:rPr>
        <w:t xml:space="preserve">, V. (2024) ‘What (really) drives consumer love for traditional luxury brands? The joint effects of brand qualities on brand love’, </w:t>
      </w:r>
      <w:r w:rsidRPr="00CF3DDD">
        <w:rPr>
          <w:rFonts w:eastAsia="Times New Roman" w:cs="Times New Roman"/>
          <w:i/>
          <w:iCs/>
          <w:szCs w:val="24"/>
        </w:rPr>
        <w:t>Journal of Strategic Marketing</w:t>
      </w:r>
      <w:r w:rsidRPr="00CF3DDD">
        <w:rPr>
          <w:rFonts w:eastAsia="Times New Roman" w:cs="Times New Roman"/>
          <w:szCs w:val="24"/>
        </w:rPr>
        <w:t>, 32(4), pp. 422-446. doi:10.1080/0965254X.2023.2236615. (</w:t>
      </w:r>
      <w:hyperlink r:id="rId16" w:tooltip="Full article: What (really) drives consumer love for traditional luxury brands? The joint effects of brand qualities on brand love" w:history="1">
        <w:r w:rsidRPr="00CF3DDD">
          <w:rPr>
            <w:rStyle w:val="Hyperlink"/>
            <w:rFonts w:eastAsia="Times New Roman" w:cs="Times New Roman"/>
            <w:szCs w:val="24"/>
          </w:rPr>
          <w:t>Taylor &amp; Francis Online</w:t>
        </w:r>
      </w:hyperlink>
      <w:r w:rsidRPr="00CF3DDD">
        <w:rPr>
          <w:rFonts w:eastAsia="Times New Roman" w:cs="Times New Roman"/>
          <w:szCs w:val="24"/>
        </w:rPr>
        <w:t>)</w:t>
      </w:r>
    </w:p>
    <w:p w14:paraId="14A1E9B9" w14:textId="77777777" w:rsidR="00737F6E" w:rsidRPr="00CF3DDD" w:rsidRDefault="00737F6E"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“Emotional support: how love for brands drives consideration”, </w:t>
      </w:r>
      <w:r w:rsidRPr="00CF3DDD">
        <w:rPr>
          <w:rFonts w:eastAsia="Times New Roman" w:cs="Times New Roman"/>
          <w:i/>
          <w:iCs/>
          <w:szCs w:val="24"/>
        </w:rPr>
        <w:t>Brand Finance UK 250 2025 Report</w:t>
      </w:r>
      <w:r w:rsidRPr="00CF3DDD">
        <w:rPr>
          <w:rFonts w:eastAsia="Times New Roman" w:cs="Times New Roman"/>
          <w:szCs w:val="24"/>
        </w:rPr>
        <w:t xml:space="preserve"> (2025). Available at: </w:t>
      </w:r>
      <w:hyperlink r:id="rId17" w:history="1">
        <w:r w:rsidRPr="00CF3DDD">
          <w:rPr>
            <w:rStyle w:val="Hyperlink"/>
            <w:rFonts w:eastAsia="Times New Roman" w:cs="Times New Roman"/>
            <w:szCs w:val="24"/>
          </w:rPr>
          <w:t>https://brandfinance.com/insights/emotional-support-how-love-for-brands-drives-consideration</w:t>
        </w:r>
      </w:hyperlink>
      <w:r w:rsidRPr="00CF3DDD">
        <w:rPr>
          <w:rFonts w:eastAsia="Times New Roman" w:cs="Times New Roman"/>
          <w:szCs w:val="24"/>
        </w:rPr>
        <w:t xml:space="preserve"> </w:t>
      </w:r>
    </w:p>
    <w:p w14:paraId="22901F3F" w14:textId="77777777" w:rsidR="00737F6E" w:rsidRPr="00CF3DDD" w:rsidRDefault="00737F6E"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The UK’s Most Loved FMCG Brands 2023 – </w:t>
      </w:r>
      <w:proofErr w:type="spellStart"/>
      <w:r w:rsidRPr="00CF3DDD">
        <w:rPr>
          <w:rFonts w:eastAsia="Times New Roman" w:cs="Times New Roman"/>
          <w:szCs w:val="24"/>
        </w:rPr>
        <w:t>Savanta</w:t>
      </w:r>
      <w:proofErr w:type="spellEnd"/>
      <w:r w:rsidRPr="00CF3DDD">
        <w:rPr>
          <w:rFonts w:eastAsia="Times New Roman" w:cs="Times New Roman"/>
          <w:szCs w:val="24"/>
        </w:rPr>
        <w:t xml:space="preserve"> </w:t>
      </w:r>
      <w:proofErr w:type="spellStart"/>
      <w:r w:rsidRPr="00CF3DDD">
        <w:rPr>
          <w:rFonts w:eastAsia="Times New Roman" w:cs="Times New Roman"/>
          <w:szCs w:val="24"/>
        </w:rPr>
        <w:t>BrandVue</w:t>
      </w:r>
      <w:proofErr w:type="spellEnd"/>
      <w:r w:rsidRPr="00CF3DDD">
        <w:rPr>
          <w:rFonts w:eastAsia="Times New Roman" w:cs="Times New Roman"/>
          <w:szCs w:val="24"/>
        </w:rPr>
        <w:t xml:space="preserve"> Report (2023). Available at: </w:t>
      </w:r>
    </w:p>
    <w:p w14:paraId="0E0B80D7" w14:textId="77777777" w:rsidR="00737F6E" w:rsidRPr="00CF3DDD" w:rsidRDefault="00737F6E"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t>Azin</w:t>
      </w:r>
      <w:proofErr w:type="spellEnd"/>
      <w:r w:rsidRPr="00CF3DDD">
        <w:rPr>
          <w:rFonts w:eastAsia="Times New Roman" w:cs="Times New Roman"/>
          <w:szCs w:val="24"/>
        </w:rPr>
        <w:t xml:space="preserve"> </w:t>
      </w:r>
      <w:proofErr w:type="spellStart"/>
      <w:r w:rsidRPr="00CF3DDD">
        <w:rPr>
          <w:rFonts w:eastAsia="Times New Roman" w:cs="Times New Roman"/>
          <w:szCs w:val="24"/>
        </w:rPr>
        <w:t>Yazdi</w:t>
      </w:r>
      <w:proofErr w:type="spellEnd"/>
      <w:r w:rsidRPr="00CF3DDD">
        <w:rPr>
          <w:rFonts w:eastAsia="Times New Roman" w:cs="Times New Roman"/>
          <w:szCs w:val="24"/>
        </w:rPr>
        <w:t xml:space="preserve">, Sunder Ramachandran, </w:t>
      </w:r>
      <w:proofErr w:type="spellStart"/>
      <w:r w:rsidRPr="00CF3DDD">
        <w:rPr>
          <w:rFonts w:eastAsia="Times New Roman" w:cs="Times New Roman"/>
          <w:szCs w:val="24"/>
        </w:rPr>
        <w:t>Hoda</w:t>
      </w:r>
      <w:proofErr w:type="spellEnd"/>
      <w:r w:rsidRPr="00CF3DDD">
        <w:rPr>
          <w:rFonts w:eastAsia="Times New Roman" w:cs="Times New Roman"/>
          <w:szCs w:val="24"/>
        </w:rPr>
        <w:t xml:space="preserve"> </w:t>
      </w:r>
      <w:proofErr w:type="spellStart"/>
      <w:r w:rsidRPr="00CF3DDD">
        <w:rPr>
          <w:rFonts w:eastAsia="Times New Roman" w:cs="Times New Roman"/>
          <w:szCs w:val="24"/>
        </w:rPr>
        <w:t>Mohsenifard</w:t>
      </w:r>
      <w:proofErr w:type="spellEnd"/>
      <w:r w:rsidRPr="00CF3DDD">
        <w:rPr>
          <w:rFonts w:eastAsia="Times New Roman" w:cs="Times New Roman"/>
          <w:szCs w:val="24"/>
        </w:rPr>
        <w:t xml:space="preserve">, Khaled </w:t>
      </w:r>
      <w:proofErr w:type="spellStart"/>
      <w:r w:rsidRPr="00CF3DDD">
        <w:rPr>
          <w:rFonts w:eastAsia="Times New Roman" w:cs="Times New Roman"/>
          <w:szCs w:val="24"/>
        </w:rPr>
        <w:t>Nawaser</w:t>
      </w:r>
      <w:proofErr w:type="spellEnd"/>
      <w:r w:rsidRPr="00CF3DDD">
        <w:rPr>
          <w:rFonts w:eastAsia="Times New Roman" w:cs="Times New Roman"/>
          <w:szCs w:val="24"/>
        </w:rPr>
        <w:t xml:space="preserve">, Faraz </w:t>
      </w:r>
      <w:proofErr w:type="spellStart"/>
      <w:r w:rsidRPr="00CF3DDD">
        <w:rPr>
          <w:rFonts w:eastAsia="Times New Roman" w:cs="Times New Roman"/>
          <w:szCs w:val="24"/>
        </w:rPr>
        <w:t>Sasani</w:t>
      </w:r>
      <w:proofErr w:type="spellEnd"/>
      <w:r w:rsidRPr="00CF3DDD">
        <w:rPr>
          <w:rFonts w:eastAsia="Times New Roman" w:cs="Times New Roman"/>
          <w:szCs w:val="24"/>
        </w:rPr>
        <w:t xml:space="preserve"> &amp; </w:t>
      </w:r>
      <w:proofErr w:type="spellStart"/>
      <w:r w:rsidRPr="00CF3DDD">
        <w:rPr>
          <w:rFonts w:eastAsia="Times New Roman" w:cs="Times New Roman"/>
          <w:szCs w:val="24"/>
        </w:rPr>
        <w:t>Behrooz</w:t>
      </w:r>
      <w:proofErr w:type="spellEnd"/>
      <w:r w:rsidRPr="00CF3DDD">
        <w:rPr>
          <w:rFonts w:eastAsia="Times New Roman" w:cs="Times New Roman"/>
          <w:szCs w:val="24"/>
        </w:rPr>
        <w:t xml:space="preserve"> </w:t>
      </w:r>
      <w:proofErr w:type="spellStart"/>
      <w:r w:rsidRPr="00CF3DDD">
        <w:rPr>
          <w:rFonts w:eastAsia="Times New Roman" w:cs="Times New Roman"/>
          <w:szCs w:val="24"/>
        </w:rPr>
        <w:t>Gharleghi</w:t>
      </w:r>
      <w:proofErr w:type="spellEnd"/>
      <w:r w:rsidRPr="00CF3DDD">
        <w:rPr>
          <w:rFonts w:eastAsia="Times New Roman" w:cs="Times New Roman"/>
          <w:szCs w:val="24"/>
        </w:rPr>
        <w:t xml:space="preserve"> (2024) ‘The Ebb and Flow of Brand Loyalty: A 28-Year Bibliometric and Content Analysis’, </w:t>
      </w:r>
      <w:proofErr w:type="spellStart"/>
      <w:r w:rsidRPr="00CF3DDD">
        <w:rPr>
          <w:rFonts w:eastAsia="Times New Roman" w:cs="Times New Roman"/>
          <w:i/>
          <w:iCs/>
          <w:szCs w:val="24"/>
        </w:rPr>
        <w:t>arXiv</w:t>
      </w:r>
      <w:proofErr w:type="spellEnd"/>
      <w:r w:rsidRPr="00CF3DDD">
        <w:rPr>
          <w:rFonts w:eastAsia="Times New Roman" w:cs="Times New Roman"/>
          <w:i/>
          <w:iCs/>
          <w:szCs w:val="24"/>
        </w:rPr>
        <w:t xml:space="preserve"> preprint</w:t>
      </w:r>
      <w:r w:rsidRPr="00CF3DDD">
        <w:rPr>
          <w:rFonts w:eastAsia="Times New Roman" w:cs="Times New Roman"/>
          <w:szCs w:val="24"/>
        </w:rPr>
        <w:t xml:space="preserve"> arXiv:2402.13177. </w:t>
      </w:r>
    </w:p>
    <w:p w14:paraId="6A5A807C" w14:textId="77777777" w:rsidR="00737F6E" w:rsidRPr="00CF3DDD" w:rsidRDefault="00737F6E"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Kwasi Oppong, P., Owusu, J., Owusu Ansah, W. &amp; Mensah, J. (2023) ‘Brand Image and </w:t>
      </w:r>
      <w:proofErr w:type="spellStart"/>
      <w:r w:rsidRPr="00CF3DDD">
        <w:rPr>
          <w:rFonts w:eastAsia="Times New Roman" w:cs="Times New Roman"/>
          <w:szCs w:val="24"/>
        </w:rPr>
        <w:t>Behavioural</w:t>
      </w:r>
      <w:proofErr w:type="spellEnd"/>
      <w:r w:rsidRPr="00CF3DDD">
        <w:rPr>
          <w:rFonts w:eastAsia="Times New Roman" w:cs="Times New Roman"/>
          <w:szCs w:val="24"/>
        </w:rPr>
        <w:t xml:space="preserve"> Intentions: Mediating Role of Brand Equity and Brand Trust in the Herbal Industry’, </w:t>
      </w:r>
      <w:r w:rsidRPr="00CF3DDD">
        <w:rPr>
          <w:rFonts w:eastAsia="Times New Roman" w:cs="Times New Roman"/>
          <w:i/>
          <w:iCs/>
          <w:szCs w:val="24"/>
        </w:rPr>
        <w:t>African Journal of Business and Economic Research</w:t>
      </w:r>
      <w:r w:rsidRPr="00CF3DDD">
        <w:rPr>
          <w:rFonts w:eastAsia="Times New Roman" w:cs="Times New Roman"/>
          <w:szCs w:val="24"/>
        </w:rPr>
        <w:t>, 18(4)</w:t>
      </w:r>
      <w:r w:rsidR="00E33843" w:rsidRPr="00CF3DDD">
        <w:rPr>
          <w:rFonts w:eastAsia="Times New Roman" w:cs="Times New Roman"/>
          <w:szCs w:val="24"/>
        </w:rPr>
        <w:t>.</w:t>
      </w:r>
    </w:p>
    <w:p w14:paraId="2D0000B8" w14:textId="77777777" w:rsidR="00EA3C7E" w:rsidRPr="00CF3DDD" w:rsidRDefault="00EA3C7E"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Mustafa, K., Ahmad, F., Qaisar, M.N., Zada, S., Jamil, S., </w:t>
      </w:r>
      <w:proofErr w:type="spellStart"/>
      <w:r w:rsidRPr="00CF3DDD">
        <w:rPr>
          <w:rFonts w:eastAsia="Times New Roman" w:cs="Times New Roman"/>
          <w:szCs w:val="24"/>
        </w:rPr>
        <w:t>Anwer</w:t>
      </w:r>
      <w:proofErr w:type="spellEnd"/>
      <w:r w:rsidRPr="00CF3DDD">
        <w:rPr>
          <w:rFonts w:eastAsia="Times New Roman" w:cs="Times New Roman"/>
          <w:szCs w:val="24"/>
        </w:rPr>
        <w:t xml:space="preserve">, N., Khawaja, K.F., Contreras-Barraza, N., Hamid, A.R. and Mariam, S. (2022) ‘Brand Love: Role of Online Customer Experience, Value Co-creation, and Relationship Quality’, </w:t>
      </w:r>
      <w:r w:rsidRPr="00CF3DDD">
        <w:rPr>
          <w:rFonts w:eastAsia="Times New Roman" w:cs="Times New Roman"/>
          <w:i/>
          <w:iCs/>
          <w:szCs w:val="24"/>
        </w:rPr>
        <w:t>Frontiers in Psychology</w:t>
      </w:r>
      <w:r w:rsidRPr="00CF3DDD">
        <w:rPr>
          <w:rFonts w:eastAsia="Times New Roman" w:cs="Times New Roman"/>
          <w:szCs w:val="24"/>
        </w:rPr>
        <w:t>, 13, article 897933. doi:10.3389/fpsyg.2022.897933.</w:t>
      </w:r>
    </w:p>
    <w:p w14:paraId="74286D5B" w14:textId="77777777" w:rsidR="00EA3C7E" w:rsidRPr="00CF3DDD" w:rsidRDefault="00EA3C7E" w:rsidP="00CF3DDD">
      <w:pPr>
        <w:spacing w:before="100" w:beforeAutospacing="1" w:after="100" w:afterAutospacing="1" w:line="360" w:lineRule="auto"/>
        <w:rPr>
          <w:rFonts w:eastAsia="Times New Roman" w:cs="Times New Roman"/>
          <w:szCs w:val="24"/>
        </w:rPr>
      </w:pPr>
      <w:r w:rsidRPr="00CF3DDD">
        <w:rPr>
          <w:rFonts w:cs="Times New Roman"/>
        </w:rPr>
        <w:t xml:space="preserve">Khairul </w:t>
      </w:r>
      <w:proofErr w:type="spellStart"/>
      <w:r w:rsidRPr="00CF3DDD">
        <w:rPr>
          <w:rFonts w:cs="Times New Roman"/>
        </w:rPr>
        <w:t>Anuar</w:t>
      </w:r>
      <w:proofErr w:type="spellEnd"/>
      <w:r w:rsidRPr="00CF3DDD">
        <w:rPr>
          <w:rFonts w:cs="Times New Roman"/>
        </w:rPr>
        <w:t xml:space="preserve"> </w:t>
      </w:r>
      <w:proofErr w:type="spellStart"/>
      <w:r w:rsidRPr="00CF3DDD">
        <w:rPr>
          <w:rFonts w:cs="Times New Roman"/>
        </w:rPr>
        <w:t>Mohd</w:t>
      </w:r>
      <w:proofErr w:type="spellEnd"/>
      <w:r w:rsidRPr="00CF3DDD">
        <w:rPr>
          <w:rFonts w:cs="Times New Roman"/>
        </w:rPr>
        <w:t xml:space="preserve"> Ali, A., et al. (2023) ‘The Mediating Role of Brand Trust and Brand Love between Brand Experience and Loyalty: A Study on Smartphones in China’, </w:t>
      </w:r>
      <w:proofErr w:type="spellStart"/>
      <w:r w:rsidRPr="00CF3DDD">
        <w:rPr>
          <w:rFonts w:cs="Times New Roman"/>
        </w:rPr>
        <w:t>Behavioural</w:t>
      </w:r>
      <w:proofErr w:type="spellEnd"/>
      <w:r w:rsidRPr="00CF3DDD">
        <w:rPr>
          <w:rFonts w:cs="Times New Roman"/>
        </w:rPr>
        <w:t xml:space="preserve"> Sciences, 13(6), article 502. doi:10.3390/bs13060502.</w:t>
      </w:r>
    </w:p>
    <w:p w14:paraId="4DF82615" w14:textId="77777777" w:rsidR="00EA3C7E" w:rsidRPr="00CF3DDD" w:rsidRDefault="00EA3C7E"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Kim, K.-M., Nobi, B. and Kim, T. (2020) ‘CSR and Brand Resonance: The Mediating Role of Brand Love and Involvement’, </w:t>
      </w:r>
      <w:r w:rsidRPr="00CF3DDD">
        <w:rPr>
          <w:rFonts w:eastAsia="Times New Roman" w:cs="Times New Roman"/>
          <w:i/>
          <w:iCs/>
          <w:szCs w:val="24"/>
        </w:rPr>
        <w:t>Sustainability</w:t>
      </w:r>
      <w:r w:rsidRPr="00CF3DDD">
        <w:rPr>
          <w:rFonts w:eastAsia="Times New Roman" w:cs="Times New Roman"/>
          <w:szCs w:val="24"/>
        </w:rPr>
        <w:t>, 12(10), article 4159. doi:10.3390/su12104159.</w:t>
      </w:r>
    </w:p>
    <w:p w14:paraId="43D9CE5E" w14:textId="77777777" w:rsidR="00EA3C7E" w:rsidRPr="00CF3DDD" w:rsidRDefault="00EA3C7E" w:rsidP="00CF3DDD">
      <w:pPr>
        <w:spacing w:before="100" w:beforeAutospacing="1" w:after="100" w:afterAutospacing="1" w:line="360" w:lineRule="auto"/>
        <w:rPr>
          <w:rFonts w:eastAsia="Times New Roman" w:cs="Times New Roman"/>
          <w:szCs w:val="24"/>
        </w:rPr>
      </w:pPr>
      <w:proofErr w:type="spellStart"/>
      <w:r w:rsidRPr="00CF3DDD">
        <w:rPr>
          <w:rFonts w:eastAsia="Times New Roman" w:cs="Times New Roman"/>
          <w:szCs w:val="24"/>
        </w:rPr>
        <w:lastRenderedPageBreak/>
        <w:t>Kalyoncuoğlu</w:t>
      </w:r>
      <w:proofErr w:type="spellEnd"/>
      <w:r w:rsidRPr="00CF3DDD">
        <w:rPr>
          <w:rFonts w:eastAsia="Times New Roman" w:cs="Times New Roman"/>
          <w:szCs w:val="24"/>
        </w:rPr>
        <w:t xml:space="preserve">, S. (2023) ‘The Mediating Role of Brand Love in the Relationship of Brand Trust and Brand Loyalty: A Research on Starbucks as a Brand’, </w:t>
      </w:r>
      <w:r w:rsidRPr="00CF3DDD">
        <w:rPr>
          <w:rFonts w:eastAsia="Times New Roman" w:cs="Times New Roman"/>
          <w:i/>
          <w:iCs/>
          <w:szCs w:val="24"/>
        </w:rPr>
        <w:t>Journal of Tourism &amp; Gastronomy Studies</w:t>
      </w:r>
      <w:r w:rsidRPr="00CF3DDD">
        <w:rPr>
          <w:rFonts w:eastAsia="Times New Roman" w:cs="Times New Roman"/>
          <w:szCs w:val="24"/>
        </w:rPr>
        <w:t>, 5(4), pp. 383-402.</w:t>
      </w:r>
    </w:p>
    <w:p w14:paraId="15CEC4B7" w14:textId="77777777" w:rsidR="00EA3C7E" w:rsidRPr="00CF3DDD" w:rsidRDefault="00EA3C7E" w:rsidP="00CF3DDD">
      <w:pPr>
        <w:spacing w:before="100" w:beforeAutospacing="1" w:after="100" w:afterAutospacing="1" w:line="360" w:lineRule="auto"/>
        <w:rPr>
          <w:rFonts w:eastAsia="Times New Roman" w:cs="Times New Roman"/>
          <w:szCs w:val="24"/>
        </w:rPr>
      </w:pPr>
      <w:proofErr w:type="spellStart"/>
      <w:r w:rsidRPr="00CF3DDD">
        <w:rPr>
          <w:rFonts w:cs="Times New Roman"/>
        </w:rPr>
        <w:t>Pangestu</w:t>
      </w:r>
      <w:proofErr w:type="spellEnd"/>
      <w:r w:rsidRPr="00CF3DDD">
        <w:rPr>
          <w:rFonts w:cs="Times New Roman"/>
        </w:rPr>
        <w:t xml:space="preserve">, Y.K., and </w:t>
      </w:r>
      <w:proofErr w:type="spellStart"/>
      <w:r w:rsidRPr="00CF3DDD">
        <w:rPr>
          <w:rFonts w:cs="Times New Roman"/>
        </w:rPr>
        <w:t>Kuswati</w:t>
      </w:r>
      <w:proofErr w:type="spellEnd"/>
      <w:r w:rsidRPr="00CF3DDD">
        <w:rPr>
          <w:rFonts w:cs="Times New Roman"/>
        </w:rPr>
        <w:t xml:space="preserve">, R. (2024) ‘The Role of Green Brand Love in Mediating Reliability, Attractiveness, and Informativeness toward Green Customer Citizenship </w:t>
      </w:r>
      <w:proofErr w:type="spellStart"/>
      <w:r w:rsidRPr="00CF3DDD">
        <w:rPr>
          <w:rFonts w:cs="Times New Roman"/>
        </w:rPr>
        <w:t>Behaviour</w:t>
      </w:r>
      <w:proofErr w:type="spellEnd"/>
      <w:r w:rsidRPr="00CF3DDD">
        <w:rPr>
          <w:rFonts w:cs="Times New Roman"/>
        </w:rPr>
        <w:t>’, Indonesian Interdisciplinary Journal of Sharia Economics, 7(2), pp. 3398-3415. doi:10.31538/</w:t>
      </w:r>
      <w:proofErr w:type="gramStart"/>
      <w:r w:rsidRPr="00CF3DDD">
        <w:rPr>
          <w:rFonts w:cs="Times New Roman"/>
        </w:rPr>
        <w:t>iijse.v</w:t>
      </w:r>
      <w:proofErr w:type="gramEnd"/>
      <w:r w:rsidRPr="00CF3DDD">
        <w:rPr>
          <w:rFonts w:cs="Times New Roman"/>
        </w:rPr>
        <w:t xml:space="preserve">7i2.5020. </w:t>
      </w:r>
    </w:p>
    <w:p w14:paraId="385D6EC8" w14:textId="77777777" w:rsidR="00EA3C7E" w:rsidRPr="00CF3DDD" w:rsidRDefault="00EA3C7E"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What Really Drives Loyalty in the Fast-Moving Consumer Goods Market? </w:t>
      </w:r>
      <w:proofErr w:type="spellStart"/>
      <w:r w:rsidRPr="00CF3DDD">
        <w:rPr>
          <w:rFonts w:eastAsia="Times New Roman" w:cs="Times New Roman"/>
          <w:szCs w:val="24"/>
        </w:rPr>
        <w:t>Morkūnas</w:t>
      </w:r>
      <w:proofErr w:type="spellEnd"/>
      <w:r w:rsidRPr="00CF3DDD">
        <w:rPr>
          <w:rFonts w:eastAsia="Times New Roman" w:cs="Times New Roman"/>
          <w:szCs w:val="24"/>
        </w:rPr>
        <w:t xml:space="preserve">, M., </w:t>
      </w:r>
      <w:proofErr w:type="spellStart"/>
      <w:r w:rsidRPr="00CF3DDD">
        <w:rPr>
          <w:rFonts w:eastAsia="Times New Roman" w:cs="Times New Roman"/>
          <w:szCs w:val="24"/>
        </w:rPr>
        <w:t>Grišmanauskaite</w:t>
      </w:r>
      <w:proofErr w:type="spellEnd"/>
      <w:r w:rsidRPr="00CF3DDD">
        <w:rPr>
          <w:rFonts w:eastAsia="Times New Roman" w:cs="Times New Roman"/>
          <w:szCs w:val="24"/>
        </w:rPr>
        <w:t xml:space="preserve">, M.K. (2023) </w:t>
      </w:r>
      <w:r w:rsidRPr="00CF3DDD">
        <w:rPr>
          <w:rFonts w:eastAsia="Times New Roman" w:cs="Times New Roman"/>
          <w:i/>
          <w:iCs/>
          <w:szCs w:val="24"/>
        </w:rPr>
        <w:t>Journal Article (SAGE)</w:t>
      </w:r>
      <w:r w:rsidRPr="00CF3DDD">
        <w:rPr>
          <w:rFonts w:eastAsia="Times New Roman" w:cs="Times New Roman"/>
          <w:szCs w:val="24"/>
        </w:rPr>
        <w:t xml:space="preserve">. </w:t>
      </w:r>
    </w:p>
    <w:p w14:paraId="736FC160" w14:textId="77777777" w:rsidR="00EA3C7E" w:rsidRPr="00CF3DDD" w:rsidRDefault="00EA3C7E"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Linking Marketing Positioning and Consumer Brand Loyalty: The Mediating Effect of Price Perception - Md Perves Hira, </w:t>
      </w:r>
      <w:proofErr w:type="spellStart"/>
      <w:r w:rsidRPr="00CF3DDD">
        <w:rPr>
          <w:rFonts w:eastAsia="Times New Roman" w:cs="Times New Roman"/>
          <w:szCs w:val="24"/>
        </w:rPr>
        <w:t>Aznita</w:t>
      </w:r>
      <w:proofErr w:type="spellEnd"/>
      <w:r w:rsidRPr="00CF3DDD">
        <w:rPr>
          <w:rFonts w:eastAsia="Times New Roman" w:cs="Times New Roman"/>
          <w:szCs w:val="24"/>
        </w:rPr>
        <w:t xml:space="preserve"> Ahmad, Siti </w:t>
      </w:r>
      <w:proofErr w:type="spellStart"/>
      <w:r w:rsidRPr="00CF3DDD">
        <w:rPr>
          <w:rFonts w:eastAsia="Times New Roman" w:cs="Times New Roman"/>
          <w:szCs w:val="24"/>
        </w:rPr>
        <w:t>Nurhazirah</w:t>
      </w:r>
      <w:proofErr w:type="spellEnd"/>
      <w:r w:rsidRPr="00CF3DDD">
        <w:rPr>
          <w:rFonts w:eastAsia="Times New Roman" w:cs="Times New Roman"/>
          <w:szCs w:val="24"/>
        </w:rPr>
        <w:t xml:space="preserve"> </w:t>
      </w:r>
      <w:proofErr w:type="spellStart"/>
      <w:r w:rsidRPr="00CF3DDD">
        <w:rPr>
          <w:rFonts w:eastAsia="Times New Roman" w:cs="Times New Roman"/>
          <w:szCs w:val="24"/>
        </w:rPr>
        <w:t>Ashari</w:t>
      </w:r>
      <w:proofErr w:type="spellEnd"/>
      <w:r w:rsidRPr="00CF3DDD">
        <w:rPr>
          <w:rFonts w:eastAsia="Times New Roman" w:cs="Times New Roman"/>
          <w:szCs w:val="24"/>
        </w:rPr>
        <w:t xml:space="preserve"> (2025) </w:t>
      </w:r>
      <w:r w:rsidRPr="00CF3DDD">
        <w:rPr>
          <w:rFonts w:eastAsia="Times New Roman" w:cs="Times New Roman"/>
          <w:i/>
          <w:iCs/>
          <w:szCs w:val="24"/>
        </w:rPr>
        <w:t>International Journal of Academic Research in Business and Social Sciences</w:t>
      </w:r>
      <w:r w:rsidRPr="00CF3DDD">
        <w:rPr>
          <w:rFonts w:eastAsia="Times New Roman" w:cs="Times New Roman"/>
          <w:szCs w:val="24"/>
        </w:rPr>
        <w:t>, 15(1), pp. 144-155.</w:t>
      </w:r>
    </w:p>
    <w:p w14:paraId="215A6E19" w14:textId="77777777" w:rsidR="00EA3C7E" w:rsidRPr="00CF3DDD" w:rsidRDefault="00EA3C7E"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Brand Extension Strategies and Customer Loyalty: Empirical Evidence from Fast-Moving Consumer Goods Companies - </w:t>
      </w:r>
      <w:proofErr w:type="spellStart"/>
      <w:r w:rsidRPr="00CF3DDD">
        <w:rPr>
          <w:rFonts w:eastAsia="Times New Roman" w:cs="Times New Roman"/>
          <w:szCs w:val="24"/>
        </w:rPr>
        <w:t>Olaleye</w:t>
      </w:r>
      <w:proofErr w:type="spellEnd"/>
      <w:r w:rsidRPr="00CF3DDD">
        <w:rPr>
          <w:rFonts w:eastAsia="Times New Roman" w:cs="Times New Roman"/>
          <w:szCs w:val="24"/>
        </w:rPr>
        <w:t xml:space="preserve">, B.R., </w:t>
      </w:r>
      <w:proofErr w:type="spellStart"/>
      <w:r w:rsidRPr="00CF3DDD">
        <w:rPr>
          <w:rFonts w:eastAsia="Times New Roman" w:cs="Times New Roman"/>
          <w:szCs w:val="24"/>
        </w:rPr>
        <w:t>Sekhampu</w:t>
      </w:r>
      <w:proofErr w:type="spellEnd"/>
      <w:r w:rsidRPr="00CF3DDD">
        <w:rPr>
          <w:rFonts w:eastAsia="Times New Roman" w:cs="Times New Roman"/>
          <w:szCs w:val="24"/>
        </w:rPr>
        <w:t xml:space="preserve">, T.J., </w:t>
      </w:r>
      <w:proofErr w:type="spellStart"/>
      <w:r w:rsidRPr="00CF3DDD">
        <w:rPr>
          <w:rFonts w:eastAsia="Times New Roman" w:cs="Times New Roman"/>
          <w:szCs w:val="24"/>
        </w:rPr>
        <w:t>Lekunze</w:t>
      </w:r>
      <w:proofErr w:type="spellEnd"/>
      <w:r w:rsidRPr="00CF3DDD">
        <w:rPr>
          <w:rFonts w:eastAsia="Times New Roman" w:cs="Times New Roman"/>
          <w:szCs w:val="24"/>
        </w:rPr>
        <w:t xml:space="preserve">, J.N. &amp; Khumalo, N. (2025) </w:t>
      </w:r>
      <w:r w:rsidRPr="00CF3DDD">
        <w:rPr>
          <w:rFonts w:eastAsia="Times New Roman" w:cs="Times New Roman"/>
          <w:i/>
          <w:iCs/>
          <w:szCs w:val="24"/>
        </w:rPr>
        <w:t>International Management</w:t>
      </w:r>
      <w:r w:rsidRPr="00CF3DDD">
        <w:rPr>
          <w:rFonts w:eastAsia="Times New Roman" w:cs="Times New Roman"/>
          <w:szCs w:val="24"/>
        </w:rPr>
        <w:t>, 21(1), pp. 270-280. doi:10.21511/im.21(1).2025.22.</w:t>
      </w:r>
    </w:p>
    <w:p w14:paraId="253E700D" w14:textId="77777777" w:rsidR="00EA3C7E" w:rsidRPr="00CF3DDD" w:rsidRDefault="00EA3C7E"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Brand Love: Conceptual and Empirical Investigation of a Holistic Causal Model - </w:t>
      </w:r>
      <w:r w:rsidRPr="00CF3DDD">
        <w:rPr>
          <w:rFonts w:eastAsia="Times New Roman" w:cs="Times New Roman"/>
          <w:i/>
          <w:iCs/>
          <w:szCs w:val="24"/>
        </w:rPr>
        <w:t>Journal of Brand Management</w:t>
      </w:r>
      <w:r w:rsidRPr="00CF3DDD">
        <w:rPr>
          <w:rFonts w:eastAsia="Times New Roman" w:cs="Times New Roman"/>
          <w:szCs w:val="24"/>
        </w:rPr>
        <w:t xml:space="preserve">, 2021. </w:t>
      </w:r>
    </w:p>
    <w:p w14:paraId="675D7AB0" w14:textId="77777777" w:rsidR="00EA3C7E" w:rsidRPr="00CF3DDD" w:rsidRDefault="00EA3C7E" w:rsidP="00CF3DDD">
      <w:pPr>
        <w:spacing w:before="100" w:beforeAutospacing="1" w:after="100" w:afterAutospacing="1" w:line="360" w:lineRule="auto"/>
        <w:rPr>
          <w:rFonts w:eastAsia="Times New Roman" w:cs="Times New Roman"/>
          <w:szCs w:val="24"/>
        </w:rPr>
      </w:pPr>
      <w:r w:rsidRPr="00CF3DDD">
        <w:rPr>
          <w:rFonts w:eastAsia="Times New Roman" w:cs="Times New Roman"/>
          <w:szCs w:val="24"/>
        </w:rPr>
        <w:t xml:space="preserve">Effects of Brand Attributes on Word of Mouth: Mediating Role of Brand Trust and Brand Love - Ali, Jamshed &amp; Lodhi, </w:t>
      </w:r>
      <w:proofErr w:type="spellStart"/>
      <w:r w:rsidRPr="00CF3DDD">
        <w:rPr>
          <w:rFonts w:eastAsia="Times New Roman" w:cs="Times New Roman"/>
          <w:szCs w:val="24"/>
        </w:rPr>
        <w:t>Rab</w:t>
      </w:r>
      <w:proofErr w:type="spellEnd"/>
      <w:r w:rsidRPr="00CF3DDD">
        <w:rPr>
          <w:rFonts w:eastAsia="Times New Roman" w:cs="Times New Roman"/>
          <w:szCs w:val="24"/>
        </w:rPr>
        <w:t xml:space="preserve"> Nawaz &amp; Irfan, Muhammad &amp; Shahid, Tufail, Muhammad (2022) </w:t>
      </w:r>
      <w:r w:rsidRPr="00CF3DDD">
        <w:rPr>
          <w:rFonts w:eastAsia="Times New Roman" w:cs="Times New Roman"/>
          <w:i/>
          <w:iCs/>
          <w:szCs w:val="24"/>
        </w:rPr>
        <w:t>Journal of Policy Research (JPR)</w:t>
      </w:r>
      <w:r w:rsidRPr="00CF3DDD">
        <w:rPr>
          <w:rFonts w:eastAsia="Times New Roman" w:cs="Times New Roman"/>
          <w:szCs w:val="24"/>
        </w:rPr>
        <w:t xml:space="preserve">, 8(4), pp. 213-226. </w:t>
      </w:r>
    </w:p>
    <w:p w14:paraId="08389539" w14:textId="77777777" w:rsidR="00EA3C7E" w:rsidRPr="00CF3DDD" w:rsidRDefault="00EA3C7E" w:rsidP="00CF3DDD">
      <w:pPr>
        <w:spacing w:before="100" w:beforeAutospacing="1" w:after="100" w:afterAutospacing="1" w:line="360" w:lineRule="auto"/>
        <w:rPr>
          <w:rFonts w:eastAsia="Times New Roman" w:cs="Times New Roman"/>
          <w:szCs w:val="24"/>
        </w:rPr>
      </w:pPr>
    </w:p>
    <w:p w14:paraId="7DC152AB" w14:textId="77777777" w:rsidR="00737F6E" w:rsidRPr="00CF3DDD" w:rsidRDefault="00737F6E" w:rsidP="00CF3DDD">
      <w:pPr>
        <w:spacing w:before="100" w:beforeAutospacing="1" w:after="100" w:afterAutospacing="1" w:line="360" w:lineRule="auto"/>
        <w:rPr>
          <w:rFonts w:eastAsia="Times New Roman" w:cs="Times New Roman"/>
          <w:szCs w:val="24"/>
        </w:rPr>
      </w:pPr>
    </w:p>
    <w:p w14:paraId="7C8D5557" w14:textId="77777777" w:rsidR="003B2D1C" w:rsidRPr="00CF3DDD" w:rsidRDefault="003B2D1C" w:rsidP="00CF3DDD">
      <w:pPr>
        <w:spacing w:before="100" w:beforeAutospacing="1" w:after="100" w:afterAutospacing="1" w:line="360" w:lineRule="auto"/>
        <w:rPr>
          <w:rFonts w:eastAsia="Times New Roman" w:cs="Times New Roman"/>
          <w:szCs w:val="24"/>
        </w:rPr>
      </w:pPr>
    </w:p>
    <w:p w14:paraId="550FE81C" w14:textId="77777777" w:rsidR="003B2D1C" w:rsidRPr="00CF3DDD" w:rsidRDefault="003B2D1C" w:rsidP="00CF3DDD">
      <w:pPr>
        <w:spacing w:before="100" w:beforeAutospacing="1" w:after="100" w:afterAutospacing="1" w:line="360" w:lineRule="auto"/>
        <w:rPr>
          <w:rFonts w:eastAsia="Times New Roman" w:cs="Times New Roman"/>
          <w:szCs w:val="24"/>
        </w:rPr>
      </w:pPr>
    </w:p>
    <w:p w14:paraId="5E485D9A" w14:textId="77777777" w:rsidR="003B2D1C" w:rsidRPr="00CF3DDD" w:rsidRDefault="003B2D1C" w:rsidP="00CF3DDD">
      <w:pPr>
        <w:spacing w:before="100" w:beforeAutospacing="1" w:after="100" w:afterAutospacing="1" w:line="360" w:lineRule="auto"/>
        <w:rPr>
          <w:rFonts w:eastAsia="Times New Roman" w:cs="Times New Roman"/>
          <w:szCs w:val="24"/>
        </w:rPr>
      </w:pPr>
    </w:p>
    <w:p w14:paraId="193BB836" w14:textId="77777777" w:rsidR="00A91291" w:rsidRPr="00CF3DDD" w:rsidRDefault="00A91291" w:rsidP="00CF3DDD">
      <w:pPr>
        <w:pStyle w:val="Heading2"/>
        <w:spacing w:line="360" w:lineRule="auto"/>
      </w:pPr>
      <w:r w:rsidRPr="00CF3DDD">
        <w:lastRenderedPageBreak/>
        <w:t>Appendix A: Research Questionnaire</w:t>
      </w:r>
    </w:p>
    <w:p w14:paraId="2316AC3C" w14:textId="77777777" w:rsidR="00A91291" w:rsidRPr="00CF3DDD" w:rsidRDefault="00A91291" w:rsidP="00CF3DDD">
      <w:pPr>
        <w:pStyle w:val="ListParagraph"/>
        <w:spacing w:line="360" w:lineRule="auto"/>
        <w:rPr>
          <w:rFonts w:cs="Times New Roman"/>
        </w:rPr>
      </w:pPr>
    </w:p>
    <w:p w14:paraId="37DA519D" w14:textId="77777777" w:rsidR="008E7CA3" w:rsidRPr="00CF3DDD" w:rsidRDefault="008E7CA3" w:rsidP="00CF3DDD">
      <w:pPr>
        <w:pStyle w:val="ListParagraph"/>
        <w:numPr>
          <w:ilvl w:val="0"/>
          <w:numId w:val="20"/>
        </w:numPr>
        <w:spacing w:line="360" w:lineRule="auto"/>
        <w:rPr>
          <w:rFonts w:cs="Times New Roman"/>
        </w:rPr>
      </w:pPr>
      <w:r w:rsidRPr="00CF3DDD">
        <w:rPr>
          <w:rFonts w:cs="Times New Roman"/>
        </w:rPr>
        <w:t>Age</w:t>
      </w:r>
    </w:p>
    <w:p w14:paraId="4D79C961" w14:textId="77777777" w:rsidR="008E7CA3" w:rsidRPr="00CF3DDD" w:rsidRDefault="008E7CA3" w:rsidP="00CF3DDD">
      <w:pPr>
        <w:pStyle w:val="ListParagraph"/>
        <w:numPr>
          <w:ilvl w:val="0"/>
          <w:numId w:val="20"/>
        </w:numPr>
        <w:spacing w:line="360" w:lineRule="auto"/>
        <w:rPr>
          <w:rFonts w:cs="Times New Roman"/>
        </w:rPr>
      </w:pPr>
      <w:r w:rsidRPr="00CF3DDD">
        <w:rPr>
          <w:rFonts w:cs="Times New Roman"/>
        </w:rPr>
        <w:t>Gender</w:t>
      </w:r>
    </w:p>
    <w:p w14:paraId="542F63CE" w14:textId="77777777" w:rsidR="008E7CA3" w:rsidRPr="00CF3DDD" w:rsidRDefault="008E7CA3" w:rsidP="00CF3DDD">
      <w:pPr>
        <w:pStyle w:val="ListParagraph"/>
        <w:numPr>
          <w:ilvl w:val="0"/>
          <w:numId w:val="20"/>
        </w:numPr>
        <w:spacing w:line="360" w:lineRule="auto"/>
        <w:rPr>
          <w:rFonts w:cs="Times New Roman"/>
        </w:rPr>
      </w:pPr>
      <w:r w:rsidRPr="00CF3DDD">
        <w:rPr>
          <w:rFonts w:cs="Times New Roman"/>
        </w:rPr>
        <w:t>Marital Status</w:t>
      </w:r>
    </w:p>
    <w:p w14:paraId="3914C04F" w14:textId="77777777" w:rsidR="008E7CA3" w:rsidRPr="00CF3DDD" w:rsidRDefault="008E7CA3" w:rsidP="00CF3DDD">
      <w:pPr>
        <w:pStyle w:val="ListParagraph"/>
        <w:numPr>
          <w:ilvl w:val="0"/>
          <w:numId w:val="20"/>
        </w:numPr>
        <w:spacing w:line="360" w:lineRule="auto"/>
        <w:rPr>
          <w:rFonts w:cs="Times New Roman"/>
        </w:rPr>
      </w:pPr>
      <w:r w:rsidRPr="00CF3DDD">
        <w:rPr>
          <w:rFonts w:cs="Times New Roman"/>
        </w:rPr>
        <w:t>Occupation</w:t>
      </w:r>
    </w:p>
    <w:p w14:paraId="6C2274CF" w14:textId="77777777" w:rsidR="008E7CA3" w:rsidRPr="00CF3DDD" w:rsidRDefault="008E7CA3" w:rsidP="00CF3DDD">
      <w:pPr>
        <w:pStyle w:val="ListParagraph"/>
        <w:numPr>
          <w:ilvl w:val="0"/>
          <w:numId w:val="20"/>
        </w:numPr>
        <w:spacing w:line="360" w:lineRule="auto"/>
        <w:rPr>
          <w:rFonts w:cs="Times New Roman"/>
        </w:rPr>
      </w:pPr>
      <w:r w:rsidRPr="00CF3DDD">
        <w:rPr>
          <w:rFonts w:cs="Times New Roman"/>
        </w:rPr>
        <w:t>Income</w:t>
      </w:r>
    </w:p>
    <w:p w14:paraId="00E80870" w14:textId="77777777" w:rsidR="00343E43" w:rsidRPr="00CF3DDD" w:rsidRDefault="00343E43" w:rsidP="00CF3DDD">
      <w:pPr>
        <w:pStyle w:val="Heading3"/>
        <w:spacing w:line="360" w:lineRule="auto"/>
      </w:pPr>
      <w:bookmarkStart w:id="117" w:name="_Toc209310661"/>
      <w:r w:rsidRPr="00CF3DDD">
        <w:t>Brand Equity</w:t>
      </w:r>
      <w:bookmarkEnd w:id="117"/>
    </w:p>
    <w:p w14:paraId="60985F11" w14:textId="77777777" w:rsidR="00343E43" w:rsidRPr="00CF3DDD" w:rsidRDefault="00343E43" w:rsidP="00CF3DDD">
      <w:pPr>
        <w:pStyle w:val="NormalWeb"/>
        <w:numPr>
          <w:ilvl w:val="0"/>
          <w:numId w:val="16"/>
        </w:numPr>
        <w:spacing w:line="360" w:lineRule="auto"/>
      </w:pPr>
      <w:r w:rsidRPr="00CF3DDD">
        <w:t>Nestlé offers excellent quality for the price</w:t>
      </w:r>
    </w:p>
    <w:p w14:paraId="5083F9B9" w14:textId="77777777" w:rsidR="00343E43" w:rsidRPr="00CF3DDD" w:rsidRDefault="00343E43" w:rsidP="00CF3DDD">
      <w:pPr>
        <w:pStyle w:val="NormalWeb"/>
        <w:numPr>
          <w:ilvl w:val="0"/>
          <w:numId w:val="16"/>
        </w:numPr>
        <w:spacing w:line="360" w:lineRule="auto"/>
      </w:pPr>
      <w:r w:rsidRPr="00CF3DDD">
        <w:t>Nestlé products are more reliable than other brands</w:t>
      </w:r>
    </w:p>
    <w:p w14:paraId="72101EBF" w14:textId="77777777" w:rsidR="00343E43" w:rsidRPr="00CF3DDD" w:rsidRDefault="00343E43" w:rsidP="00CF3DDD">
      <w:pPr>
        <w:pStyle w:val="NormalWeb"/>
        <w:numPr>
          <w:ilvl w:val="0"/>
          <w:numId w:val="16"/>
        </w:numPr>
        <w:spacing w:line="360" w:lineRule="auto"/>
        <w:rPr>
          <w:rStyle w:val="m7eme"/>
          <w:color w:val="202124"/>
          <w:shd w:val="clear" w:color="auto" w:fill="FFFFFF"/>
        </w:rPr>
      </w:pPr>
      <w:r w:rsidRPr="00CF3DDD">
        <w:rPr>
          <w:rStyle w:val="m7eme"/>
          <w:color w:val="202124"/>
          <w:shd w:val="clear" w:color="auto" w:fill="FFFFFF"/>
        </w:rPr>
        <w:t>I can quickly recognize the Nestlé brand among others.  </w:t>
      </w:r>
    </w:p>
    <w:p w14:paraId="6F787ED8" w14:textId="77777777" w:rsidR="00343E43" w:rsidRPr="00CF3DDD" w:rsidRDefault="00343E43" w:rsidP="00CF3DDD">
      <w:pPr>
        <w:pStyle w:val="NormalWeb"/>
        <w:numPr>
          <w:ilvl w:val="0"/>
          <w:numId w:val="16"/>
        </w:numPr>
        <w:spacing w:line="360" w:lineRule="auto"/>
        <w:rPr>
          <w:rStyle w:val="m7eme"/>
          <w:color w:val="202124"/>
          <w:shd w:val="clear" w:color="auto" w:fill="FFFFFF"/>
        </w:rPr>
      </w:pPr>
      <w:r w:rsidRPr="00CF3DDD">
        <w:rPr>
          <w:rStyle w:val="m7eme"/>
          <w:color w:val="202124"/>
          <w:shd w:val="clear" w:color="auto" w:fill="FFFFFF"/>
        </w:rPr>
        <w:t>Nestlé's brand image is stronger than that of its competitors.</w:t>
      </w:r>
    </w:p>
    <w:p w14:paraId="7CA70F3D" w14:textId="77777777" w:rsidR="00343E43" w:rsidRPr="00CF3DDD" w:rsidRDefault="00343E43" w:rsidP="00CF3DDD">
      <w:pPr>
        <w:pStyle w:val="NormalWeb"/>
        <w:numPr>
          <w:ilvl w:val="0"/>
          <w:numId w:val="16"/>
        </w:numPr>
        <w:spacing w:line="360" w:lineRule="auto"/>
        <w:rPr>
          <w:color w:val="202124"/>
          <w:shd w:val="clear" w:color="auto" w:fill="FFFFFF"/>
        </w:rPr>
      </w:pPr>
      <w:r w:rsidRPr="00CF3DDD">
        <w:rPr>
          <w:color w:val="202124"/>
          <w:shd w:val="clear" w:color="auto" w:fill="FFFFFF"/>
        </w:rPr>
        <w:t>It makes sense to buy Nestlé instead of any other brand, even if they are the same. </w:t>
      </w:r>
    </w:p>
    <w:p w14:paraId="30009138" w14:textId="77777777" w:rsidR="00343E43" w:rsidRPr="00CF3DDD" w:rsidRDefault="00343E43" w:rsidP="00CF3DDD">
      <w:pPr>
        <w:pStyle w:val="Heading3"/>
        <w:spacing w:line="360" w:lineRule="auto"/>
        <w:rPr>
          <w:shd w:val="clear" w:color="auto" w:fill="FFFFFF"/>
        </w:rPr>
      </w:pPr>
      <w:bookmarkStart w:id="118" w:name="_Toc209310662"/>
      <w:r w:rsidRPr="00CF3DDD">
        <w:rPr>
          <w:shd w:val="clear" w:color="auto" w:fill="FFFFFF"/>
        </w:rPr>
        <w:t>Brand Trust</w:t>
      </w:r>
      <w:bookmarkEnd w:id="118"/>
    </w:p>
    <w:p w14:paraId="20CFE724" w14:textId="77777777" w:rsidR="00343E43" w:rsidRPr="00CF3DDD" w:rsidRDefault="00343E43" w:rsidP="00CF3DDD">
      <w:pPr>
        <w:pStyle w:val="NormalWeb"/>
        <w:numPr>
          <w:ilvl w:val="0"/>
          <w:numId w:val="17"/>
        </w:numPr>
        <w:spacing w:line="360" w:lineRule="auto"/>
        <w:rPr>
          <w:rStyle w:val="m7eme"/>
          <w:color w:val="202124"/>
          <w:shd w:val="clear" w:color="auto" w:fill="FFFFFF"/>
        </w:rPr>
      </w:pPr>
      <w:r w:rsidRPr="00CF3DDD">
        <w:rPr>
          <w:rStyle w:val="m7eme"/>
          <w:color w:val="202124"/>
          <w:shd w:val="clear" w:color="auto" w:fill="FFFFFF"/>
        </w:rPr>
        <w:t>I trust the Nestlé brand.  </w:t>
      </w:r>
    </w:p>
    <w:p w14:paraId="62E302BA" w14:textId="77777777" w:rsidR="00343E43" w:rsidRPr="00CF3DDD" w:rsidRDefault="00343E43" w:rsidP="00CF3DDD">
      <w:pPr>
        <w:pStyle w:val="NormalWeb"/>
        <w:numPr>
          <w:ilvl w:val="0"/>
          <w:numId w:val="17"/>
        </w:numPr>
        <w:spacing w:line="360" w:lineRule="auto"/>
        <w:rPr>
          <w:rStyle w:val="m7eme"/>
          <w:color w:val="202124"/>
          <w:shd w:val="clear" w:color="auto" w:fill="FFFFFF"/>
        </w:rPr>
      </w:pPr>
      <w:r w:rsidRPr="00CF3DDD">
        <w:rPr>
          <w:rStyle w:val="m7eme"/>
          <w:color w:val="202124"/>
          <w:shd w:val="clear" w:color="auto" w:fill="FFFFFF"/>
        </w:rPr>
        <w:t>Nestlé always delivers what it promises.  </w:t>
      </w:r>
    </w:p>
    <w:p w14:paraId="39EC91AE" w14:textId="77777777" w:rsidR="00343E43" w:rsidRPr="00CF3DDD" w:rsidRDefault="00343E43" w:rsidP="00CF3DDD">
      <w:pPr>
        <w:pStyle w:val="NormalWeb"/>
        <w:numPr>
          <w:ilvl w:val="0"/>
          <w:numId w:val="17"/>
        </w:numPr>
        <w:spacing w:line="360" w:lineRule="auto"/>
        <w:rPr>
          <w:color w:val="202124"/>
          <w:shd w:val="clear" w:color="auto" w:fill="FFFFFF"/>
        </w:rPr>
      </w:pPr>
      <w:r w:rsidRPr="00CF3DDD">
        <w:rPr>
          <w:color w:val="202124"/>
          <w:shd w:val="clear" w:color="auto" w:fill="FFFFFF"/>
        </w:rPr>
        <w:t>I rely on Nestlé for consistent product performance</w:t>
      </w:r>
    </w:p>
    <w:p w14:paraId="439DA092" w14:textId="77777777" w:rsidR="00343E43" w:rsidRPr="00CF3DDD" w:rsidRDefault="00343E43" w:rsidP="00CF3DDD">
      <w:pPr>
        <w:pStyle w:val="NormalWeb"/>
        <w:numPr>
          <w:ilvl w:val="0"/>
          <w:numId w:val="17"/>
        </w:numPr>
        <w:spacing w:line="360" w:lineRule="auto"/>
        <w:rPr>
          <w:color w:val="202124"/>
          <w:shd w:val="clear" w:color="auto" w:fill="FFFFFF"/>
        </w:rPr>
      </w:pPr>
      <w:r w:rsidRPr="00CF3DDD">
        <w:rPr>
          <w:color w:val="202124"/>
          <w:shd w:val="clear" w:color="auto" w:fill="FFFFFF"/>
        </w:rPr>
        <w:t>Nestlé never disappoints me</w:t>
      </w:r>
    </w:p>
    <w:p w14:paraId="1125CB25" w14:textId="77777777" w:rsidR="00343E43" w:rsidRPr="00CF3DDD" w:rsidRDefault="00343E43" w:rsidP="00CF3DDD">
      <w:pPr>
        <w:pStyle w:val="NormalWeb"/>
        <w:numPr>
          <w:ilvl w:val="0"/>
          <w:numId w:val="17"/>
        </w:numPr>
        <w:spacing w:line="360" w:lineRule="auto"/>
        <w:rPr>
          <w:color w:val="202124"/>
          <w:shd w:val="clear" w:color="auto" w:fill="FFFFFF"/>
        </w:rPr>
      </w:pPr>
      <w:r w:rsidRPr="00CF3DDD">
        <w:rPr>
          <w:color w:val="202124"/>
          <w:shd w:val="clear" w:color="auto" w:fill="FFFFFF"/>
        </w:rPr>
        <w:t>I feel confident in buying Nestlé products</w:t>
      </w:r>
    </w:p>
    <w:p w14:paraId="71EF1691" w14:textId="77777777" w:rsidR="00343E43" w:rsidRPr="00CF3DDD" w:rsidRDefault="00343E43" w:rsidP="00CF3DDD">
      <w:pPr>
        <w:pStyle w:val="Heading3"/>
        <w:spacing w:line="360" w:lineRule="auto"/>
        <w:rPr>
          <w:shd w:val="clear" w:color="auto" w:fill="FFFFFF"/>
        </w:rPr>
      </w:pPr>
      <w:bookmarkStart w:id="119" w:name="_Toc209310663"/>
      <w:r w:rsidRPr="00CF3DDD">
        <w:rPr>
          <w:shd w:val="clear" w:color="auto" w:fill="FFFFFF"/>
        </w:rPr>
        <w:t>Brand Love</w:t>
      </w:r>
      <w:bookmarkEnd w:id="119"/>
    </w:p>
    <w:p w14:paraId="7C41A77E" w14:textId="77777777" w:rsidR="00343E43" w:rsidRPr="00CF3DDD" w:rsidRDefault="00343E43" w:rsidP="00CF3DDD">
      <w:pPr>
        <w:pStyle w:val="NormalWeb"/>
        <w:numPr>
          <w:ilvl w:val="0"/>
          <w:numId w:val="18"/>
        </w:numPr>
        <w:spacing w:line="360" w:lineRule="auto"/>
        <w:rPr>
          <w:color w:val="202124"/>
          <w:shd w:val="clear" w:color="auto" w:fill="FFFFFF"/>
        </w:rPr>
      </w:pPr>
      <w:r w:rsidRPr="00CF3DDD">
        <w:rPr>
          <w:color w:val="202124"/>
          <w:shd w:val="clear" w:color="auto" w:fill="FFFFFF"/>
        </w:rPr>
        <w:t>I feel emotionally connected to the Nestlé brand.</w:t>
      </w:r>
    </w:p>
    <w:p w14:paraId="7DC37F7C" w14:textId="77777777" w:rsidR="00343E43" w:rsidRPr="00CF3DDD" w:rsidRDefault="00343E43" w:rsidP="00CF3DDD">
      <w:pPr>
        <w:pStyle w:val="NormalWeb"/>
        <w:numPr>
          <w:ilvl w:val="0"/>
          <w:numId w:val="18"/>
        </w:numPr>
        <w:spacing w:line="360" w:lineRule="auto"/>
        <w:rPr>
          <w:color w:val="202124"/>
          <w:shd w:val="clear" w:color="auto" w:fill="FFFFFF"/>
        </w:rPr>
      </w:pPr>
      <w:r w:rsidRPr="00CF3DDD">
        <w:rPr>
          <w:color w:val="202124"/>
          <w:shd w:val="clear" w:color="auto" w:fill="FFFFFF"/>
        </w:rPr>
        <w:t>I really love the Nestlé brand</w:t>
      </w:r>
    </w:p>
    <w:p w14:paraId="4FFEBBD8" w14:textId="77777777" w:rsidR="00343E43" w:rsidRPr="00CF3DDD" w:rsidRDefault="00343E43" w:rsidP="00CF3DDD">
      <w:pPr>
        <w:pStyle w:val="NormalWeb"/>
        <w:numPr>
          <w:ilvl w:val="0"/>
          <w:numId w:val="18"/>
        </w:numPr>
        <w:spacing w:line="360" w:lineRule="auto"/>
        <w:rPr>
          <w:color w:val="202124"/>
          <w:shd w:val="clear" w:color="auto" w:fill="FFFFFF"/>
        </w:rPr>
      </w:pPr>
      <w:r w:rsidRPr="00CF3DDD">
        <w:rPr>
          <w:color w:val="202124"/>
          <w:shd w:val="clear" w:color="auto" w:fill="FFFFFF"/>
        </w:rPr>
        <w:t>I will feel disappointed if Nestlé stops offering its products</w:t>
      </w:r>
    </w:p>
    <w:p w14:paraId="7A793AC9" w14:textId="77777777" w:rsidR="00343E43" w:rsidRPr="00CF3DDD" w:rsidRDefault="00343E43" w:rsidP="00CF3DDD">
      <w:pPr>
        <w:pStyle w:val="NormalWeb"/>
        <w:numPr>
          <w:ilvl w:val="0"/>
          <w:numId w:val="18"/>
        </w:numPr>
        <w:spacing w:line="360" w:lineRule="auto"/>
        <w:rPr>
          <w:color w:val="202124"/>
          <w:shd w:val="clear" w:color="auto" w:fill="FFFFFF"/>
        </w:rPr>
      </w:pPr>
      <w:r w:rsidRPr="00CF3DDD">
        <w:rPr>
          <w:color w:val="202124"/>
          <w:shd w:val="clear" w:color="auto" w:fill="FFFFFF"/>
        </w:rPr>
        <w:t>Nestlé is a brand that makes me feel good</w:t>
      </w:r>
    </w:p>
    <w:p w14:paraId="17D131C0" w14:textId="77777777" w:rsidR="00343E43" w:rsidRPr="00CF3DDD" w:rsidRDefault="00343E43" w:rsidP="00CF3DDD">
      <w:pPr>
        <w:pStyle w:val="NormalWeb"/>
        <w:numPr>
          <w:ilvl w:val="0"/>
          <w:numId w:val="18"/>
        </w:numPr>
        <w:spacing w:line="360" w:lineRule="auto"/>
        <w:rPr>
          <w:color w:val="202124"/>
          <w:shd w:val="clear" w:color="auto" w:fill="FFFFFF"/>
        </w:rPr>
      </w:pPr>
      <w:r w:rsidRPr="00CF3DDD">
        <w:rPr>
          <w:color w:val="202124"/>
          <w:shd w:val="clear" w:color="auto" w:fill="FFFFFF"/>
        </w:rPr>
        <w:t>Nestlé is my favorite food and beverage brand.  </w:t>
      </w:r>
    </w:p>
    <w:p w14:paraId="4F6E489F" w14:textId="77777777" w:rsidR="00343E43" w:rsidRPr="00CF3DDD" w:rsidRDefault="00343E43" w:rsidP="00CF3DDD">
      <w:pPr>
        <w:pStyle w:val="Heading3"/>
        <w:spacing w:line="360" w:lineRule="auto"/>
        <w:rPr>
          <w:shd w:val="clear" w:color="auto" w:fill="FFFFFF"/>
        </w:rPr>
      </w:pPr>
      <w:bookmarkStart w:id="120" w:name="_Toc209310664"/>
      <w:r w:rsidRPr="00CF3DDD">
        <w:rPr>
          <w:shd w:val="clear" w:color="auto" w:fill="FFFFFF"/>
        </w:rPr>
        <w:lastRenderedPageBreak/>
        <w:t>Brand Loyalty</w:t>
      </w:r>
      <w:bookmarkEnd w:id="120"/>
    </w:p>
    <w:p w14:paraId="54E4EC9A" w14:textId="77777777" w:rsidR="00343E43" w:rsidRPr="00CF3DDD" w:rsidRDefault="00343E43" w:rsidP="00CF3DDD">
      <w:pPr>
        <w:pStyle w:val="NormalWeb"/>
        <w:numPr>
          <w:ilvl w:val="0"/>
          <w:numId w:val="19"/>
        </w:numPr>
        <w:spacing w:line="360" w:lineRule="auto"/>
        <w:rPr>
          <w:color w:val="202124"/>
          <w:shd w:val="clear" w:color="auto" w:fill="FFFFFF"/>
        </w:rPr>
      </w:pPr>
      <w:r w:rsidRPr="00CF3DDD">
        <w:rPr>
          <w:color w:val="202124"/>
          <w:shd w:val="clear" w:color="auto" w:fill="FFFFFF"/>
        </w:rPr>
        <w:t>I consistently purchase Nestlé products</w:t>
      </w:r>
    </w:p>
    <w:p w14:paraId="6D55BEE9" w14:textId="77777777" w:rsidR="00343E43" w:rsidRPr="00CF3DDD" w:rsidRDefault="00343E43" w:rsidP="00CF3DDD">
      <w:pPr>
        <w:pStyle w:val="NormalWeb"/>
        <w:numPr>
          <w:ilvl w:val="0"/>
          <w:numId w:val="19"/>
        </w:numPr>
        <w:spacing w:line="360" w:lineRule="auto"/>
        <w:rPr>
          <w:color w:val="202124"/>
          <w:shd w:val="clear" w:color="auto" w:fill="FFFFFF"/>
        </w:rPr>
      </w:pPr>
      <w:r w:rsidRPr="00CF3DDD">
        <w:rPr>
          <w:color w:val="202124"/>
          <w:shd w:val="clear" w:color="auto" w:fill="FFFFFF"/>
        </w:rPr>
        <w:t>I will choose Nestlé even if other brands are on sale.</w:t>
      </w:r>
    </w:p>
    <w:p w14:paraId="0D89F13A" w14:textId="77777777" w:rsidR="00343E43" w:rsidRPr="00CF3DDD" w:rsidRDefault="00343E43" w:rsidP="00CF3DDD">
      <w:pPr>
        <w:pStyle w:val="NormalWeb"/>
        <w:numPr>
          <w:ilvl w:val="0"/>
          <w:numId w:val="19"/>
        </w:numPr>
        <w:spacing w:line="360" w:lineRule="auto"/>
        <w:rPr>
          <w:color w:val="202124"/>
          <w:shd w:val="clear" w:color="auto" w:fill="FFFFFF"/>
        </w:rPr>
      </w:pPr>
      <w:r w:rsidRPr="00CF3DDD">
        <w:rPr>
          <w:color w:val="202124"/>
          <w:shd w:val="clear" w:color="auto" w:fill="FFFFFF"/>
        </w:rPr>
        <w:t>I would recommend Nestlé products to others.</w:t>
      </w:r>
    </w:p>
    <w:p w14:paraId="7FF7E5DB" w14:textId="77777777" w:rsidR="00343E43" w:rsidRPr="00CF3DDD" w:rsidRDefault="00343E43" w:rsidP="00CF3DDD">
      <w:pPr>
        <w:pStyle w:val="NormalWeb"/>
        <w:numPr>
          <w:ilvl w:val="0"/>
          <w:numId w:val="19"/>
        </w:numPr>
        <w:spacing w:line="360" w:lineRule="auto"/>
        <w:rPr>
          <w:color w:val="202124"/>
          <w:shd w:val="clear" w:color="auto" w:fill="FFFFFF"/>
        </w:rPr>
      </w:pPr>
      <w:r w:rsidRPr="00CF3DDD">
        <w:rPr>
          <w:color w:val="202124"/>
          <w:shd w:val="clear" w:color="auto" w:fill="FFFFFF"/>
        </w:rPr>
        <w:t>I prefer Nestlé even when new brands are introduced. </w:t>
      </w:r>
    </w:p>
    <w:p w14:paraId="6439EDB4" w14:textId="77777777" w:rsidR="00EA3C7E" w:rsidRPr="00CF3DDD" w:rsidRDefault="00343E43" w:rsidP="00CF3DDD">
      <w:pPr>
        <w:pStyle w:val="NormalWeb"/>
        <w:numPr>
          <w:ilvl w:val="0"/>
          <w:numId w:val="19"/>
        </w:numPr>
        <w:spacing w:line="360" w:lineRule="auto"/>
      </w:pPr>
      <w:r w:rsidRPr="00CF3DDD">
        <w:rPr>
          <w:color w:val="202124"/>
          <w:shd w:val="clear" w:color="auto" w:fill="FFFFFF"/>
        </w:rPr>
        <w:t>I feel better when I use Nestlé products.</w:t>
      </w:r>
    </w:p>
    <w:p w14:paraId="1D610901" w14:textId="77777777" w:rsidR="00A61163" w:rsidRPr="00CF3DDD" w:rsidRDefault="00A61163" w:rsidP="00CF3DDD">
      <w:pPr>
        <w:pStyle w:val="Heading3"/>
        <w:spacing w:line="360" w:lineRule="auto"/>
        <w:rPr>
          <w:shd w:val="clear" w:color="auto" w:fill="FFFFFF"/>
        </w:rPr>
      </w:pPr>
      <w:r w:rsidRPr="00CF3DDD">
        <w:rPr>
          <w:shd w:val="clear" w:color="auto" w:fill="FFFFFF"/>
        </w:rPr>
        <w:t>Descriptive Statistics</w:t>
      </w:r>
    </w:p>
    <w:tbl>
      <w:tblPr>
        <w:tblW w:w="96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62"/>
        <w:gridCol w:w="2022"/>
        <w:gridCol w:w="1690"/>
        <w:gridCol w:w="1508"/>
        <w:gridCol w:w="1443"/>
        <w:gridCol w:w="1428"/>
      </w:tblGrid>
      <w:tr w:rsidR="00A61163" w:rsidRPr="00CF3DDD" w14:paraId="45F96C36" w14:textId="77777777" w:rsidTr="00872283">
        <w:trPr>
          <w:cantSplit/>
          <w:trHeight w:val="340"/>
        </w:trPr>
        <w:tc>
          <w:tcPr>
            <w:tcW w:w="9653" w:type="dxa"/>
            <w:gridSpan w:val="6"/>
            <w:tcBorders>
              <w:top w:val="nil"/>
              <w:left w:val="nil"/>
              <w:bottom w:val="nil"/>
              <w:right w:val="nil"/>
            </w:tcBorders>
            <w:shd w:val="clear" w:color="auto" w:fill="FFFFFF"/>
            <w:vAlign w:val="center"/>
          </w:tcPr>
          <w:p w14:paraId="2EA33372"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b/>
                <w:bCs/>
                <w:color w:val="000000"/>
                <w:szCs w:val="24"/>
              </w:rPr>
              <w:t>Descriptive Statistics</w:t>
            </w:r>
          </w:p>
        </w:tc>
      </w:tr>
      <w:tr w:rsidR="00A61163" w:rsidRPr="00CF3DDD" w14:paraId="53CD25B7" w14:textId="77777777" w:rsidTr="00A61163">
        <w:trPr>
          <w:cantSplit/>
          <w:trHeight w:val="340"/>
        </w:trPr>
        <w:tc>
          <w:tcPr>
            <w:tcW w:w="1562" w:type="dxa"/>
            <w:vMerge w:val="restart"/>
            <w:tcBorders>
              <w:top w:val="single" w:sz="16" w:space="0" w:color="000000"/>
              <w:left w:val="single" w:sz="16" w:space="0" w:color="000000"/>
              <w:bottom w:val="nil"/>
              <w:right w:val="single" w:sz="16" w:space="0" w:color="000000"/>
            </w:tcBorders>
            <w:shd w:val="clear" w:color="auto" w:fill="FFFFFF"/>
            <w:vAlign w:val="bottom"/>
          </w:tcPr>
          <w:p w14:paraId="0CB93E9E" w14:textId="77777777" w:rsidR="00A61163" w:rsidRPr="00CF3DDD" w:rsidRDefault="00A61163" w:rsidP="00CF3DDD">
            <w:pPr>
              <w:autoSpaceDE w:val="0"/>
              <w:autoSpaceDN w:val="0"/>
              <w:adjustRightInd w:val="0"/>
              <w:spacing w:after="0" w:line="360" w:lineRule="auto"/>
              <w:rPr>
                <w:rFonts w:cs="Times New Roman"/>
                <w:szCs w:val="24"/>
              </w:rPr>
            </w:pPr>
          </w:p>
        </w:tc>
        <w:tc>
          <w:tcPr>
            <w:tcW w:w="2022" w:type="dxa"/>
            <w:tcBorders>
              <w:top w:val="single" w:sz="16" w:space="0" w:color="000000"/>
              <w:left w:val="single" w:sz="16" w:space="0" w:color="000000"/>
            </w:tcBorders>
            <w:shd w:val="clear" w:color="auto" w:fill="FFFFFF"/>
            <w:vAlign w:val="bottom"/>
          </w:tcPr>
          <w:p w14:paraId="39A3F590"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N</w:t>
            </w:r>
          </w:p>
        </w:tc>
        <w:tc>
          <w:tcPr>
            <w:tcW w:w="3198" w:type="dxa"/>
            <w:gridSpan w:val="2"/>
            <w:tcBorders>
              <w:top w:val="single" w:sz="16" w:space="0" w:color="000000"/>
            </w:tcBorders>
            <w:shd w:val="clear" w:color="auto" w:fill="FFFFFF"/>
            <w:vAlign w:val="bottom"/>
          </w:tcPr>
          <w:p w14:paraId="621057B2"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Skewness</w:t>
            </w:r>
          </w:p>
        </w:tc>
        <w:tc>
          <w:tcPr>
            <w:tcW w:w="2871" w:type="dxa"/>
            <w:gridSpan w:val="2"/>
            <w:tcBorders>
              <w:top w:val="single" w:sz="16" w:space="0" w:color="000000"/>
              <w:right w:val="single" w:sz="16" w:space="0" w:color="000000"/>
            </w:tcBorders>
            <w:shd w:val="clear" w:color="auto" w:fill="FFFFFF"/>
            <w:vAlign w:val="bottom"/>
          </w:tcPr>
          <w:p w14:paraId="28014552"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Kurtosis</w:t>
            </w:r>
          </w:p>
        </w:tc>
      </w:tr>
      <w:tr w:rsidR="00A61163" w:rsidRPr="00CF3DDD" w14:paraId="4692C8B8" w14:textId="77777777" w:rsidTr="00A61163">
        <w:trPr>
          <w:cantSplit/>
          <w:trHeight w:val="377"/>
        </w:trPr>
        <w:tc>
          <w:tcPr>
            <w:tcW w:w="1562" w:type="dxa"/>
            <w:vMerge/>
            <w:tcBorders>
              <w:top w:val="single" w:sz="16" w:space="0" w:color="000000"/>
              <w:left w:val="single" w:sz="16" w:space="0" w:color="000000"/>
              <w:bottom w:val="nil"/>
              <w:right w:val="single" w:sz="16" w:space="0" w:color="000000"/>
            </w:tcBorders>
            <w:shd w:val="clear" w:color="auto" w:fill="FFFFFF"/>
            <w:vAlign w:val="bottom"/>
          </w:tcPr>
          <w:p w14:paraId="002CCFE6" w14:textId="77777777" w:rsidR="00A61163" w:rsidRPr="00CF3DDD" w:rsidRDefault="00A61163" w:rsidP="00CF3DDD">
            <w:pPr>
              <w:autoSpaceDE w:val="0"/>
              <w:autoSpaceDN w:val="0"/>
              <w:adjustRightInd w:val="0"/>
              <w:spacing w:after="0" w:line="360" w:lineRule="auto"/>
              <w:rPr>
                <w:rFonts w:cs="Times New Roman"/>
                <w:color w:val="000000"/>
                <w:sz w:val="18"/>
                <w:szCs w:val="18"/>
              </w:rPr>
            </w:pPr>
          </w:p>
        </w:tc>
        <w:tc>
          <w:tcPr>
            <w:tcW w:w="2022" w:type="dxa"/>
            <w:tcBorders>
              <w:left w:val="single" w:sz="16" w:space="0" w:color="000000"/>
              <w:bottom w:val="single" w:sz="16" w:space="0" w:color="000000"/>
            </w:tcBorders>
            <w:shd w:val="clear" w:color="auto" w:fill="FFFFFF"/>
            <w:vAlign w:val="bottom"/>
          </w:tcPr>
          <w:p w14:paraId="52306C0B"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Statistic</w:t>
            </w:r>
          </w:p>
        </w:tc>
        <w:tc>
          <w:tcPr>
            <w:tcW w:w="1690" w:type="dxa"/>
            <w:tcBorders>
              <w:bottom w:val="single" w:sz="16" w:space="0" w:color="000000"/>
            </w:tcBorders>
            <w:shd w:val="clear" w:color="auto" w:fill="FFFFFF"/>
            <w:vAlign w:val="bottom"/>
          </w:tcPr>
          <w:p w14:paraId="26ADB266"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Statistic</w:t>
            </w:r>
          </w:p>
        </w:tc>
        <w:tc>
          <w:tcPr>
            <w:tcW w:w="1508" w:type="dxa"/>
            <w:tcBorders>
              <w:bottom w:val="single" w:sz="16" w:space="0" w:color="000000"/>
            </w:tcBorders>
            <w:shd w:val="clear" w:color="auto" w:fill="FFFFFF"/>
            <w:vAlign w:val="bottom"/>
          </w:tcPr>
          <w:p w14:paraId="70A1B118"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Std. Error</w:t>
            </w:r>
          </w:p>
        </w:tc>
        <w:tc>
          <w:tcPr>
            <w:tcW w:w="1443" w:type="dxa"/>
            <w:tcBorders>
              <w:bottom w:val="single" w:sz="16" w:space="0" w:color="000000"/>
            </w:tcBorders>
            <w:shd w:val="clear" w:color="auto" w:fill="FFFFFF"/>
            <w:vAlign w:val="bottom"/>
          </w:tcPr>
          <w:p w14:paraId="0613CED9"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Statistic</w:t>
            </w:r>
          </w:p>
        </w:tc>
        <w:tc>
          <w:tcPr>
            <w:tcW w:w="1428" w:type="dxa"/>
            <w:tcBorders>
              <w:bottom w:val="single" w:sz="16" w:space="0" w:color="000000"/>
              <w:right w:val="single" w:sz="16" w:space="0" w:color="000000"/>
            </w:tcBorders>
            <w:shd w:val="clear" w:color="auto" w:fill="FFFFFF"/>
            <w:vAlign w:val="bottom"/>
          </w:tcPr>
          <w:p w14:paraId="40F30850"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Std. Error</w:t>
            </w:r>
          </w:p>
        </w:tc>
      </w:tr>
      <w:tr w:rsidR="00A61163" w:rsidRPr="00CF3DDD" w14:paraId="4BB4EC8F" w14:textId="77777777" w:rsidTr="00A61163">
        <w:trPr>
          <w:cantSplit/>
          <w:trHeight w:val="340"/>
        </w:trPr>
        <w:tc>
          <w:tcPr>
            <w:tcW w:w="1562" w:type="dxa"/>
            <w:tcBorders>
              <w:top w:val="single" w:sz="16" w:space="0" w:color="000000"/>
              <w:left w:val="single" w:sz="16" w:space="0" w:color="000000"/>
              <w:bottom w:val="nil"/>
              <w:right w:val="single" w:sz="16" w:space="0" w:color="000000"/>
            </w:tcBorders>
            <w:shd w:val="clear" w:color="auto" w:fill="FFFFFF"/>
          </w:tcPr>
          <w:p w14:paraId="082B04A7"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BE1</w:t>
            </w:r>
          </w:p>
        </w:tc>
        <w:tc>
          <w:tcPr>
            <w:tcW w:w="2022" w:type="dxa"/>
            <w:tcBorders>
              <w:top w:val="single" w:sz="16" w:space="0" w:color="000000"/>
              <w:left w:val="single" w:sz="16" w:space="0" w:color="000000"/>
              <w:bottom w:val="nil"/>
            </w:tcBorders>
            <w:shd w:val="clear" w:color="auto" w:fill="FFFFFF"/>
            <w:vAlign w:val="center"/>
          </w:tcPr>
          <w:p w14:paraId="755E2AEB"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single" w:sz="16" w:space="0" w:color="000000"/>
              <w:bottom w:val="nil"/>
            </w:tcBorders>
            <w:shd w:val="clear" w:color="auto" w:fill="FFFFFF"/>
            <w:vAlign w:val="center"/>
          </w:tcPr>
          <w:p w14:paraId="38A178AD"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-.831</w:t>
            </w:r>
          </w:p>
        </w:tc>
        <w:tc>
          <w:tcPr>
            <w:tcW w:w="1508" w:type="dxa"/>
            <w:tcBorders>
              <w:top w:val="single" w:sz="16" w:space="0" w:color="000000"/>
              <w:bottom w:val="nil"/>
            </w:tcBorders>
            <w:shd w:val="clear" w:color="auto" w:fill="FFFFFF"/>
            <w:vAlign w:val="center"/>
          </w:tcPr>
          <w:p w14:paraId="259F4FB4"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single" w:sz="16" w:space="0" w:color="000000"/>
              <w:bottom w:val="nil"/>
            </w:tcBorders>
            <w:shd w:val="clear" w:color="auto" w:fill="FFFFFF"/>
            <w:vAlign w:val="center"/>
          </w:tcPr>
          <w:p w14:paraId="6BC17179"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1.312</w:t>
            </w:r>
          </w:p>
        </w:tc>
        <w:tc>
          <w:tcPr>
            <w:tcW w:w="1428" w:type="dxa"/>
            <w:tcBorders>
              <w:top w:val="single" w:sz="16" w:space="0" w:color="000000"/>
              <w:bottom w:val="nil"/>
              <w:right w:val="single" w:sz="16" w:space="0" w:color="000000"/>
            </w:tcBorders>
            <w:shd w:val="clear" w:color="auto" w:fill="FFFFFF"/>
            <w:vAlign w:val="center"/>
          </w:tcPr>
          <w:p w14:paraId="772B1AED"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406914E0" w14:textId="77777777" w:rsidTr="00A61163">
        <w:trPr>
          <w:cantSplit/>
          <w:trHeight w:val="327"/>
        </w:trPr>
        <w:tc>
          <w:tcPr>
            <w:tcW w:w="1562" w:type="dxa"/>
            <w:tcBorders>
              <w:top w:val="nil"/>
              <w:left w:val="single" w:sz="16" w:space="0" w:color="000000"/>
              <w:bottom w:val="nil"/>
              <w:right w:val="single" w:sz="16" w:space="0" w:color="000000"/>
            </w:tcBorders>
            <w:shd w:val="clear" w:color="auto" w:fill="FFFFFF"/>
          </w:tcPr>
          <w:p w14:paraId="76E40A87"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BE2</w:t>
            </w:r>
          </w:p>
        </w:tc>
        <w:tc>
          <w:tcPr>
            <w:tcW w:w="2022" w:type="dxa"/>
            <w:tcBorders>
              <w:top w:val="nil"/>
              <w:left w:val="single" w:sz="16" w:space="0" w:color="000000"/>
              <w:bottom w:val="nil"/>
            </w:tcBorders>
            <w:shd w:val="clear" w:color="auto" w:fill="FFFFFF"/>
            <w:vAlign w:val="center"/>
          </w:tcPr>
          <w:p w14:paraId="2574E26B"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101EE2A3"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-.636</w:t>
            </w:r>
          </w:p>
        </w:tc>
        <w:tc>
          <w:tcPr>
            <w:tcW w:w="1508" w:type="dxa"/>
            <w:tcBorders>
              <w:top w:val="nil"/>
              <w:bottom w:val="nil"/>
            </w:tcBorders>
            <w:shd w:val="clear" w:color="auto" w:fill="FFFFFF"/>
            <w:vAlign w:val="center"/>
          </w:tcPr>
          <w:p w14:paraId="0BE950CC"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10CD63D3"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.730</w:t>
            </w:r>
          </w:p>
        </w:tc>
        <w:tc>
          <w:tcPr>
            <w:tcW w:w="1428" w:type="dxa"/>
            <w:tcBorders>
              <w:top w:val="nil"/>
              <w:bottom w:val="nil"/>
              <w:right w:val="single" w:sz="16" w:space="0" w:color="000000"/>
            </w:tcBorders>
            <w:shd w:val="clear" w:color="auto" w:fill="FFFFFF"/>
            <w:vAlign w:val="center"/>
          </w:tcPr>
          <w:p w14:paraId="327B5498"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2E4BB0FD" w14:textId="77777777" w:rsidTr="00A61163">
        <w:trPr>
          <w:cantSplit/>
          <w:trHeight w:val="340"/>
        </w:trPr>
        <w:tc>
          <w:tcPr>
            <w:tcW w:w="1562" w:type="dxa"/>
            <w:tcBorders>
              <w:top w:val="nil"/>
              <w:left w:val="single" w:sz="16" w:space="0" w:color="000000"/>
              <w:bottom w:val="nil"/>
              <w:right w:val="single" w:sz="16" w:space="0" w:color="000000"/>
            </w:tcBorders>
            <w:shd w:val="clear" w:color="auto" w:fill="FFFFFF"/>
          </w:tcPr>
          <w:p w14:paraId="1A529E0F"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BE3</w:t>
            </w:r>
          </w:p>
        </w:tc>
        <w:tc>
          <w:tcPr>
            <w:tcW w:w="2022" w:type="dxa"/>
            <w:tcBorders>
              <w:top w:val="nil"/>
              <w:left w:val="single" w:sz="16" w:space="0" w:color="000000"/>
              <w:bottom w:val="nil"/>
            </w:tcBorders>
            <w:shd w:val="clear" w:color="auto" w:fill="FFFFFF"/>
            <w:vAlign w:val="center"/>
          </w:tcPr>
          <w:p w14:paraId="6E866044"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34280119"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-1.061</w:t>
            </w:r>
          </w:p>
        </w:tc>
        <w:tc>
          <w:tcPr>
            <w:tcW w:w="1508" w:type="dxa"/>
            <w:tcBorders>
              <w:top w:val="nil"/>
              <w:bottom w:val="nil"/>
            </w:tcBorders>
            <w:shd w:val="clear" w:color="auto" w:fill="FFFFFF"/>
            <w:vAlign w:val="center"/>
          </w:tcPr>
          <w:p w14:paraId="7DBEE13D"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1ED3D41A"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1.793</w:t>
            </w:r>
          </w:p>
        </w:tc>
        <w:tc>
          <w:tcPr>
            <w:tcW w:w="1428" w:type="dxa"/>
            <w:tcBorders>
              <w:top w:val="nil"/>
              <w:bottom w:val="nil"/>
              <w:right w:val="single" w:sz="16" w:space="0" w:color="000000"/>
            </w:tcBorders>
            <w:shd w:val="clear" w:color="auto" w:fill="FFFFFF"/>
            <w:vAlign w:val="center"/>
          </w:tcPr>
          <w:p w14:paraId="3F7CB57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58E5E267" w14:textId="77777777" w:rsidTr="00A61163">
        <w:trPr>
          <w:cantSplit/>
          <w:trHeight w:val="340"/>
        </w:trPr>
        <w:tc>
          <w:tcPr>
            <w:tcW w:w="1562" w:type="dxa"/>
            <w:tcBorders>
              <w:top w:val="nil"/>
              <w:left w:val="single" w:sz="16" w:space="0" w:color="000000"/>
              <w:bottom w:val="nil"/>
              <w:right w:val="single" w:sz="16" w:space="0" w:color="000000"/>
            </w:tcBorders>
            <w:shd w:val="clear" w:color="auto" w:fill="FFFFFF"/>
          </w:tcPr>
          <w:p w14:paraId="28D1AA4F"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BE4</w:t>
            </w:r>
          </w:p>
        </w:tc>
        <w:tc>
          <w:tcPr>
            <w:tcW w:w="2022" w:type="dxa"/>
            <w:tcBorders>
              <w:top w:val="nil"/>
              <w:left w:val="single" w:sz="16" w:space="0" w:color="000000"/>
              <w:bottom w:val="nil"/>
            </w:tcBorders>
            <w:shd w:val="clear" w:color="auto" w:fill="FFFFFF"/>
            <w:vAlign w:val="center"/>
          </w:tcPr>
          <w:p w14:paraId="0E7F6EB8"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49C75066"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-.685</w:t>
            </w:r>
          </w:p>
        </w:tc>
        <w:tc>
          <w:tcPr>
            <w:tcW w:w="1508" w:type="dxa"/>
            <w:tcBorders>
              <w:top w:val="nil"/>
              <w:bottom w:val="nil"/>
            </w:tcBorders>
            <w:shd w:val="clear" w:color="auto" w:fill="FFFFFF"/>
            <w:vAlign w:val="center"/>
          </w:tcPr>
          <w:p w14:paraId="7E6444CC"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67B04DF4"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.305</w:t>
            </w:r>
          </w:p>
        </w:tc>
        <w:tc>
          <w:tcPr>
            <w:tcW w:w="1428" w:type="dxa"/>
            <w:tcBorders>
              <w:top w:val="nil"/>
              <w:bottom w:val="nil"/>
              <w:right w:val="single" w:sz="16" w:space="0" w:color="000000"/>
            </w:tcBorders>
            <w:shd w:val="clear" w:color="auto" w:fill="FFFFFF"/>
            <w:vAlign w:val="center"/>
          </w:tcPr>
          <w:p w14:paraId="71AB6F9E"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6C508807" w14:textId="77777777" w:rsidTr="00A61163">
        <w:trPr>
          <w:cantSplit/>
          <w:trHeight w:val="327"/>
        </w:trPr>
        <w:tc>
          <w:tcPr>
            <w:tcW w:w="1562" w:type="dxa"/>
            <w:tcBorders>
              <w:top w:val="nil"/>
              <w:left w:val="single" w:sz="16" w:space="0" w:color="000000"/>
              <w:bottom w:val="nil"/>
              <w:right w:val="single" w:sz="16" w:space="0" w:color="000000"/>
            </w:tcBorders>
            <w:shd w:val="clear" w:color="auto" w:fill="FFFFFF"/>
          </w:tcPr>
          <w:p w14:paraId="062B79BD"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BE5</w:t>
            </w:r>
          </w:p>
        </w:tc>
        <w:tc>
          <w:tcPr>
            <w:tcW w:w="2022" w:type="dxa"/>
            <w:tcBorders>
              <w:top w:val="nil"/>
              <w:left w:val="single" w:sz="16" w:space="0" w:color="000000"/>
              <w:bottom w:val="nil"/>
            </w:tcBorders>
            <w:shd w:val="clear" w:color="auto" w:fill="FFFFFF"/>
            <w:vAlign w:val="center"/>
          </w:tcPr>
          <w:p w14:paraId="4CEA05DA"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48EF4CE5"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-.592</w:t>
            </w:r>
          </w:p>
        </w:tc>
        <w:tc>
          <w:tcPr>
            <w:tcW w:w="1508" w:type="dxa"/>
            <w:tcBorders>
              <w:top w:val="nil"/>
              <w:bottom w:val="nil"/>
            </w:tcBorders>
            <w:shd w:val="clear" w:color="auto" w:fill="FFFFFF"/>
            <w:vAlign w:val="center"/>
          </w:tcPr>
          <w:p w14:paraId="1F65B8B9"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1C6C4848"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.050</w:t>
            </w:r>
          </w:p>
        </w:tc>
        <w:tc>
          <w:tcPr>
            <w:tcW w:w="1428" w:type="dxa"/>
            <w:tcBorders>
              <w:top w:val="nil"/>
              <w:bottom w:val="nil"/>
              <w:right w:val="single" w:sz="16" w:space="0" w:color="000000"/>
            </w:tcBorders>
            <w:shd w:val="clear" w:color="auto" w:fill="FFFFFF"/>
            <w:vAlign w:val="center"/>
          </w:tcPr>
          <w:p w14:paraId="011DB90B"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0C491C48" w14:textId="77777777" w:rsidTr="00A61163">
        <w:trPr>
          <w:cantSplit/>
          <w:trHeight w:val="340"/>
        </w:trPr>
        <w:tc>
          <w:tcPr>
            <w:tcW w:w="1562" w:type="dxa"/>
            <w:tcBorders>
              <w:top w:val="nil"/>
              <w:left w:val="single" w:sz="16" w:space="0" w:color="000000"/>
              <w:bottom w:val="nil"/>
              <w:right w:val="single" w:sz="16" w:space="0" w:color="000000"/>
            </w:tcBorders>
            <w:shd w:val="clear" w:color="auto" w:fill="FFFFFF"/>
          </w:tcPr>
          <w:p w14:paraId="687F54C0"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BT1</w:t>
            </w:r>
          </w:p>
        </w:tc>
        <w:tc>
          <w:tcPr>
            <w:tcW w:w="2022" w:type="dxa"/>
            <w:tcBorders>
              <w:top w:val="nil"/>
              <w:left w:val="single" w:sz="16" w:space="0" w:color="000000"/>
              <w:bottom w:val="nil"/>
            </w:tcBorders>
            <w:shd w:val="clear" w:color="auto" w:fill="FFFFFF"/>
            <w:vAlign w:val="center"/>
          </w:tcPr>
          <w:p w14:paraId="77E337D1"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62E1469C"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-.584</w:t>
            </w:r>
          </w:p>
        </w:tc>
        <w:tc>
          <w:tcPr>
            <w:tcW w:w="1508" w:type="dxa"/>
            <w:tcBorders>
              <w:top w:val="nil"/>
              <w:bottom w:val="nil"/>
            </w:tcBorders>
            <w:shd w:val="clear" w:color="auto" w:fill="FFFFFF"/>
            <w:vAlign w:val="center"/>
          </w:tcPr>
          <w:p w14:paraId="775EA7E9"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055C7C4D"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.186</w:t>
            </w:r>
          </w:p>
        </w:tc>
        <w:tc>
          <w:tcPr>
            <w:tcW w:w="1428" w:type="dxa"/>
            <w:tcBorders>
              <w:top w:val="nil"/>
              <w:bottom w:val="nil"/>
              <w:right w:val="single" w:sz="16" w:space="0" w:color="000000"/>
            </w:tcBorders>
            <w:shd w:val="clear" w:color="auto" w:fill="FFFFFF"/>
            <w:vAlign w:val="center"/>
          </w:tcPr>
          <w:p w14:paraId="481943C1"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599E1551" w14:textId="77777777" w:rsidTr="00A61163">
        <w:trPr>
          <w:cantSplit/>
          <w:trHeight w:val="340"/>
        </w:trPr>
        <w:tc>
          <w:tcPr>
            <w:tcW w:w="1562" w:type="dxa"/>
            <w:tcBorders>
              <w:top w:val="nil"/>
              <w:left w:val="single" w:sz="16" w:space="0" w:color="000000"/>
              <w:bottom w:val="nil"/>
              <w:right w:val="single" w:sz="16" w:space="0" w:color="000000"/>
            </w:tcBorders>
            <w:shd w:val="clear" w:color="auto" w:fill="FFFFFF"/>
          </w:tcPr>
          <w:p w14:paraId="6BCEAF79"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BT2</w:t>
            </w:r>
          </w:p>
        </w:tc>
        <w:tc>
          <w:tcPr>
            <w:tcW w:w="2022" w:type="dxa"/>
            <w:tcBorders>
              <w:top w:val="nil"/>
              <w:left w:val="single" w:sz="16" w:space="0" w:color="000000"/>
              <w:bottom w:val="nil"/>
            </w:tcBorders>
            <w:shd w:val="clear" w:color="auto" w:fill="FFFFFF"/>
            <w:vAlign w:val="center"/>
          </w:tcPr>
          <w:p w14:paraId="732EB36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61A69A8A"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-.671</w:t>
            </w:r>
          </w:p>
        </w:tc>
        <w:tc>
          <w:tcPr>
            <w:tcW w:w="1508" w:type="dxa"/>
            <w:tcBorders>
              <w:top w:val="nil"/>
              <w:bottom w:val="nil"/>
            </w:tcBorders>
            <w:shd w:val="clear" w:color="auto" w:fill="FFFFFF"/>
            <w:vAlign w:val="center"/>
          </w:tcPr>
          <w:p w14:paraId="4F838BA7"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0491789D"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-.038</w:t>
            </w:r>
          </w:p>
        </w:tc>
        <w:tc>
          <w:tcPr>
            <w:tcW w:w="1428" w:type="dxa"/>
            <w:tcBorders>
              <w:top w:val="nil"/>
              <w:bottom w:val="nil"/>
              <w:right w:val="single" w:sz="16" w:space="0" w:color="000000"/>
            </w:tcBorders>
            <w:shd w:val="clear" w:color="auto" w:fill="FFFFFF"/>
            <w:vAlign w:val="center"/>
          </w:tcPr>
          <w:p w14:paraId="5BCCC493"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5485D16B" w14:textId="77777777" w:rsidTr="00A61163">
        <w:trPr>
          <w:cantSplit/>
          <w:trHeight w:val="327"/>
        </w:trPr>
        <w:tc>
          <w:tcPr>
            <w:tcW w:w="1562" w:type="dxa"/>
            <w:tcBorders>
              <w:top w:val="nil"/>
              <w:left w:val="single" w:sz="16" w:space="0" w:color="000000"/>
              <w:bottom w:val="nil"/>
              <w:right w:val="single" w:sz="16" w:space="0" w:color="000000"/>
            </w:tcBorders>
            <w:shd w:val="clear" w:color="auto" w:fill="FFFFFF"/>
          </w:tcPr>
          <w:p w14:paraId="20A49D11"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BT3</w:t>
            </w:r>
          </w:p>
        </w:tc>
        <w:tc>
          <w:tcPr>
            <w:tcW w:w="2022" w:type="dxa"/>
            <w:tcBorders>
              <w:top w:val="nil"/>
              <w:left w:val="single" w:sz="16" w:space="0" w:color="000000"/>
              <w:bottom w:val="nil"/>
            </w:tcBorders>
            <w:shd w:val="clear" w:color="auto" w:fill="FFFFFF"/>
            <w:vAlign w:val="center"/>
          </w:tcPr>
          <w:p w14:paraId="662A6A71"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04426605"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-.648</w:t>
            </w:r>
          </w:p>
        </w:tc>
        <w:tc>
          <w:tcPr>
            <w:tcW w:w="1508" w:type="dxa"/>
            <w:tcBorders>
              <w:top w:val="nil"/>
              <w:bottom w:val="nil"/>
            </w:tcBorders>
            <w:shd w:val="clear" w:color="auto" w:fill="FFFFFF"/>
            <w:vAlign w:val="center"/>
          </w:tcPr>
          <w:p w14:paraId="02506FB0"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62D96A4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.324</w:t>
            </w:r>
          </w:p>
        </w:tc>
        <w:tc>
          <w:tcPr>
            <w:tcW w:w="1428" w:type="dxa"/>
            <w:tcBorders>
              <w:top w:val="nil"/>
              <w:bottom w:val="nil"/>
              <w:right w:val="single" w:sz="16" w:space="0" w:color="000000"/>
            </w:tcBorders>
            <w:shd w:val="clear" w:color="auto" w:fill="FFFFFF"/>
            <w:vAlign w:val="center"/>
          </w:tcPr>
          <w:p w14:paraId="49D03B75"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23942E8D" w14:textId="77777777" w:rsidTr="00A61163">
        <w:trPr>
          <w:cantSplit/>
          <w:trHeight w:val="340"/>
        </w:trPr>
        <w:tc>
          <w:tcPr>
            <w:tcW w:w="1562" w:type="dxa"/>
            <w:tcBorders>
              <w:top w:val="nil"/>
              <w:left w:val="single" w:sz="16" w:space="0" w:color="000000"/>
              <w:bottom w:val="nil"/>
              <w:right w:val="single" w:sz="16" w:space="0" w:color="000000"/>
            </w:tcBorders>
            <w:shd w:val="clear" w:color="auto" w:fill="FFFFFF"/>
          </w:tcPr>
          <w:p w14:paraId="2CBFCE83"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BT4</w:t>
            </w:r>
          </w:p>
        </w:tc>
        <w:tc>
          <w:tcPr>
            <w:tcW w:w="2022" w:type="dxa"/>
            <w:tcBorders>
              <w:top w:val="nil"/>
              <w:left w:val="single" w:sz="16" w:space="0" w:color="000000"/>
              <w:bottom w:val="nil"/>
            </w:tcBorders>
            <w:shd w:val="clear" w:color="auto" w:fill="FFFFFF"/>
            <w:vAlign w:val="center"/>
          </w:tcPr>
          <w:p w14:paraId="55624CDB"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372B6286"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-.958</w:t>
            </w:r>
          </w:p>
        </w:tc>
        <w:tc>
          <w:tcPr>
            <w:tcW w:w="1508" w:type="dxa"/>
            <w:tcBorders>
              <w:top w:val="nil"/>
              <w:bottom w:val="nil"/>
            </w:tcBorders>
            <w:shd w:val="clear" w:color="auto" w:fill="FFFFFF"/>
            <w:vAlign w:val="center"/>
          </w:tcPr>
          <w:p w14:paraId="166F76EA"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4D31A661"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1.551</w:t>
            </w:r>
          </w:p>
        </w:tc>
        <w:tc>
          <w:tcPr>
            <w:tcW w:w="1428" w:type="dxa"/>
            <w:tcBorders>
              <w:top w:val="nil"/>
              <w:bottom w:val="nil"/>
              <w:right w:val="single" w:sz="16" w:space="0" w:color="000000"/>
            </w:tcBorders>
            <w:shd w:val="clear" w:color="auto" w:fill="FFFFFF"/>
            <w:vAlign w:val="center"/>
          </w:tcPr>
          <w:p w14:paraId="04C8B9F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14CDD3F2" w14:textId="77777777" w:rsidTr="00A61163">
        <w:trPr>
          <w:cantSplit/>
          <w:trHeight w:val="340"/>
        </w:trPr>
        <w:tc>
          <w:tcPr>
            <w:tcW w:w="1562" w:type="dxa"/>
            <w:tcBorders>
              <w:top w:val="nil"/>
              <w:left w:val="single" w:sz="16" w:space="0" w:color="000000"/>
              <w:bottom w:val="nil"/>
              <w:right w:val="single" w:sz="16" w:space="0" w:color="000000"/>
            </w:tcBorders>
            <w:shd w:val="clear" w:color="auto" w:fill="FFFFFF"/>
          </w:tcPr>
          <w:p w14:paraId="06CA9292"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BT5</w:t>
            </w:r>
          </w:p>
        </w:tc>
        <w:tc>
          <w:tcPr>
            <w:tcW w:w="2022" w:type="dxa"/>
            <w:tcBorders>
              <w:top w:val="nil"/>
              <w:left w:val="single" w:sz="16" w:space="0" w:color="000000"/>
              <w:bottom w:val="nil"/>
            </w:tcBorders>
            <w:shd w:val="clear" w:color="auto" w:fill="FFFFFF"/>
            <w:vAlign w:val="center"/>
          </w:tcPr>
          <w:p w14:paraId="2465991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68B008E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-.654</w:t>
            </w:r>
          </w:p>
        </w:tc>
        <w:tc>
          <w:tcPr>
            <w:tcW w:w="1508" w:type="dxa"/>
            <w:tcBorders>
              <w:top w:val="nil"/>
              <w:bottom w:val="nil"/>
            </w:tcBorders>
            <w:shd w:val="clear" w:color="auto" w:fill="FFFFFF"/>
            <w:vAlign w:val="center"/>
          </w:tcPr>
          <w:p w14:paraId="4453AE63"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5955E594"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.340</w:t>
            </w:r>
          </w:p>
        </w:tc>
        <w:tc>
          <w:tcPr>
            <w:tcW w:w="1428" w:type="dxa"/>
            <w:tcBorders>
              <w:top w:val="nil"/>
              <w:bottom w:val="nil"/>
              <w:right w:val="single" w:sz="16" w:space="0" w:color="000000"/>
            </w:tcBorders>
            <w:shd w:val="clear" w:color="auto" w:fill="FFFFFF"/>
            <w:vAlign w:val="center"/>
          </w:tcPr>
          <w:p w14:paraId="4F5541E5"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7D94C509" w14:textId="77777777" w:rsidTr="00A61163">
        <w:trPr>
          <w:cantSplit/>
          <w:trHeight w:val="327"/>
        </w:trPr>
        <w:tc>
          <w:tcPr>
            <w:tcW w:w="1562" w:type="dxa"/>
            <w:tcBorders>
              <w:top w:val="nil"/>
              <w:left w:val="single" w:sz="16" w:space="0" w:color="000000"/>
              <w:bottom w:val="nil"/>
              <w:right w:val="single" w:sz="16" w:space="0" w:color="000000"/>
            </w:tcBorders>
            <w:shd w:val="clear" w:color="auto" w:fill="FFFFFF"/>
          </w:tcPr>
          <w:p w14:paraId="3748B804"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BL1</w:t>
            </w:r>
          </w:p>
        </w:tc>
        <w:tc>
          <w:tcPr>
            <w:tcW w:w="2022" w:type="dxa"/>
            <w:tcBorders>
              <w:top w:val="nil"/>
              <w:left w:val="single" w:sz="16" w:space="0" w:color="000000"/>
              <w:bottom w:val="nil"/>
            </w:tcBorders>
            <w:shd w:val="clear" w:color="auto" w:fill="FFFFFF"/>
            <w:vAlign w:val="center"/>
          </w:tcPr>
          <w:p w14:paraId="7BC847C4"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4D7633F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-.709</w:t>
            </w:r>
          </w:p>
        </w:tc>
        <w:tc>
          <w:tcPr>
            <w:tcW w:w="1508" w:type="dxa"/>
            <w:tcBorders>
              <w:top w:val="nil"/>
              <w:bottom w:val="nil"/>
            </w:tcBorders>
            <w:shd w:val="clear" w:color="auto" w:fill="FFFFFF"/>
            <w:vAlign w:val="center"/>
          </w:tcPr>
          <w:p w14:paraId="4AB598F9"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33BA7268"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.481</w:t>
            </w:r>
          </w:p>
        </w:tc>
        <w:tc>
          <w:tcPr>
            <w:tcW w:w="1428" w:type="dxa"/>
            <w:tcBorders>
              <w:top w:val="nil"/>
              <w:bottom w:val="nil"/>
              <w:right w:val="single" w:sz="16" w:space="0" w:color="000000"/>
            </w:tcBorders>
            <w:shd w:val="clear" w:color="auto" w:fill="FFFFFF"/>
            <w:vAlign w:val="center"/>
          </w:tcPr>
          <w:p w14:paraId="12C3D37B"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65591162" w14:textId="77777777" w:rsidTr="00A61163">
        <w:trPr>
          <w:cantSplit/>
          <w:trHeight w:val="340"/>
        </w:trPr>
        <w:tc>
          <w:tcPr>
            <w:tcW w:w="1562" w:type="dxa"/>
            <w:tcBorders>
              <w:top w:val="nil"/>
              <w:left w:val="single" w:sz="16" w:space="0" w:color="000000"/>
              <w:bottom w:val="nil"/>
              <w:right w:val="single" w:sz="16" w:space="0" w:color="000000"/>
            </w:tcBorders>
            <w:shd w:val="clear" w:color="auto" w:fill="FFFFFF"/>
          </w:tcPr>
          <w:p w14:paraId="4F57E2AE"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BL2</w:t>
            </w:r>
          </w:p>
        </w:tc>
        <w:tc>
          <w:tcPr>
            <w:tcW w:w="2022" w:type="dxa"/>
            <w:tcBorders>
              <w:top w:val="nil"/>
              <w:left w:val="single" w:sz="16" w:space="0" w:color="000000"/>
              <w:bottom w:val="nil"/>
            </w:tcBorders>
            <w:shd w:val="clear" w:color="auto" w:fill="FFFFFF"/>
            <w:vAlign w:val="center"/>
          </w:tcPr>
          <w:p w14:paraId="79A00327"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0AA5D61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-.487</w:t>
            </w:r>
          </w:p>
        </w:tc>
        <w:tc>
          <w:tcPr>
            <w:tcW w:w="1508" w:type="dxa"/>
            <w:tcBorders>
              <w:top w:val="nil"/>
              <w:bottom w:val="nil"/>
            </w:tcBorders>
            <w:shd w:val="clear" w:color="auto" w:fill="FFFFFF"/>
            <w:vAlign w:val="center"/>
          </w:tcPr>
          <w:p w14:paraId="17142CEB"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7C0BFC0C"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.101</w:t>
            </w:r>
          </w:p>
        </w:tc>
        <w:tc>
          <w:tcPr>
            <w:tcW w:w="1428" w:type="dxa"/>
            <w:tcBorders>
              <w:top w:val="nil"/>
              <w:bottom w:val="nil"/>
              <w:right w:val="single" w:sz="16" w:space="0" w:color="000000"/>
            </w:tcBorders>
            <w:shd w:val="clear" w:color="auto" w:fill="FFFFFF"/>
            <w:vAlign w:val="center"/>
          </w:tcPr>
          <w:p w14:paraId="72D15FE7"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76BE3008" w14:textId="77777777" w:rsidTr="00A61163">
        <w:trPr>
          <w:cantSplit/>
          <w:trHeight w:val="340"/>
        </w:trPr>
        <w:tc>
          <w:tcPr>
            <w:tcW w:w="1562" w:type="dxa"/>
            <w:tcBorders>
              <w:top w:val="nil"/>
              <w:left w:val="single" w:sz="16" w:space="0" w:color="000000"/>
              <w:bottom w:val="nil"/>
              <w:right w:val="single" w:sz="16" w:space="0" w:color="000000"/>
            </w:tcBorders>
            <w:shd w:val="clear" w:color="auto" w:fill="FFFFFF"/>
          </w:tcPr>
          <w:p w14:paraId="24FCCF2B"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BL3</w:t>
            </w:r>
          </w:p>
        </w:tc>
        <w:tc>
          <w:tcPr>
            <w:tcW w:w="2022" w:type="dxa"/>
            <w:tcBorders>
              <w:top w:val="nil"/>
              <w:left w:val="single" w:sz="16" w:space="0" w:color="000000"/>
              <w:bottom w:val="nil"/>
            </w:tcBorders>
            <w:shd w:val="clear" w:color="auto" w:fill="FFFFFF"/>
            <w:vAlign w:val="center"/>
          </w:tcPr>
          <w:p w14:paraId="11A4740C"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6D04B883"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-.743</w:t>
            </w:r>
          </w:p>
        </w:tc>
        <w:tc>
          <w:tcPr>
            <w:tcW w:w="1508" w:type="dxa"/>
            <w:tcBorders>
              <w:top w:val="nil"/>
              <w:bottom w:val="nil"/>
            </w:tcBorders>
            <w:shd w:val="clear" w:color="auto" w:fill="FFFFFF"/>
            <w:vAlign w:val="center"/>
          </w:tcPr>
          <w:p w14:paraId="692776B8"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2A0257D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.533</w:t>
            </w:r>
          </w:p>
        </w:tc>
        <w:tc>
          <w:tcPr>
            <w:tcW w:w="1428" w:type="dxa"/>
            <w:tcBorders>
              <w:top w:val="nil"/>
              <w:bottom w:val="nil"/>
              <w:right w:val="single" w:sz="16" w:space="0" w:color="000000"/>
            </w:tcBorders>
            <w:shd w:val="clear" w:color="auto" w:fill="FFFFFF"/>
            <w:vAlign w:val="center"/>
          </w:tcPr>
          <w:p w14:paraId="36F1D67C"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6E63865F" w14:textId="77777777" w:rsidTr="00A61163">
        <w:trPr>
          <w:cantSplit/>
          <w:trHeight w:val="327"/>
        </w:trPr>
        <w:tc>
          <w:tcPr>
            <w:tcW w:w="1562" w:type="dxa"/>
            <w:tcBorders>
              <w:top w:val="nil"/>
              <w:left w:val="single" w:sz="16" w:space="0" w:color="000000"/>
              <w:bottom w:val="nil"/>
              <w:right w:val="single" w:sz="16" w:space="0" w:color="000000"/>
            </w:tcBorders>
            <w:shd w:val="clear" w:color="auto" w:fill="FFFFFF"/>
          </w:tcPr>
          <w:p w14:paraId="79458CB4"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BL4</w:t>
            </w:r>
          </w:p>
        </w:tc>
        <w:tc>
          <w:tcPr>
            <w:tcW w:w="2022" w:type="dxa"/>
            <w:tcBorders>
              <w:top w:val="nil"/>
              <w:left w:val="single" w:sz="16" w:space="0" w:color="000000"/>
              <w:bottom w:val="nil"/>
            </w:tcBorders>
            <w:shd w:val="clear" w:color="auto" w:fill="FFFFFF"/>
            <w:vAlign w:val="center"/>
          </w:tcPr>
          <w:p w14:paraId="7C33C182"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68939C9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-.933</w:t>
            </w:r>
          </w:p>
        </w:tc>
        <w:tc>
          <w:tcPr>
            <w:tcW w:w="1508" w:type="dxa"/>
            <w:tcBorders>
              <w:top w:val="nil"/>
              <w:bottom w:val="nil"/>
            </w:tcBorders>
            <w:shd w:val="clear" w:color="auto" w:fill="FFFFFF"/>
            <w:vAlign w:val="center"/>
          </w:tcPr>
          <w:p w14:paraId="01EC7E78"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68BC7AFD"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1.666</w:t>
            </w:r>
          </w:p>
        </w:tc>
        <w:tc>
          <w:tcPr>
            <w:tcW w:w="1428" w:type="dxa"/>
            <w:tcBorders>
              <w:top w:val="nil"/>
              <w:bottom w:val="nil"/>
              <w:right w:val="single" w:sz="16" w:space="0" w:color="000000"/>
            </w:tcBorders>
            <w:shd w:val="clear" w:color="auto" w:fill="FFFFFF"/>
            <w:vAlign w:val="center"/>
          </w:tcPr>
          <w:p w14:paraId="21C71B00"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3AFCE48B" w14:textId="77777777" w:rsidTr="00A61163">
        <w:trPr>
          <w:cantSplit/>
          <w:trHeight w:val="340"/>
        </w:trPr>
        <w:tc>
          <w:tcPr>
            <w:tcW w:w="1562" w:type="dxa"/>
            <w:tcBorders>
              <w:top w:val="nil"/>
              <w:left w:val="single" w:sz="16" w:space="0" w:color="000000"/>
              <w:bottom w:val="nil"/>
              <w:right w:val="single" w:sz="16" w:space="0" w:color="000000"/>
            </w:tcBorders>
            <w:shd w:val="clear" w:color="auto" w:fill="FFFFFF"/>
          </w:tcPr>
          <w:p w14:paraId="7B26CD44"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BL5</w:t>
            </w:r>
          </w:p>
        </w:tc>
        <w:tc>
          <w:tcPr>
            <w:tcW w:w="2022" w:type="dxa"/>
            <w:tcBorders>
              <w:top w:val="nil"/>
              <w:left w:val="single" w:sz="16" w:space="0" w:color="000000"/>
              <w:bottom w:val="nil"/>
            </w:tcBorders>
            <w:shd w:val="clear" w:color="auto" w:fill="FFFFFF"/>
            <w:vAlign w:val="center"/>
          </w:tcPr>
          <w:p w14:paraId="1A9D9321"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2A222258"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-.880</w:t>
            </w:r>
          </w:p>
        </w:tc>
        <w:tc>
          <w:tcPr>
            <w:tcW w:w="1508" w:type="dxa"/>
            <w:tcBorders>
              <w:top w:val="nil"/>
              <w:bottom w:val="nil"/>
            </w:tcBorders>
            <w:shd w:val="clear" w:color="auto" w:fill="FFFFFF"/>
            <w:vAlign w:val="center"/>
          </w:tcPr>
          <w:p w14:paraId="7A8C5D23"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75DDF961"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.933</w:t>
            </w:r>
          </w:p>
        </w:tc>
        <w:tc>
          <w:tcPr>
            <w:tcW w:w="1428" w:type="dxa"/>
            <w:tcBorders>
              <w:top w:val="nil"/>
              <w:bottom w:val="nil"/>
              <w:right w:val="single" w:sz="16" w:space="0" w:color="000000"/>
            </w:tcBorders>
            <w:shd w:val="clear" w:color="auto" w:fill="FFFFFF"/>
            <w:vAlign w:val="center"/>
          </w:tcPr>
          <w:p w14:paraId="5FB4ED35"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617058E9" w14:textId="77777777" w:rsidTr="00A61163">
        <w:trPr>
          <w:cantSplit/>
          <w:trHeight w:val="340"/>
        </w:trPr>
        <w:tc>
          <w:tcPr>
            <w:tcW w:w="1562" w:type="dxa"/>
            <w:tcBorders>
              <w:top w:val="nil"/>
              <w:left w:val="single" w:sz="16" w:space="0" w:color="000000"/>
              <w:bottom w:val="nil"/>
              <w:right w:val="single" w:sz="16" w:space="0" w:color="000000"/>
            </w:tcBorders>
            <w:shd w:val="clear" w:color="auto" w:fill="FFFFFF"/>
          </w:tcPr>
          <w:p w14:paraId="12D87D9E"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BLT1</w:t>
            </w:r>
          </w:p>
        </w:tc>
        <w:tc>
          <w:tcPr>
            <w:tcW w:w="2022" w:type="dxa"/>
            <w:tcBorders>
              <w:top w:val="nil"/>
              <w:left w:val="single" w:sz="16" w:space="0" w:color="000000"/>
              <w:bottom w:val="nil"/>
            </w:tcBorders>
            <w:shd w:val="clear" w:color="auto" w:fill="FFFFFF"/>
            <w:vAlign w:val="center"/>
          </w:tcPr>
          <w:p w14:paraId="1657D710"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42E25149"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-.775</w:t>
            </w:r>
          </w:p>
        </w:tc>
        <w:tc>
          <w:tcPr>
            <w:tcW w:w="1508" w:type="dxa"/>
            <w:tcBorders>
              <w:top w:val="nil"/>
              <w:bottom w:val="nil"/>
            </w:tcBorders>
            <w:shd w:val="clear" w:color="auto" w:fill="FFFFFF"/>
            <w:vAlign w:val="center"/>
          </w:tcPr>
          <w:p w14:paraId="7F553A81"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03B250AB"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.943</w:t>
            </w:r>
          </w:p>
        </w:tc>
        <w:tc>
          <w:tcPr>
            <w:tcW w:w="1428" w:type="dxa"/>
            <w:tcBorders>
              <w:top w:val="nil"/>
              <w:bottom w:val="nil"/>
              <w:right w:val="single" w:sz="16" w:space="0" w:color="000000"/>
            </w:tcBorders>
            <w:shd w:val="clear" w:color="auto" w:fill="FFFFFF"/>
            <w:vAlign w:val="center"/>
          </w:tcPr>
          <w:p w14:paraId="6ACD4F84"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01596E24" w14:textId="77777777" w:rsidTr="00A61163">
        <w:trPr>
          <w:cantSplit/>
          <w:trHeight w:val="327"/>
        </w:trPr>
        <w:tc>
          <w:tcPr>
            <w:tcW w:w="1562" w:type="dxa"/>
            <w:tcBorders>
              <w:top w:val="nil"/>
              <w:left w:val="single" w:sz="16" w:space="0" w:color="000000"/>
              <w:bottom w:val="nil"/>
              <w:right w:val="single" w:sz="16" w:space="0" w:color="000000"/>
            </w:tcBorders>
            <w:shd w:val="clear" w:color="auto" w:fill="FFFFFF"/>
          </w:tcPr>
          <w:p w14:paraId="2E0FDA75"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BLT2</w:t>
            </w:r>
          </w:p>
        </w:tc>
        <w:tc>
          <w:tcPr>
            <w:tcW w:w="2022" w:type="dxa"/>
            <w:tcBorders>
              <w:top w:val="nil"/>
              <w:left w:val="single" w:sz="16" w:space="0" w:color="000000"/>
              <w:bottom w:val="nil"/>
            </w:tcBorders>
            <w:shd w:val="clear" w:color="auto" w:fill="FFFFFF"/>
            <w:vAlign w:val="center"/>
          </w:tcPr>
          <w:p w14:paraId="313C7EFD"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78E08A7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-.722</w:t>
            </w:r>
          </w:p>
        </w:tc>
        <w:tc>
          <w:tcPr>
            <w:tcW w:w="1508" w:type="dxa"/>
            <w:tcBorders>
              <w:top w:val="nil"/>
              <w:bottom w:val="nil"/>
            </w:tcBorders>
            <w:shd w:val="clear" w:color="auto" w:fill="FFFFFF"/>
            <w:vAlign w:val="center"/>
          </w:tcPr>
          <w:p w14:paraId="592E1B21"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58D39787"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.094</w:t>
            </w:r>
          </w:p>
        </w:tc>
        <w:tc>
          <w:tcPr>
            <w:tcW w:w="1428" w:type="dxa"/>
            <w:tcBorders>
              <w:top w:val="nil"/>
              <w:bottom w:val="nil"/>
              <w:right w:val="single" w:sz="16" w:space="0" w:color="000000"/>
            </w:tcBorders>
            <w:shd w:val="clear" w:color="auto" w:fill="FFFFFF"/>
            <w:vAlign w:val="center"/>
          </w:tcPr>
          <w:p w14:paraId="48690E61"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77D46C31" w14:textId="77777777" w:rsidTr="00A61163">
        <w:trPr>
          <w:cantSplit/>
          <w:trHeight w:val="340"/>
        </w:trPr>
        <w:tc>
          <w:tcPr>
            <w:tcW w:w="1562" w:type="dxa"/>
            <w:tcBorders>
              <w:top w:val="nil"/>
              <w:left w:val="single" w:sz="16" w:space="0" w:color="000000"/>
              <w:bottom w:val="nil"/>
              <w:right w:val="single" w:sz="16" w:space="0" w:color="000000"/>
            </w:tcBorders>
            <w:shd w:val="clear" w:color="auto" w:fill="FFFFFF"/>
          </w:tcPr>
          <w:p w14:paraId="5EE318D1"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BLT3</w:t>
            </w:r>
          </w:p>
        </w:tc>
        <w:tc>
          <w:tcPr>
            <w:tcW w:w="2022" w:type="dxa"/>
            <w:tcBorders>
              <w:top w:val="nil"/>
              <w:left w:val="single" w:sz="16" w:space="0" w:color="000000"/>
              <w:bottom w:val="nil"/>
            </w:tcBorders>
            <w:shd w:val="clear" w:color="auto" w:fill="FFFFFF"/>
            <w:vAlign w:val="center"/>
          </w:tcPr>
          <w:p w14:paraId="493BFD8B"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1D7A86DA"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-.874</w:t>
            </w:r>
          </w:p>
        </w:tc>
        <w:tc>
          <w:tcPr>
            <w:tcW w:w="1508" w:type="dxa"/>
            <w:tcBorders>
              <w:top w:val="nil"/>
              <w:bottom w:val="nil"/>
            </w:tcBorders>
            <w:shd w:val="clear" w:color="auto" w:fill="FFFFFF"/>
            <w:vAlign w:val="center"/>
          </w:tcPr>
          <w:p w14:paraId="00942C5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4F76DD73"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1.468</w:t>
            </w:r>
          </w:p>
        </w:tc>
        <w:tc>
          <w:tcPr>
            <w:tcW w:w="1428" w:type="dxa"/>
            <w:tcBorders>
              <w:top w:val="nil"/>
              <w:bottom w:val="nil"/>
              <w:right w:val="single" w:sz="16" w:space="0" w:color="000000"/>
            </w:tcBorders>
            <w:shd w:val="clear" w:color="auto" w:fill="FFFFFF"/>
            <w:vAlign w:val="center"/>
          </w:tcPr>
          <w:p w14:paraId="1E1A73AD"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102B87D4" w14:textId="77777777" w:rsidTr="00A61163">
        <w:trPr>
          <w:cantSplit/>
          <w:trHeight w:val="340"/>
        </w:trPr>
        <w:tc>
          <w:tcPr>
            <w:tcW w:w="1562" w:type="dxa"/>
            <w:tcBorders>
              <w:top w:val="nil"/>
              <w:left w:val="single" w:sz="16" w:space="0" w:color="000000"/>
              <w:bottom w:val="nil"/>
              <w:right w:val="single" w:sz="16" w:space="0" w:color="000000"/>
            </w:tcBorders>
            <w:shd w:val="clear" w:color="auto" w:fill="FFFFFF"/>
          </w:tcPr>
          <w:p w14:paraId="2B47846B"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BLT4</w:t>
            </w:r>
          </w:p>
        </w:tc>
        <w:tc>
          <w:tcPr>
            <w:tcW w:w="2022" w:type="dxa"/>
            <w:tcBorders>
              <w:top w:val="nil"/>
              <w:left w:val="single" w:sz="16" w:space="0" w:color="000000"/>
              <w:bottom w:val="nil"/>
            </w:tcBorders>
            <w:shd w:val="clear" w:color="auto" w:fill="FFFFFF"/>
            <w:vAlign w:val="center"/>
          </w:tcPr>
          <w:p w14:paraId="71AFD702"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01D85547"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-.805</w:t>
            </w:r>
          </w:p>
        </w:tc>
        <w:tc>
          <w:tcPr>
            <w:tcW w:w="1508" w:type="dxa"/>
            <w:tcBorders>
              <w:top w:val="nil"/>
              <w:bottom w:val="nil"/>
            </w:tcBorders>
            <w:shd w:val="clear" w:color="auto" w:fill="FFFFFF"/>
            <w:vAlign w:val="center"/>
          </w:tcPr>
          <w:p w14:paraId="634C277C"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7B939DB5"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.689</w:t>
            </w:r>
          </w:p>
        </w:tc>
        <w:tc>
          <w:tcPr>
            <w:tcW w:w="1428" w:type="dxa"/>
            <w:tcBorders>
              <w:top w:val="nil"/>
              <w:bottom w:val="nil"/>
              <w:right w:val="single" w:sz="16" w:space="0" w:color="000000"/>
            </w:tcBorders>
            <w:shd w:val="clear" w:color="auto" w:fill="FFFFFF"/>
            <w:vAlign w:val="center"/>
          </w:tcPr>
          <w:p w14:paraId="69161B8B"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1D626811" w14:textId="77777777" w:rsidTr="00A61163">
        <w:trPr>
          <w:cantSplit/>
          <w:trHeight w:val="327"/>
        </w:trPr>
        <w:tc>
          <w:tcPr>
            <w:tcW w:w="1562" w:type="dxa"/>
            <w:tcBorders>
              <w:top w:val="nil"/>
              <w:left w:val="single" w:sz="16" w:space="0" w:color="000000"/>
              <w:bottom w:val="nil"/>
              <w:right w:val="single" w:sz="16" w:space="0" w:color="000000"/>
            </w:tcBorders>
            <w:shd w:val="clear" w:color="auto" w:fill="FFFFFF"/>
          </w:tcPr>
          <w:p w14:paraId="71068BCE"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BLT5</w:t>
            </w:r>
          </w:p>
        </w:tc>
        <w:tc>
          <w:tcPr>
            <w:tcW w:w="2022" w:type="dxa"/>
            <w:tcBorders>
              <w:top w:val="nil"/>
              <w:left w:val="single" w:sz="16" w:space="0" w:color="000000"/>
              <w:bottom w:val="nil"/>
            </w:tcBorders>
            <w:shd w:val="clear" w:color="auto" w:fill="FFFFFF"/>
            <w:vAlign w:val="center"/>
          </w:tcPr>
          <w:p w14:paraId="232E5C18"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nil"/>
            </w:tcBorders>
            <w:shd w:val="clear" w:color="auto" w:fill="FFFFFF"/>
            <w:vAlign w:val="center"/>
          </w:tcPr>
          <w:p w14:paraId="448FBABE"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-.788</w:t>
            </w:r>
          </w:p>
        </w:tc>
        <w:tc>
          <w:tcPr>
            <w:tcW w:w="1508" w:type="dxa"/>
            <w:tcBorders>
              <w:top w:val="nil"/>
              <w:bottom w:val="nil"/>
            </w:tcBorders>
            <w:shd w:val="clear" w:color="auto" w:fill="FFFFFF"/>
            <w:vAlign w:val="center"/>
          </w:tcPr>
          <w:p w14:paraId="58FBE370"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.116</w:t>
            </w:r>
          </w:p>
        </w:tc>
        <w:tc>
          <w:tcPr>
            <w:tcW w:w="1443" w:type="dxa"/>
            <w:tcBorders>
              <w:top w:val="nil"/>
              <w:bottom w:val="nil"/>
            </w:tcBorders>
            <w:shd w:val="clear" w:color="auto" w:fill="FFFFFF"/>
            <w:vAlign w:val="center"/>
          </w:tcPr>
          <w:p w14:paraId="5251266A"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.306</w:t>
            </w:r>
          </w:p>
        </w:tc>
        <w:tc>
          <w:tcPr>
            <w:tcW w:w="1428" w:type="dxa"/>
            <w:tcBorders>
              <w:top w:val="nil"/>
              <w:bottom w:val="nil"/>
              <w:right w:val="single" w:sz="16" w:space="0" w:color="000000"/>
            </w:tcBorders>
            <w:shd w:val="clear" w:color="auto" w:fill="FFFFFF"/>
            <w:vAlign w:val="center"/>
          </w:tcPr>
          <w:p w14:paraId="0E3B8B79"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.231</w:t>
            </w:r>
          </w:p>
        </w:tc>
      </w:tr>
      <w:tr w:rsidR="00A61163" w:rsidRPr="00CF3DDD" w14:paraId="6B9A5570" w14:textId="77777777" w:rsidTr="00A61163">
        <w:trPr>
          <w:cantSplit/>
          <w:trHeight w:val="340"/>
        </w:trPr>
        <w:tc>
          <w:tcPr>
            <w:tcW w:w="1562" w:type="dxa"/>
            <w:tcBorders>
              <w:top w:val="nil"/>
              <w:left w:val="single" w:sz="16" w:space="0" w:color="000000"/>
              <w:bottom w:val="single" w:sz="16" w:space="0" w:color="000000"/>
              <w:right w:val="single" w:sz="16" w:space="0" w:color="000000"/>
            </w:tcBorders>
            <w:shd w:val="clear" w:color="auto" w:fill="FFFFFF"/>
          </w:tcPr>
          <w:p w14:paraId="633F161C"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Valid N (listwise)</w:t>
            </w:r>
          </w:p>
        </w:tc>
        <w:tc>
          <w:tcPr>
            <w:tcW w:w="2022" w:type="dxa"/>
            <w:tcBorders>
              <w:top w:val="nil"/>
              <w:left w:val="single" w:sz="16" w:space="0" w:color="000000"/>
              <w:bottom w:val="single" w:sz="16" w:space="0" w:color="000000"/>
            </w:tcBorders>
            <w:shd w:val="clear" w:color="auto" w:fill="FFFFFF"/>
            <w:vAlign w:val="center"/>
          </w:tcPr>
          <w:p w14:paraId="06402A62"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443</w:t>
            </w:r>
          </w:p>
        </w:tc>
        <w:tc>
          <w:tcPr>
            <w:tcW w:w="1690" w:type="dxa"/>
            <w:tcBorders>
              <w:top w:val="nil"/>
              <w:bottom w:val="single" w:sz="16" w:space="0" w:color="000000"/>
            </w:tcBorders>
            <w:shd w:val="clear" w:color="auto" w:fill="FFFFFF"/>
            <w:vAlign w:val="center"/>
          </w:tcPr>
          <w:p w14:paraId="66A6AEE4" w14:textId="77777777" w:rsidR="00A61163" w:rsidRPr="00CF3DDD" w:rsidRDefault="00A61163" w:rsidP="00CF3DDD">
            <w:pPr>
              <w:autoSpaceDE w:val="0"/>
              <w:autoSpaceDN w:val="0"/>
              <w:adjustRightInd w:val="0"/>
              <w:spacing w:after="0" w:line="360" w:lineRule="auto"/>
              <w:rPr>
                <w:rFonts w:cs="Times New Roman"/>
                <w:szCs w:val="24"/>
              </w:rPr>
            </w:pPr>
          </w:p>
        </w:tc>
        <w:tc>
          <w:tcPr>
            <w:tcW w:w="1508" w:type="dxa"/>
            <w:tcBorders>
              <w:top w:val="nil"/>
              <w:bottom w:val="single" w:sz="16" w:space="0" w:color="000000"/>
            </w:tcBorders>
            <w:shd w:val="clear" w:color="auto" w:fill="FFFFFF"/>
            <w:vAlign w:val="center"/>
          </w:tcPr>
          <w:p w14:paraId="239050FF" w14:textId="77777777" w:rsidR="00A61163" w:rsidRPr="00CF3DDD" w:rsidRDefault="00A61163" w:rsidP="00CF3DDD">
            <w:pPr>
              <w:autoSpaceDE w:val="0"/>
              <w:autoSpaceDN w:val="0"/>
              <w:adjustRightInd w:val="0"/>
              <w:spacing w:after="0" w:line="360" w:lineRule="auto"/>
              <w:rPr>
                <w:rFonts w:cs="Times New Roman"/>
                <w:szCs w:val="24"/>
              </w:rPr>
            </w:pPr>
          </w:p>
        </w:tc>
        <w:tc>
          <w:tcPr>
            <w:tcW w:w="1443" w:type="dxa"/>
            <w:tcBorders>
              <w:top w:val="nil"/>
              <w:bottom w:val="single" w:sz="16" w:space="0" w:color="000000"/>
            </w:tcBorders>
            <w:shd w:val="clear" w:color="auto" w:fill="FFFFFF"/>
            <w:vAlign w:val="center"/>
          </w:tcPr>
          <w:p w14:paraId="72801D40" w14:textId="77777777" w:rsidR="00A61163" w:rsidRPr="00CF3DDD" w:rsidRDefault="00A61163" w:rsidP="00CF3DDD">
            <w:pPr>
              <w:autoSpaceDE w:val="0"/>
              <w:autoSpaceDN w:val="0"/>
              <w:adjustRightInd w:val="0"/>
              <w:spacing w:after="0" w:line="360" w:lineRule="auto"/>
              <w:rPr>
                <w:rFonts w:cs="Times New Roman"/>
                <w:szCs w:val="24"/>
              </w:rPr>
            </w:pPr>
          </w:p>
        </w:tc>
        <w:tc>
          <w:tcPr>
            <w:tcW w:w="1428" w:type="dxa"/>
            <w:tcBorders>
              <w:top w:val="nil"/>
              <w:bottom w:val="single" w:sz="16" w:space="0" w:color="000000"/>
              <w:right w:val="single" w:sz="16" w:space="0" w:color="000000"/>
            </w:tcBorders>
            <w:shd w:val="clear" w:color="auto" w:fill="FFFFFF"/>
            <w:vAlign w:val="center"/>
          </w:tcPr>
          <w:p w14:paraId="37EF1F8E" w14:textId="77777777" w:rsidR="00A61163" w:rsidRPr="00CF3DDD" w:rsidRDefault="00A61163" w:rsidP="00CF3DDD">
            <w:pPr>
              <w:autoSpaceDE w:val="0"/>
              <w:autoSpaceDN w:val="0"/>
              <w:adjustRightInd w:val="0"/>
              <w:spacing w:after="0" w:line="360" w:lineRule="auto"/>
              <w:rPr>
                <w:rFonts w:cs="Times New Roman"/>
                <w:szCs w:val="24"/>
              </w:rPr>
            </w:pPr>
          </w:p>
        </w:tc>
      </w:tr>
    </w:tbl>
    <w:p w14:paraId="1ACC9523" w14:textId="77777777" w:rsidR="009277D2" w:rsidRPr="00CF3DDD" w:rsidRDefault="009277D2" w:rsidP="00CF3DDD">
      <w:pPr>
        <w:pStyle w:val="NormalWeb"/>
        <w:spacing w:line="360" w:lineRule="auto"/>
        <w:rPr>
          <w:rFonts w:eastAsia="Arial"/>
          <w:highlight w:val="cyan"/>
          <w:lang w:val="en"/>
        </w:rPr>
      </w:pPr>
    </w:p>
    <w:p w14:paraId="35822579" w14:textId="77777777" w:rsidR="00A61163" w:rsidRPr="00CF3DDD" w:rsidRDefault="00A61163" w:rsidP="00CF3DDD">
      <w:pPr>
        <w:pStyle w:val="NormalWeb"/>
        <w:spacing w:line="360" w:lineRule="auto"/>
        <w:rPr>
          <w:rFonts w:eastAsia="Arial"/>
          <w:highlight w:val="cyan"/>
          <w:lang w:val="en"/>
        </w:rPr>
      </w:pPr>
      <w:r w:rsidRPr="00CF3DDD">
        <w:rPr>
          <w:rFonts w:eastAsia="Arial"/>
          <w:highlight w:val="cyan"/>
          <w:lang w:val="en"/>
        </w:rPr>
        <w:lastRenderedPageBreak/>
        <w:t>H1: Brand Equity positively affects Brand Loyalty.</w:t>
      </w:r>
    </w:p>
    <w:tbl>
      <w:tblPr>
        <w:tblW w:w="58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5"/>
        <w:gridCol w:w="1024"/>
        <w:gridCol w:w="1086"/>
        <w:gridCol w:w="1469"/>
        <w:gridCol w:w="1469"/>
      </w:tblGrid>
      <w:tr w:rsidR="00A61163" w:rsidRPr="00CF3DDD" w14:paraId="42CCB8AB" w14:textId="77777777" w:rsidTr="00872283">
        <w:trPr>
          <w:cantSplit/>
        </w:trPr>
        <w:tc>
          <w:tcPr>
            <w:tcW w:w="5841" w:type="dxa"/>
            <w:gridSpan w:val="5"/>
            <w:tcBorders>
              <w:top w:val="nil"/>
              <w:left w:val="nil"/>
              <w:bottom w:val="nil"/>
              <w:right w:val="nil"/>
            </w:tcBorders>
            <w:shd w:val="clear" w:color="auto" w:fill="FFFFFF"/>
            <w:vAlign w:val="center"/>
          </w:tcPr>
          <w:p w14:paraId="5CE470EA"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b/>
                <w:bCs/>
                <w:color w:val="000000"/>
                <w:sz w:val="20"/>
                <w:szCs w:val="20"/>
              </w:rPr>
              <w:t xml:space="preserve">Model </w:t>
            </w:r>
            <w:proofErr w:type="spellStart"/>
            <w:r w:rsidRPr="00CF3DDD">
              <w:rPr>
                <w:rFonts w:cs="Times New Roman"/>
                <w:b/>
                <w:bCs/>
                <w:color w:val="000000"/>
                <w:sz w:val="20"/>
                <w:szCs w:val="20"/>
              </w:rPr>
              <w:t>Summary</w:t>
            </w:r>
            <w:r w:rsidRPr="00CF3DDD">
              <w:rPr>
                <w:rFonts w:cs="Times New Roman"/>
                <w:b/>
                <w:bCs/>
                <w:color w:val="000000"/>
                <w:sz w:val="20"/>
                <w:szCs w:val="20"/>
                <w:vertAlign w:val="superscript"/>
              </w:rPr>
              <w:t>b</w:t>
            </w:r>
            <w:proofErr w:type="spellEnd"/>
          </w:p>
        </w:tc>
      </w:tr>
      <w:tr w:rsidR="00A61163" w:rsidRPr="00CF3DDD" w14:paraId="289E34EA" w14:textId="77777777" w:rsidTr="00872283">
        <w:trPr>
          <w:cantSplit/>
        </w:trPr>
        <w:tc>
          <w:tcPr>
            <w:tcW w:w="79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42D55508"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Model</w:t>
            </w:r>
          </w:p>
        </w:tc>
        <w:tc>
          <w:tcPr>
            <w:tcW w:w="1024" w:type="dxa"/>
            <w:tcBorders>
              <w:top w:val="single" w:sz="16" w:space="0" w:color="000000"/>
              <w:left w:val="single" w:sz="16" w:space="0" w:color="000000"/>
              <w:bottom w:val="single" w:sz="16" w:space="0" w:color="000000"/>
            </w:tcBorders>
            <w:shd w:val="clear" w:color="auto" w:fill="FFFFFF"/>
            <w:vAlign w:val="bottom"/>
          </w:tcPr>
          <w:p w14:paraId="0D2BF6BD"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R</w:t>
            </w:r>
          </w:p>
        </w:tc>
        <w:tc>
          <w:tcPr>
            <w:tcW w:w="1086" w:type="dxa"/>
            <w:tcBorders>
              <w:top w:val="single" w:sz="16" w:space="0" w:color="000000"/>
              <w:bottom w:val="single" w:sz="16" w:space="0" w:color="000000"/>
            </w:tcBorders>
            <w:shd w:val="clear" w:color="auto" w:fill="FFFFFF"/>
            <w:vAlign w:val="bottom"/>
          </w:tcPr>
          <w:p w14:paraId="6AA57A8A"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R Square</w:t>
            </w:r>
          </w:p>
        </w:tc>
        <w:tc>
          <w:tcPr>
            <w:tcW w:w="1468" w:type="dxa"/>
            <w:tcBorders>
              <w:top w:val="single" w:sz="16" w:space="0" w:color="000000"/>
              <w:bottom w:val="single" w:sz="16" w:space="0" w:color="000000"/>
            </w:tcBorders>
            <w:shd w:val="clear" w:color="auto" w:fill="FFFFFF"/>
            <w:vAlign w:val="bottom"/>
          </w:tcPr>
          <w:p w14:paraId="695ADDB7"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Adjusted R Square</w:t>
            </w:r>
          </w:p>
        </w:tc>
        <w:tc>
          <w:tcPr>
            <w:tcW w:w="1468" w:type="dxa"/>
            <w:tcBorders>
              <w:top w:val="single" w:sz="16" w:space="0" w:color="000000"/>
              <w:bottom w:val="single" w:sz="16" w:space="0" w:color="000000"/>
              <w:right w:val="single" w:sz="16" w:space="0" w:color="000000"/>
            </w:tcBorders>
            <w:shd w:val="clear" w:color="auto" w:fill="FFFFFF"/>
            <w:vAlign w:val="bottom"/>
          </w:tcPr>
          <w:p w14:paraId="5DF8B0A9"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Std. Error of the Estimate</w:t>
            </w:r>
          </w:p>
        </w:tc>
      </w:tr>
      <w:tr w:rsidR="00A61163" w:rsidRPr="00CF3DDD" w14:paraId="08CDD411" w14:textId="77777777" w:rsidTr="00872283">
        <w:trPr>
          <w:cantSplit/>
        </w:trPr>
        <w:tc>
          <w:tcPr>
            <w:tcW w:w="795" w:type="dxa"/>
            <w:tcBorders>
              <w:top w:val="single" w:sz="16" w:space="0" w:color="000000"/>
              <w:left w:val="single" w:sz="16" w:space="0" w:color="000000"/>
              <w:bottom w:val="single" w:sz="16" w:space="0" w:color="000000"/>
              <w:right w:val="single" w:sz="16" w:space="0" w:color="000000"/>
            </w:tcBorders>
            <w:shd w:val="clear" w:color="auto" w:fill="FFFFFF"/>
          </w:tcPr>
          <w:p w14:paraId="5860AF9A"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1</w:t>
            </w:r>
          </w:p>
        </w:tc>
        <w:tc>
          <w:tcPr>
            <w:tcW w:w="1024" w:type="dxa"/>
            <w:tcBorders>
              <w:top w:val="single" w:sz="16" w:space="0" w:color="000000"/>
              <w:left w:val="single" w:sz="16" w:space="0" w:color="000000"/>
              <w:bottom w:val="single" w:sz="16" w:space="0" w:color="000000"/>
            </w:tcBorders>
            <w:shd w:val="clear" w:color="auto" w:fill="FFFFFF"/>
            <w:vAlign w:val="center"/>
          </w:tcPr>
          <w:p w14:paraId="103D8270"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.428</w:t>
            </w:r>
            <w:r w:rsidRPr="00CF3DDD">
              <w:rPr>
                <w:rFonts w:cs="Times New Roman"/>
                <w:color w:val="000000"/>
                <w:sz w:val="18"/>
                <w:szCs w:val="18"/>
                <w:vertAlign w:val="superscript"/>
              </w:rPr>
              <w:t>a</w:t>
            </w:r>
          </w:p>
        </w:tc>
        <w:tc>
          <w:tcPr>
            <w:tcW w:w="1086" w:type="dxa"/>
            <w:tcBorders>
              <w:top w:val="single" w:sz="16" w:space="0" w:color="000000"/>
              <w:bottom w:val="single" w:sz="16" w:space="0" w:color="000000"/>
            </w:tcBorders>
            <w:shd w:val="clear" w:color="auto" w:fill="FFFFFF"/>
            <w:vAlign w:val="center"/>
          </w:tcPr>
          <w:p w14:paraId="22C1ADD9"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.183</w:t>
            </w:r>
          </w:p>
        </w:tc>
        <w:tc>
          <w:tcPr>
            <w:tcW w:w="1468" w:type="dxa"/>
            <w:tcBorders>
              <w:top w:val="single" w:sz="16" w:space="0" w:color="000000"/>
              <w:bottom w:val="single" w:sz="16" w:space="0" w:color="000000"/>
            </w:tcBorders>
            <w:shd w:val="clear" w:color="auto" w:fill="FFFFFF"/>
            <w:vAlign w:val="center"/>
          </w:tcPr>
          <w:p w14:paraId="7B372948"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.182</w:t>
            </w:r>
          </w:p>
        </w:tc>
        <w:tc>
          <w:tcPr>
            <w:tcW w:w="1468" w:type="dxa"/>
            <w:tcBorders>
              <w:top w:val="single" w:sz="16" w:space="0" w:color="000000"/>
              <w:bottom w:val="single" w:sz="16" w:space="0" w:color="000000"/>
              <w:right w:val="single" w:sz="16" w:space="0" w:color="000000"/>
            </w:tcBorders>
            <w:shd w:val="clear" w:color="auto" w:fill="FFFFFF"/>
            <w:vAlign w:val="center"/>
          </w:tcPr>
          <w:p w14:paraId="0E37ABFD"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.51618</w:t>
            </w:r>
          </w:p>
        </w:tc>
      </w:tr>
      <w:tr w:rsidR="00A61163" w:rsidRPr="00CF3DDD" w14:paraId="3F3A430E" w14:textId="77777777" w:rsidTr="00872283">
        <w:trPr>
          <w:cantSplit/>
        </w:trPr>
        <w:tc>
          <w:tcPr>
            <w:tcW w:w="5841" w:type="dxa"/>
            <w:gridSpan w:val="5"/>
            <w:tcBorders>
              <w:top w:val="nil"/>
              <w:left w:val="nil"/>
              <w:bottom w:val="nil"/>
              <w:right w:val="nil"/>
            </w:tcBorders>
            <w:shd w:val="clear" w:color="auto" w:fill="FFFFFF"/>
          </w:tcPr>
          <w:p w14:paraId="5B4D4AC5"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 xml:space="preserve">a. Predictors: (Constant), </w:t>
            </w:r>
            <w:proofErr w:type="spellStart"/>
            <w:r w:rsidRPr="00CF3DDD">
              <w:rPr>
                <w:rFonts w:cs="Times New Roman"/>
                <w:color w:val="000000"/>
                <w:sz w:val="18"/>
                <w:szCs w:val="18"/>
              </w:rPr>
              <w:t>AvgBE</w:t>
            </w:r>
            <w:proofErr w:type="spellEnd"/>
          </w:p>
        </w:tc>
      </w:tr>
      <w:tr w:rsidR="00A61163" w:rsidRPr="00CF3DDD" w14:paraId="4B80C920" w14:textId="77777777" w:rsidTr="00872283">
        <w:trPr>
          <w:cantSplit/>
        </w:trPr>
        <w:tc>
          <w:tcPr>
            <w:tcW w:w="5841" w:type="dxa"/>
            <w:gridSpan w:val="5"/>
            <w:tcBorders>
              <w:top w:val="nil"/>
              <w:left w:val="nil"/>
              <w:bottom w:val="nil"/>
              <w:right w:val="nil"/>
            </w:tcBorders>
            <w:shd w:val="clear" w:color="auto" w:fill="FFFFFF"/>
          </w:tcPr>
          <w:p w14:paraId="392B419C"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 xml:space="preserve">b. Dependent Variable: </w:t>
            </w:r>
            <w:proofErr w:type="spellStart"/>
            <w:r w:rsidRPr="00CF3DDD">
              <w:rPr>
                <w:rFonts w:cs="Times New Roman"/>
                <w:color w:val="000000"/>
                <w:sz w:val="18"/>
                <w:szCs w:val="18"/>
              </w:rPr>
              <w:t>AvgBLT</w:t>
            </w:r>
            <w:proofErr w:type="spellEnd"/>
          </w:p>
        </w:tc>
      </w:tr>
    </w:tbl>
    <w:p w14:paraId="26B0A718" w14:textId="77777777" w:rsidR="00A61163" w:rsidRPr="00CF3DDD" w:rsidRDefault="00A61163" w:rsidP="00CF3DDD">
      <w:pPr>
        <w:autoSpaceDE w:val="0"/>
        <w:autoSpaceDN w:val="0"/>
        <w:adjustRightInd w:val="0"/>
        <w:spacing w:after="0" w:line="360" w:lineRule="auto"/>
        <w:rPr>
          <w:rFonts w:cs="Times New Roman"/>
          <w:szCs w:val="24"/>
        </w:rPr>
      </w:pPr>
    </w:p>
    <w:tbl>
      <w:tblPr>
        <w:tblW w:w="80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62"/>
        <w:gridCol w:w="1024"/>
        <w:gridCol w:w="92"/>
        <w:gridCol w:w="994"/>
        <w:gridCol w:w="337"/>
        <w:gridCol w:w="1132"/>
        <w:gridCol w:w="199"/>
        <w:gridCol w:w="1270"/>
        <w:gridCol w:w="199"/>
        <w:gridCol w:w="1025"/>
        <w:gridCol w:w="1025"/>
      </w:tblGrid>
      <w:tr w:rsidR="00A61163" w:rsidRPr="00CF3DDD" w14:paraId="1C786ECD" w14:textId="77777777" w:rsidTr="00A61163">
        <w:trPr>
          <w:cantSplit/>
        </w:trPr>
        <w:tc>
          <w:tcPr>
            <w:tcW w:w="8092" w:type="dxa"/>
            <w:gridSpan w:val="12"/>
            <w:tcBorders>
              <w:top w:val="nil"/>
              <w:left w:val="nil"/>
              <w:bottom w:val="nil"/>
              <w:right w:val="nil"/>
            </w:tcBorders>
            <w:shd w:val="clear" w:color="auto" w:fill="FFFFFF"/>
            <w:vAlign w:val="center"/>
          </w:tcPr>
          <w:p w14:paraId="62070EB8" w14:textId="77777777" w:rsidR="00A61163" w:rsidRPr="00CF3DDD" w:rsidRDefault="00A61163" w:rsidP="00CF3DDD">
            <w:pPr>
              <w:autoSpaceDE w:val="0"/>
              <w:autoSpaceDN w:val="0"/>
              <w:adjustRightInd w:val="0"/>
              <w:spacing w:after="0" w:line="360" w:lineRule="auto"/>
              <w:ind w:left="60" w:right="60"/>
              <w:jc w:val="center"/>
              <w:rPr>
                <w:rFonts w:cs="Times New Roman"/>
                <w:b/>
                <w:bCs/>
                <w:color w:val="000000"/>
                <w:sz w:val="20"/>
                <w:szCs w:val="20"/>
              </w:rPr>
            </w:pPr>
          </w:p>
          <w:p w14:paraId="43CCA23A"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b/>
                <w:bCs/>
                <w:color w:val="000000"/>
                <w:sz w:val="20"/>
                <w:szCs w:val="20"/>
              </w:rPr>
              <w:t>Coefficients</w:t>
            </w:r>
          </w:p>
        </w:tc>
      </w:tr>
      <w:tr w:rsidR="00A61163" w:rsidRPr="00CF3DDD" w14:paraId="55524763" w14:textId="77777777" w:rsidTr="00A61163">
        <w:trPr>
          <w:cantSplit/>
        </w:trPr>
        <w:tc>
          <w:tcPr>
            <w:tcW w:w="1911" w:type="dxa"/>
            <w:gridSpan w:val="4"/>
            <w:vMerge w:val="restart"/>
            <w:tcBorders>
              <w:top w:val="single" w:sz="16" w:space="0" w:color="000000"/>
              <w:left w:val="single" w:sz="16" w:space="0" w:color="000000"/>
              <w:bottom w:val="nil"/>
              <w:right w:val="nil"/>
            </w:tcBorders>
            <w:shd w:val="clear" w:color="auto" w:fill="FFFFFF"/>
            <w:vAlign w:val="bottom"/>
          </w:tcPr>
          <w:p w14:paraId="533F7F3F"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Model</w:t>
            </w:r>
          </w:p>
        </w:tc>
        <w:tc>
          <w:tcPr>
            <w:tcW w:w="2662" w:type="dxa"/>
            <w:gridSpan w:val="4"/>
            <w:tcBorders>
              <w:top w:val="single" w:sz="16" w:space="0" w:color="000000"/>
              <w:left w:val="single" w:sz="16" w:space="0" w:color="000000"/>
            </w:tcBorders>
            <w:shd w:val="clear" w:color="auto" w:fill="FFFFFF"/>
            <w:vAlign w:val="bottom"/>
          </w:tcPr>
          <w:p w14:paraId="46016662"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Unstandardized Coefficients</w:t>
            </w:r>
          </w:p>
        </w:tc>
        <w:tc>
          <w:tcPr>
            <w:tcW w:w="1469" w:type="dxa"/>
            <w:gridSpan w:val="2"/>
            <w:tcBorders>
              <w:top w:val="single" w:sz="16" w:space="0" w:color="000000"/>
            </w:tcBorders>
            <w:shd w:val="clear" w:color="auto" w:fill="FFFFFF"/>
            <w:vAlign w:val="bottom"/>
          </w:tcPr>
          <w:p w14:paraId="3EC196EB"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Standardized Coefficients</w:t>
            </w:r>
          </w:p>
        </w:tc>
        <w:tc>
          <w:tcPr>
            <w:tcW w:w="1025" w:type="dxa"/>
            <w:vMerge w:val="restart"/>
            <w:tcBorders>
              <w:top w:val="single" w:sz="16" w:space="0" w:color="000000"/>
            </w:tcBorders>
            <w:shd w:val="clear" w:color="auto" w:fill="FFFFFF"/>
            <w:vAlign w:val="bottom"/>
          </w:tcPr>
          <w:p w14:paraId="23C77CA1"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t</w:t>
            </w:r>
          </w:p>
        </w:tc>
        <w:tc>
          <w:tcPr>
            <w:tcW w:w="1025" w:type="dxa"/>
            <w:vMerge w:val="restart"/>
            <w:tcBorders>
              <w:top w:val="single" w:sz="16" w:space="0" w:color="000000"/>
              <w:right w:val="single" w:sz="16" w:space="0" w:color="000000"/>
            </w:tcBorders>
            <w:shd w:val="clear" w:color="auto" w:fill="FFFFFF"/>
            <w:vAlign w:val="bottom"/>
          </w:tcPr>
          <w:p w14:paraId="3704FC5D"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Sig.</w:t>
            </w:r>
          </w:p>
        </w:tc>
      </w:tr>
      <w:tr w:rsidR="00A61163" w:rsidRPr="00CF3DDD" w14:paraId="6AC1B17E" w14:textId="77777777" w:rsidTr="00A61163">
        <w:trPr>
          <w:cantSplit/>
        </w:trPr>
        <w:tc>
          <w:tcPr>
            <w:tcW w:w="1911" w:type="dxa"/>
            <w:gridSpan w:val="4"/>
            <w:vMerge/>
            <w:tcBorders>
              <w:top w:val="single" w:sz="16" w:space="0" w:color="000000"/>
              <w:left w:val="single" w:sz="16" w:space="0" w:color="000000"/>
              <w:bottom w:val="nil"/>
              <w:right w:val="nil"/>
            </w:tcBorders>
            <w:shd w:val="clear" w:color="auto" w:fill="FFFFFF"/>
            <w:vAlign w:val="bottom"/>
          </w:tcPr>
          <w:p w14:paraId="5089855E" w14:textId="77777777" w:rsidR="00A61163" w:rsidRPr="00CF3DDD" w:rsidRDefault="00A61163" w:rsidP="00CF3DDD">
            <w:pPr>
              <w:autoSpaceDE w:val="0"/>
              <w:autoSpaceDN w:val="0"/>
              <w:adjustRightInd w:val="0"/>
              <w:spacing w:after="0" w:line="360" w:lineRule="auto"/>
              <w:rPr>
                <w:rFonts w:cs="Times New Roman"/>
                <w:color w:val="000000"/>
                <w:sz w:val="18"/>
                <w:szCs w:val="18"/>
              </w:rPr>
            </w:pPr>
          </w:p>
        </w:tc>
        <w:tc>
          <w:tcPr>
            <w:tcW w:w="1331" w:type="dxa"/>
            <w:gridSpan w:val="2"/>
            <w:tcBorders>
              <w:left w:val="single" w:sz="16" w:space="0" w:color="000000"/>
              <w:bottom w:val="single" w:sz="16" w:space="0" w:color="000000"/>
            </w:tcBorders>
            <w:shd w:val="clear" w:color="auto" w:fill="FFFFFF"/>
            <w:vAlign w:val="bottom"/>
          </w:tcPr>
          <w:p w14:paraId="46CE5046"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B</w:t>
            </w:r>
          </w:p>
        </w:tc>
        <w:tc>
          <w:tcPr>
            <w:tcW w:w="1331" w:type="dxa"/>
            <w:gridSpan w:val="2"/>
            <w:tcBorders>
              <w:bottom w:val="single" w:sz="16" w:space="0" w:color="000000"/>
            </w:tcBorders>
            <w:shd w:val="clear" w:color="auto" w:fill="FFFFFF"/>
            <w:vAlign w:val="bottom"/>
          </w:tcPr>
          <w:p w14:paraId="73EA6132"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Std. Error</w:t>
            </w:r>
          </w:p>
        </w:tc>
        <w:tc>
          <w:tcPr>
            <w:tcW w:w="1469" w:type="dxa"/>
            <w:gridSpan w:val="2"/>
            <w:tcBorders>
              <w:bottom w:val="single" w:sz="16" w:space="0" w:color="000000"/>
            </w:tcBorders>
            <w:shd w:val="clear" w:color="auto" w:fill="FFFFFF"/>
            <w:vAlign w:val="bottom"/>
          </w:tcPr>
          <w:p w14:paraId="019FBE38"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Beta</w:t>
            </w:r>
          </w:p>
        </w:tc>
        <w:tc>
          <w:tcPr>
            <w:tcW w:w="1025" w:type="dxa"/>
            <w:vMerge/>
            <w:tcBorders>
              <w:top w:val="single" w:sz="16" w:space="0" w:color="000000"/>
            </w:tcBorders>
            <w:shd w:val="clear" w:color="auto" w:fill="FFFFFF"/>
            <w:vAlign w:val="bottom"/>
          </w:tcPr>
          <w:p w14:paraId="685111FB" w14:textId="77777777" w:rsidR="00A61163" w:rsidRPr="00CF3DDD" w:rsidRDefault="00A61163" w:rsidP="00CF3DDD">
            <w:pPr>
              <w:autoSpaceDE w:val="0"/>
              <w:autoSpaceDN w:val="0"/>
              <w:adjustRightInd w:val="0"/>
              <w:spacing w:after="0" w:line="360" w:lineRule="auto"/>
              <w:rPr>
                <w:rFonts w:cs="Times New Roman"/>
                <w:color w:val="000000"/>
                <w:sz w:val="18"/>
                <w:szCs w:val="18"/>
              </w:rPr>
            </w:pPr>
          </w:p>
        </w:tc>
        <w:tc>
          <w:tcPr>
            <w:tcW w:w="1025" w:type="dxa"/>
            <w:vMerge/>
            <w:tcBorders>
              <w:top w:val="single" w:sz="16" w:space="0" w:color="000000"/>
              <w:right w:val="single" w:sz="16" w:space="0" w:color="000000"/>
            </w:tcBorders>
            <w:shd w:val="clear" w:color="auto" w:fill="FFFFFF"/>
            <w:vAlign w:val="bottom"/>
          </w:tcPr>
          <w:p w14:paraId="092BA766" w14:textId="77777777" w:rsidR="00A61163" w:rsidRPr="00CF3DDD" w:rsidRDefault="00A61163" w:rsidP="00CF3DDD">
            <w:pPr>
              <w:autoSpaceDE w:val="0"/>
              <w:autoSpaceDN w:val="0"/>
              <w:adjustRightInd w:val="0"/>
              <w:spacing w:after="0" w:line="360" w:lineRule="auto"/>
              <w:rPr>
                <w:rFonts w:cs="Times New Roman"/>
                <w:color w:val="000000"/>
                <w:sz w:val="18"/>
                <w:szCs w:val="18"/>
              </w:rPr>
            </w:pPr>
          </w:p>
        </w:tc>
      </w:tr>
      <w:tr w:rsidR="00A61163" w:rsidRPr="00CF3DDD" w14:paraId="55C103CF" w14:textId="77777777" w:rsidTr="00A61163">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14:paraId="23C32CE1"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1</w:t>
            </w:r>
          </w:p>
        </w:tc>
        <w:tc>
          <w:tcPr>
            <w:tcW w:w="1178" w:type="dxa"/>
            <w:gridSpan w:val="3"/>
            <w:tcBorders>
              <w:top w:val="single" w:sz="16" w:space="0" w:color="000000"/>
              <w:left w:val="nil"/>
              <w:bottom w:val="nil"/>
              <w:right w:val="single" w:sz="16" w:space="0" w:color="000000"/>
            </w:tcBorders>
            <w:shd w:val="clear" w:color="auto" w:fill="FFFFFF"/>
          </w:tcPr>
          <w:p w14:paraId="119D821E"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(Constant)</w:t>
            </w:r>
          </w:p>
        </w:tc>
        <w:tc>
          <w:tcPr>
            <w:tcW w:w="1331" w:type="dxa"/>
            <w:gridSpan w:val="2"/>
            <w:tcBorders>
              <w:top w:val="single" w:sz="16" w:space="0" w:color="000000"/>
              <w:left w:val="single" w:sz="16" w:space="0" w:color="000000"/>
              <w:bottom w:val="nil"/>
            </w:tcBorders>
            <w:shd w:val="clear" w:color="auto" w:fill="FFFFFF"/>
            <w:vAlign w:val="center"/>
          </w:tcPr>
          <w:p w14:paraId="62956C39"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2.702</w:t>
            </w:r>
          </w:p>
        </w:tc>
        <w:tc>
          <w:tcPr>
            <w:tcW w:w="1331" w:type="dxa"/>
            <w:gridSpan w:val="2"/>
            <w:tcBorders>
              <w:top w:val="single" w:sz="16" w:space="0" w:color="000000"/>
              <w:bottom w:val="nil"/>
            </w:tcBorders>
            <w:shd w:val="clear" w:color="auto" w:fill="FFFFFF"/>
            <w:vAlign w:val="center"/>
          </w:tcPr>
          <w:p w14:paraId="1965B0C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.158</w:t>
            </w:r>
          </w:p>
        </w:tc>
        <w:tc>
          <w:tcPr>
            <w:tcW w:w="1469" w:type="dxa"/>
            <w:gridSpan w:val="2"/>
            <w:tcBorders>
              <w:top w:val="single" w:sz="16" w:space="0" w:color="000000"/>
              <w:bottom w:val="nil"/>
            </w:tcBorders>
            <w:shd w:val="clear" w:color="auto" w:fill="FFFFFF"/>
            <w:vAlign w:val="center"/>
          </w:tcPr>
          <w:p w14:paraId="6D3CB077" w14:textId="77777777" w:rsidR="00A61163" w:rsidRPr="00CF3DDD" w:rsidRDefault="00A61163" w:rsidP="00CF3DDD">
            <w:pPr>
              <w:autoSpaceDE w:val="0"/>
              <w:autoSpaceDN w:val="0"/>
              <w:adjustRightInd w:val="0"/>
              <w:spacing w:after="0" w:line="360" w:lineRule="auto"/>
              <w:rPr>
                <w:rFonts w:cs="Times New Roman"/>
                <w:szCs w:val="24"/>
              </w:rPr>
            </w:pPr>
          </w:p>
        </w:tc>
        <w:tc>
          <w:tcPr>
            <w:tcW w:w="1025" w:type="dxa"/>
            <w:tcBorders>
              <w:top w:val="single" w:sz="16" w:space="0" w:color="000000"/>
              <w:bottom w:val="nil"/>
            </w:tcBorders>
            <w:shd w:val="clear" w:color="auto" w:fill="FFFFFF"/>
            <w:vAlign w:val="center"/>
          </w:tcPr>
          <w:p w14:paraId="4C4AB912"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17.146</w:t>
            </w:r>
          </w:p>
        </w:tc>
        <w:tc>
          <w:tcPr>
            <w:tcW w:w="1025" w:type="dxa"/>
            <w:tcBorders>
              <w:top w:val="single" w:sz="16" w:space="0" w:color="000000"/>
              <w:bottom w:val="nil"/>
              <w:right w:val="single" w:sz="16" w:space="0" w:color="000000"/>
            </w:tcBorders>
            <w:shd w:val="clear" w:color="auto" w:fill="FFFFFF"/>
            <w:vAlign w:val="center"/>
          </w:tcPr>
          <w:p w14:paraId="69AABA7C"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r>
      <w:tr w:rsidR="00A61163" w:rsidRPr="00CF3DDD" w14:paraId="373DDD61" w14:textId="77777777" w:rsidTr="00A61163">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14:paraId="68BBF117" w14:textId="77777777" w:rsidR="00A61163" w:rsidRPr="00CF3DDD" w:rsidRDefault="00A61163" w:rsidP="00CF3DDD">
            <w:pPr>
              <w:autoSpaceDE w:val="0"/>
              <w:autoSpaceDN w:val="0"/>
              <w:adjustRightInd w:val="0"/>
              <w:spacing w:after="0" w:line="360" w:lineRule="auto"/>
              <w:rPr>
                <w:rFonts w:cs="Times New Roman"/>
                <w:color w:val="000000"/>
                <w:sz w:val="18"/>
                <w:szCs w:val="18"/>
              </w:rPr>
            </w:pPr>
          </w:p>
        </w:tc>
        <w:tc>
          <w:tcPr>
            <w:tcW w:w="1178" w:type="dxa"/>
            <w:gridSpan w:val="3"/>
            <w:tcBorders>
              <w:top w:val="nil"/>
              <w:left w:val="nil"/>
              <w:bottom w:val="single" w:sz="16" w:space="0" w:color="000000"/>
              <w:right w:val="single" w:sz="16" w:space="0" w:color="000000"/>
            </w:tcBorders>
            <w:shd w:val="clear" w:color="auto" w:fill="FFFFFF"/>
          </w:tcPr>
          <w:p w14:paraId="0D1CF7D8"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proofErr w:type="spellStart"/>
            <w:r w:rsidRPr="00CF3DDD">
              <w:rPr>
                <w:rFonts w:cs="Times New Roman"/>
                <w:color w:val="000000"/>
                <w:sz w:val="18"/>
                <w:szCs w:val="18"/>
              </w:rPr>
              <w:t>AvgBE</w:t>
            </w:r>
            <w:proofErr w:type="spellEnd"/>
          </w:p>
        </w:tc>
        <w:tc>
          <w:tcPr>
            <w:tcW w:w="1331" w:type="dxa"/>
            <w:gridSpan w:val="2"/>
            <w:tcBorders>
              <w:top w:val="nil"/>
              <w:left w:val="single" w:sz="16" w:space="0" w:color="000000"/>
              <w:bottom w:val="single" w:sz="16" w:space="0" w:color="000000"/>
            </w:tcBorders>
            <w:shd w:val="clear" w:color="auto" w:fill="FFFFFF"/>
            <w:vAlign w:val="center"/>
          </w:tcPr>
          <w:p w14:paraId="2B5CCFF1"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.380</w:t>
            </w:r>
          </w:p>
        </w:tc>
        <w:tc>
          <w:tcPr>
            <w:tcW w:w="1331" w:type="dxa"/>
            <w:gridSpan w:val="2"/>
            <w:tcBorders>
              <w:top w:val="nil"/>
              <w:bottom w:val="single" w:sz="16" w:space="0" w:color="000000"/>
            </w:tcBorders>
            <w:shd w:val="clear" w:color="auto" w:fill="FFFFFF"/>
            <w:vAlign w:val="center"/>
          </w:tcPr>
          <w:p w14:paraId="22A22C6A"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.038</w:t>
            </w:r>
          </w:p>
        </w:tc>
        <w:tc>
          <w:tcPr>
            <w:tcW w:w="1469" w:type="dxa"/>
            <w:gridSpan w:val="2"/>
            <w:tcBorders>
              <w:top w:val="nil"/>
              <w:bottom w:val="single" w:sz="16" w:space="0" w:color="000000"/>
            </w:tcBorders>
            <w:shd w:val="clear" w:color="auto" w:fill="FFFFFF"/>
            <w:vAlign w:val="center"/>
          </w:tcPr>
          <w:p w14:paraId="428EAC82"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.428</w:t>
            </w:r>
          </w:p>
        </w:tc>
        <w:tc>
          <w:tcPr>
            <w:tcW w:w="1025" w:type="dxa"/>
            <w:tcBorders>
              <w:top w:val="nil"/>
              <w:bottom w:val="single" w:sz="16" w:space="0" w:color="000000"/>
            </w:tcBorders>
            <w:shd w:val="clear" w:color="auto" w:fill="FFFFFF"/>
            <w:vAlign w:val="center"/>
          </w:tcPr>
          <w:p w14:paraId="767CD46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9.955</w:t>
            </w:r>
          </w:p>
        </w:tc>
        <w:tc>
          <w:tcPr>
            <w:tcW w:w="1025" w:type="dxa"/>
            <w:tcBorders>
              <w:top w:val="nil"/>
              <w:bottom w:val="single" w:sz="16" w:space="0" w:color="000000"/>
              <w:right w:val="single" w:sz="16" w:space="0" w:color="000000"/>
            </w:tcBorders>
            <w:shd w:val="clear" w:color="auto" w:fill="FFFFFF"/>
            <w:vAlign w:val="center"/>
          </w:tcPr>
          <w:p w14:paraId="2DEEA508"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r>
      <w:tr w:rsidR="00A61163" w:rsidRPr="00CF3DDD" w14:paraId="4442BD53" w14:textId="77777777" w:rsidTr="00A61163">
        <w:trPr>
          <w:cantSplit/>
        </w:trPr>
        <w:tc>
          <w:tcPr>
            <w:tcW w:w="8092" w:type="dxa"/>
            <w:gridSpan w:val="12"/>
            <w:tcBorders>
              <w:top w:val="nil"/>
              <w:left w:val="nil"/>
              <w:bottom w:val="nil"/>
              <w:right w:val="nil"/>
            </w:tcBorders>
            <w:shd w:val="clear" w:color="auto" w:fill="FFFFFF"/>
          </w:tcPr>
          <w:p w14:paraId="5B6291ED"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p>
          <w:p w14:paraId="6F851A12" w14:textId="77777777" w:rsidR="00A61163" w:rsidRPr="00CF3DDD" w:rsidRDefault="00A61163" w:rsidP="00CF3DDD">
            <w:pPr>
              <w:pStyle w:val="ListParagraph"/>
              <w:numPr>
                <w:ilvl w:val="1"/>
                <w:numId w:val="11"/>
              </w:numPr>
              <w:autoSpaceDE w:val="0"/>
              <w:autoSpaceDN w:val="0"/>
              <w:adjustRightInd w:val="0"/>
              <w:spacing w:after="0" w:line="360" w:lineRule="auto"/>
              <w:ind w:right="60"/>
              <w:rPr>
                <w:rFonts w:cs="Times New Roman"/>
                <w:color w:val="000000"/>
                <w:sz w:val="18"/>
                <w:szCs w:val="18"/>
              </w:rPr>
            </w:pPr>
            <w:r w:rsidRPr="00CF3DDD">
              <w:rPr>
                <w:rFonts w:cs="Times New Roman"/>
                <w:color w:val="000000"/>
                <w:sz w:val="18"/>
                <w:szCs w:val="18"/>
              </w:rPr>
              <w:t xml:space="preserve">Dependent Variable: </w:t>
            </w:r>
            <w:proofErr w:type="spellStart"/>
            <w:r w:rsidRPr="00CF3DDD">
              <w:rPr>
                <w:rFonts w:cs="Times New Roman"/>
                <w:color w:val="000000"/>
                <w:sz w:val="18"/>
                <w:szCs w:val="18"/>
              </w:rPr>
              <w:t>AvgBLT</w:t>
            </w:r>
            <w:proofErr w:type="spellEnd"/>
          </w:p>
          <w:p w14:paraId="604610BC" w14:textId="77777777" w:rsidR="00A61163" w:rsidRPr="00CF3DDD" w:rsidRDefault="00A61163" w:rsidP="00CF3DDD">
            <w:pPr>
              <w:pStyle w:val="NormalWeb"/>
              <w:spacing w:line="360" w:lineRule="auto"/>
              <w:rPr>
                <w:rFonts w:eastAsia="Arial"/>
                <w:highlight w:val="cyan"/>
                <w:lang w:val="en"/>
              </w:rPr>
            </w:pPr>
            <w:r w:rsidRPr="00CF3DDD">
              <w:rPr>
                <w:rFonts w:eastAsia="Arial"/>
                <w:highlight w:val="cyan"/>
                <w:lang w:val="en"/>
              </w:rPr>
              <w:t>H2: Brand Equity positively affects Brand Trust.</w:t>
            </w:r>
          </w:p>
          <w:p w14:paraId="7AFCE139" w14:textId="77777777" w:rsidR="00A61163" w:rsidRPr="00CF3DDD" w:rsidRDefault="00A61163" w:rsidP="00CF3DDD">
            <w:pPr>
              <w:autoSpaceDE w:val="0"/>
              <w:autoSpaceDN w:val="0"/>
              <w:adjustRightInd w:val="0"/>
              <w:spacing w:after="0" w:line="360" w:lineRule="auto"/>
              <w:ind w:right="60"/>
              <w:rPr>
                <w:rFonts w:cs="Times New Roman"/>
                <w:color w:val="000000"/>
                <w:sz w:val="18"/>
                <w:szCs w:val="18"/>
              </w:rPr>
            </w:pPr>
          </w:p>
          <w:p w14:paraId="52593B3F" w14:textId="77777777" w:rsidR="00A61163" w:rsidRPr="00CF3DDD" w:rsidRDefault="00A61163" w:rsidP="00CF3DDD">
            <w:pPr>
              <w:autoSpaceDE w:val="0"/>
              <w:autoSpaceDN w:val="0"/>
              <w:adjustRightInd w:val="0"/>
              <w:spacing w:after="0" w:line="360" w:lineRule="auto"/>
              <w:ind w:right="60"/>
              <w:rPr>
                <w:rFonts w:cs="Times New Roman"/>
                <w:color w:val="000000"/>
                <w:sz w:val="18"/>
                <w:szCs w:val="18"/>
              </w:rPr>
            </w:pPr>
          </w:p>
        </w:tc>
      </w:tr>
      <w:tr w:rsidR="00A61163" w:rsidRPr="00CF3DDD" w14:paraId="12508CAB" w14:textId="77777777" w:rsidTr="00A61163">
        <w:trPr>
          <w:gridAfter w:val="3"/>
          <w:wAfter w:w="2249" w:type="dxa"/>
          <w:cantSplit/>
        </w:trPr>
        <w:tc>
          <w:tcPr>
            <w:tcW w:w="5843" w:type="dxa"/>
            <w:gridSpan w:val="9"/>
            <w:tcBorders>
              <w:top w:val="nil"/>
              <w:left w:val="nil"/>
              <w:bottom w:val="nil"/>
              <w:right w:val="nil"/>
            </w:tcBorders>
            <w:shd w:val="clear" w:color="auto" w:fill="FFFFFF"/>
            <w:vAlign w:val="center"/>
          </w:tcPr>
          <w:p w14:paraId="4F65E009"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b/>
                <w:bCs/>
                <w:color w:val="000000"/>
                <w:sz w:val="20"/>
                <w:szCs w:val="20"/>
              </w:rPr>
              <w:t xml:space="preserve">Model </w:t>
            </w:r>
            <w:proofErr w:type="spellStart"/>
            <w:r w:rsidRPr="00CF3DDD">
              <w:rPr>
                <w:rFonts w:cs="Times New Roman"/>
                <w:b/>
                <w:bCs/>
                <w:color w:val="000000"/>
                <w:sz w:val="20"/>
                <w:szCs w:val="20"/>
              </w:rPr>
              <w:t>Summary</w:t>
            </w:r>
            <w:r w:rsidRPr="00CF3DDD">
              <w:rPr>
                <w:rFonts w:cs="Times New Roman"/>
                <w:b/>
                <w:bCs/>
                <w:color w:val="000000"/>
                <w:sz w:val="20"/>
                <w:szCs w:val="20"/>
                <w:vertAlign w:val="superscript"/>
              </w:rPr>
              <w:t>b</w:t>
            </w:r>
            <w:proofErr w:type="spellEnd"/>
          </w:p>
        </w:tc>
      </w:tr>
      <w:tr w:rsidR="00A61163" w:rsidRPr="00CF3DDD" w14:paraId="2E586C7B" w14:textId="77777777" w:rsidTr="00A61163">
        <w:trPr>
          <w:gridAfter w:val="3"/>
          <w:wAfter w:w="2249" w:type="dxa"/>
          <w:cantSplit/>
        </w:trPr>
        <w:tc>
          <w:tcPr>
            <w:tcW w:w="795" w:type="dxa"/>
            <w:gridSpan w:val="2"/>
            <w:tcBorders>
              <w:top w:val="single" w:sz="16" w:space="0" w:color="000000"/>
              <w:left w:val="single" w:sz="16" w:space="0" w:color="000000"/>
              <w:bottom w:val="single" w:sz="16" w:space="0" w:color="000000"/>
              <w:right w:val="single" w:sz="16" w:space="0" w:color="000000"/>
            </w:tcBorders>
            <w:shd w:val="clear" w:color="auto" w:fill="FFFFFF"/>
            <w:vAlign w:val="bottom"/>
          </w:tcPr>
          <w:p w14:paraId="373135F7"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Model</w:t>
            </w:r>
          </w:p>
        </w:tc>
        <w:tc>
          <w:tcPr>
            <w:tcW w:w="1024" w:type="dxa"/>
            <w:tcBorders>
              <w:top w:val="single" w:sz="16" w:space="0" w:color="000000"/>
              <w:left w:val="single" w:sz="16" w:space="0" w:color="000000"/>
              <w:bottom w:val="single" w:sz="16" w:space="0" w:color="000000"/>
            </w:tcBorders>
            <w:shd w:val="clear" w:color="auto" w:fill="FFFFFF"/>
            <w:vAlign w:val="bottom"/>
          </w:tcPr>
          <w:p w14:paraId="75F02742"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R</w:t>
            </w:r>
          </w:p>
        </w:tc>
        <w:tc>
          <w:tcPr>
            <w:tcW w:w="1086" w:type="dxa"/>
            <w:gridSpan w:val="2"/>
            <w:tcBorders>
              <w:top w:val="single" w:sz="16" w:space="0" w:color="000000"/>
              <w:bottom w:val="single" w:sz="16" w:space="0" w:color="000000"/>
            </w:tcBorders>
            <w:shd w:val="clear" w:color="auto" w:fill="FFFFFF"/>
            <w:vAlign w:val="bottom"/>
          </w:tcPr>
          <w:p w14:paraId="191F09B6"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R Square</w:t>
            </w:r>
          </w:p>
        </w:tc>
        <w:tc>
          <w:tcPr>
            <w:tcW w:w="1469" w:type="dxa"/>
            <w:gridSpan w:val="2"/>
            <w:tcBorders>
              <w:top w:val="single" w:sz="16" w:space="0" w:color="000000"/>
              <w:bottom w:val="single" w:sz="16" w:space="0" w:color="000000"/>
            </w:tcBorders>
            <w:shd w:val="clear" w:color="auto" w:fill="FFFFFF"/>
            <w:vAlign w:val="bottom"/>
          </w:tcPr>
          <w:p w14:paraId="56C452F9"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Adjusted R Square</w:t>
            </w:r>
          </w:p>
        </w:tc>
        <w:tc>
          <w:tcPr>
            <w:tcW w:w="1469" w:type="dxa"/>
            <w:gridSpan w:val="2"/>
            <w:tcBorders>
              <w:top w:val="single" w:sz="16" w:space="0" w:color="000000"/>
              <w:bottom w:val="single" w:sz="16" w:space="0" w:color="000000"/>
              <w:right w:val="single" w:sz="16" w:space="0" w:color="000000"/>
            </w:tcBorders>
            <w:shd w:val="clear" w:color="auto" w:fill="FFFFFF"/>
            <w:vAlign w:val="bottom"/>
          </w:tcPr>
          <w:p w14:paraId="44AFFBB7"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Std. Error of the Estimate</w:t>
            </w:r>
          </w:p>
        </w:tc>
      </w:tr>
      <w:tr w:rsidR="00A61163" w:rsidRPr="00CF3DDD" w14:paraId="21D28B08" w14:textId="77777777" w:rsidTr="00A61163">
        <w:trPr>
          <w:gridAfter w:val="3"/>
          <w:wAfter w:w="2249" w:type="dxa"/>
          <w:cantSplit/>
        </w:trPr>
        <w:tc>
          <w:tcPr>
            <w:tcW w:w="795" w:type="dxa"/>
            <w:gridSpan w:val="2"/>
            <w:tcBorders>
              <w:top w:val="single" w:sz="16" w:space="0" w:color="000000"/>
              <w:left w:val="single" w:sz="16" w:space="0" w:color="000000"/>
              <w:bottom w:val="single" w:sz="16" w:space="0" w:color="000000"/>
              <w:right w:val="single" w:sz="16" w:space="0" w:color="000000"/>
            </w:tcBorders>
            <w:shd w:val="clear" w:color="auto" w:fill="FFFFFF"/>
          </w:tcPr>
          <w:p w14:paraId="11466BB9"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1</w:t>
            </w:r>
          </w:p>
        </w:tc>
        <w:tc>
          <w:tcPr>
            <w:tcW w:w="1024" w:type="dxa"/>
            <w:tcBorders>
              <w:top w:val="single" w:sz="16" w:space="0" w:color="000000"/>
              <w:left w:val="single" w:sz="16" w:space="0" w:color="000000"/>
              <w:bottom w:val="single" w:sz="16" w:space="0" w:color="000000"/>
            </w:tcBorders>
            <w:shd w:val="clear" w:color="auto" w:fill="FFFFFF"/>
            <w:vAlign w:val="center"/>
          </w:tcPr>
          <w:p w14:paraId="559F6528"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.573</w:t>
            </w:r>
            <w:r w:rsidRPr="00CF3DDD">
              <w:rPr>
                <w:rFonts w:cs="Times New Roman"/>
                <w:color w:val="000000"/>
                <w:sz w:val="18"/>
                <w:szCs w:val="18"/>
                <w:vertAlign w:val="superscript"/>
              </w:rPr>
              <w:t>a</w:t>
            </w:r>
          </w:p>
        </w:tc>
        <w:tc>
          <w:tcPr>
            <w:tcW w:w="1086" w:type="dxa"/>
            <w:gridSpan w:val="2"/>
            <w:tcBorders>
              <w:top w:val="single" w:sz="16" w:space="0" w:color="000000"/>
              <w:bottom w:val="single" w:sz="16" w:space="0" w:color="000000"/>
            </w:tcBorders>
            <w:shd w:val="clear" w:color="auto" w:fill="FFFFFF"/>
            <w:vAlign w:val="center"/>
          </w:tcPr>
          <w:p w14:paraId="5EF89E46"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.329</w:t>
            </w:r>
          </w:p>
        </w:tc>
        <w:tc>
          <w:tcPr>
            <w:tcW w:w="1469" w:type="dxa"/>
            <w:gridSpan w:val="2"/>
            <w:tcBorders>
              <w:top w:val="single" w:sz="16" w:space="0" w:color="000000"/>
              <w:bottom w:val="single" w:sz="16" w:space="0" w:color="000000"/>
            </w:tcBorders>
            <w:shd w:val="clear" w:color="auto" w:fill="FFFFFF"/>
            <w:vAlign w:val="center"/>
          </w:tcPr>
          <w:p w14:paraId="02DCCF1B"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.327</w:t>
            </w:r>
          </w:p>
        </w:tc>
        <w:tc>
          <w:tcPr>
            <w:tcW w:w="1469" w:type="dxa"/>
            <w:gridSpan w:val="2"/>
            <w:tcBorders>
              <w:top w:val="single" w:sz="16" w:space="0" w:color="000000"/>
              <w:bottom w:val="single" w:sz="16" w:space="0" w:color="000000"/>
              <w:right w:val="single" w:sz="16" w:space="0" w:color="000000"/>
            </w:tcBorders>
            <w:shd w:val="clear" w:color="auto" w:fill="FFFFFF"/>
            <w:vAlign w:val="center"/>
          </w:tcPr>
          <w:p w14:paraId="6C01F2F5"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.50193</w:t>
            </w:r>
          </w:p>
        </w:tc>
      </w:tr>
      <w:tr w:rsidR="00A61163" w:rsidRPr="00CF3DDD" w14:paraId="36CC4926" w14:textId="77777777" w:rsidTr="00A61163">
        <w:trPr>
          <w:gridAfter w:val="3"/>
          <w:wAfter w:w="2249" w:type="dxa"/>
          <w:cantSplit/>
        </w:trPr>
        <w:tc>
          <w:tcPr>
            <w:tcW w:w="5843" w:type="dxa"/>
            <w:gridSpan w:val="9"/>
            <w:tcBorders>
              <w:top w:val="nil"/>
              <w:left w:val="nil"/>
              <w:bottom w:val="nil"/>
              <w:right w:val="nil"/>
            </w:tcBorders>
            <w:shd w:val="clear" w:color="auto" w:fill="FFFFFF"/>
          </w:tcPr>
          <w:p w14:paraId="252C7D36"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 xml:space="preserve">a. Predictors: (Constant), </w:t>
            </w:r>
            <w:proofErr w:type="spellStart"/>
            <w:r w:rsidRPr="00CF3DDD">
              <w:rPr>
                <w:rFonts w:cs="Times New Roman"/>
                <w:color w:val="000000"/>
                <w:sz w:val="18"/>
                <w:szCs w:val="18"/>
              </w:rPr>
              <w:t>AvgBE</w:t>
            </w:r>
            <w:proofErr w:type="spellEnd"/>
          </w:p>
        </w:tc>
      </w:tr>
      <w:tr w:rsidR="00A61163" w:rsidRPr="00CF3DDD" w14:paraId="7FD166FE" w14:textId="77777777" w:rsidTr="00A61163">
        <w:trPr>
          <w:gridAfter w:val="3"/>
          <w:wAfter w:w="2249" w:type="dxa"/>
          <w:cantSplit/>
        </w:trPr>
        <w:tc>
          <w:tcPr>
            <w:tcW w:w="5843" w:type="dxa"/>
            <w:gridSpan w:val="9"/>
            <w:tcBorders>
              <w:top w:val="nil"/>
              <w:left w:val="nil"/>
              <w:bottom w:val="nil"/>
              <w:right w:val="nil"/>
            </w:tcBorders>
            <w:shd w:val="clear" w:color="auto" w:fill="FFFFFF"/>
          </w:tcPr>
          <w:p w14:paraId="561F0A0D"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 xml:space="preserve">b. Dependent Variable: </w:t>
            </w:r>
            <w:proofErr w:type="spellStart"/>
            <w:r w:rsidRPr="00CF3DDD">
              <w:rPr>
                <w:rFonts w:cs="Times New Roman"/>
                <w:color w:val="000000"/>
                <w:sz w:val="18"/>
                <w:szCs w:val="18"/>
              </w:rPr>
              <w:t>AvgBT</w:t>
            </w:r>
            <w:proofErr w:type="spellEnd"/>
          </w:p>
        </w:tc>
      </w:tr>
    </w:tbl>
    <w:p w14:paraId="1F69090C" w14:textId="77777777" w:rsidR="00A61163" w:rsidRPr="00CF3DDD" w:rsidRDefault="00A61163" w:rsidP="00CF3DDD">
      <w:pPr>
        <w:autoSpaceDE w:val="0"/>
        <w:autoSpaceDN w:val="0"/>
        <w:adjustRightInd w:val="0"/>
        <w:spacing w:after="0" w:line="360" w:lineRule="auto"/>
        <w:rPr>
          <w:rFonts w:cs="Times New Roman"/>
          <w:szCs w:val="24"/>
        </w:rPr>
      </w:pPr>
    </w:p>
    <w:tbl>
      <w:tblPr>
        <w:tblW w:w="80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62"/>
        <w:gridCol w:w="1024"/>
        <w:gridCol w:w="92"/>
        <w:gridCol w:w="994"/>
        <w:gridCol w:w="337"/>
        <w:gridCol w:w="1132"/>
        <w:gridCol w:w="199"/>
        <w:gridCol w:w="1270"/>
        <w:gridCol w:w="199"/>
        <w:gridCol w:w="1025"/>
        <w:gridCol w:w="1025"/>
      </w:tblGrid>
      <w:tr w:rsidR="00A61163" w:rsidRPr="00CF3DDD" w14:paraId="289CF3E2" w14:textId="77777777" w:rsidTr="00A61163">
        <w:trPr>
          <w:cantSplit/>
        </w:trPr>
        <w:tc>
          <w:tcPr>
            <w:tcW w:w="8092" w:type="dxa"/>
            <w:gridSpan w:val="12"/>
            <w:tcBorders>
              <w:top w:val="nil"/>
              <w:left w:val="nil"/>
              <w:bottom w:val="nil"/>
              <w:right w:val="nil"/>
            </w:tcBorders>
            <w:shd w:val="clear" w:color="auto" w:fill="FFFFFF"/>
            <w:vAlign w:val="center"/>
          </w:tcPr>
          <w:p w14:paraId="1B8CE50F" w14:textId="77777777" w:rsidR="00A61163" w:rsidRPr="00CF3DDD" w:rsidRDefault="00A61163" w:rsidP="00CF3DDD">
            <w:pPr>
              <w:autoSpaceDE w:val="0"/>
              <w:autoSpaceDN w:val="0"/>
              <w:adjustRightInd w:val="0"/>
              <w:spacing w:after="0" w:line="360" w:lineRule="auto"/>
              <w:ind w:right="60"/>
              <w:jc w:val="left"/>
              <w:rPr>
                <w:rFonts w:cs="Times New Roman"/>
                <w:b/>
                <w:bCs/>
                <w:color w:val="000000"/>
                <w:sz w:val="20"/>
                <w:szCs w:val="20"/>
                <w:vertAlign w:val="superscript"/>
              </w:rPr>
            </w:pPr>
            <w:r w:rsidRPr="00CF3DDD">
              <w:rPr>
                <w:rFonts w:cs="Times New Roman"/>
                <w:b/>
                <w:bCs/>
                <w:color w:val="000000"/>
                <w:sz w:val="20"/>
                <w:szCs w:val="20"/>
              </w:rPr>
              <w:t xml:space="preserve">   Coefficients</w:t>
            </w:r>
          </w:p>
          <w:p w14:paraId="073C1FCF"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p>
        </w:tc>
      </w:tr>
      <w:tr w:rsidR="00A61163" w:rsidRPr="00CF3DDD" w14:paraId="4C19FBF2" w14:textId="77777777" w:rsidTr="00A61163">
        <w:trPr>
          <w:cantSplit/>
        </w:trPr>
        <w:tc>
          <w:tcPr>
            <w:tcW w:w="1911" w:type="dxa"/>
            <w:gridSpan w:val="4"/>
            <w:vMerge w:val="restart"/>
            <w:tcBorders>
              <w:top w:val="single" w:sz="16" w:space="0" w:color="000000"/>
              <w:left w:val="single" w:sz="16" w:space="0" w:color="000000"/>
              <w:bottom w:val="nil"/>
              <w:right w:val="nil"/>
            </w:tcBorders>
            <w:shd w:val="clear" w:color="auto" w:fill="FFFFFF"/>
            <w:vAlign w:val="bottom"/>
          </w:tcPr>
          <w:p w14:paraId="2844FAF9"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Model</w:t>
            </w:r>
          </w:p>
        </w:tc>
        <w:tc>
          <w:tcPr>
            <w:tcW w:w="2662" w:type="dxa"/>
            <w:gridSpan w:val="4"/>
            <w:tcBorders>
              <w:top w:val="single" w:sz="16" w:space="0" w:color="000000"/>
              <w:left w:val="single" w:sz="16" w:space="0" w:color="000000"/>
            </w:tcBorders>
            <w:shd w:val="clear" w:color="auto" w:fill="FFFFFF"/>
            <w:vAlign w:val="bottom"/>
          </w:tcPr>
          <w:p w14:paraId="795CDC13"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Unstandardized Coefficients</w:t>
            </w:r>
          </w:p>
        </w:tc>
        <w:tc>
          <w:tcPr>
            <w:tcW w:w="1469" w:type="dxa"/>
            <w:gridSpan w:val="2"/>
            <w:tcBorders>
              <w:top w:val="single" w:sz="16" w:space="0" w:color="000000"/>
            </w:tcBorders>
            <w:shd w:val="clear" w:color="auto" w:fill="FFFFFF"/>
            <w:vAlign w:val="bottom"/>
          </w:tcPr>
          <w:p w14:paraId="7A73B8E3"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Standardized Coefficients</w:t>
            </w:r>
          </w:p>
        </w:tc>
        <w:tc>
          <w:tcPr>
            <w:tcW w:w="1025" w:type="dxa"/>
            <w:vMerge w:val="restart"/>
            <w:tcBorders>
              <w:top w:val="single" w:sz="16" w:space="0" w:color="000000"/>
            </w:tcBorders>
            <w:shd w:val="clear" w:color="auto" w:fill="FFFFFF"/>
            <w:vAlign w:val="bottom"/>
          </w:tcPr>
          <w:p w14:paraId="4488E390"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t</w:t>
            </w:r>
          </w:p>
        </w:tc>
        <w:tc>
          <w:tcPr>
            <w:tcW w:w="1025" w:type="dxa"/>
            <w:vMerge w:val="restart"/>
            <w:tcBorders>
              <w:top w:val="single" w:sz="16" w:space="0" w:color="000000"/>
              <w:right w:val="single" w:sz="16" w:space="0" w:color="000000"/>
            </w:tcBorders>
            <w:shd w:val="clear" w:color="auto" w:fill="FFFFFF"/>
            <w:vAlign w:val="bottom"/>
          </w:tcPr>
          <w:p w14:paraId="528ED1F8"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Sig.</w:t>
            </w:r>
          </w:p>
        </w:tc>
      </w:tr>
      <w:tr w:rsidR="00A61163" w:rsidRPr="00CF3DDD" w14:paraId="753D0DA6" w14:textId="77777777" w:rsidTr="00A61163">
        <w:trPr>
          <w:cantSplit/>
        </w:trPr>
        <w:tc>
          <w:tcPr>
            <w:tcW w:w="1911" w:type="dxa"/>
            <w:gridSpan w:val="4"/>
            <w:vMerge/>
            <w:tcBorders>
              <w:top w:val="single" w:sz="16" w:space="0" w:color="000000"/>
              <w:left w:val="single" w:sz="16" w:space="0" w:color="000000"/>
              <w:bottom w:val="nil"/>
              <w:right w:val="nil"/>
            </w:tcBorders>
            <w:shd w:val="clear" w:color="auto" w:fill="FFFFFF"/>
            <w:vAlign w:val="bottom"/>
          </w:tcPr>
          <w:p w14:paraId="1BE35F7D" w14:textId="77777777" w:rsidR="00A61163" w:rsidRPr="00CF3DDD" w:rsidRDefault="00A61163" w:rsidP="00CF3DDD">
            <w:pPr>
              <w:autoSpaceDE w:val="0"/>
              <w:autoSpaceDN w:val="0"/>
              <w:adjustRightInd w:val="0"/>
              <w:spacing w:after="0" w:line="360" w:lineRule="auto"/>
              <w:rPr>
                <w:rFonts w:cs="Times New Roman"/>
                <w:color w:val="000000"/>
                <w:sz w:val="18"/>
                <w:szCs w:val="18"/>
              </w:rPr>
            </w:pPr>
          </w:p>
        </w:tc>
        <w:tc>
          <w:tcPr>
            <w:tcW w:w="1331" w:type="dxa"/>
            <w:gridSpan w:val="2"/>
            <w:tcBorders>
              <w:left w:val="single" w:sz="16" w:space="0" w:color="000000"/>
              <w:bottom w:val="single" w:sz="16" w:space="0" w:color="000000"/>
            </w:tcBorders>
            <w:shd w:val="clear" w:color="auto" w:fill="FFFFFF"/>
            <w:vAlign w:val="bottom"/>
          </w:tcPr>
          <w:p w14:paraId="7CD2F973"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B</w:t>
            </w:r>
          </w:p>
        </w:tc>
        <w:tc>
          <w:tcPr>
            <w:tcW w:w="1331" w:type="dxa"/>
            <w:gridSpan w:val="2"/>
            <w:tcBorders>
              <w:bottom w:val="single" w:sz="16" w:space="0" w:color="000000"/>
            </w:tcBorders>
            <w:shd w:val="clear" w:color="auto" w:fill="FFFFFF"/>
            <w:vAlign w:val="bottom"/>
          </w:tcPr>
          <w:p w14:paraId="44B8B613"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Std. Error</w:t>
            </w:r>
          </w:p>
        </w:tc>
        <w:tc>
          <w:tcPr>
            <w:tcW w:w="1469" w:type="dxa"/>
            <w:gridSpan w:val="2"/>
            <w:tcBorders>
              <w:bottom w:val="single" w:sz="16" w:space="0" w:color="000000"/>
            </w:tcBorders>
            <w:shd w:val="clear" w:color="auto" w:fill="FFFFFF"/>
            <w:vAlign w:val="bottom"/>
          </w:tcPr>
          <w:p w14:paraId="7D2DD622"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Beta</w:t>
            </w:r>
          </w:p>
        </w:tc>
        <w:tc>
          <w:tcPr>
            <w:tcW w:w="1025" w:type="dxa"/>
            <w:vMerge/>
            <w:tcBorders>
              <w:top w:val="single" w:sz="16" w:space="0" w:color="000000"/>
            </w:tcBorders>
            <w:shd w:val="clear" w:color="auto" w:fill="FFFFFF"/>
            <w:vAlign w:val="bottom"/>
          </w:tcPr>
          <w:p w14:paraId="627CD162" w14:textId="77777777" w:rsidR="00A61163" w:rsidRPr="00CF3DDD" w:rsidRDefault="00A61163" w:rsidP="00CF3DDD">
            <w:pPr>
              <w:autoSpaceDE w:val="0"/>
              <w:autoSpaceDN w:val="0"/>
              <w:adjustRightInd w:val="0"/>
              <w:spacing w:after="0" w:line="360" w:lineRule="auto"/>
              <w:rPr>
                <w:rFonts w:cs="Times New Roman"/>
                <w:color w:val="000000"/>
                <w:sz w:val="18"/>
                <w:szCs w:val="18"/>
              </w:rPr>
            </w:pPr>
          </w:p>
        </w:tc>
        <w:tc>
          <w:tcPr>
            <w:tcW w:w="1025" w:type="dxa"/>
            <w:vMerge/>
            <w:tcBorders>
              <w:top w:val="single" w:sz="16" w:space="0" w:color="000000"/>
              <w:right w:val="single" w:sz="16" w:space="0" w:color="000000"/>
            </w:tcBorders>
            <w:shd w:val="clear" w:color="auto" w:fill="FFFFFF"/>
            <w:vAlign w:val="bottom"/>
          </w:tcPr>
          <w:p w14:paraId="69798054" w14:textId="77777777" w:rsidR="00A61163" w:rsidRPr="00CF3DDD" w:rsidRDefault="00A61163" w:rsidP="00CF3DDD">
            <w:pPr>
              <w:autoSpaceDE w:val="0"/>
              <w:autoSpaceDN w:val="0"/>
              <w:adjustRightInd w:val="0"/>
              <w:spacing w:after="0" w:line="360" w:lineRule="auto"/>
              <w:rPr>
                <w:rFonts w:cs="Times New Roman"/>
                <w:color w:val="000000"/>
                <w:sz w:val="18"/>
                <w:szCs w:val="18"/>
              </w:rPr>
            </w:pPr>
          </w:p>
        </w:tc>
      </w:tr>
      <w:tr w:rsidR="00A61163" w:rsidRPr="00CF3DDD" w14:paraId="59C570C2" w14:textId="77777777" w:rsidTr="00A61163">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14:paraId="4241922A"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1</w:t>
            </w:r>
          </w:p>
        </w:tc>
        <w:tc>
          <w:tcPr>
            <w:tcW w:w="1178" w:type="dxa"/>
            <w:gridSpan w:val="3"/>
            <w:tcBorders>
              <w:top w:val="single" w:sz="16" w:space="0" w:color="000000"/>
              <w:left w:val="nil"/>
              <w:bottom w:val="nil"/>
              <w:right w:val="single" w:sz="16" w:space="0" w:color="000000"/>
            </w:tcBorders>
            <w:shd w:val="clear" w:color="auto" w:fill="FFFFFF"/>
          </w:tcPr>
          <w:p w14:paraId="68912EA5"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(Constant)</w:t>
            </w:r>
          </w:p>
        </w:tc>
        <w:tc>
          <w:tcPr>
            <w:tcW w:w="1331" w:type="dxa"/>
            <w:gridSpan w:val="2"/>
            <w:tcBorders>
              <w:top w:val="single" w:sz="16" w:space="0" w:color="000000"/>
              <w:left w:val="single" w:sz="16" w:space="0" w:color="000000"/>
              <w:bottom w:val="nil"/>
            </w:tcBorders>
            <w:shd w:val="clear" w:color="auto" w:fill="FFFFFF"/>
            <w:vAlign w:val="center"/>
          </w:tcPr>
          <w:p w14:paraId="24B76488"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1.923</w:t>
            </w:r>
          </w:p>
        </w:tc>
        <w:tc>
          <w:tcPr>
            <w:tcW w:w="1331" w:type="dxa"/>
            <w:gridSpan w:val="2"/>
            <w:tcBorders>
              <w:top w:val="single" w:sz="16" w:space="0" w:color="000000"/>
              <w:bottom w:val="nil"/>
            </w:tcBorders>
            <w:shd w:val="clear" w:color="auto" w:fill="FFFFFF"/>
            <w:vAlign w:val="center"/>
          </w:tcPr>
          <w:p w14:paraId="2A988129"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.153</w:t>
            </w:r>
          </w:p>
        </w:tc>
        <w:tc>
          <w:tcPr>
            <w:tcW w:w="1469" w:type="dxa"/>
            <w:gridSpan w:val="2"/>
            <w:tcBorders>
              <w:top w:val="single" w:sz="16" w:space="0" w:color="000000"/>
              <w:bottom w:val="nil"/>
            </w:tcBorders>
            <w:shd w:val="clear" w:color="auto" w:fill="FFFFFF"/>
            <w:vAlign w:val="center"/>
          </w:tcPr>
          <w:p w14:paraId="379FCDDF" w14:textId="77777777" w:rsidR="00A61163" w:rsidRPr="00CF3DDD" w:rsidRDefault="00A61163" w:rsidP="00CF3DDD">
            <w:pPr>
              <w:autoSpaceDE w:val="0"/>
              <w:autoSpaceDN w:val="0"/>
              <w:adjustRightInd w:val="0"/>
              <w:spacing w:after="0" w:line="360" w:lineRule="auto"/>
              <w:rPr>
                <w:rFonts w:cs="Times New Roman"/>
                <w:szCs w:val="24"/>
              </w:rPr>
            </w:pPr>
          </w:p>
        </w:tc>
        <w:tc>
          <w:tcPr>
            <w:tcW w:w="1025" w:type="dxa"/>
            <w:tcBorders>
              <w:top w:val="single" w:sz="16" w:space="0" w:color="000000"/>
              <w:bottom w:val="nil"/>
            </w:tcBorders>
            <w:shd w:val="clear" w:color="auto" w:fill="FFFFFF"/>
            <w:vAlign w:val="center"/>
          </w:tcPr>
          <w:p w14:paraId="08A9C4E6"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12.546</w:t>
            </w:r>
          </w:p>
        </w:tc>
        <w:tc>
          <w:tcPr>
            <w:tcW w:w="1025" w:type="dxa"/>
            <w:tcBorders>
              <w:top w:val="single" w:sz="16" w:space="0" w:color="000000"/>
              <w:bottom w:val="nil"/>
              <w:right w:val="single" w:sz="16" w:space="0" w:color="000000"/>
            </w:tcBorders>
            <w:shd w:val="clear" w:color="auto" w:fill="FFFFFF"/>
            <w:vAlign w:val="center"/>
          </w:tcPr>
          <w:p w14:paraId="73F359B5"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r>
      <w:tr w:rsidR="00A61163" w:rsidRPr="00CF3DDD" w14:paraId="3718DCA4" w14:textId="77777777" w:rsidTr="00A61163">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14:paraId="0683B3FF" w14:textId="77777777" w:rsidR="00A61163" w:rsidRPr="00CF3DDD" w:rsidRDefault="00A61163" w:rsidP="00CF3DDD">
            <w:pPr>
              <w:autoSpaceDE w:val="0"/>
              <w:autoSpaceDN w:val="0"/>
              <w:adjustRightInd w:val="0"/>
              <w:spacing w:after="0" w:line="360" w:lineRule="auto"/>
              <w:rPr>
                <w:rFonts w:cs="Times New Roman"/>
                <w:color w:val="000000"/>
                <w:sz w:val="18"/>
                <w:szCs w:val="18"/>
              </w:rPr>
            </w:pPr>
          </w:p>
        </w:tc>
        <w:tc>
          <w:tcPr>
            <w:tcW w:w="1178" w:type="dxa"/>
            <w:gridSpan w:val="3"/>
            <w:tcBorders>
              <w:top w:val="nil"/>
              <w:left w:val="nil"/>
              <w:bottom w:val="single" w:sz="16" w:space="0" w:color="000000"/>
              <w:right w:val="single" w:sz="16" w:space="0" w:color="000000"/>
            </w:tcBorders>
            <w:shd w:val="clear" w:color="auto" w:fill="FFFFFF"/>
          </w:tcPr>
          <w:p w14:paraId="059CF83C"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proofErr w:type="spellStart"/>
            <w:r w:rsidRPr="00CF3DDD">
              <w:rPr>
                <w:rFonts w:cs="Times New Roman"/>
                <w:color w:val="000000"/>
                <w:sz w:val="18"/>
                <w:szCs w:val="18"/>
              </w:rPr>
              <w:t>AvgBE</w:t>
            </w:r>
            <w:proofErr w:type="spellEnd"/>
          </w:p>
        </w:tc>
        <w:tc>
          <w:tcPr>
            <w:tcW w:w="1331" w:type="dxa"/>
            <w:gridSpan w:val="2"/>
            <w:tcBorders>
              <w:top w:val="nil"/>
              <w:left w:val="single" w:sz="16" w:space="0" w:color="000000"/>
              <w:bottom w:val="single" w:sz="16" w:space="0" w:color="000000"/>
            </w:tcBorders>
            <w:shd w:val="clear" w:color="auto" w:fill="FFFFFF"/>
            <w:vAlign w:val="center"/>
          </w:tcPr>
          <w:p w14:paraId="71EBCAEB"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.545</w:t>
            </w:r>
          </w:p>
        </w:tc>
        <w:tc>
          <w:tcPr>
            <w:tcW w:w="1331" w:type="dxa"/>
            <w:gridSpan w:val="2"/>
            <w:tcBorders>
              <w:top w:val="nil"/>
              <w:bottom w:val="single" w:sz="16" w:space="0" w:color="000000"/>
            </w:tcBorders>
            <w:shd w:val="clear" w:color="auto" w:fill="FFFFFF"/>
            <w:vAlign w:val="center"/>
          </w:tcPr>
          <w:p w14:paraId="7DD49141"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.037</w:t>
            </w:r>
          </w:p>
        </w:tc>
        <w:tc>
          <w:tcPr>
            <w:tcW w:w="1469" w:type="dxa"/>
            <w:gridSpan w:val="2"/>
            <w:tcBorders>
              <w:top w:val="nil"/>
              <w:bottom w:val="single" w:sz="16" w:space="0" w:color="000000"/>
            </w:tcBorders>
            <w:shd w:val="clear" w:color="auto" w:fill="FFFFFF"/>
            <w:vAlign w:val="center"/>
          </w:tcPr>
          <w:p w14:paraId="5ED55C6E"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.573</w:t>
            </w:r>
          </w:p>
        </w:tc>
        <w:tc>
          <w:tcPr>
            <w:tcW w:w="1025" w:type="dxa"/>
            <w:tcBorders>
              <w:top w:val="nil"/>
              <w:bottom w:val="single" w:sz="16" w:space="0" w:color="000000"/>
            </w:tcBorders>
            <w:shd w:val="clear" w:color="auto" w:fill="FFFFFF"/>
            <w:vAlign w:val="center"/>
          </w:tcPr>
          <w:p w14:paraId="3A47BE81"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14.689</w:t>
            </w:r>
          </w:p>
        </w:tc>
        <w:tc>
          <w:tcPr>
            <w:tcW w:w="1025" w:type="dxa"/>
            <w:tcBorders>
              <w:top w:val="nil"/>
              <w:bottom w:val="single" w:sz="16" w:space="0" w:color="000000"/>
              <w:right w:val="single" w:sz="16" w:space="0" w:color="000000"/>
            </w:tcBorders>
            <w:shd w:val="clear" w:color="auto" w:fill="FFFFFF"/>
            <w:vAlign w:val="center"/>
          </w:tcPr>
          <w:p w14:paraId="6D642CD5"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r>
      <w:tr w:rsidR="00A61163" w:rsidRPr="00CF3DDD" w14:paraId="4860DDB2" w14:textId="77777777" w:rsidTr="00A61163">
        <w:trPr>
          <w:cantSplit/>
        </w:trPr>
        <w:tc>
          <w:tcPr>
            <w:tcW w:w="8092" w:type="dxa"/>
            <w:gridSpan w:val="12"/>
            <w:tcBorders>
              <w:top w:val="nil"/>
              <w:left w:val="nil"/>
              <w:bottom w:val="nil"/>
              <w:right w:val="nil"/>
            </w:tcBorders>
            <w:shd w:val="clear" w:color="auto" w:fill="FFFFFF"/>
          </w:tcPr>
          <w:p w14:paraId="4FD563C2"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lastRenderedPageBreak/>
              <w:t xml:space="preserve">a. Dependent Variable: </w:t>
            </w:r>
            <w:proofErr w:type="spellStart"/>
            <w:r w:rsidRPr="00CF3DDD">
              <w:rPr>
                <w:rFonts w:cs="Times New Roman"/>
                <w:color w:val="000000"/>
                <w:sz w:val="18"/>
                <w:szCs w:val="18"/>
              </w:rPr>
              <w:t>AvgBT</w:t>
            </w:r>
            <w:proofErr w:type="spellEnd"/>
          </w:p>
        </w:tc>
      </w:tr>
      <w:tr w:rsidR="00A61163" w:rsidRPr="00CF3DDD" w14:paraId="62164902" w14:textId="77777777" w:rsidTr="00A61163">
        <w:trPr>
          <w:gridAfter w:val="3"/>
          <w:wAfter w:w="2249" w:type="dxa"/>
          <w:cantSplit/>
        </w:trPr>
        <w:tc>
          <w:tcPr>
            <w:tcW w:w="5843" w:type="dxa"/>
            <w:gridSpan w:val="9"/>
            <w:tcBorders>
              <w:top w:val="nil"/>
              <w:left w:val="nil"/>
              <w:bottom w:val="nil"/>
              <w:right w:val="nil"/>
            </w:tcBorders>
            <w:shd w:val="clear" w:color="auto" w:fill="FFFFFF"/>
            <w:vAlign w:val="center"/>
          </w:tcPr>
          <w:p w14:paraId="4725D5CC" w14:textId="77777777" w:rsidR="00A61163" w:rsidRPr="00CF3DDD" w:rsidRDefault="00A61163" w:rsidP="00CF3DDD">
            <w:pPr>
              <w:autoSpaceDE w:val="0"/>
              <w:autoSpaceDN w:val="0"/>
              <w:adjustRightInd w:val="0"/>
              <w:spacing w:after="0" w:line="360" w:lineRule="auto"/>
              <w:ind w:right="60"/>
              <w:rPr>
                <w:rFonts w:cs="Times New Roman"/>
                <w:b/>
                <w:bCs/>
                <w:color w:val="000000"/>
                <w:sz w:val="20"/>
                <w:szCs w:val="20"/>
              </w:rPr>
            </w:pPr>
          </w:p>
          <w:p w14:paraId="1187CEAD" w14:textId="77777777" w:rsidR="00A61163" w:rsidRPr="00CF3DDD" w:rsidRDefault="00A61163" w:rsidP="00CF3DDD">
            <w:pPr>
              <w:pStyle w:val="NormalWeb"/>
              <w:spacing w:line="360" w:lineRule="auto"/>
              <w:rPr>
                <w:rFonts w:eastAsia="Arial"/>
                <w:highlight w:val="cyan"/>
                <w:lang w:val="en"/>
              </w:rPr>
            </w:pPr>
            <w:r w:rsidRPr="00CF3DDD">
              <w:rPr>
                <w:rFonts w:eastAsia="Arial"/>
                <w:highlight w:val="cyan"/>
                <w:lang w:val="en"/>
              </w:rPr>
              <w:t>H3: Brand Equity positively affects Brand Loyalty.</w:t>
            </w:r>
          </w:p>
          <w:p w14:paraId="221074FA" w14:textId="77777777" w:rsidR="00A61163" w:rsidRPr="00CF3DDD" w:rsidRDefault="00A61163" w:rsidP="00CF3DDD">
            <w:pPr>
              <w:autoSpaceDE w:val="0"/>
              <w:autoSpaceDN w:val="0"/>
              <w:adjustRightInd w:val="0"/>
              <w:spacing w:after="0" w:line="360" w:lineRule="auto"/>
              <w:ind w:right="60"/>
              <w:rPr>
                <w:rFonts w:cs="Times New Roman"/>
                <w:b/>
                <w:bCs/>
                <w:color w:val="000000"/>
                <w:sz w:val="20"/>
                <w:szCs w:val="20"/>
              </w:rPr>
            </w:pPr>
          </w:p>
          <w:p w14:paraId="6C646226"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b/>
                <w:bCs/>
                <w:color w:val="000000"/>
                <w:sz w:val="20"/>
                <w:szCs w:val="20"/>
              </w:rPr>
              <w:t>Model Summary</w:t>
            </w:r>
          </w:p>
        </w:tc>
      </w:tr>
      <w:tr w:rsidR="00A61163" w:rsidRPr="00CF3DDD" w14:paraId="7FF4512A" w14:textId="77777777" w:rsidTr="00A61163">
        <w:trPr>
          <w:gridAfter w:val="3"/>
          <w:wAfter w:w="2249" w:type="dxa"/>
          <w:cantSplit/>
        </w:trPr>
        <w:tc>
          <w:tcPr>
            <w:tcW w:w="795" w:type="dxa"/>
            <w:gridSpan w:val="2"/>
            <w:tcBorders>
              <w:top w:val="single" w:sz="16" w:space="0" w:color="000000"/>
              <w:left w:val="single" w:sz="16" w:space="0" w:color="000000"/>
              <w:bottom w:val="single" w:sz="16" w:space="0" w:color="000000"/>
              <w:right w:val="single" w:sz="16" w:space="0" w:color="000000"/>
            </w:tcBorders>
            <w:shd w:val="clear" w:color="auto" w:fill="FFFFFF"/>
            <w:vAlign w:val="bottom"/>
          </w:tcPr>
          <w:p w14:paraId="0BFBBFA6"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Model</w:t>
            </w:r>
          </w:p>
        </w:tc>
        <w:tc>
          <w:tcPr>
            <w:tcW w:w="1024" w:type="dxa"/>
            <w:tcBorders>
              <w:top w:val="single" w:sz="16" w:space="0" w:color="000000"/>
              <w:left w:val="single" w:sz="16" w:space="0" w:color="000000"/>
              <w:bottom w:val="single" w:sz="16" w:space="0" w:color="000000"/>
            </w:tcBorders>
            <w:shd w:val="clear" w:color="auto" w:fill="FFFFFF"/>
            <w:vAlign w:val="bottom"/>
          </w:tcPr>
          <w:p w14:paraId="53F408B0"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R</w:t>
            </w:r>
          </w:p>
        </w:tc>
        <w:tc>
          <w:tcPr>
            <w:tcW w:w="1086" w:type="dxa"/>
            <w:gridSpan w:val="2"/>
            <w:tcBorders>
              <w:top w:val="single" w:sz="16" w:space="0" w:color="000000"/>
              <w:bottom w:val="single" w:sz="16" w:space="0" w:color="000000"/>
            </w:tcBorders>
            <w:shd w:val="clear" w:color="auto" w:fill="FFFFFF"/>
            <w:vAlign w:val="bottom"/>
          </w:tcPr>
          <w:p w14:paraId="53FE296B"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R Square</w:t>
            </w:r>
          </w:p>
        </w:tc>
        <w:tc>
          <w:tcPr>
            <w:tcW w:w="1469" w:type="dxa"/>
            <w:gridSpan w:val="2"/>
            <w:tcBorders>
              <w:top w:val="single" w:sz="16" w:space="0" w:color="000000"/>
              <w:bottom w:val="single" w:sz="16" w:space="0" w:color="000000"/>
            </w:tcBorders>
            <w:shd w:val="clear" w:color="auto" w:fill="FFFFFF"/>
            <w:vAlign w:val="bottom"/>
          </w:tcPr>
          <w:p w14:paraId="5887D3C6"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Adjusted R Square</w:t>
            </w:r>
          </w:p>
        </w:tc>
        <w:tc>
          <w:tcPr>
            <w:tcW w:w="1469" w:type="dxa"/>
            <w:gridSpan w:val="2"/>
            <w:tcBorders>
              <w:top w:val="single" w:sz="16" w:space="0" w:color="000000"/>
              <w:bottom w:val="single" w:sz="16" w:space="0" w:color="000000"/>
              <w:right w:val="single" w:sz="16" w:space="0" w:color="000000"/>
            </w:tcBorders>
            <w:shd w:val="clear" w:color="auto" w:fill="FFFFFF"/>
            <w:vAlign w:val="bottom"/>
          </w:tcPr>
          <w:p w14:paraId="6DD42DF7"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Std. Error of the Estimate</w:t>
            </w:r>
          </w:p>
        </w:tc>
      </w:tr>
      <w:tr w:rsidR="00A61163" w:rsidRPr="00CF3DDD" w14:paraId="0E10D085" w14:textId="77777777" w:rsidTr="00A61163">
        <w:trPr>
          <w:gridAfter w:val="3"/>
          <w:wAfter w:w="2249" w:type="dxa"/>
          <w:cantSplit/>
        </w:trPr>
        <w:tc>
          <w:tcPr>
            <w:tcW w:w="795" w:type="dxa"/>
            <w:gridSpan w:val="2"/>
            <w:tcBorders>
              <w:top w:val="single" w:sz="16" w:space="0" w:color="000000"/>
              <w:left w:val="single" w:sz="16" w:space="0" w:color="000000"/>
              <w:bottom w:val="single" w:sz="16" w:space="0" w:color="000000"/>
              <w:right w:val="single" w:sz="16" w:space="0" w:color="000000"/>
            </w:tcBorders>
            <w:shd w:val="clear" w:color="auto" w:fill="FFFFFF"/>
          </w:tcPr>
          <w:p w14:paraId="5ADAC2F3"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1</w:t>
            </w:r>
          </w:p>
        </w:tc>
        <w:tc>
          <w:tcPr>
            <w:tcW w:w="1024" w:type="dxa"/>
            <w:tcBorders>
              <w:top w:val="single" w:sz="16" w:space="0" w:color="000000"/>
              <w:left w:val="single" w:sz="16" w:space="0" w:color="000000"/>
              <w:bottom w:val="single" w:sz="16" w:space="0" w:color="000000"/>
            </w:tcBorders>
            <w:shd w:val="clear" w:color="auto" w:fill="FFFFFF"/>
            <w:vAlign w:val="center"/>
          </w:tcPr>
          <w:p w14:paraId="1575C683"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.510</w:t>
            </w:r>
            <w:r w:rsidRPr="00CF3DDD">
              <w:rPr>
                <w:rFonts w:cs="Times New Roman"/>
                <w:color w:val="000000"/>
                <w:sz w:val="18"/>
                <w:szCs w:val="18"/>
                <w:vertAlign w:val="superscript"/>
              </w:rPr>
              <w:t>a</w:t>
            </w:r>
          </w:p>
        </w:tc>
        <w:tc>
          <w:tcPr>
            <w:tcW w:w="1086" w:type="dxa"/>
            <w:gridSpan w:val="2"/>
            <w:tcBorders>
              <w:top w:val="single" w:sz="16" w:space="0" w:color="000000"/>
              <w:bottom w:val="single" w:sz="16" w:space="0" w:color="000000"/>
            </w:tcBorders>
            <w:shd w:val="clear" w:color="auto" w:fill="FFFFFF"/>
            <w:vAlign w:val="center"/>
          </w:tcPr>
          <w:p w14:paraId="624D4816"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.260</w:t>
            </w:r>
          </w:p>
        </w:tc>
        <w:tc>
          <w:tcPr>
            <w:tcW w:w="1469" w:type="dxa"/>
            <w:gridSpan w:val="2"/>
            <w:tcBorders>
              <w:top w:val="single" w:sz="16" w:space="0" w:color="000000"/>
              <w:bottom w:val="single" w:sz="16" w:space="0" w:color="000000"/>
            </w:tcBorders>
            <w:shd w:val="clear" w:color="auto" w:fill="FFFFFF"/>
            <w:vAlign w:val="center"/>
          </w:tcPr>
          <w:p w14:paraId="49D34C2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.258</w:t>
            </w:r>
          </w:p>
        </w:tc>
        <w:tc>
          <w:tcPr>
            <w:tcW w:w="1469" w:type="dxa"/>
            <w:gridSpan w:val="2"/>
            <w:tcBorders>
              <w:top w:val="single" w:sz="16" w:space="0" w:color="000000"/>
              <w:bottom w:val="single" w:sz="16" w:space="0" w:color="000000"/>
              <w:right w:val="single" w:sz="16" w:space="0" w:color="000000"/>
            </w:tcBorders>
            <w:shd w:val="clear" w:color="auto" w:fill="FFFFFF"/>
            <w:vAlign w:val="center"/>
          </w:tcPr>
          <w:p w14:paraId="4A1E78E5"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.53412</w:t>
            </w:r>
          </w:p>
        </w:tc>
      </w:tr>
      <w:tr w:rsidR="00A61163" w:rsidRPr="00CF3DDD" w14:paraId="75750A79" w14:textId="77777777" w:rsidTr="00A61163">
        <w:trPr>
          <w:gridAfter w:val="3"/>
          <w:wAfter w:w="2249" w:type="dxa"/>
          <w:cantSplit/>
        </w:trPr>
        <w:tc>
          <w:tcPr>
            <w:tcW w:w="5843" w:type="dxa"/>
            <w:gridSpan w:val="9"/>
            <w:tcBorders>
              <w:top w:val="nil"/>
              <w:left w:val="nil"/>
              <w:bottom w:val="nil"/>
              <w:right w:val="nil"/>
            </w:tcBorders>
            <w:shd w:val="clear" w:color="auto" w:fill="FFFFFF"/>
          </w:tcPr>
          <w:p w14:paraId="361C444D"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 xml:space="preserve">a. Predictors: (Constant), </w:t>
            </w:r>
            <w:proofErr w:type="spellStart"/>
            <w:r w:rsidRPr="00CF3DDD">
              <w:rPr>
                <w:rFonts w:cs="Times New Roman"/>
                <w:color w:val="000000"/>
                <w:sz w:val="18"/>
                <w:szCs w:val="18"/>
              </w:rPr>
              <w:t>AvgBE</w:t>
            </w:r>
            <w:proofErr w:type="spellEnd"/>
          </w:p>
        </w:tc>
      </w:tr>
      <w:tr w:rsidR="00A61163" w:rsidRPr="00CF3DDD" w14:paraId="28932EA6" w14:textId="77777777" w:rsidTr="00A61163">
        <w:trPr>
          <w:gridAfter w:val="3"/>
          <w:wAfter w:w="2249" w:type="dxa"/>
          <w:cantSplit/>
        </w:trPr>
        <w:tc>
          <w:tcPr>
            <w:tcW w:w="5843" w:type="dxa"/>
            <w:gridSpan w:val="9"/>
            <w:tcBorders>
              <w:top w:val="nil"/>
              <w:left w:val="nil"/>
              <w:bottom w:val="nil"/>
              <w:right w:val="nil"/>
            </w:tcBorders>
            <w:shd w:val="clear" w:color="auto" w:fill="FFFFFF"/>
          </w:tcPr>
          <w:p w14:paraId="261FAF42"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 xml:space="preserve">b. Dependent Variable: </w:t>
            </w:r>
            <w:proofErr w:type="spellStart"/>
            <w:r w:rsidRPr="00CF3DDD">
              <w:rPr>
                <w:rFonts w:cs="Times New Roman"/>
                <w:color w:val="000000"/>
                <w:sz w:val="18"/>
                <w:szCs w:val="18"/>
              </w:rPr>
              <w:t>AvgBL</w:t>
            </w:r>
            <w:proofErr w:type="spellEnd"/>
          </w:p>
        </w:tc>
      </w:tr>
    </w:tbl>
    <w:p w14:paraId="31716E92" w14:textId="77777777" w:rsidR="00A61163" w:rsidRPr="00CF3DDD" w:rsidRDefault="00A61163" w:rsidP="00CF3DDD">
      <w:pPr>
        <w:autoSpaceDE w:val="0"/>
        <w:autoSpaceDN w:val="0"/>
        <w:adjustRightInd w:val="0"/>
        <w:spacing w:after="0" w:line="360" w:lineRule="auto"/>
        <w:rPr>
          <w:rFonts w:cs="Times New Roman"/>
          <w:szCs w:val="24"/>
        </w:rPr>
      </w:pPr>
    </w:p>
    <w:tbl>
      <w:tblPr>
        <w:tblW w:w="80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A61163" w:rsidRPr="00CF3DDD" w14:paraId="523DC010" w14:textId="77777777" w:rsidTr="00872283">
        <w:trPr>
          <w:cantSplit/>
        </w:trPr>
        <w:tc>
          <w:tcPr>
            <w:tcW w:w="8087" w:type="dxa"/>
            <w:gridSpan w:val="7"/>
            <w:tcBorders>
              <w:top w:val="nil"/>
              <w:left w:val="nil"/>
              <w:bottom w:val="nil"/>
              <w:right w:val="nil"/>
            </w:tcBorders>
            <w:shd w:val="clear" w:color="auto" w:fill="FFFFFF"/>
            <w:vAlign w:val="center"/>
          </w:tcPr>
          <w:p w14:paraId="67ABAFD4" w14:textId="77777777" w:rsidR="00A61163" w:rsidRPr="00CF3DDD" w:rsidRDefault="00A61163" w:rsidP="00CF3DDD">
            <w:pPr>
              <w:autoSpaceDE w:val="0"/>
              <w:autoSpaceDN w:val="0"/>
              <w:adjustRightInd w:val="0"/>
              <w:spacing w:after="0" w:line="360" w:lineRule="auto"/>
              <w:ind w:right="60"/>
              <w:jc w:val="left"/>
              <w:rPr>
                <w:rFonts w:cs="Times New Roman"/>
                <w:b/>
                <w:bCs/>
                <w:color w:val="000000"/>
                <w:sz w:val="20"/>
                <w:szCs w:val="20"/>
              </w:rPr>
            </w:pPr>
          </w:p>
          <w:p w14:paraId="40853B39"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b/>
                <w:bCs/>
                <w:color w:val="000000"/>
                <w:sz w:val="20"/>
                <w:szCs w:val="20"/>
              </w:rPr>
              <w:t>Coefficients</w:t>
            </w:r>
          </w:p>
        </w:tc>
      </w:tr>
      <w:tr w:rsidR="00A61163" w:rsidRPr="00CF3DDD" w14:paraId="666748C2" w14:textId="77777777" w:rsidTr="00872283">
        <w:trPr>
          <w:cantSplit/>
        </w:trPr>
        <w:tc>
          <w:tcPr>
            <w:tcW w:w="1911" w:type="dxa"/>
            <w:gridSpan w:val="2"/>
            <w:vMerge w:val="restart"/>
            <w:tcBorders>
              <w:top w:val="single" w:sz="16" w:space="0" w:color="000000"/>
              <w:left w:val="single" w:sz="16" w:space="0" w:color="000000"/>
              <w:bottom w:val="nil"/>
              <w:right w:val="nil"/>
            </w:tcBorders>
            <w:shd w:val="clear" w:color="auto" w:fill="FFFFFF"/>
            <w:vAlign w:val="bottom"/>
          </w:tcPr>
          <w:p w14:paraId="25FE1528"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Model</w:t>
            </w:r>
          </w:p>
        </w:tc>
        <w:tc>
          <w:tcPr>
            <w:tcW w:w="2660" w:type="dxa"/>
            <w:gridSpan w:val="2"/>
            <w:tcBorders>
              <w:top w:val="single" w:sz="16" w:space="0" w:color="000000"/>
              <w:left w:val="single" w:sz="16" w:space="0" w:color="000000"/>
            </w:tcBorders>
            <w:shd w:val="clear" w:color="auto" w:fill="FFFFFF"/>
            <w:vAlign w:val="bottom"/>
          </w:tcPr>
          <w:p w14:paraId="1F7E763A"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Unstandardized Coefficients</w:t>
            </w:r>
          </w:p>
        </w:tc>
        <w:tc>
          <w:tcPr>
            <w:tcW w:w="1468" w:type="dxa"/>
            <w:tcBorders>
              <w:top w:val="single" w:sz="16" w:space="0" w:color="000000"/>
            </w:tcBorders>
            <w:shd w:val="clear" w:color="auto" w:fill="FFFFFF"/>
            <w:vAlign w:val="bottom"/>
          </w:tcPr>
          <w:p w14:paraId="518A489D"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Standardized Coefficients</w:t>
            </w:r>
          </w:p>
        </w:tc>
        <w:tc>
          <w:tcPr>
            <w:tcW w:w="1024" w:type="dxa"/>
            <w:vMerge w:val="restart"/>
            <w:tcBorders>
              <w:top w:val="single" w:sz="16" w:space="0" w:color="000000"/>
            </w:tcBorders>
            <w:shd w:val="clear" w:color="auto" w:fill="FFFFFF"/>
            <w:vAlign w:val="bottom"/>
          </w:tcPr>
          <w:p w14:paraId="41109C0E"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t</w:t>
            </w:r>
          </w:p>
        </w:tc>
        <w:tc>
          <w:tcPr>
            <w:tcW w:w="1024" w:type="dxa"/>
            <w:vMerge w:val="restart"/>
            <w:tcBorders>
              <w:top w:val="single" w:sz="16" w:space="0" w:color="000000"/>
              <w:right w:val="single" w:sz="16" w:space="0" w:color="000000"/>
            </w:tcBorders>
            <w:shd w:val="clear" w:color="auto" w:fill="FFFFFF"/>
            <w:vAlign w:val="bottom"/>
          </w:tcPr>
          <w:p w14:paraId="353FA9F1"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Sig.</w:t>
            </w:r>
          </w:p>
        </w:tc>
      </w:tr>
      <w:tr w:rsidR="00A61163" w:rsidRPr="00CF3DDD" w14:paraId="09E2A3C2" w14:textId="77777777" w:rsidTr="00872283">
        <w:trPr>
          <w:cantSplit/>
        </w:trPr>
        <w:tc>
          <w:tcPr>
            <w:tcW w:w="1911" w:type="dxa"/>
            <w:gridSpan w:val="2"/>
            <w:vMerge/>
            <w:tcBorders>
              <w:top w:val="single" w:sz="16" w:space="0" w:color="000000"/>
              <w:left w:val="single" w:sz="16" w:space="0" w:color="000000"/>
              <w:bottom w:val="nil"/>
              <w:right w:val="nil"/>
            </w:tcBorders>
            <w:shd w:val="clear" w:color="auto" w:fill="FFFFFF"/>
            <w:vAlign w:val="bottom"/>
          </w:tcPr>
          <w:p w14:paraId="235F1BE3" w14:textId="77777777" w:rsidR="00A61163" w:rsidRPr="00CF3DDD" w:rsidRDefault="00A61163" w:rsidP="00CF3DDD">
            <w:pPr>
              <w:autoSpaceDE w:val="0"/>
              <w:autoSpaceDN w:val="0"/>
              <w:adjustRightInd w:val="0"/>
              <w:spacing w:after="0" w:line="360" w:lineRule="auto"/>
              <w:rPr>
                <w:rFonts w:cs="Times New Roman"/>
                <w:color w:val="000000"/>
                <w:sz w:val="18"/>
                <w:szCs w:val="18"/>
              </w:rPr>
            </w:pPr>
          </w:p>
        </w:tc>
        <w:tc>
          <w:tcPr>
            <w:tcW w:w="1330" w:type="dxa"/>
            <w:tcBorders>
              <w:left w:val="single" w:sz="16" w:space="0" w:color="000000"/>
              <w:bottom w:val="single" w:sz="16" w:space="0" w:color="000000"/>
            </w:tcBorders>
            <w:shd w:val="clear" w:color="auto" w:fill="FFFFFF"/>
            <w:vAlign w:val="bottom"/>
          </w:tcPr>
          <w:p w14:paraId="12BD8C0A"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B</w:t>
            </w:r>
          </w:p>
        </w:tc>
        <w:tc>
          <w:tcPr>
            <w:tcW w:w="1330" w:type="dxa"/>
            <w:tcBorders>
              <w:bottom w:val="single" w:sz="16" w:space="0" w:color="000000"/>
            </w:tcBorders>
            <w:shd w:val="clear" w:color="auto" w:fill="FFFFFF"/>
            <w:vAlign w:val="bottom"/>
          </w:tcPr>
          <w:p w14:paraId="0CB2146F"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Std. Error</w:t>
            </w:r>
          </w:p>
        </w:tc>
        <w:tc>
          <w:tcPr>
            <w:tcW w:w="1468" w:type="dxa"/>
            <w:tcBorders>
              <w:bottom w:val="single" w:sz="16" w:space="0" w:color="000000"/>
            </w:tcBorders>
            <w:shd w:val="clear" w:color="auto" w:fill="FFFFFF"/>
            <w:vAlign w:val="bottom"/>
          </w:tcPr>
          <w:p w14:paraId="26C68DAA" w14:textId="77777777" w:rsidR="00A61163" w:rsidRPr="00CF3DDD" w:rsidRDefault="00A61163" w:rsidP="00CF3DDD">
            <w:pPr>
              <w:autoSpaceDE w:val="0"/>
              <w:autoSpaceDN w:val="0"/>
              <w:adjustRightInd w:val="0"/>
              <w:spacing w:after="0" w:line="360" w:lineRule="auto"/>
              <w:ind w:left="60" w:right="60"/>
              <w:jc w:val="center"/>
              <w:rPr>
                <w:rFonts w:cs="Times New Roman"/>
                <w:color w:val="000000"/>
                <w:sz w:val="18"/>
                <w:szCs w:val="18"/>
              </w:rPr>
            </w:pPr>
            <w:r w:rsidRPr="00CF3DDD">
              <w:rPr>
                <w:rFonts w:cs="Times New Roman"/>
                <w:color w:val="000000"/>
                <w:sz w:val="18"/>
                <w:szCs w:val="18"/>
              </w:rPr>
              <w:t>Beta</w:t>
            </w:r>
          </w:p>
        </w:tc>
        <w:tc>
          <w:tcPr>
            <w:tcW w:w="1024" w:type="dxa"/>
            <w:vMerge/>
            <w:tcBorders>
              <w:top w:val="single" w:sz="16" w:space="0" w:color="000000"/>
            </w:tcBorders>
            <w:shd w:val="clear" w:color="auto" w:fill="FFFFFF"/>
            <w:vAlign w:val="bottom"/>
          </w:tcPr>
          <w:p w14:paraId="2A357419" w14:textId="77777777" w:rsidR="00A61163" w:rsidRPr="00CF3DDD" w:rsidRDefault="00A61163" w:rsidP="00CF3DDD">
            <w:pPr>
              <w:autoSpaceDE w:val="0"/>
              <w:autoSpaceDN w:val="0"/>
              <w:adjustRightInd w:val="0"/>
              <w:spacing w:after="0" w:line="360" w:lineRule="auto"/>
              <w:rPr>
                <w:rFonts w:cs="Times New Roman"/>
                <w:color w:val="000000"/>
                <w:sz w:val="18"/>
                <w:szCs w:val="18"/>
              </w:rPr>
            </w:pPr>
          </w:p>
        </w:tc>
        <w:tc>
          <w:tcPr>
            <w:tcW w:w="1024" w:type="dxa"/>
            <w:vMerge/>
            <w:tcBorders>
              <w:top w:val="single" w:sz="16" w:space="0" w:color="000000"/>
              <w:right w:val="single" w:sz="16" w:space="0" w:color="000000"/>
            </w:tcBorders>
            <w:shd w:val="clear" w:color="auto" w:fill="FFFFFF"/>
            <w:vAlign w:val="bottom"/>
          </w:tcPr>
          <w:p w14:paraId="5FB3A58B" w14:textId="77777777" w:rsidR="00A61163" w:rsidRPr="00CF3DDD" w:rsidRDefault="00A61163" w:rsidP="00CF3DDD">
            <w:pPr>
              <w:autoSpaceDE w:val="0"/>
              <w:autoSpaceDN w:val="0"/>
              <w:adjustRightInd w:val="0"/>
              <w:spacing w:after="0" w:line="360" w:lineRule="auto"/>
              <w:rPr>
                <w:rFonts w:cs="Times New Roman"/>
                <w:color w:val="000000"/>
                <w:sz w:val="18"/>
                <w:szCs w:val="18"/>
              </w:rPr>
            </w:pPr>
          </w:p>
        </w:tc>
      </w:tr>
      <w:tr w:rsidR="00A61163" w:rsidRPr="00CF3DDD" w14:paraId="48507FA8" w14:textId="77777777" w:rsidTr="00872283">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tcPr>
          <w:p w14:paraId="56B11048"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1</w:t>
            </w:r>
          </w:p>
        </w:tc>
        <w:tc>
          <w:tcPr>
            <w:tcW w:w="1177" w:type="dxa"/>
            <w:tcBorders>
              <w:top w:val="single" w:sz="16" w:space="0" w:color="000000"/>
              <w:left w:val="nil"/>
              <w:bottom w:val="nil"/>
              <w:right w:val="single" w:sz="16" w:space="0" w:color="000000"/>
            </w:tcBorders>
            <w:shd w:val="clear" w:color="auto" w:fill="FFFFFF"/>
          </w:tcPr>
          <w:p w14:paraId="61CA8CF2"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(Constant)</w:t>
            </w:r>
          </w:p>
        </w:tc>
        <w:tc>
          <w:tcPr>
            <w:tcW w:w="1330" w:type="dxa"/>
            <w:tcBorders>
              <w:top w:val="single" w:sz="16" w:space="0" w:color="000000"/>
              <w:left w:val="single" w:sz="16" w:space="0" w:color="000000"/>
              <w:bottom w:val="nil"/>
            </w:tcBorders>
            <w:shd w:val="clear" w:color="auto" w:fill="FFFFFF"/>
            <w:vAlign w:val="center"/>
          </w:tcPr>
          <w:p w14:paraId="328E043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2.147</w:t>
            </w:r>
          </w:p>
        </w:tc>
        <w:tc>
          <w:tcPr>
            <w:tcW w:w="1330" w:type="dxa"/>
            <w:tcBorders>
              <w:top w:val="single" w:sz="16" w:space="0" w:color="000000"/>
              <w:bottom w:val="nil"/>
            </w:tcBorders>
            <w:shd w:val="clear" w:color="auto" w:fill="FFFFFF"/>
            <w:vAlign w:val="center"/>
          </w:tcPr>
          <w:p w14:paraId="0D45A0A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.163</w:t>
            </w:r>
          </w:p>
        </w:tc>
        <w:tc>
          <w:tcPr>
            <w:tcW w:w="1468" w:type="dxa"/>
            <w:tcBorders>
              <w:top w:val="single" w:sz="16" w:space="0" w:color="000000"/>
              <w:bottom w:val="nil"/>
            </w:tcBorders>
            <w:shd w:val="clear" w:color="auto" w:fill="FFFFFF"/>
            <w:vAlign w:val="center"/>
          </w:tcPr>
          <w:p w14:paraId="43320B1A" w14:textId="77777777" w:rsidR="00A61163" w:rsidRPr="00CF3DDD" w:rsidRDefault="00A61163" w:rsidP="00CF3DDD">
            <w:pPr>
              <w:autoSpaceDE w:val="0"/>
              <w:autoSpaceDN w:val="0"/>
              <w:adjustRightInd w:val="0"/>
              <w:spacing w:after="0" w:line="360" w:lineRule="auto"/>
              <w:rPr>
                <w:rFonts w:cs="Times New Roman"/>
                <w:szCs w:val="24"/>
              </w:rPr>
            </w:pPr>
          </w:p>
        </w:tc>
        <w:tc>
          <w:tcPr>
            <w:tcW w:w="1024" w:type="dxa"/>
            <w:tcBorders>
              <w:top w:val="single" w:sz="16" w:space="0" w:color="000000"/>
              <w:bottom w:val="nil"/>
            </w:tcBorders>
            <w:shd w:val="clear" w:color="auto" w:fill="FFFFFF"/>
            <w:vAlign w:val="center"/>
          </w:tcPr>
          <w:p w14:paraId="71E0C0C1"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13.167</w:t>
            </w:r>
          </w:p>
        </w:tc>
        <w:tc>
          <w:tcPr>
            <w:tcW w:w="1024" w:type="dxa"/>
            <w:tcBorders>
              <w:top w:val="single" w:sz="16" w:space="0" w:color="000000"/>
              <w:bottom w:val="nil"/>
              <w:right w:val="single" w:sz="16" w:space="0" w:color="000000"/>
            </w:tcBorders>
            <w:shd w:val="clear" w:color="auto" w:fill="FFFFFF"/>
            <w:vAlign w:val="center"/>
          </w:tcPr>
          <w:p w14:paraId="564FA3EC"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r>
      <w:tr w:rsidR="00A61163" w:rsidRPr="00CF3DDD" w14:paraId="36C400C8" w14:textId="77777777" w:rsidTr="00872283">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533E3196" w14:textId="77777777" w:rsidR="00A61163" w:rsidRPr="00CF3DDD" w:rsidRDefault="00A61163" w:rsidP="00CF3DDD">
            <w:pPr>
              <w:autoSpaceDE w:val="0"/>
              <w:autoSpaceDN w:val="0"/>
              <w:adjustRightInd w:val="0"/>
              <w:spacing w:after="0" w:line="360" w:lineRule="auto"/>
              <w:rPr>
                <w:rFonts w:cs="Times New Roman"/>
                <w:color w:val="000000"/>
                <w:sz w:val="18"/>
                <w:szCs w:val="18"/>
              </w:rPr>
            </w:pPr>
          </w:p>
        </w:tc>
        <w:tc>
          <w:tcPr>
            <w:tcW w:w="1177" w:type="dxa"/>
            <w:tcBorders>
              <w:top w:val="nil"/>
              <w:left w:val="nil"/>
              <w:bottom w:val="single" w:sz="16" w:space="0" w:color="000000"/>
              <w:right w:val="single" w:sz="16" w:space="0" w:color="000000"/>
            </w:tcBorders>
            <w:shd w:val="clear" w:color="auto" w:fill="FFFFFF"/>
          </w:tcPr>
          <w:p w14:paraId="1401345E"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proofErr w:type="spellStart"/>
            <w:r w:rsidRPr="00CF3DDD">
              <w:rPr>
                <w:rFonts w:cs="Times New Roman"/>
                <w:color w:val="000000"/>
                <w:sz w:val="18"/>
                <w:szCs w:val="18"/>
              </w:rPr>
              <w:t>AvgBE</w:t>
            </w:r>
            <w:proofErr w:type="spellEnd"/>
          </w:p>
        </w:tc>
        <w:tc>
          <w:tcPr>
            <w:tcW w:w="1330" w:type="dxa"/>
            <w:tcBorders>
              <w:top w:val="nil"/>
              <w:left w:val="single" w:sz="16" w:space="0" w:color="000000"/>
              <w:bottom w:val="single" w:sz="16" w:space="0" w:color="000000"/>
            </w:tcBorders>
            <w:shd w:val="clear" w:color="auto" w:fill="FFFFFF"/>
            <w:vAlign w:val="center"/>
          </w:tcPr>
          <w:p w14:paraId="0D42AAB5"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.492</w:t>
            </w:r>
          </w:p>
        </w:tc>
        <w:tc>
          <w:tcPr>
            <w:tcW w:w="1330" w:type="dxa"/>
            <w:tcBorders>
              <w:top w:val="nil"/>
              <w:bottom w:val="single" w:sz="16" w:space="0" w:color="000000"/>
            </w:tcBorders>
            <w:shd w:val="clear" w:color="auto" w:fill="FFFFFF"/>
            <w:vAlign w:val="center"/>
          </w:tcPr>
          <w:p w14:paraId="519B89D7"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.039</w:t>
            </w:r>
          </w:p>
        </w:tc>
        <w:tc>
          <w:tcPr>
            <w:tcW w:w="1468" w:type="dxa"/>
            <w:tcBorders>
              <w:top w:val="nil"/>
              <w:bottom w:val="single" w:sz="16" w:space="0" w:color="000000"/>
            </w:tcBorders>
            <w:shd w:val="clear" w:color="auto" w:fill="FFFFFF"/>
            <w:vAlign w:val="center"/>
          </w:tcPr>
          <w:p w14:paraId="5703DDC3"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.510</w:t>
            </w:r>
          </w:p>
        </w:tc>
        <w:tc>
          <w:tcPr>
            <w:tcW w:w="1024" w:type="dxa"/>
            <w:tcBorders>
              <w:top w:val="nil"/>
              <w:bottom w:val="single" w:sz="16" w:space="0" w:color="000000"/>
            </w:tcBorders>
            <w:shd w:val="clear" w:color="auto" w:fill="FFFFFF"/>
            <w:vAlign w:val="center"/>
          </w:tcPr>
          <w:p w14:paraId="4A5F67D1"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12.446</w:t>
            </w:r>
          </w:p>
        </w:tc>
        <w:tc>
          <w:tcPr>
            <w:tcW w:w="1024" w:type="dxa"/>
            <w:tcBorders>
              <w:top w:val="nil"/>
              <w:bottom w:val="single" w:sz="16" w:space="0" w:color="000000"/>
              <w:right w:val="single" w:sz="16" w:space="0" w:color="000000"/>
            </w:tcBorders>
            <w:shd w:val="clear" w:color="auto" w:fill="FFFFFF"/>
            <w:vAlign w:val="center"/>
          </w:tcPr>
          <w:p w14:paraId="491E9EEF" w14:textId="77777777" w:rsidR="00A61163" w:rsidRPr="00CF3DDD" w:rsidRDefault="00A61163" w:rsidP="00CF3DDD">
            <w:pPr>
              <w:autoSpaceDE w:val="0"/>
              <w:autoSpaceDN w:val="0"/>
              <w:adjustRightInd w:val="0"/>
              <w:spacing w:after="0" w:line="360" w:lineRule="auto"/>
              <w:ind w:left="60" w:right="60"/>
              <w:jc w:val="right"/>
              <w:rPr>
                <w:rFonts w:cs="Times New Roman"/>
                <w:color w:val="000000"/>
                <w:sz w:val="18"/>
                <w:szCs w:val="18"/>
              </w:rPr>
            </w:pPr>
            <w:r w:rsidRPr="00CF3DDD">
              <w:rPr>
                <w:rFonts w:cs="Times New Roman"/>
                <w:color w:val="000000"/>
                <w:sz w:val="18"/>
                <w:szCs w:val="18"/>
              </w:rPr>
              <w:t>.000</w:t>
            </w:r>
          </w:p>
        </w:tc>
      </w:tr>
      <w:tr w:rsidR="00A61163" w:rsidRPr="00CF3DDD" w14:paraId="04997389" w14:textId="77777777" w:rsidTr="00872283">
        <w:trPr>
          <w:cantSplit/>
        </w:trPr>
        <w:tc>
          <w:tcPr>
            <w:tcW w:w="8087" w:type="dxa"/>
            <w:gridSpan w:val="7"/>
            <w:tcBorders>
              <w:top w:val="nil"/>
              <w:left w:val="nil"/>
              <w:bottom w:val="nil"/>
              <w:right w:val="nil"/>
            </w:tcBorders>
            <w:shd w:val="clear" w:color="auto" w:fill="FFFFFF"/>
          </w:tcPr>
          <w:p w14:paraId="185EB6D9" w14:textId="77777777" w:rsidR="00A61163" w:rsidRPr="00CF3DDD" w:rsidRDefault="00A61163" w:rsidP="00CF3DDD">
            <w:pPr>
              <w:autoSpaceDE w:val="0"/>
              <w:autoSpaceDN w:val="0"/>
              <w:adjustRightInd w:val="0"/>
              <w:spacing w:after="0" w:line="360" w:lineRule="auto"/>
              <w:ind w:left="60" w:right="60"/>
              <w:rPr>
                <w:rFonts w:cs="Times New Roman"/>
                <w:color w:val="000000"/>
                <w:sz w:val="18"/>
                <w:szCs w:val="18"/>
              </w:rPr>
            </w:pPr>
            <w:r w:rsidRPr="00CF3DDD">
              <w:rPr>
                <w:rFonts w:cs="Times New Roman"/>
                <w:color w:val="000000"/>
                <w:sz w:val="18"/>
                <w:szCs w:val="18"/>
              </w:rPr>
              <w:t xml:space="preserve">a. Dependent Variable: </w:t>
            </w:r>
            <w:proofErr w:type="spellStart"/>
            <w:r w:rsidRPr="00CF3DDD">
              <w:rPr>
                <w:rFonts w:cs="Times New Roman"/>
                <w:color w:val="000000"/>
                <w:sz w:val="18"/>
                <w:szCs w:val="18"/>
              </w:rPr>
              <w:t>AvgBL</w:t>
            </w:r>
            <w:proofErr w:type="spellEnd"/>
          </w:p>
        </w:tc>
      </w:tr>
    </w:tbl>
    <w:p w14:paraId="0DF1F3F0" w14:textId="77777777" w:rsidR="00A37F9F" w:rsidRPr="00CF3DDD" w:rsidRDefault="00A37F9F" w:rsidP="00CF3DDD">
      <w:pPr>
        <w:spacing w:before="100" w:beforeAutospacing="1" w:after="100" w:afterAutospacing="1" w:line="360" w:lineRule="auto"/>
        <w:rPr>
          <w:rFonts w:eastAsia="Times New Roman" w:cs="Times New Roman"/>
          <w:szCs w:val="24"/>
        </w:rPr>
      </w:pPr>
    </w:p>
    <w:p w14:paraId="1627F543" w14:textId="77777777" w:rsidR="00113449" w:rsidRPr="00CF3DDD" w:rsidRDefault="00113449" w:rsidP="00CF3DDD">
      <w:pPr>
        <w:spacing w:line="360" w:lineRule="auto"/>
        <w:rPr>
          <w:rFonts w:eastAsia="Times New Roman" w:cs="Times New Roman"/>
          <w:szCs w:val="24"/>
        </w:rPr>
      </w:pPr>
    </w:p>
    <w:p w14:paraId="15F8D23A" w14:textId="77777777" w:rsidR="00637007" w:rsidRPr="00CF3DDD" w:rsidRDefault="000806BC" w:rsidP="00CF3DDD">
      <w:pPr>
        <w:spacing w:line="360" w:lineRule="auto"/>
        <w:rPr>
          <w:rFonts w:cs="Times New Roman"/>
        </w:rPr>
      </w:pPr>
      <w:r w:rsidRPr="00CF3DDD">
        <w:rPr>
          <w:rFonts w:cs="Times New Roman"/>
        </w:rPr>
        <w:br w:type="page"/>
      </w:r>
    </w:p>
    <w:p w14:paraId="1C89C192" w14:textId="65CB1778" w:rsidR="00637007" w:rsidRDefault="00567509" w:rsidP="00CF3DDD">
      <w:pPr>
        <w:spacing w:line="360" w:lineRule="auto"/>
        <w:rPr>
          <w:rFonts w:cs="Times New Roman"/>
        </w:rPr>
      </w:pPr>
      <w:r w:rsidRPr="00567509">
        <w:rPr>
          <w:rFonts w:cs="Times New Roman"/>
          <w:noProof/>
        </w:rPr>
        <w:lastRenderedPageBreak/>
        <mc:AlternateContent>
          <mc:Choice Requires="wps">
            <w:drawing>
              <wp:anchor distT="45720" distB="45720" distL="114300" distR="114300" simplePos="0" relativeHeight="251659264" behindDoc="0" locked="0" layoutInCell="1" allowOverlap="1" wp14:anchorId="3B504A5C" wp14:editId="700CCB5D">
                <wp:simplePos x="0" y="0"/>
                <wp:positionH relativeFrom="column">
                  <wp:posOffset>82093</wp:posOffset>
                </wp:positionH>
                <wp:positionV relativeFrom="paragraph">
                  <wp:posOffset>170121</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98F7A3C" w14:textId="2FDE2919" w:rsidR="00567509" w:rsidRPr="00567509" w:rsidRDefault="00567509">
                            <w:pPr>
                              <w:rPr>
                                <w:b/>
                                <w:bCs/>
                              </w:rPr>
                            </w:pPr>
                            <w:r w:rsidRPr="00567509">
                              <w:rPr>
                                <w:b/>
                                <w:bCs/>
                              </w:rPr>
                              <w:t>Appendix B Ethics Form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B504A5C" id="_x0000_t202" coordsize="21600,21600" o:spt="202" path="m,l,21600r21600,l21600,xe">
                <v:stroke joinstyle="miter"/>
                <v:path gradientshapeok="t" o:connecttype="rect"/>
              </v:shapetype>
              <v:shape id="Text Box 2" o:spid="_x0000_s1026" type="#_x0000_t202" style="position:absolute;left:0;text-align:left;margin-left:6.45pt;margin-top:13.4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">
                <v:textbox style="mso-fit-shape-to-text:t">
                  <w:txbxContent>
                    <w:p w14:paraId="498F7A3C" w14:textId="2FDE2919" w:rsidR="00567509" w:rsidRPr="00567509" w:rsidRDefault="00567509">
                      <w:pPr>
                        <w:rPr>
                          <w:b/>
                          <w:bCs/>
                        </w:rPr>
                      </w:pPr>
                      <w:r w:rsidRPr="00567509">
                        <w:rPr>
                          <w:b/>
                          <w:bCs/>
                        </w:rPr>
                        <w:t>Appendix B Ethics Form</w:t>
                      </w:r>
                    </w:p>
                  </w:txbxContent>
                </v:textbox>
                <w10:wrap type="square"/>
              </v:shape>
            </w:pict>
          </mc:Fallback>
        </mc:AlternateContent>
      </w:r>
      <w:r w:rsidR="00C87A16">
        <w:rPr>
          <w:rFonts w:cs="Times New Roman"/>
          <w:noProof/>
        </w:rPr>
        <w:drawing>
          <wp:inline distT="0" distB="0" distL="0" distR="0" wp14:anchorId="760F8E62" wp14:editId="3821C044">
            <wp:extent cx="5943600" cy="78079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8">
                      <a:extLst>
                        <a:ext uri="{28A0092B-C50C-407E-A947-70E740481C1C}">
                          <a14:useLocalDpi xmlns:a14="http://schemas.microsoft.com/office/drawing/2010/main" val="0"/>
                        </a:ext>
                      </a:extLst>
                    </a:blip>
                    <a:stretch>
                      <a:fillRect/>
                    </a:stretch>
                  </pic:blipFill>
                  <pic:spPr>
                    <a:xfrm>
                      <a:off x="0" y="0"/>
                      <a:ext cx="5943600" cy="7807960"/>
                    </a:xfrm>
                    <a:prstGeom prst="rect">
                      <a:avLst/>
                    </a:prstGeom>
                  </pic:spPr>
                </pic:pic>
              </a:graphicData>
            </a:graphic>
          </wp:inline>
        </w:drawing>
      </w:r>
    </w:p>
    <w:p w14:paraId="1AB20E61" w14:textId="27CAADC4" w:rsidR="00C87A16" w:rsidRDefault="00C87A16" w:rsidP="00CF3DDD">
      <w:pPr>
        <w:spacing w:line="360" w:lineRule="auto"/>
        <w:rPr>
          <w:rFonts w:cs="Times New Roman"/>
        </w:rPr>
      </w:pPr>
    </w:p>
    <w:p w14:paraId="2578FC9D" w14:textId="52284729" w:rsidR="00C87A16" w:rsidRDefault="00C87A16" w:rsidP="00CF3DDD">
      <w:pPr>
        <w:spacing w:line="360" w:lineRule="auto"/>
        <w:rPr>
          <w:rFonts w:cs="Times New Roman"/>
        </w:rPr>
      </w:pPr>
      <w:r>
        <w:rPr>
          <w:rFonts w:cs="Times New Roman"/>
          <w:noProof/>
        </w:rPr>
        <w:drawing>
          <wp:inline distT="0" distB="0" distL="0" distR="0" wp14:anchorId="5B7293D3" wp14:editId="2E9F4D0C">
            <wp:extent cx="5943600" cy="78079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9">
                      <a:extLst>
                        <a:ext uri="{28A0092B-C50C-407E-A947-70E740481C1C}">
                          <a14:useLocalDpi xmlns:a14="http://schemas.microsoft.com/office/drawing/2010/main" val="0"/>
                        </a:ext>
                      </a:extLst>
                    </a:blip>
                    <a:stretch>
                      <a:fillRect/>
                    </a:stretch>
                  </pic:blipFill>
                  <pic:spPr>
                    <a:xfrm>
                      <a:off x="0" y="0"/>
                      <a:ext cx="5943600" cy="7807960"/>
                    </a:xfrm>
                    <a:prstGeom prst="rect">
                      <a:avLst/>
                    </a:prstGeom>
                  </pic:spPr>
                </pic:pic>
              </a:graphicData>
            </a:graphic>
          </wp:inline>
        </w:drawing>
      </w:r>
    </w:p>
    <w:p w14:paraId="6E3ECF20" w14:textId="540DEB7A" w:rsidR="00C87A16" w:rsidRDefault="00C87A16" w:rsidP="00CF3DDD">
      <w:pPr>
        <w:spacing w:line="360" w:lineRule="auto"/>
        <w:rPr>
          <w:rFonts w:cs="Times New Roman"/>
        </w:rPr>
      </w:pPr>
    </w:p>
    <w:p w14:paraId="350F837C" w14:textId="767A0DAC" w:rsidR="00C87A16" w:rsidRPr="00CF3DDD" w:rsidRDefault="00C87A16" w:rsidP="00CF3DDD">
      <w:pPr>
        <w:spacing w:line="360" w:lineRule="auto"/>
        <w:rPr>
          <w:rFonts w:cs="Times New Roman"/>
        </w:rPr>
      </w:pPr>
      <w:r>
        <w:rPr>
          <w:rFonts w:cs="Times New Roman"/>
          <w:noProof/>
        </w:rPr>
        <w:drawing>
          <wp:inline distT="0" distB="0" distL="0" distR="0" wp14:anchorId="436B7FB0" wp14:editId="3CC3AD97">
            <wp:extent cx="5943600" cy="780796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0">
                      <a:extLst>
                        <a:ext uri="{28A0092B-C50C-407E-A947-70E740481C1C}">
                          <a14:useLocalDpi xmlns:a14="http://schemas.microsoft.com/office/drawing/2010/main" val="0"/>
                        </a:ext>
                      </a:extLst>
                    </a:blip>
                    <a:stretch>
                      <a:fillRect/>
                    </a:stretch>
                  </pic:blipFill>
                  <pic:spPr>
                    <a:xfrm>
                      <a:off x="0" y="0"/>
                      <a:ext cx="5943600" cy="7807960"/>
                    </a:xfrm>
                    <a:prstGeom prst="rect">
                      <a:avLst/>
                    </a:prstGeom>
                  </pic:spPr>
                </pic:pic>
              </a:graphicData>
            </a:graphic>
          </wp:inline>
        </w:drawing>
      </w:r>
    </w:p>
    <w:p w14:paraId="6BD3CAB0" w14:textId="39E74250" w:rsidR="00637007" w:rsidRDefault="00637007" w:rsidP="00CF3DDD">
      <w:pPr>
        <w:spacing w:line="360" w:lineRule="auto"/>
        <w:rPr>
          <w:rFonts w:cs="Times New Roman"/>
        </w:rPr>
      </w:pPr>
    </w:p>
    <w:p w14:paraId="77E7C356" w14:textId="47B524CE" w:rsidR="00C87A16" w:rsidRDefault="00C87A16" w:rsidP="00CF3DDD">
      <w:pPr>
        <w:spacing w:line="360" w:lineRule="auto"/>
        <w:rPr>
          <w:rFonts w:cs="Times New Roman"/>
        </w:rPr>
      </w:pPr>
      <w:r>
        <w:rPr>
          <w:rFonts w:cs="Times New Roman"/>
          <w:noProof/>
        </w:rPr>
        <w:drawing>
          <wp:inline distT="0" distB="0" distL="0" distR="0" wp14:anchorId="765BF347" wp14:editId="50830312">
            <wp:extent cx="5943600" cy="780796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1">
                      <a:extLst>
                        <a:ext uri="{28A0092B-C50C-407E-A947-70E740481C1C}">
                          <a14:useLocalDpi xmlns:a14="http://schemas.microsoft.com/office/drawing/2010/main" val="0"/>
                        </a:ext>
                      </a:extLst>
                    </a:blip>
                    <a:stretch>
                      <a:fillRect/>
                    </a:stretch>
                  </pic:blipFill>
                  <pic:spPr>
                    <a:xfrm>
                      <a:off x="0" y="0"/>
                      <a:ext cx="5943600" cy="7807960"/>
                    </a:xfrm>
                    <a:prstGeom prst="rect">
                      <a:avLst/>
                    </a:prstGeom>
                  </pic:spPr>
                </pic:pic>
              </a:graphicData>
            </a:graphic>
          </wp:inline>
        </w:drawing>
      </w:r>
    </w:p>
    <w:p w14:paraId="0B51C76F" w14:textId="1B9B1F1C" w:rsidR="00C87A16" w:rsidRDefault="00C87A16" w:rsidP="00CF3DDD">
      <w:pPr>
        <w:spacing w:line="360" w:lineRule="auto"/>
        <w:rPr>
          <w:rFonts w:cs="Times New Roman"/>
        </w:rPr>
      </w:pPr>
    </w:p>
    <w:p w14:paraId="290531B7" w14:textId="35C2F104" w:rsidR="00C87A16" w:rsidRDefault="00C87A16" w:rsidP="00CF3DDD">
      <w:pPr>
        <w:spacing w:line="360" w:lineRule="auto"/>
        <w:rPr>
          <w:rFonts w:cs="Times New Roman"/>
        </w:rPr>
      </w:pPr>
      <w:r>
        <w:rPr>
          <w:rFonts w:cs="Times New Roman"/>
          <w:noProof/>
        </w:rPr>
        <w:lastRenderedPageBreak/>
        <w:drawing>
          <wp:inline distT="0" distB="0" distL="0" distR="0" wp14:anchorId="02EC9F62" wp14:editId="7167CA25">
            <wp:extent cx="5943600" cy="79844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2">
                      <a:extLst>
                        <a:ext uri="{28A0092B-C50C-407E-A947-70E740481C1C}">
                          <a14:useLocalDpi xmlns:a14="http://schemas.microsoft.com/office/drawing/2010/main" val="0"/>
                        </a:ext>
                      </a:extLst>
                    </a:blip>
                    <a:stretch>
                      <a:fillRect/>
                    </a:stretch>
                  </pic:blipFill>
                  <pic:spPr>
                    <a:xfrm>
                      <a:off x="0" y="0"/>
                      <a:ext cx="5943600" cy="7984490"/>
                    </a:xfrm>
                    <a:prstGeom prst="rect">
                      <a:avLst/>
                    </a:prstGeom>
                  </pic:spPr>
                </pic:pic>
              </a:graphicData>
            </a:graphic>
          </wp:inline>
        </w:drawing>
      </w:r>
    </w:p>
    <w:p w14:paraId="12A4FECC" w14:textId="05F7EAA9" w:rsidR="00C87A16" w:rsidRDefault="00C87A16" w:rsidP="00CF3DDD">
      <w:pPr>
        <w:spacing w:line="360" w:lineRule="auto"/>
        <w:rPr>
          <w:rFonts w:cs="Times New Roman"/>
        </w:rPr>
      </w:pPr>
      <w:r>
        <w:rPr>
          <w:rFonts w:cs="Times New Roman"/>
          <w:noProof/>
        </w:rPr>
        <w:lastRenderedPageBreak/>
        <w:drawing>
          <wp:inline distT="0" distB="0" distL="0" distR="0" wp14:anchorId="5B84FCA1" wp14:editId="685E5536">
            <wp:extent cx="5943600" cy="76942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3">
                      <a:extLst>
                        <a:ext uri="{28A0092B-C50C-407E-A947-70E740481C1C}">
                          <a14:useLocalDpi xmlns:a14="http://schemas.microsoft.com/office/drawing/2010/main" val="0"/>
                        </a:ext>
                      </a:extLst>
                    </a:blip>
                    <a:stretch>
                      <a:fillRect/>
                    </a:stretch>
                  </pic:blipFill>
                  <pic:spPr>
                    <a:xfrm>
                      <a:off x="0" y="0"/>
                      <a:ext cx="5943600" cy="7694295"/>
                    </a:xfrm>
                    <a:prstGeom prst="rect">
                      <a:avLst/>
                    </a:prstGeom>
                  </pic:spPr>
                </pic:pic>
              </a:graphicData>
            </a:graphic>
          </wp:inline>
        </w:drawing>
      </w:r>
    </w:p>
    <w:p w14:paraId="12F21A68" w14:textId="7BE701F8" w:rsidR="00C87A16" w:rsidRDefault="00C87A16" w:rsidP="00CF3DDD">
      <w:pPr>
        <w:spacing w:line="360" w:lineRule="auto"/>
        <w:rPr>
          <w:rFonts w:cs="Times New Roman"/>
        </w:rPr>
      </w:pPr>
    </w:p>
    <w:p w14:paraId="68438173" w14:textId="0CF95B60" w:rsidR="00C87A16" w:rsidRDefault="00C87A16" w:rsidP="00CF3DDD">
      <w:pPr>
        <w:spacing w:line="360" w:lineRule="auto"/>
        <w:rPr>
          <w:rFonts w:cs="Times New Roman"/>
        </w:rPr>
      </w:pPr>
      <w:r>
        <w:rPr>
          <w:rFonts w:cs="Times New Roman"/>
          <w:noProof/>
        </w:rPr>
        <w:lastRenderedPageBreak/>
        <w:drawing>
          <wp:inline distT="0" distB="0" distL="0" distR="0" wp14:anchorId="21DC3A2A" wp14:editId="2524B9D1">
            <wp:extent cx="5943600" cy="7706360"/>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4">
                      <a:extLst>
                        <a:ext uri="{28A0092B-C50C-407E-A947-70E740481C1C}">
                          <a14:useLocalDpi xmlns:a14="http://schemas.microsoft.com/office/drawing/2010/main" val="0"/>
                        </a:ext>
                      </a:extLst>
                    </a:blip>
                    <a:stretch>
                      <a:fillRect/>
                    </a:stretch>
                  </pic:blipFill>
                  <pic:spPr>
                    <a:xfrm>
                      <a:off x="0" y="0"/>
                      <a:ext cx="5943600" cy="7706360"/>
                    </a:xfrm>
                    <a:prstGeom prst="rect">
                      <a:avLst/>
                    </a:prstGeom>
                  </pic:spPr>
                </pic:pic>
              </a:graphicData>
            </a:graphic>
          </wp:inline>
        </w:drawing>
      </w:r>
    </w:p>
    <w:p w14:paraId="55331A2F" w14:textId="2FBFA945" w:rsidR="00C87A16" w:rsidRDefault="00C87A16" w:rsidP="00CF3DDD">
      <w:pPr>
        <w:spacing w:line="360" w:lineRule="auto"/>
        <w:rPr>
          <w:rFonts w:cs="Times New Roman"/>
        </w:rPr>
      </w:pPr>
    </w:p>
    <w:p w14:paraId="66CD9022" w14:textId="6D88ACF8" w:rsidR="00C87A16" w:rsidRDefault="00C87A16" w:rsidP="00CF3DDD">
      <w:pPr>
        <w:spacing w:line="360" w:lineRule="auto"/>
        <w:rPr>
          <w:rFonts w:cs="Times New Roman"/>
        </w:rPr>
      </w:pPr>
      <w:r>
        <w:rPr>
          <w:rFonts w:cs="Times New Roman"/>
          <w:noProof/>
        </w:rPr>
        <w:lastRenderedPageBreak/>
        <w:drawing>
          <wp:inline distT="0" distB="0" distL="0" distR="0" wp14:anchorId="65924984" wp14:editId="42590E5C">
            <wp:extent cx="5943600" cy="7807960"/>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5">
                      <a:extLst>
                        <a:ext uri="{28A0092B-C50C-407E-A947-70E740481C1C}">
                          <a14:useLocalDpi xmlns:a14="http://schemas.microsoft.com/office/drawing/2010/main" val="0"/>
                        </a:ext>
                      </a:extLst>
                    </a:blip>
                    <a:stretch>
                      <a:fillRect/>
                    </a:stretch>
                  </pic:blipFill>
                  <pic:spPr>
                    <a:xfrm>
                      <a:off x="0" y="0"/>
                      <a:ext cx="5943600" cy="7807960"/>
                    </a:xfrm>
                    <a:prstGeom prst="rect">
                      <a:avLst/>
                    </a:prstGeom>
                  </pic:spPr>
                </pic:pic>
              </a:graphicData>
            </a:graphic>
          </wp:inline>
        </w:drawing>
      </w:r>
    </w:p>
    <w:p w14:paraId="2F60A639" w14:textId="409C6FC8" w:rsidR="00C87A16" w:rsidRDefault="00C87A16" w:rsidP="00CF3DDD">
      <w:pPr>
        <w:spacing w:line="360" w:lineRule="auto"/>
        <w:rPr>
          <w:rFonts w:cs="Times New Roman"/>
        </w:rPr>
      </w:pPr>
    </w:p>
    <w:p w14:paraId="4C792532" w14:textId="4691EA1B" w:rsidR="00C87A16" w:rsidRDefault="00C87A16" w:rsidP="00CF3DDD">
      <w:pPr>
        <w:spacing w:line="360" w:lineRule="auto"/>
        <w:rPr>
          <w:rFonts w:cs="Times New Roman"/>
        </w:rPr>
      </w:pPr>
      <w:r>
        <w:rPr>
          <w:rFonts w:cs="Times New Roman"/>
          <w:noProof/>
        </w:rPr>
        <w:lastRenderedPageBreak/>
        <w:drawing>
          <wp:inline distT="0" distB="0" distL="0" distR="0" wp14:anchorId="4851EE45" wp14:editId="6CB3BE21">
            <wp:extent cx="5943600" cy="780796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6">
                      <a:extLst>
                        <a:ext uri="{28A0092B-C50C-407E-A947-70E740481C1C}">
                          <a14:useLocalDpi xmlns:a14="http://schemas.microsoft.com/office/drawing/2010/main" val="0"/>
                        </a:ext>
                      </a:extLst>
                    </a:blip>
                    <a:stretch>
                      <a:fillRect/>
                    </a:stretch>
                  </pic:blipFill>
                  <pic:spPr>
                    <a:xfrm>
                      <a:off x="0" y="0"/>
                      <a:ext cx="5943600" cy="7807960"/>
                    </a:xfrm>
                    <a:prstGeom prst="rect">
                      <a:avLst/>
                    </a:prstGeom>
                  </pic:spPr>
                </pic:pic>
              </a:graphicData>
            </a:graphic>
          </wp:inline>
        </w:drawing>
      </w:r>
    </w:p>
    <w:p w14:paraId="66CED9DC" w14:textId="62986B53" w:rsidR="00C87A16" w:rsidRDefault="00C87A16" w:rsidP="00CF3DDD">
      <w:pPr>
        <w:spacing w:line="360" w:lineRule="auto"/>
        <w:rPr>
          <w:rFonts w:cs="Times New Roman"/>
        </w:rPr>
      </w:pPr>
    </w:p>
    <w:p w14:paraId="0C5A3AE7" w14:textId="3E44CDF7" w:rsidR="00C87A16" w:rsidRPr="00CF3DDD" w:rsidRDefault="00567509" w:rsidP="00CF3DDD">
      <w:pPr>
        <w:spacing w:line="360" w:lineRule="auto"/>
        <w:rPr>
          <w:rFonts w:cs="Times New Roman"/>
        </w:rPr>
      </w:pPr>
      <w:r>
        <w:rPr>
          <w:rFonts w:cs="Times New Roman"/>
          <w:noProof/>
        </w:rPr>
        <w:lastRenderedPageBreak/>
        <w:drawing>
          <wp:inline distT="0" distB="0" distL="0" distR="0" wp14:anchorId="709E5CDC" wp14:editId="1B0138AC">
            <wp:extent cx="5943600" cy="7807960"/>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7">
                      <a:extLst>
                        <a:ext uri="{28A0092B-C50C-407E-A947-70E740481C1C}">
                          <a14:useLocalDpi xmlns:a14="http://schemas.microsoft.com/office/drawing/2010/main" val="0"/>
                        </a:ext>
                      </a:extLst>
                    </a:blip>
                    <a:stretch>
                      <a:fillRect/>
                    </a:stretch>
                  </pic:blipFill>
                  <pic:spPr>
                    <a:xfrm>
                      <a:off x="0" y="0"/>
                      <a:ext cx="5943600" cy="7807960"/>
                    </a:xfrm>
                    <a:prstGeom prst="rect">
                      <a:avLst/>
                    </a:prstGeom>
                  </pic:spPr>
                </pic:pic>
              </a:graphicData>
            </a:graphic>
          </wp:inline>
        </w:drawing>
      </w:r>
    </w:p>
    <w:sectPr w:rsidR="00C87A16" w:rsidRPr="00CF3DDD" w:rsidSect="004A2ACD">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918EE" w14:textId="77777777" w:rsidR="00804A4E" w:rsidRDefault="00804A4E" w:rsidP="004A2ACD">
      <w:pPr>
        <w:spacing w:after="0" w:line="240" w:lineRule="auto"/>
      </w:pPr>
      <w:r>
        <w:separator/>
      </w:r>
    </w:p>
  </w:endnote>
  <w:endnote w:type="continuationSeparator" w:id="0">
    <w:p w14:paraId="1F47140C" w14:textId="77777777" w:rsidR="00804A4E" w:rsidRDefault="00804A4E" w:rsidP="004A2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0041574"/>
      <w:docPartObj>
        <w:docPartGallery w:val="Page Numbers (Bottom of Page)"/>
        <w:docPartUnique/>
      </w:docPartObj>
    </w:sdtPr>
    <w:sdtEndPr>
      <w:rPr>
        <w:noProof/>
      </w:rPr>
    </w:sdtEndPr>
    <w:sdtContent>
      <w:p w14:paraId="528CE4E8" w14:textId="77777777" w:rsidR="004A2ACD" w:rsidRDefault="004A2A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368B9A" w14:textId="77777777" w:rsidR="004A2ACD" w:rsidRDefault="004A2A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028E7" w14:textId="77777777" w:rsidR="00804A4E" w:rsidRDefault="00804A4E" w:rsidP="004A2ACD">
      <w:pPr>
        <w:spacing w:after="0" w:line="240" w:lineRule="auto"/>
      </w:pPr>
      <w:r>
        <w:separator/>
      </w:r>
    </w:p>
  </w:footnote>
  <w:footnote w:type="continuationSeparator" w:id="0">
    <w:p w14:paraId="3A6F3C7D" w14:textId="77777777" w:rsidR="00804A4E" w:rsidRDefault="00804A4E" w:rsidP="004A2A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815D1"/>
    <w:multiLevelType w:val="multilevel"/>
    <w:tmpl w:val="6B58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CB3A42"/>
    <w:multiLevelType w:val="multilevel"/>
    <w:tmpl w:val="7EB8C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91757"/>
    <w:multiLevelType w:val="hybridMultilevel"/>
    <w:tmpl w:val="10D87E7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427983"/>
    <w:multiLevelType w:val="hybridMultilevel"/>
    <w:tmpl w:val="D488F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6C6581"/>
    <w:multiLevelType w:val="multilevel"/>
    <w:tmpl w:val="9790F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512619"/>
    <w:multiLevelType w:val="multilevel"/>
    <w:tmpl w:val="AD8C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DD207A"/>
    <w:multiLevelType w:val="multilevel"/>
    <w:tmpl w:val="EF2E54E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4A3ABF"/>
    <w:multiLevelType w:val="multilevel"/>
    <w:tmpl w:val="D5584B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C46632"/>
    <w:multiLevelType w:val="hybridMultilevel"/>
    <w:tmpl w:val="D7E6170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667F00"/>
    <w:multiLevelType w:val="multilevel"/>
    <w:tmpl w:val="F432D66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B910E7"/>
    <w:multiLevelType w:val="multilevel"/>
    <w:tmpl w:val="29DA1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955F80"/>
    <w:multiLevelType w:val="multilevel"/>
    <w:tmpl w:val="0A805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1418A1"/>
    <w:multiLevelType w:val="multilevel"/>
    <w:tmpl w:val="0748D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2C1F50"/>
    <w:multiLevelType w:val="multilevel"/>
    <w:tmpl w:val="DCB83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C769F7"/>
    <w:multiLevelType w:val="multilevel"/>
    <w:tmpl w:val="D4AC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0874A2"/>
    <w:multiLevelType w:val="multilevel"/>
    <w:tmpl w:val="935A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68176D"/>
    <w:multiLevelType w:val="hybridMultilevel"/>
    <w:tmpl w:val="B792DF8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6726F9"/>
    <w:multiLevelType w:val="hybridMultilevel"/>
    <w:tmpl w:val="984ABF9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B92192"/>
    <w:multiLevelType w:val="multilevel"/>
    <w:tmpl w:val="52E8EF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817EA5"/>
    <w:multiLevelType w:val="multilevel"/>
    <w:tmpl w:val="9AC02B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DAD3742"/>
    <w:multiLevelType w:val="multilevel"/>
    <w:tmpl w:val="45203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390988"/>
    <w:multiLevelType w:val="multilevel"/>
    <w:tmpl w:val="983C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
  </w:num>
  <w:num w:numId="3">
    <w:abstractNumId w:val="21"/>
  </w:num>
  <w:num w:numId="4">
    <w:abstractNumId w:val="15"/>
  </w:num>
  <w:num w:numId="5">
    <w:abstractNumId w:val="12"/>
  </w:num>
  <w:num w:numId="6">
    <w:abstractNumId w:val="5"/>
  </w:num>
  <w:num w:numId="7">
    <w:abstractNumId w:val="4"/>
  </w:num>
  <w:num w:numId="8">
    <w:abstractNumId w:val="7"/>
  </w:num>
  <w:num w:numId="9">
    <w:abstractNumId w:val="13"/>
  </w:num>
  <w:num w:numId="10">
    <w:abstractNumId w:val="14"/>
  </w:num>
  <w:num w:numId="11">
    <w:abstractNumId w:val="6"/>
  </w:num>
  <w:num w:numId="12">
    <w:abstractNumId w:val="20"/>
  </w:num>
  <w:num w:numId="13">
    <w:abstractNumId w:val="9"/>
  </w:num>
  <w:num w:numId="14">
    <w:abstractNumId w:val="19"/>
  </w:num>
  <w:num w:numId="15">
    <w:abstractNumId w:val="18"/>
  </w:num>
  <w:num w:numId="16">
    <w:abstractNumId w:val="2"/>
  </w:num>
  <w:num w:numId="17">
    <w:abstractNumId w:val="8"/>
  </w:num>
  <w:num w:numId="18">
    <w:abstractNumId w:val="17"/>
  </w:num>
  <w:num w:numId="19">
    <w:abstractNumId w:val="16"/>
  </w:num>
  <w:num w:numId="20">
    <w:abstractNumId w:val="3"/>
  </w:num>
  <w:num w:numId="21">
    <w:abstractNumId w:val="1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449"/>
    <w:rsid w:val="0004357C"/>
    <w:rsid w:val="00071907"/>
    <w:rsid w:val="000806BC"/>
    <w:rsid w:val="00097443"/>
    <w:rsid w:val="000B23C9"/>
    <w:rsid w:val="000C4920"/>
    <w:rsid w:val="000F4A29"/>
    <w:rsid w:val="000F7DCF"/>
    <w:rsid w:val="00100AF5"/>
    <w:rsid w:val="0010486B"/>
    <w:rsid w:val="00110F74"/>
    <w:rsid w:val="001126C8"/>
    <w:rsid w:val="00113449"/>
    <w:rsid w:val="00114F0D"/>
    <w:rsid w:val="00123C22"/>
    <w:rsid w:val="001240FD"/>
    <w:rsid w:val="00131E38"/>
    <w:rsid w:val="00156410"/>
    <w:rsid w:val="00200D61"/>
    <w:rsid w:val="00206AA8"/>
    <w:rsid w:val="00216A48"/>
    <w:rsid w:val="00224EEE"/>
    <w:rsid w:val="00252280"/>
    <w:rsid w:val="00254784"/>
    <w:rsid w:val="002918A1"/>
    <w:rsid w:val="002A21FC"/>
    <w:rsid w:val="002A553F"/>
    <w:rsid w:val="002B4440"/>
    <w:rsid w:val="002B707D"/>
    <w:rsid w:val="002B7E6F"/>
    <w:rsid w:val="002C67AA"/>
    <w:rsid w:val="00300AEB"/>
    <w:rsid w:val="003036D6"/>
    <w:rsid w:val="00314E1C"/>
    <w:rsid w:val="00316793"/>
    <w:rsid w:val="00324C6D"/>
    <w:rsid w:val="00332FB6"/>
    <w:rsid w:val="003355F1"/>
    <w:rsid w:val="00343E43"/>
    <w:rsid w:val="00345BE7"/>
    <w:rsid w:val="00347DA8"/>
    <w:rsid w:val="00366337"/>
    <w:rsid w:val="00373363"/>
    <w:rsid w:val="0038210E"/>
    <w:rsid w:val="003A0EED"/>
    <w:rsid w:val="003A1239"/>
    <w:rsid w:val="003A7012"/>
    <w:rsid w:val="003B2D1C"/>
    <w:rsid w:val="003F516D"/>
    <w:rsid w:val="0040786C"/>
    <w:rsid w:val="00415250"/>
    <w:rsid w:val="00421AF3"/>
    <w:rsid w:val="0043472A"/>
    <w:rsid w:val="00436C77"/>
    <w:rsid w:val="00472C7A"/>
    <w:rsid w:val="00490E1B"/>
    <w:rsid w:val="004A2ACD"/>
    <w:rsid w:val="004D1F91"/>
    <w:rsid w:val="004D53E5"/>
    <w:rsid w:val="004E42AD"/>
    <w:rsid w:val="004E679F"/>
    <w:rsid w:val="004E76D6"/>
    <w:rsid w:val="004F627C"/>
    <w:rsid w:val="0052191A"/>
    <w:rsid w:val="00540F58"/>
    <w:rsid w:val="00567509"/>
    <w:rsid w:val="005A1258"/>
    <w:rsid w:val="00616533"/>
    <w:rsid w:val="00637007"/>
    <w:rsid w:val="006A1B23"/>
    <w:rsid w:val="006D1A66"/>
    <w:rsid w:val="006F2B9D"/>
    <w:rsid w:val="006F35DC"/>
    <w:rsid w:val="006F5877"/>
    <w:rsid w:val="00733DC0"/>
    <w:rsid w:val="00737F6E"/>
    <w:rsid w:val="007956D7"/>
    <w:rsid w:val="007A6951"/>
    <w:rsid w:val="007C3FE2"/>
    <w:rsid w:val="007D3226"/>
    <w:rsid w:val="00804A4E"/>
    <w:rsid w:val="008476F1"/>
    <w:rsid w:val="00874AE7"/>
    <w:rsid w:val="008772E6"/>
    <w:rsid w:val="00894731"/>
    <w:rsid w:val="008C4BF9"/>
    <w:rsid w:val="008D50CA"/>
    <w:rsid w:val="008E1126"/>
    <w:rsid w:val="008E7CA3"/>
    <w:rsid w:val="009277D2"/>
    <w:rsid w:val="0093249E"/>
    <w:rsid w:val="00935A2E"/>
    <w:rsid w:val="00943C6F"/>
    <w:rsid w:val="009458CF"/>
    <w:rsid w:val="00946DF2"/>
    <w:rsid w:val="00987D65"/>
    <w:rsid w:val="00993620"/>
    <w:rsid w:val="009A227F"/>
    <w:rsid w:val="009B5F2A"/>
    <w:rsid w:val="009E1275"/>
    <w:rsid w:val="009E3713"/>
    <w:rsid w:val="009F274B"/>
    <w:rsid w:val="00A30527"/>
    <w:rsid w:val="00A37F9F"/>
    <w:rsid w:val="00A61163"/>
    <w:rsid w:val="00A758D7"/>
    <w:rsid w:val="00A91291"/>
    <w:rsid w:val="00AD3040"/>
    <w:rsid w:val="00AD3047"/>
    <w:rsid w:val="00AE454B"/>
    <w:rsid w:val="00B01E56"/>
    <w:rsid w:val="00B0212D"/>
    <w:rsid w:val="00B1189A"/>
    <w:rsid w:val="00B227D5"/>
    <w:rsid w:val="00B67E84"/>
    <w:rsid w:val="00B74627"/>
    <w:rsid w:val="00BA5262"/>
    <w:rsid w:val="00BD2841"/>
    <w:rsid w:val="00BE1BE1"/>
    <w:rsid w:val="00BE457E"/>
    <w:rsid w:val="00BE6836"/>
    <w:rsid w:val="00C35CF9"/>
    <w:rsid w:val="00C41021"/>
    <w:rsid w:val="00C64942"/>
    <w:rsid w:val="00C739F3"/>
    <w:rsid w:val="00C87A16"/>
    <w:rsid w:val="00C90A91"/>
    <w:rsid w:val="00CF3DDD"/>
    <w:rsid w:val="00CF6735"/>
    <w:rsid w:val="00D21FE6"/>
    <w:rsid w:val="00D27B6B"/>
    <w:rsid w:val="00D41E52"/>
    <w:rsid w:val="00D44901"/>
    <w:rsid w:val="00D90912"/>
    <w:rsid w:val="00D964C9"/>
    <w:rsid w:val="00D96AB7"/>
    <w:rsid w:val="00DB532D"/>
    <w:rsid w:val="00DB7F50"/>
    <w:rsid w:val="00DC15F5"/>
    <w:rsid w:val="00E12239"/>
    <w:rsid w:val="00E25F62"/>
    <w:rsid w:val="00E33843"/>
    <w:rsid w:val="00E344D1"/>
    <w:rsid w:val="00E42BAA"/>
    <w:rsid w:val="00E46247"/>
    <w:rsid w:val="00E822AD"/>
    <w:rsid w:val="00EA3C7E"/>
    <w:rsid w:val="00EC2458"/>
    <w:rsid w:val="00ED7B41"/>
    <w:rsid w:val="00EF2472"/>
    <w:rsid w:val="00F068C9"/>
    <w:rsid w:val="00F457AE"/>
    <w:rsid w:val="00F4678D"/>
    <w:rsid w:val="00F93EAF"/>
    <w:rsid w:val="00F95699"/>
    <w:rsid w:val="00FA6087"/>
    <w:rsid w:val="00FB0C20"/>
    <w:rsid w:val="00FF7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223B4A"/>
  <w15:chartTrackingRefBased/>
  <w15:docId w15:val="{E68638BC-9E02-427C-9686-2C0F4BE6F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040"/>
    <w:pPr>
      <w:jc w:val="both"/>
    </w:pPr>
    <w:rPr>
      <w:rFonts w:ascii="Times New Roman" w:hAnsi="Times New Roman"/>
      <w:sz w:val="24"/>
    </w:rPr>
  </w:style>
  <w:style w:type="paragraph" w:styleId="Heading1">
    <w:name w:val="heading 1"/>
    <w:basedOn w:val="Normal"/>
    <w:next w:val="Normal"/>
    <w:link w:val="Heading1Char"/>
    <w:autoRedefine/>
    <w:uiPriority w:val="9"/>
    <w:qFormat/>
    <w:rsid w:val="00E344D1"/>
    <w:pPr>
      <w:keepNext/>
      <w:keepLines/>
      <w:spacing w:before="360" w:after="120" w:line="240" w:lineRule="auto"/>
      <w:ind w:left="1440"/>
      <w:jc w:val="left"/>
      <w:outlineLvl w:val="0"/>
    </w:pPr>
    <w:rPr>
      <w:rFonts w:eastAsia="Times New Roman" w:cstheme="majorBidi"/>
      <w:b/>
      <w:sz w:val="31"/>
      <w:szCs w:val="32"/>
    </w:rPr>
  </w:style>
  <w:style w:type="paragraph" w:styleId="Heading2">
    <w:name w:val="heading 2"/>
    <w:basedOn w:val="Normal"/>
    <w:link w:val="Heading2Char"/>
    <w:uiPriority w:val="9"/>
    <w:qFormat/>
    <w:rsid w:val="00BD2841"/>
    <w:pPr>
      <w:spacing w:beforeAutospacing="1" w:after="0" w:afterAutospacing="1" w:line="240" w:lineRule="auto"/>
      <w:outlineLvl w:val="1"/>
    </w:pPr>
    <w:rPr>
      <w:rFonts w:eastAsia="Times New Roman" w:cs="Times New Roman"/>
      <w:b/>
      <w:bCs/>
      <w:sz w:val="28"/>
      <w:szCs w:val="36"/>
    </w:rPr>
  </w:style>
  <w:style w:type="paragraph" w:styleId="Heading3">
    <w:name w:val="heading 3"/>
    <w:basedOn w:val="Normal"/>
    <w:link w:val="Heading3Char"/>
    <w:uiPriority w:val="9"/>
    <w:qFormat/>
    <w:rsid w:val="00BD2841"/>
    <w:pPr>
      <w:spacing w:before="100" w:beforeAutospacing="1" w:after="100" w:afterAutospacing="1" w:line="240" w:lineRule="auto"/>
      <w:outlineLvl w:val="2"/>
    </w:pPr>
    <w:rPr>
      <w:rFonts w:eastAsia="Times New Roman" w:cs="Times New Roman"/>
      <w:b/>
      <w:bCs/>
      <w:sz w:val="26"/>
      <w:szCs w:val="27"/>
    </w:rPr>
  </w:style>
  <w:style w:type="paragraph" w:styleId="Heading4">
    <w:name w:val="heading 4"/>
    <w:basedOn w:val="Normal"/>
    <w:next w:val="Normal"/>
    <w:link w:val="Heading4Char"/>
    <w:uiPriority w:val="9"/>
    <w:semiHidden/>
    <w:unhideWhenUsed/>
    <w:qFormat/>
    <w:rsid w:val="000F7DC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D2841"/>
    <w:rPr>
      <w:rFonts w:ascii="Times New Roman" w:eastAsia="Times New Roman" w:hAnsi="Times New Roman" w:cs="Times New Roman"/>
      <w:b/>
      <w:bCs/>
      <w:sz w:val="28"/>
      <w:szCs w:val="36"/>
    </w:rPr>
  </w:style>
  <w:style w:type="character" w:customStyle="1" w:styleId="Heading3Char">
    <w:name w:val="Heading 3 Char"/>
    <w:basedOn w:val="DefaultParagraphFont"/>
    <w:link w:val="Heading3"/>
    <w:uiPriority w:val="9"/>
    <w:rsid w:val="00BD2841"/>
    <w:rPr>
      <w:rFonts w:ascii="Times New Roman" w:eastAsia="Times New Roman" w:hAnsi="Times New Roman" w:cs="Times New Roman"/>
      <w:b/>
      <w:bCs/>
      <w:sz w:val="26"/>
      <w:szCs w:val="27"/>
    </w:rPr>
  </w:style>
  <w:style w:type="character" w:styleId="Strong">
    <w:name w:val="Strong"/>
    <w:basedOn w:val="DefaultParagraphFont"/>
    <w:uiPriority w:val="22"/>
    <w:qFormat/>
    <w:rsid w:val="00113449"/>
    <w:rPr>
      <w:b/>
      <w:bCs/>
    </w:rPr>
  </w:style>
  <w:style w:type="paragraph" w:styleId="NormalWeb">
    <w:name w:val="Normal (Web)"/>
    <w:basedOn w:val="Normal"/>
    <w:uiPriority w:val="99"/>
    <w:unhideWhenUsed/>
    <w:rsid w:val="00113449"/>
    <w:pPr>
      <w:spacing w:before="100" w:beforeAutospacing="1" w:after="100" w:afterAutospacing="1" w:line="240" w:lineRule="auto"/>
    </w:pPr>
    <w:rPr>
      <w:rFonts w:eastAsia="Times New Roman" w:cs="Times New Roman"/>
      <w:szCs w:val="24"/>
    </w:rPr>
  </w:style>
  <w:style w:type="paragraph" w:styleId="ListParagraph">
    <w:name w:val="List Paragraph"/>
    <w:basedOn w:val="Normal"/>
    <w:uiPriority w:val="34"/>
    <w:qFormat/>
    <w:rsid w:val="00113449"/>
    <w:pPr>
      <w:ind w:left="720"/>
      <w:contextualSpacing/>
    </w:pPr>
  </w:style>
  <w:style w:type="character" w:customStyle="1" w:styleId="Heading4Char">
    <w:name w:val="Heading 4 Char"/>
    <w:basedOn w:val="DefaultParagraphFont"/>
    <w:link w:val="Heading4"/>
    <w:uiPriority w:val="9"/>
    <w:semiHidden/>
    <w:rsid w:val="000F7DCF"/>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4A2A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ACD"/>
  </w:style>
  <w:style w:type="paragraph" w:styleId="Footer">
    <w:name w:val="footer"/>
    <w:basedOn w:val="Normal"/>
    <w:link w:val="FooterChar"/>
    <w:uiPriority w:val="99"/>
    <w:unhideWhenUsed/>
    <w:rsid w:val="004A2A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ACD"/>
  </w:style>
  <w:style w:type="character" w:customStyle="1" w:styleId="Heading1Char">
    <w:name w:val="Heading 1 Char"/>
    <w:basedOn w:val="DefaultParagraphFont"/>
    <w:link w:val="Heading1"/>
    <w:uiPriority w:val="9"/>
    <w:rsid w:val="00E344D1"/>
    <w:rPr>
      <w:rFonts w:ascii="Times New Roman" w:eastAsia="Times New Roman" w:hAnsi="Times New Roman" w:cstheme="majorBidi"/>
      <w:b/>
      <w:sz w:val="31"/>
      <w:szCs w:val="32"/>
    </w:rPr>
  </w:style>
  <w:style w:type="character" w:customStyle="1" w:styleId="m7eme">
    <w:name w:val="m7eme"/>
    <w:basedOn w:val="DefaultParagraphFont"/>
    <w:rsid w:val="00200D61"/>
  </w:style>
  <w:style w:type="table" w:styleId="TableGrid">
    <w:name w:val="Table Grid"/>
    <w:basedOn w:val="TableNormal"/>
    <w:uiPriority w:val="39"/>
    <w:rsid w:val="00D964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964C9"/>
    <w:pPr>
      <w:spacing w:before="240" w:after="0" w:line="259" w:lineRule="auto"/>
      <w:ind w:left="0"/>
      <w:outlineLvl w:val="9"/>
    </w:pPr>
    <w:rPr>
      <w:rFonts w:asciiTheme="majorHAnsi" w:eastAsiaTheme="majorEastAsia" w:hAnsiTheme="majorHAnsi"/>
      <w:b w:val="0"/>
      <w:color w:val="2F5496" w:themeColor="accent1" w:themeShade="BF"/>
      <w:sz w:val="32"/>
    </w:rPr>
  </w:style>
  <w:style w:type="paragraph" w:styleId="TOC1">
    <w:name w:val="toc 1"/>
    <w:basedOn w:val="Normal"/>
    <w:next w:val="Normal"/>
    <w:autoRedefine/>
    <w:uiPriority w:val="39"/>
    <w:unhideWhenUsed/>
    <w:rsid w:val="00D964C9"/>
    <w:pPr>
      <w:spacing w:after="100"/>
    </w:pPr>
  </w:style>
  <w:style w:type="paragraph" w:styleId="TOC2">
    <w:name w:val="toc 2"/>
    <w:basedOn w:val="Normal"/>
    <w:next w:val="Normal"/>
    <w:autoRedefine/>
    <w:uiPriority w:val="39"/>
    <w:unhideWhenUsed/>
    <w:rsid w:val="00D964C9"/>
    <w:pPr>
      <w:spacing w:after="100"/>
      <w:ind w:left="220"/>
    </w:pPr>
  </w:style>
  <w:style w:type="paragraph" w:styleId="TOC3">
    <w:name w:val="toc 3"/>
    <w:basedOn w:val="Normal"/>
    <w:next w:val="Normal"/>
    <w:autoRedefine/>
    <w:uiPriority w:val="39"/>
    <w:unhideWhenUsed/>
    <w:rsid w:val="00D964C9"/>
    <w:pPr>
      <w:spacing w:after="100"/>
      <w:ind w:left="440"/>
    </w:pPr>
  </w:style>
  <w:style w:type="paragraph" w:styleId="TOC4">
    <w:name w:val="toc 4"/>
    <w:basedOn w:val="Normal"/>
    <w:next w:val="Normal"/>
    <w:autoRedefine/>
    <w:uiPriority w:val="39"/>
    <w:unhideWhenUsed/>
    <w:rsid w:val="00D964C9"/>
    <w:pPr>
      <w:spacing w:after="100"/>
      <w:ind w:left="660"/>
    </w:pPr>
    <w:rPr>
      <w:rFonts w:eastAsiaTheme="minorEastAsia"/>
    </w:rPr>
  </w:style>
  <w:style w:type="paragraph" w:styleId="TOC5">
    <w:name w:val="toc 5"/>
    <w:basedOn w:val="Normal"/>
    <w:next w:val="Normal"/>
    <w:autoRedefine/>
    <w:uiPriority w:val="39"/>
    <w:unhideWhenUsed/>
    <w:rsid w:val="00D964C9"/>
    <w:pPr>
      <w:spacing w:after="100"/>
      <w:ind w:left="880"/>
    </w:pPr>
    <w:rPr>
      <w:rFonts w:eastAsiaTheme="minorEastAsia"/>
    </w:rPr>
  </w:style>
  <w:style w:type="paragraph" w:styleId="TOC6">
    <w:name w:val="toc 6"/>
    <w:basedOn w:val="Normal"/>
    <w:next w:val="Normal"/>
    <w:autoRedefine/>
    <w:uiPriority w:val="39"/>
    <w:unhideWhenUsed/>
    <w:rsid w:val="00D964C9"/>
    <w:pPr>
      <w:spacing w:after="100"/>
      <w:ind w:left="1100"/>
    </w:pPr>
    <w:rPr>
      <w:rFonts w:eastAsiaTheme="minorEastAsia"/>
    </w:rPr>
  </w:style>
  <w:style w:type="paragraph" w:styleId="TOC7">
    <w:name w:val="toc 7"/>
    <w:basedOn w:val="Normal"/>
    <w:next w:val="Normal"/>
    <w:autoRedefine/>
    <w:uiPriority w:val="39"/>
    <w:unhideWhenUsed/>
    <w:rsid w:val="00D964C9"/>
    <w:pPr>
      <w:spacing w:after="100"/>
      <w:ind w:left="1320"/>
    </w:pPr>
    <w:rPr>
      <w:rFonts w:eastAsiaTheme="minorEastAsia"/>
    </w:rPr>
  </w:style>
  <w:style w:type="paragraph" w:styleId="TOC8">
    <w:name w:val="toc 8"/>
    <w:basedOn w:val="Normal"/>
    <w:next w:val="Normal"/>
    <w:autoRedefine/>
    <w:uiPriority w:val="39"/>
    <w:unhideWhenUsed/>
    <w:rsid w:val="00D964C9"/>
    <w:pPr>
      <w:spacing w:after="100"/>
      <w:ind w:left="1540"/>
    </w:pPr>
    <w:rPr>
      <w:rFonts w:eastAsiaTheme="minorEastAsia"/>
    </w:rPr>
  </w:style>
  <w:style w:type="paragraph" w:styleId="TOC9">
    <w:name w:val="toc 9"/>
    <w:basedOn w:val="Normal"/>
    <w:next w:val="Normal"/>
    <w:autoRedefine/>
    <w:uiPriority w:val="39"/>
    <w:unhideWhenUsed/>
    <w:rsid w:val="00D964C9"/>
    <w:pPr>
      <w:spacing w:after="100"/>
      <w:ind w:left="1760"/>
    </w:pPr>
    <w:rPr>
      <w:rFonts w:eastAsiaTheme="minorEastAsia"/>
    </w:rPr>
  </w:style>
  <w:style w:type="character" w:styleId="Hyperlink">
    <w:name w:val="Hyperlink"/>
    <w:basedOn w:val="DefaultParagraphFont"/>
    <w:uiPriority w:val="99"/>
    <w:unhideWhenUsed/>
    <w:rsid w:val="00D964C9"/>
    <w:rPr>
      <w:color w:val="0563C1" w:themeColor="hyperlink"/>
      <w:u w:val="single"/>
    </w:rPr>
  </w:style>
  <w:style w:type="character" w:styleId="UnresolvedMention">
    <w:name w:val="Unresolved Mention"/>
    <w:basedOn w:val="DefaultParagraphFont"/>
    <w:uiPriority w:val="99"/>
    <w:semiHidden/>
    <w:unhideWhenUsed/>
    <w:rsid w:val="00D964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91782">
      <w:bodyDiv w:val="1"/>
      <w:marLeft w:val="0"/>
      <w:marRight w:val="0"/>
      <w:marTop w:val="0"/>
      <w:marBottom w:val="0"/>
      <w:divBdr>
        <w:top w:val="none" w:sz="0" w:space="0" w:color="auto"/>
        <w:left w:val="none" w:sz="0" w:space="0" w:color="auto"/>
        <w:bottom w:val="none" w:sz="0" w:space="0" w:color="auto"/>
        <w:right w:val="none" w:sz="0" w:space="0" w:color="auto"/>
      </w:divBdr>
    </w:div>
    <w:div w:id="120543061">
      <w:bodyDiv w:val="1"/>
      <w:marLeft w:val="0"/>
      <w:marRight w:val="0"/>
      <w:marTop w:val="0"/>
      <w:marBottom w:val="0"/>
      <w:divBdr>
        <w:top w:val="none" w:sz="0" w:space="0" w:color="auto"/>
        <w:left w:val="none" w:sz="0" w:space="0" w:color="auto"/>
        <w:bottom w:val="none" w:sz="0" w:space="0" w:color="auto"/>
        <w:right w:val="none" w:sz="0" w:space="0" w:color="auto"/>
      </w:divBdr>
    </w:div>
    <w:div w:id="165292323">
      <w:bodyDiv w:val="1"/>
      <w:marLeft w:val="0"/>
      <w:marRight w:val="0"/>
      <w:marTop w:val="0"/>
      <w:marBottom w:val="0"/>
      <w:divBdr>
        <w:top w:val="none" w:sz="0" w:space="0" w:color="auto"/>
        <w:left w:val="none" w:sz="0" w:space="0" w:color="auto"/>
        <w:bottom w:val="none" w:sz="0" w:space="0" w:color="auto"/>
        <w:right w:val="none" w:sz="0" w:space="0" w:color="auto"/>
      </w:divBdr>
    </w:div>
    <w:div w:id="199360723">
      <w:bodyDiv w:val="1"/>
      <w:marLeft w:val="0"/>
      <w:marRight w:val="0"/>
      <w:marTop w:val="0"/>
      <w:marBottom w:val="0"/>
      <w:divBdr>
        <w:top w:val="none" w:sz="0" w:space="0" w:color="auto"/>
        <w:left w:val="none" w:sz="0" w:space="0" w:color="auto"/>
        <w:bottom w:val="none" w:sz="0" w:space="0" w:color="auto"/>
        <w:right w:val="none" w:sz="0" w:space="0" w:color="auto"/>
      </w:divBdr>
    </w:div>
    <w:div w:id="203253822">
      <w:bodyDiv w:val="1"/>
      <w:marLeft w:val="0"/>
      <w:marRight w:val="0"/>
      <w:marTop w:val="0"/>
      <w:marBottom w:val="0"/>
      <w:divBdr>
        <w:top w:val="none" w:sz="0" w:space="0" w:color="auto"/>
        <w:left w:val="none" w:sz="0" w:space="0" w:color="auto"/>
        <w:bottom w:val="none" w:sz="0" w:space="0" w:color="auto"/>
        <w:right w:val="none" w:sz="0" w:space="0" w:color="auto"/>
      </w:divBdr>
    </w:div>
    <w:div w:id="393430495">
      <w:bodyDiv w:val="1"/>
      <w:marLeft w:val="0"/>
      <w:marRight w:val="0"/>
      <w:marTop w:val="0"/>
      <w:marBottom w:val="0"/>
      <w:divBdr>
        <w:top w:val="none" w:sz="0" w:space="0" w:color="auto"/>
        <w:left w:val="none" w:sz="0" w:space="0" w:color="auto"/>
        <w:bottom w:val="none" w:sz="0" w:space="0" w:color="auto"/>
        <w:right w:val="none" w:sz="0" w:space="0" w:color="auto"/>
      </w:divBdr>
    </w:div>
    <w:div w:id="472331511">
      <w:bodyDiv w:val="1"/>
      <w:marLeft w:val="0"/>
      <w:marRight w:val="0"/>
      <w:marTop w:val="0"/>
      <w:marBottom w:val="0"/>
      <w:divBdr>
        <w:top w:val="none" w:sz="0" w:space="0" w:color="auto"/>
        <w:left w:val="none" w:sz="0" w:space="0" w:color="auto"/>
        <w:bottom w:val="none" w:sz="0" w:space="0" w:color="auto"/>
        <w:right w:val="none" w:sz="0" w:space="0" w:color="auto"/>
      </w:divBdr>
    </w:div>
    <w:div w:id="492841962">
      <w:bodyDiv w:val="1"/>
      <w:marLeft w:val="0"/>
      <w:marRight w:val="0"/>
      <w:marTop w:val="0"/>
      <w:marBottom w:val="0"/>
      <w:divBdr>
        <w:top w:val="none" w:sz="0" w:space="0" w:color="auto"/>
        <w:left w:val="none" w:sz="0" w:space="0" w:color="auto"/>
        <w:bottom w:val="none" w:sz="0" w:space="0" w:color="auto"/>
        <w:right w:val="none" w:sz="0" w:space="0" w:color="auto"/>
      </w:divBdr>
    </w:div>
    <w:div w:id="561253978">
      <w:bodyDiv w:val="1"/>
      <w:marLeft w:val="0"/>
      <w:marRight w:val="0"/>
      <w:marTop w:val="0"/>
      <w:marBottom w:val="0"/>
      <w:divBdr>
        <w:top w:val="none" w:sz="0" w:space="0" w:color="auto"/>
        <w:left w:val="none" w:sz="0" w:space="0" w:color="auto"/>
        <w:bottom w:val="none" w:sz="0" w:space="0" w:color="auto"/>
        <w:right w:val="none" w:sz="0" w:space="0" w:color="auto"/>
      </w:divBdr>
    </w:div>
    <w:div w:id="617032709">
      <w:bodyDiv w:val="1"/>
      <w:marLeft w:val="0"/>
      <w:marRight w:val="0"/>
      <w:marTop w:val="0"/>
      <w:marBottom w:val="0"/>
      <w:divBdr>
        <w:top w:val="none" w:sz="0" w:space="0" w:color="auto"/>
        <w:left w:val="none" w:sz="0" w:space="0" w:color="auto"/>
        <w:bottom w:val="none" w:sz="0" w:space="0" w:color="auto"/>
        <w:right w:val="none" w:sz="0" w:space="0" w:color="auto"/>
      </w:divBdr>
    </w:div>
    <w:div w:id="669917061">
      <w:bodyDiv w:val="1"/>
      <w:marLeft w:val="0"/>
      <w:marRight w:val="0"/>
      <w:marTop w:val="0"/>
      <w:marBottom w:val="0"/>
      <w:divBdr>
        <w:top w:val="none" w:sz="0" w:space="0" w:color="auto"/>
        <w:left w:val="none" w:sz="0" w:space="0" w:color="auto"/>
        <w:bottom w:val="none" w:sz="0" w:space="0" w:color="auto"/>
        <w:right w:val="none" w:sz="0" w:space="0" w:color="auto"/>
      </w:divBdr>
    </w:div>
    <w:div w:id="947740502">
      <w:bodyDiv w:val="1"/>
      <w:marLeft w:val="0"/>
      <w:marRight w:val="0"/>
      <w:marTop w:val="0"/>
      <w:marBottom w:val="0"/>
      <w:divBdr>
        <w:top w:val="none" w:sz="0" w:space="0" w:color="auto"/>
        <w:left w:val="none" w:sz="0" w:space="0" w:color="auto"/>
        <w:bottom w:val="none" w:sz="0" w:space="0" w:color="auto"/>
        <w:right w:val="none" w:sz="0" w:space="0" w:color="auto"/>
      </w:divBdr>
    </w:div>
    <w:div w:id="993752287">
      <w:bodyDiv w:val="1"/>
      <w:marLeft w:val="0"/>
      <w:marRight w:val="0"/>
      <w:marTop w:val="0"/>
      <w:marBottom w:val="0"/>
      <w:divBdr>
        <w:top w:val="none" w:sz="0" w:space="0" w:color="auto"/>
        <w:left w:val="none" w:sz="0" w:space="0" w:color="auto"/>
        <w:bottom w:val="none" w:sz="0" w:space="0" w:color="auto"/>
        <w:right w:val="none" w:sz="0" w:space="0" w:color="auto"/>
      </w:divBdr>
    </w:div>
    <w:div w:id="1042289408">
      <w:bodyDiv w:val="1"/>
      <w:marLeft w:val="0"/>
      <w:marRight w:val="0"/>
      <w:marTop w:val="0"/>
      <w:marBottom w:val="0"/>
      <w:divBdr>
        <w:top w:val="none" w:sz="0" w:space="0" w:color="auto"/>
        <w:left w:val="none" w:sz="0" w:space="0" w:color="auto"/>
        <w:bottom w:val="none" w:sz="0" w:space="0" w:color="auto"/>
        <w:right w:val="none" w:sz="0" w:space="0" w:color="auto"/>
      </w:divBdr>
    </w:div>
    <w:div w:id="1102191559">
      <w:bodyDiv w:val="1"/>
      <w:marLeft w:val="0"/>
      <w:marRight w:val="0"/>
      <w:marTop w:val="0"/>
      <w:marBottom w:val="0"/>
      <w:divBdr>
        <w:top w:val="none" w:sz="0" w:space="0" w:color="auto"/>
        <w:left w:val="none" w:sz="0" w:space="0" w:color="auto"/>
        <w:bottom w:val="none" w:sz="0" w:space="0" w:color="auto"/>
        <w:right w:val="none" w:sz="0" w:space="0" w:color="auto"/>
      </w:divBdr>
    </w:div>
    <w:div w:id="1256283725">
      <w:bodyDiv w:val="1"/>
      <w:marLeft w:val="0"/>
      <w:marRight w:val="0"/>
      <w:marTop w:val="0"/>
      <w:marBottom w:val="0"/>
      <w:divBdr>
        <w:top w:val="none" w:sz="0" w:space="0" w:color="auto"/>
        <w:left w:val="none" w:sz="0" w:space="0" w:color="auto"/>
        <w:bottom w:val="none" w:sz="0" w:space="0" w:color="auto"/>
        <w:right w:val="none" w:sz="0" w:space="0" w:color="auto"/>
      </w:divBdr>
    </w:div>
    <w:div w:id="1443960343">
      <w:bodyDiv w:val="1"/>
      <w:marLeft w:val="0"/>
      <w:marRight w:val="0"/>
      <w:marTop w:val="0"/>
      <w:marBottom w:val="0"/>
      <w:divBdr>
        <w:top w:val="none" w:sz="0" w:space="0" w:color="auto"/>
        <w:left w:val="none" w:sz="0" w:space="0" w:color="auto"/>
        <w:bottom w:val="none" w:sz="0" w:space="0" w:color="auto"/>
        <w:right w:val="none" w:sz="0" w:space="0" w:color="auto"/>
      </w:divBdr>
    </w:div>
    <w:div w:id="1490750365">
      <w:bodyDiv w:val="1"/>
      <w:marLeft w:val="0"/>
      <w:marRight w:val="0"/>
      <w:marTop w:val="0"/>
      <w:marBottom w:val="0"/>
      <w:divBdr>
        <w:top w:val="none" w:sz="0" w:space="0" w:color="auto"/>
        <w:left w:val="none" w:sz="0" w:space="0" w:color="auto"/>
        <w:bottom w:val="none" w:sz="0" w:space="0" w:color="auto"/>
        <w:right w:val="none" w:sz="0" w:space="0" w:color="auto"/>
      </w:divBdr>
    </w:div>
    <w:div w:id="1697846922">
      <w:bodyDiv w:val="1"/>
      <w:marLeft w:val="0"/>
      <w:marRight w:val="0"/>
      <w:marTop w:val="0"/>
      <w:marBottom w:val="0"/>
      <w:divBdr>
        <w:top w:val="none" w:sz="0" w:space="0" w:color="auto"/>
        <w:left w:val="none" w:sz="0" w:space="0" w:color="auto"/>
        <w:bottom w:val="none" w:sz="0" w:space="0" w:color="auto"/>
        <w:right w:val="none" w:sz="0" w:space="0" w:color="auto"/>
      </w:divBdr>
      <w:divsChild>
        <w:div w:id="627010043">
          <w:marLeft w:val="0"/>
          <w:marRight w:val="0"/>
          <w:marTop w:val="0"/>
          <w:marBottom w:val="0"/>
          <w:divBdr>
            <w:top w:val="none" w:sz="0" w:space="0" w:color="auto"/>
            <w:left w:val="none" w:sz="0" w:space="0" w:color="auto"/>
            <w:bottom w:val="none" w:sz="0" w:space="0" w:color="auto"/>
            <w:right w:val="none" w:sz="0" w:space="0" w:color="auto"/>
          </w:divBdr>
          <w:divsChild>
            <w:div w:id="145236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175484">
      <w:bodyDiv w:val="1"/>
      <w:marLeft w:val="0"/>
      <w:marRight w:val="0"/>
      <w:marTop w:val="0"/>
      <w:marBottom w:val="0"/>
      <w:divBdr>
        <w:top w:val="none" w:sz="0" w:space="0" w:color="auto"/>
        <w:left w:val="none" w:sz="0" w:space="0" w:color="auto"/>
        <w:bottom w:val="none" w:sz="0" w:space="0" w:color="auto"/>
        <w:right w:val="none" w:sz="0" w:space="0" w:color="auto"/>
      </w:divBdr>
    </w:div>
    <w:div w:id="1782333415">
      <w:bodyDiv w:val="1"/>
      <w:marLeft w:val="0"/>
      <w:marRight w:val="0"/>
      <w:marTop w:val="0"/>
      <w:marBottom w:val="0"/>
      <w:divBdr>
        <w:top w:val="none" w:sz="0" w:space="0" w:color="auto"/>
        <w:left w:val="none" w:sz="0" w:space="0" w:color="auto"/>
        <w:bottom w:val="none" w:sz="0" w:space="0" w:color="auto"/>
        <w:right w:val="none" w:sz="0" w:space="0" w:color="auto"/>
      </w:divBdr>
    </w:div>
    <w:div w:id="1843427003">
      <w:bodyDiv w:val="1"/>
      <w:marLeft w:val="0"/>
      <w:marRight w:val="0"/>
      <w:marTop w:val="0"/>
      <w:marBottom w:val="0"/>
      <w:divBdr>
        <w:top w:val="none" w:sz="0" w:space="0" w:color="auto"/>
        <w:left w:val="none" w:sz="0" w:space="0" w:color="auto"/>
        <w:bottom w:val="none" w:sz="0" w:space="0" w:color="auto"/>
        <w:right w:val="none" w:sz="0" w:space="0" w:color="auto"/>
      </w:divBdr>
    </w:div>
    <w:div w:id="1854953050">
      <w:bodyDiv w:val="1"/>
      <w:marLeft w:val="0"/>
      <w:marRight w:val="0"/>
      <w:marTop w:val="0"/>
      <w:marBottom w:val="0"/>
      <w:divBdr>
        <w:top w:val="none" w:sz="0" w:space="0" w:color="auto"/>
        <w:left w:val="none" w:sz="0" w:space="0" w:color="auto"/>
        <w:bottom w:val="none" w:sz="0" w:space="0" w:color="auto"/>
        <w:right w:val="none" w:sz="0" w:space="0" w:color="auto"/>
      </w:divBdr>
    </w:div>
    <w:div w:id="1873808432">
      <w:bodyDiv w:val="1"/>
      <w:marLeft w:val="0"/>
      <w:marRight w:val="0"/>
      <w:marTop w:val="0"/>
      <w:marBottom w:val="0"/>
      <w:divBdr>
        <w:top w:val="none" w:sz="0" w:space="0" w:color="auto"/>
        <w:left w:val="none" w:sz="0" w:space="0" w:color="auto"/>
        <w:bottom w:val="none" w:sz="0" w:space="0" w:color="auto"/>
        <w:right w:val="none" w:sz="0" w:space="0" w:color="auto"/>
      </w:divBdr>
    </w:div>
    <w:div w:id="1929540601">
      <w:bodyDiv w:val="1"/>
      <w:marLeft w:val="0"/>
      <w:marRight w:val="0"/>
      <w:marTop w:val="0"/>
      <w:marBottom w:val="0"/>
      <w:divBdr>
        <w:top w:val="none" w:sz="0" w:space="0" w:color="auto"/>
        <w:left w:val="none" w:sz="0" w:space="0" w:color="auto"/>
        <w:bottom w:val="none" w:sz="0" w:space="0" w:color="auto"/>
        <w:right w:val="none" w:sz="0" w:space="0" w:color="auto"/>
      </w:divBdr>
    </w:div>
    <w:div w:id="1994987698">
      <w:bodyDiv w:val="1"/>
      <w:marLeft w:val="0"/>
      <w:marRight w:val="0"/>
      <w:marTop w:val="0"/>
      <w:marBottom w:val="0"/>
      <w:divBdr>
        <w:top w:val="none" w:sz="0" w:space="0" w:color="auto"/>
        <w:left w:val="none" w:sz="0" w:space="0" w:color="auto"/>
        <w:bottom w:val="none" w:sz="0" w:space="0" w:color="auto"/>
        <w:right w:val="none" w:sz="0" w:space="0" w:color="auto"/>
      </w:divBdr>
      <w:divsChild>
        <w:div w:id="1703899694">
          <w:marLeft w:val="0"/>
          <w:marRight w:val="0"/>
          <w:marTop w:val="0"/>
          <w:marBottom w:val="0"/>
          <w:divBdr>
            <w:top w:val="none" w:sz="0" w:space="0" w:color="auto"/>
            <w:left w:val="none" w:sz="0" w:space="0" w:color="auto"/>
            <w:bottom w:val="none" w:sz="0" w:space="0" w:color="auto"/>
            <w:right w:val="none" w:sz="0" w:space="0" w:color="auto"/>
          </w:divBdr>
          <w:divsChild>
            <w:div w:id="190784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42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8.jpg"/><Relationship Id="rId26" Type="http://schemas.openxmlformats.org/officeDocument/2006/relationships/image" Target="media/image16.jpg"/><Relationship Id="rId3" Type="http://schemas.openxmlformats.org/officeDocument/2006/relationships/styles" Target="styles.xml"/><Relationship Id="rId21" Type="http://schemas.openxmlformats.org/officeDocument/2006/relationships/image" Target="media/image11.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brandfinance.com/insights/emotional-support-how-love-for-brands-drives-consideration" TargetMode="External"/><Relationship Id="rId25" Type="http://schemas.openxmlformats.org/officeDocument/2006/relationships/image" Target="media/image15.jpg"/><Relationship Id="rId2" Type="http://schemas.openxmlformats.org/officeDocument/2006/relationships/numbering" Target="numbering.xml"/><Relationship Id="rId16" Type="http://schemas.openxmlformats.org/officeDocument/2006/relationships/hyperlink" Target="https://www.tandfonline.com/doi/full/10.1080/0965254X.2023.2236615?utm_source=chatgpt.com" TargetMode="External"/><Relationship Id="rId20" Type="http://schemas.openxmlformats.org/officeDocument/2006/relationships/image" Target="media/image10.jp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jpg"/><Relationship Id="rId5" Type="http://schemas.openxmlformats.org/officeDocument/2006/relationships/webSettings" Target="webSettings.xml"/><Relationship Id="rId15" Type="http://schemas.openxmlformats.org/officeDocument/2006/relationships/hyperlink" Target="https://www.scribbr.com/methodology/cross-sectional-study/" TargetMode="External"/><Relationship Id="rId23" Type="http://schemas.openxmlformats.org/officeDocument/2006/relationships/image" Target="media/image13.jp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9.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27F94E-CC10-4FFD-9992-EEECACCEE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97</Pages>
  <Words>22323</Words>
  <Characters>127243</Characters>
  <Application>Microsoft Office Word</Application>
  <DocSecurity>0</DocSecurity>
  <Lines>1060</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Teffy Susan daniel</dc:creator>
  <cp:keywords/>
  <dc:description/>
  <cp:lastModifiedBy>Teffy Susan</cp:lastModifiedBy>
  <cp:revision>2</cp:revision>
  <dcterms:created xsi:type="dcterms:W3CDTF">2025-09-26T00:44:00Z</dcterms:created>
  <dcterms:modified xsi:type="dcterms:W3CDTF">2025-09-26T00:44:00Z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8ee81b8f-a3e3-41cd-afc5-10b890dc26b4</vt:lpwstr>
  </property>
</Properties>
</file>