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8EB75E" w14:textId="63AE1DE8" w:rsidR="00E810FD" w:rsidRDefault="00E810FD">
      <w:r>
        <w:t xml:space="preserve">The legal profession is one of the oldest in </w:t>
      </w:r>
      <w:r w:rsidR="00130CC1">
        <w:t>British history, existing</w:t>
      </w:r>
      <w:r w:rsidR="00AB5E7C">
        <w:t xml:space="preserve"> in some capacity for </w:t>
      </w:r>
      <w:r w:rsidR="004B6330">
        <w:t xml:space="preserve">about a </w:t>
      </w:r>
      <w:proofErr w:type="gramStart"/>
      <w:r w:rsidR="004B6330">
        <w:t>millennia</w:t>
      </w:r>
      <w:proofErr w:type="gramEnd"/>
      <w:r w:rsidR="004B6330">
        <w:t xml:space="preserve">. However, in recent years the role and responsibilities of </w:t>
      </w:r>
      <w:r w:rsidR="00985430">
        <w:t xml:space="preserve">lawyers has changed, especially </w:t>
      </w:r>
      <w:r w:rsidR="00356566">
        <w:t>regarding</w:t>
      </w:r>
      <w:r w:rsidR="00985430">
        <w:t xml:space="preserve"> diversity </w:t>
      </w:r>
      <w:r w:rsidR="00B14C9E">
        <w:t>and inclusion.</w:t>
      </w:r>
      <w:r w:rsidR="00232E9E">
        <w:t xml:space="preserve"> Under the Legal Services Act 2007, independent regulating bodies are required to promote the “regulatory objectives”</w:t>
      </w:r>
      <w:r w:rsidR="00B13226">
        <w:t xml:space="preserve"> in their principles and regulations. </w:t>
      </w:r>
      <w:r w:rsidR="00396C3D">
        <w:t>In</w:t>
      </w:r>
      <w:r w:rsidR="00792E71">
        <w:t xml:space="preserve"> s.1, </w:t>
      </w:r>
      <w:r w:rsidR="00202803">
        <w:t>the regulatory objectives are listed, one of</w:t>
      </w:r>
      <w:r w:rsidR="00991998">
        <w:t xml:space="preserve"> which requires the promotion of a </w:t>
      </w:r>
      <w:r w:rsidR="00871733">
        <w:t>“</w:t>
      </w:r>
      <w:r w:rsidR="00991998">
        <w:t xml:space="preserve">strong, </w:t>
      </w:r>
      <w:r w:rsidR="00871733">
        <w:t>diverse and effective legal profession”.</w:t>
      </w:r>
      <w:r w:rsidR="00B14C9E">
        <w:t xml:space="preserve"> </w:t>
      </w:r>
      <w:r w:rsidR="00FC4BD2">
        <w:t xml:space="preserve">Promoting diversity in the legal profession provides a </w:t>
      </w:r>
      <w:r w:rsidR="009D0A1B">
        <w:t>number of benefits</w:t>
      </w:r>
      <w:r w:rsidR="002B4C74">
        <w:t>, however defining what diversity is</w:t>
      </w:r>
      <w:r w:rsidR="00EC4EDC">
        <w:t>,</w:t>
      </w:r>
      <w:r w:rsidR="002B4C74">
        <w:t xml:space="preserve"> can be an issue, as was stated by Gay Moon, </w:t>
      </w:r>
      <w:r w:rsidR="00BA0BAA">
        <w:t>who says that diversity is not a single concept but a collection of smaller concepts</w:t>
      </w:r>
      <w:r w:rsidR="00FA778A">
        <w:t xml:space="preserve"> (</w:t>
      </w:r>
      <w:r w:rsidR="0097035B">
        <w:t>M</w:t>
      </w:r>
      <w:r w:rsidR="00FA778A">
        <w:t>oon</w:t>
      </w:r>
      <w:r w:rsidR="0097035B">
        <w:t>, 2000</w:t>
      </w:r>
      <w:r w:rsidR="00FA778A">
        <w:t>)</w:t>
      </w:r>
      <w:r w:rsidR="00A66C0E">
        <w:t xml:space="preserve">. </w:t>
      </w:r>
      <w:r w:rsidR="004623F2">
        <w:t xml:space="preserve">This ability to </w:t>
      </w:r>
      <w:r w:rsidR="00271DE0">
        <w:t xml:space="preserve">differently interpret diversity may explain the varied approaches taken by different organisations and </w:t>
      </w:r>
      <w:r w:rsidR="00967F2A">
        <w:t xml:space="preserve">regulating bodies in ensuring </w:t>
      </w:r>
      <w:r w:rsidR="00A525B8">
        <w:t xml:space="preserve">diversity and inclusion in the legal profession. </w:t>
      </w:r>
    </w:p>
    <w:p w14:paraId="3CAE81BA" w14:textId="1CB8EC15" w:rsidR="004F7D52" w:rsidRDefault="00C36ADB">
      <w:r>
        <w:t xml:space="preserve">The view that </w:t>
      </w:r>
      <w:r w:rsidR="00270F86">
        <w:t xml:space="preserve">diversity </w:t>
      </w:r>
      <w:r w:rsidR="000C4D12">
        <w:t xml:space="preserve">and equality are not whole or </w:t>
      </w:r>
      <w:r w:rsidR="00F67BC5">
        <w:t>self-contained</w:t>
      </w:r>
      <w:r w:rsidR="000C4D12">
        <w:t xml:space="preserve"> </w:t>
      </w:r>
      <w:r w:rsidR="00F67BC5">
        <w:t xml:space="preserve">concepts </w:t>
      </w:r>
      <w:r w:rsidR="000C4D12">
        <w:t>is</w:t>
      </w:r>
      <w:r w:rsidR="00F67BC5">
        <w:t xml:space="preserve"> one that is</w:t>
      </w:r>
      <w:r w:rsidR="000C4D12">
        <w:t xml:space="preserve"> similarly taken </w:t>
      </w:r>
      <w:r w:rsidR="00EA778F">
        <w:t xml:space="preserve">in the writing of the Equality Act 2010, which </w:t>
      </w:r>
      <w:r w:rsidR="00E2230E">
        <w:t>makes provisions on eight separate categories called “</w:t>
      </w:r>
      <w:r w:rsidR="00D36DAA">
        <w:t xml:space="preserve">protected characteristics”. </w:t>
      </w:r>
      <w:r w:rsidR="000762EA">
        <w:t>These protected characteristics are those which it would be unlawful to discriminate against</w:t>
      </w:r>
      <w:r w:rsidR="00A6551C">
        <w:t xml:space="preserve">. Additionally </w:t>
      </w:r>
      <w:r w:rsidR="000D7B76">
        <w:t>s.47 and s.48 of th</w:t>
      </w:r>
      <w:r w:rsidR="00942EB2">
        <w:t xml:space="preserve">e Equality Act 2010 </w:t>
      </w:r>
      <w:r w:rsidR="00564896">
        <w:t>make specific p</w:t>
      </w:r>
      <w:r w:rsidR="00291AC6">
        <w:t xml:space="preserve">rovisions for barristers and advocates on </w:t>
      </w:r>
      <w:r w:rsidR="00B34176">
        <w:t>equality and diversity</w:t>
      </w:r>
      <w:r w:rsidR="00317703">
        <w:t xml:space="preserve">, which </w:t>
      </w:r>
      <w:r w:rsidR="00B46760">
        <w:t xml:space="preserve">focus mainly on the </w:t>
      </w:r>
      <w:r w:rsidR="00840DE7">
        <w:t xml:space="preserve">behaviour that </w:t>
      </w:r>
      <w:r w:rsidR="008F35C2">
        <w:t>barristers</w:t>
      </w:r>
      <w:r w:rsidR="00840DE7">
        <w:t xml:space="preserve"> </w:t>
      </w:r>
      <w:r w:rsidR="008F35C2">
        <w:t xml:space="preserve">and advocates </w:t>
      </w:r>
      <w:r w:rsidR="00840DE7">
        <w:t xml:space="preserve">are expected to uphold </w:t>
      </w:r>
      <w:r w:rsidR="009D0934">
        <w:t>in regards to those who they choose to offer tenancies,</w:t>
      </w:r>
      <w:r w:rsidR="001212E3">
        <w:t xml:space="preserve"> pupillages or</w:t>
      </w:r>
      <w:r w:rsidR="00E307D3">
        <w:t xml:space="preserve"> those who have been offered a position devilling</w:t>
      </w:r>
      <w:r w:rsidR="00F96B2B">
        <w:t xml:space="preserve">, however also includes some provisions protecting the barrister or advocate from themselves being victimised or </w:t>
      </w:r>
      <w:r w:rsidR="00356A6F">
        <w:t>subject to discrimination.</w:t>
      </w:r>
      <w:r w:rsidR="00A121EC">
        <w:t xml:space="preserve"> </w:t>
      </w:r>
      <w:r w:rsidR="00087B5D">
        <w:t xml:space="preserve">Diversity and equality are further protected in the legal profession by </w:t>
      </w:r>
      <w:r w:rsidR="001240E5">
        <w:t xml:space="preserve">the Human Rights Act 1998, which </w:t>
      </w:r>
      <w:r w:rsidR="001257BF">
        <w:t xml:space="preserve">in s.6 </w:t>
      </w:r>
      <w:r w:rsidR="001240E5">
        <w:t xml:space="preserve">directly states that </w:t>
      </w:r>
      <w:r w:rsidR="001257BF">
        <w:t>the courts and tribunals</w:t>
      </w:r>
      <w:r w:rsidR="00950D7C">
        <w:t xml:space="preserve">, as well as any </w:t>
      </w:r>
      <w:r w:rsidR="004D09F8">
        <w:t xml:space="preserve">person </w:t>
      </w:r>
      <w:r w:rsidR="004A2C6B">
        <w:t>whose</w:t>
      </w:r>
      <w:r w:rsidR="004D09F8">
        <w:t xml:space="preserve"> work is of a public nature </w:t>
      </w:r>
      <w:r w:rsidR="008F0B08">
        <w:t xml:space="preserve">are required to act in accordance with the human rights of those they </w:t>
      </w:r>
      <w:r w:rsidR="004A2C6B">
        <w:t>encounter</w:t>
      </w:r>
      <w:r w:rsidR="001C0F69">
        <w:t xml:space="preserve">. One such right is adapted directly from </w:t>
      </w:r>
      <w:r w:rsidR="00B4089D">
        <w:t xml:space="preserve">Article 14 of the European Convention on Human Rights, which </w:t>
      </w:r>
      <w:r w:rsidR="00876E62">
        <w:t>provides all people</w:t>
      </w:r>
      <w:r w:rsidR="00E04E1C">
        <w:t xml:space="preserve"> the ability to access their rights free of discrimination.</w:t>
      </w:r>
    </w:p>
    <w:p w14:paraId="7164BF41" w14:textId="4ABA1F33" w:rsidR="004A2C6B" w:rsidRDefault="004A2C6B">
      <w:r>
        <w:t xml:space="preserve">Solicitors are one of the </w:t>
      </w:r>
      <w:r w:rsidR="00875B66">
        <w:t>regulated legal professions, being regulated by the Solic</w:t>
      </w:r>
      <w:r w:rsidR="007F4BA4">
        <w:t xml:space="preserve">itors Regulation Authority. In </w:t>
      </w:r>
      <w:r w:rsidR="004D1569">
        <w:t>several</w:t>
      </w:r>
      <w:r w:rsidR="007F4BA4">
        <w:t xml:space="preserve"> publications, the SRA </w:t>
      </w:r>
      <w:r w:rsidR="00356566">
        <w:t xml:space="preserve">makes clear its position and provisions on diversity and inclusion. </w:t>
      </w:r>
      <w:r w:rsidR="00793E94">
        <w:t xml:space="preserve">The first of these </w:t>
      </w:r>
      <w:r w:rsidR="00BA43C5">
        <w:t xml:space="preserve">publications is the </w:t>
      </w:r>
      <w:r w:rsidR="00F8395D">
        <w:t>“</w:t>
      </w:r>
      <w:r w:rsidR="001C6C3F">
        <w:t>SRA</w:t>
      </w:r>
      <w:r w:rsidR="00F8395D">
        <w:t xml:space="preserve"> Principles”. </w:t>
      </w:r>
      <w:r w:rsidR="00241C6A">
        <w:t xml:space="preserve">Principle 6 requires that </w:t>
      </w:r>
      <w:r w:rsidR="00B7291E">
        <w:t>solicitors act in a way that encourages diversity</w:t>
      </w:r>
      <w:r w:rsidR="00736FF2">
        <w:t xml:space="preserve">, </w:t>
      </w:r>
      <w:r w:rsidR="00C50E9E">
        <w:t>equality,</w:t>
      </w:r>
      <w:r w:rsidR="00B7291E">
        <w:t xml:space="preserve"> and </w:t>
      </w:r>
      <w:r w:rsidR="00CF70CD">
        <w:t>inclusion</w:t>
      </w:r>
      <w:r w:rsidR="00F145C7">
        <w:t xml:space="preserve"> (SRA, 2018)</w:t>
      </w:r>
      <w:r w:rsidR="00736FF2">
        <w:t xml:space="preserve">. This is further supported by the SRA code of Conduct which </w:t>
      </w:r>
      <w:r w:rsidR="00C50E9E">
        <w:t xml:space="preserve">in section 1.5 </w:t>
      </w:r>
      <w:r w:rsidR="00D35BA4">
        <w:t xml:space="preserve">disallows any form of </w:t>
      </w:r>
      <w:r w:rsidR="00D52B10">
        <w:t>discrimination</w:t>
      </w:r>
      <w:r w:rsidR="00D35BA4">
        <w:t xml:space="preserve"> between </w:t>
      </w:r>
      <w:r w:rsidR="008F0F84">
        <w:t>colleagues and</w:t>
      </w:r>
      <w:r w:rsidR="00D35BA4">
        <w:t xml:space="preserve"> imposes a duty on </w:t>
      </w:r>
      <w:r w:rsidR="00D52B10">
        <w:t>employers to ensure this does not occur</w:t>
      </w:r>
      <w:r w:rsidR="00F145C7">
        <w:t xml:space="preserve"> (SRA, 2023)</w:t>
      </w:r>
      <w:r w:rsidR="00D52B10">
        <w:t xml:space="preserve">. </w:t>
      </w:r>
      <w:r w:rsidR="00912683">
        <w:t xml:space="preserve">The SRA also provides an ethics helpline, which allows </w:t>
      </w:r>
      <w:r w:rsidR="00706325">
        <w:t xml:space="preserve">licensed solicitors to ask questions on any situation that be ethically difficult. </w:t>
      </w:r>
      <w:r w:rsidR="00DC408D">
        <w:t>Despite t</w:t>
      </w:r>
      <w:r w:rsidR="009F20E8">
        <w:t xml:space="preserve">he SRA’s written guidance on diversity and inclusion being </w:t>
      </w:r>
      <w:r w:rsidR="00662908">
        <w:t xml:space="preserve">few, </w:t>
      </w:r>
      <w:r w:rsidR="00622113">
        <w:t xml:space="preserve">it is concise, and makes clear the SRA’s positions on such topics, while offering support to ensure fairness and ethical </w:t>
      </w:r>
      <w:r w:rsidR="007958E7">
        <w:t xml:space="preserve">behaviour in difficult situations. </w:t>
      </w:r>
    </w:p>
    <w:p w14:paraId="1F10641C" w14:textId="6B805E87" w:rsidR="00A44CE0" w:rsidRDefault="00DC408D">
      <w:r>
        <w:t>The Bar Standards Board takes a similar approach to that of the SRA</w:t>
      </w:r>
      <w:r w:rsidR="007958E7">
        <w:t xml:space="preserve">, however its written guidance on diversity and inclusion </w:t>
      </w:r>
      <w:r w:rsidR="00FA75D9">
        <w:t>is more comprehensive</w:t>
      </w:r>
      <w:r w:rsidR="006944B3">
        <w:t xml:space="preserve"> in nature. </w:t>
      </w:r>
      <w:r w:rsidR="006560DA">
        <w:t xml:space="preserve">The BSB handbook code of conduct states that a barrister must not discriminate </w:t>
      </w:r>
      <w:r w:rsidR="006C733C">
        <w:t xml:space="preserve">unlawfully </w:t>
      </w:r>
      <w:r w:rsidR="006560DA">
        <w:t xml:space="preserve">against </w:t>
      </w:r>
      <w:r w:rsidR="006C733C">
        <w:t>any person</w:t>
      </w:r>
      <w:r w:rsidR="00C31BBD">
        <w:t xml:space="preserve"> (BSB, </w:t>
      </w:r>
      <w:r w:rsidR="006E4689">
        <w:t>2023).</w:t>
      </w:r>
      <w:r w:rsidR="006C733C">
        <w:t xml:space="preserve"> </w:t>
      </w:r>
      <w:r w:rsidR="009F2803">
        <w:t xml:space="preserve">This is compounded by the BSB Handbook equality rules, which extends this responsibility to all aspects </w:t>
      </w:r>
      <w:r w:rsidR="001D1D5B">
        <w:t xml:space="preserve">of a barrister’s professional life. </w:t>
      </w:r>
      <w:r w:rsidR="007849EA">
        <w:t xml:space="preserve">This publication also includes action plans and policy requirements on different aspects of discrimination, </w:t>
      </w:r>
      <w:r w:rsidR="001A6E2D">
        <w:t xml:space="preserve">such as that which is directed at </w:t>
      </w:r>
      <w:r w:rsidR="00A44CE0">
        <w:t>parents or disabled people</w:t>
      </w:r>
      <w:r w:rsidR="006E4689">
        <w:t xml:space="preserve"> (BSB, No Date)</w:t>
      </w:r>
      <w:r w:rsidR="00A44CE0">
        <w:t xml:space="preserve">. </w:t>
      </w:r>
      <w:r w:rsidR="00C53F19">
        <w:t xml:space="preserve">While </w:t>
      </w:r>
      <w:r w:rsidR="00971EA3">
        <w:t>the BSB does not provide such extensive services to prevent or remedy breaches of ethical conduct</w:t>
      </w:r>
      <w:r w:rsidR="007C5176">
        <w:t xml:space="preserve">, it does provide a more comprehensive view of their policies and </w:t>
      </w:r>
      <w:r w:rsidR="00257F1D">
        <w:t xml:space="preserve">regulations </w:t>
      </w:r>
      <w:r w:rsidR="00C57ACD">
        <w:t xml:space="preserve">than the SRA. </w:t>
      </w:r>
    </w:p>
    <w:p w14:paraId="41F551A8" w14:textId="62EF0311" w:rsidR="00C57ACD" w:rsidRDefault="00C57ACD">
      <w:r>
        <w:lastRenderedPageBreak/>
        <w:t>C</w:t>
      </w:r>
      <w:r w:rsidR="00735DEE">
        <w:t>ILEX</w:t>
      </w:r>
      <w:r>
        <w:t xml:space="preserve">, the </w:t>
      </w:r>
      <w:r w:rsidR="00735DEE">
        <w:t>regulatory</w:t>
      </w:r>
      <w:r>
        <w:t xml:space="preserve"> authority for legal executives</w:t>
      </w:r>
      <w:r w:rsidR="00697D33">
        <w:t xml:space="preserve"> has comparatively weak provisions on equality and </w:t>
      </w:r>
      <w:r w:rsidR="002E4D5B">
        <w:t>diversity than that of both the BSB and SRA</w:t>
      </w:r>
      <w:r w:rsidR="002B5F13">
        <w:t xml:space="preserve">. CILEX’s main principles state that </w:t>
      </w:r>
      <w:r w:rsidR="00733E9C">
        <w:t xml:space="preserve">all people should be treated fairly and without prejudice. </w:t>
      </w:r>
      <w:r w:rsidR="00D65FA7">
        <w:t xml:space="preserve">It is clarified in section 6.1 that all people </w:t>
      </w:r>
      <w:r w:rsidR="002327E3">
        <w:t>regardless of susceptibility to discrimination or their vulnerability should be given equal opportunity to secure a favourable outcome</w:t>
      </w:r>
      <w:r w:rsidR="006E4689">
        <w:t xml:space="preserve"> (C</w:t>
      </w:r>
      <w:r w:rsidR="00724B24">
        <w:t xml:space="preserve">ILEX, </w:t>
      </w:r>
      <w:r w:rsidR="006476A3">
        <w:t>No Date)</w:t>
      </w:r>
      <w:r w:rsidR="00796A82">
        <w:t xml:space="preserve">. </w:t>
      </w:r>
      <w:r w:rsidR="00343BCA">
        <w:t xml:space="preserve">While </w:t>
      </w:r>
      <w:r w:rsidR="001366D7">
        <w:t>these regulations may be weaker than those of both the BSB and SRA, this may be explained by the significantly higher proportion of female legal executives as</w:t>
      </w:r>
      <w:r w:rsidR="00F764CE">
        <w:t xml:space="preserve"> opposed to solicitors or barristers, </w:t>
      </w:r>
      <w:r w:rsidR="00E93E08">
        <w:t xml:space="preserve">however this is counterbalanced by the lower representation of ethnic minorities in </w:t>
      </w:r>
      <w:r w:rsidR="002B5851">
        <w:t>the legal executive position</w:t>
      </w:r>
      <w:r w:rsidR="006F5829">
        <w:t xml:space="preserve"> (</w:t>
      </w:r>
      <w:r w:rsidR="00C31BBD">
        <w:t xml:space="preserve">Ministry </w:t>
      </w:r>
      <w:r w:rsidR="00724B24">
        <w:t>o</w:t>
      </w:r>
      <w:r w:rsidR="00C31BBD">
        <w:t>f Justice, 2022</w:t>
      </w:r>
      <w:r w:rsidR="006F5829">
        <w:t>)</w:t>
      </w:r>
      <w:r w:rsidR="002B5851">
        <w:t xml:space="preserve">. </w:t>
      </w:r>
    </w:p>
    <w:p w14:paraId="01680F7A" w14:textId="282E21EB" w:rsidR="00D76B30" w:rsidRDefault="00D76B30">
      <w:r>
        <w:t xml:space="preserve">Under </w:t>
      </w:r>
      <w:r w:rsidR="0086493E">
        <w:t xml:space="preserve">the Solicitors Act 1974, as well as the legal services act 2007, </w:t>
      </w:r>
      <w:r w:rsidR="008B48B2">
        <w:t xml:space="preserve">regulatory bodies in the legal profession are given a number of options in terms of sanctions that they may impose to ensure compliance or </w:t>
      </w:r>
      <w:r w:rsidR="0024388F">
        <w:t xml:space="preserve">prevent further breaching of codes of ethics, including diversity policies. </w:t>
      </w:r>
      <w:r w:rsidR="00C23BC3">
        <w:t xml:space="preserve">These can include fines, </w:t>
      </w:r>
      <w:r w:rsidR="009026B0">
        <w:t>rebukes,</w:t>
      </w:r>
      <w:r w:rsidR="0021089A">
        <w:t xml:space="preserve"> or reprimands</w:t>
      </w:r>
      <w:r w:rsidR="002D6DB5">
        <w:t xml:space="preserve">, with the most severe sanction being </w:t>
      </w:r>
      <w:r w:rsidR="007A0D5C">
        <w:t xml:space="preserve">to strike the professional, meaning they will be unable to practice legally. </w:t>
      </w:r>
    </w:p>
    <w:p w14:paraId="66FFDC60" w14:textId="1A8CBE67" w:rsidR="00D76B30" w:rsidRDefault="00AE3A12">
      <w:r>
        <w:t xml:space="preserve">While </w:t>
      </w:r>
      <w:r w:rsidR="00754684">
        <w:t xml:space="preserve">all 3 of the major regulatory bodies within the legal profession have provisions on equality and diversity, </w:t>
      </w:r>
      <w:r w:rsidR="009A33C6">
        <w:t xml:space="preserve">the impact of such policies is debatable. The SRA finds that </w:t>
      </w:r>
      <w:r w:rsidR="00BF251A">
        <w:t xml:space="preserve">in 2021, </w:t>
      </w:r>
      <w:r w:rsidR="00FD1D34">
        <w:t>52% of solicitors were women, 18% were BAME, and 5% were disabled</w:t>
      </w:r>
      <w:r w:rsidR="001401E4">
        <w:t xml:space="preserve"> (SRA, 202</w:t>
      </w:r>
      <w:r w:rsidR="00A03A07">
        <w:t>2</w:t>
      </w:r>
      <w:r w:rsidR="001401E4">
        <w:t>)</w:t>
      </w:r>
      <w:r w:rsidR="00FD1D34">
        <w:t>.</w:t>
      </w:r>
      <w:r w:rsidR="00E5512C">
        <w:t xml:space="preserve"> </w:t>
      </w:r>
      <w:r w:rsidR="00AE53EB">
        <w:t xml:space="preserve">This is further supported by the </w:t>
      </w:r>
      <w:r w:rsidR="000033A2">
        <w:t xml:space="preserve">Ministry of Justice, which reports that in </w:t>
      </w:r>
      <w:r w:rsidR="00CC5527">
        <w:t xml:space="preserve">2022, </w:t>
      </w:r>
      <w:r w:rsidR="00BF3D6C">
        <w:t>18% of solicitors were of an ethnic minority</w:t>
      </w:r>
      <w:r w:rsidR="00830A94">
        <w:t xml:space="preserve"> and</w:t>
      </w:r>
      <w:r w:rsidR="00BF3D6C">
        <w:t xml:space="preserve"> </w:t>
      </w:r>
      <w:r w:rsidR="00472279">
        <w:t>51% were women</w:t>
      </w:r>
      <w:r w:rsidR="00830A94">
        <w:t xml:space="preserve">. </w:t>
      </w:r>
      <w:r w:rsidR="00C46CEB">
        <w:t>T</w:t>
      </w:r>
      <w:r w:rsidR="00115AA3">
        <w:t xml:space="preserve">his shows a healthy degree of diversity among the solicitor profession, reflecting similar statistics on the general population. </w:t>
      </w:r>
      <w:r w:rsidR="00296672">
        <w:t xml:space="preserve">This does however show </w:t>
      </w:r>
      <w:r w:rsidR="003A35D4">
        <w:t xml:space="preserve">serious issues within other legal professions. For example, Legal Executives </w:t>
      </w:r>
      <w:r w:rsidR="00526FE1">
        <w:t xml:space="preserve">are extremely overrepresented by white women, who make up over two thirds of all chartered legal executives. </w:t>
      </w:r>
      <w:r w:rsidR="007D3C9E">
        <w:t>This i</w:t>
      </w:r>
      <w:r w:rsidR="00EB2B06">
        <w:t xml:space="preserve">ssue is </w:t>
      </w:r>
      <w:r w:rsidR="00A21802">
        <w:t xml:space="preserve">similar to that of the barrister profession, in which </w:t>
      </w:r>
      <w:r w:rsidR="000334C4">
        <w:t xml:space="preserve">52% of all barristers are white men, followed by 32% white women. This shows a significant overrepresentation of men, specifically white men in the profession. This issue is most </w:t>
      </w:r>
      <w:r w:rsidR="001401E4">
        <w:t>well</w:t>
      </w:r>
      <w:r w:rsidR="000334C4">
        <w:t xml:space="preserve"> demonstrated however by </w:t>
      </w:r>
      <w:r w:rsidR="008C7977">
        <w:t xml:space="preserve">members of the judiciary, </w:t>
      </w:r>
      <w:r w:rsidR="00B77AFA">
        <w:t xml:space="preserve">in which </w:t>
      </w:r>
      <w:r w:rsidR="001E6652">
        <w:t xml:space="preserve">53% of its embers were white men, and 37% were white women. This shows a significant underrepresentation of ethnic minorities, both men and women, in the judiciary. This even extends as far as judicial </w:t>
      </w:r>
      <w:r w:rsidR="005D6522">
        <w:t xml:space="preserve">recommendations and </w:t>
      </w:r>
      <w:r w:rsidR="00C91198">
        <w:t>applications. Applications made by ethnic minority professionals were significantly higher than the rate of recommendation of ethnic minority professionals, showing some bias in the selection of judiciary members</w:t>
      </w:r>
      <w:r w:rsidR="00F10FDE">
        <w:t xml:space="preserve"> (</w:t>
      </w:r>
      <w:r w:rsidR="006476A3">
        <w:t>M</w:t>
      </w:r>
      <w:r w:rsidR="00F10FDE">
        <w:t>inistry of Justice, 2022)</w:t>
      </w:r>
      <w:r w:rsidR="00C91198">
        <w:t>.</w:t>
      </w:r>
    </w:p>
    <w:p w14:paraId="1270161E" w14:textId="55AD706E" w:rsidR="00A8720D" w:rsidRDefault="00A8720D">
      <w:r>
        <w:t xml:space="preserve">The statistics shown by the Ministry of Justice </w:t>
      </w:r>
      <w:r w:rsidR="00F10FDE">
        <w:t xml:space="preserve">demonstrate a significant disparity </w:t>
      </w:r>
      <w:r w:rsidR="00316B60">
        <w:t xml:space="preserve">in diversity among all legal professions. </w:t>
      </w:r>
      <w:r w:rsidR="008F6031">
        <w:t>Solicitors are seemingly the most diverse and representative profession, showing</w:t>
      </w:r>
      <w:r w:rsidR="008A2517">
        <w:t xml:space="preserve"> larger amount</w:t>
      </w:r>
      <w:r w:rsidR="00EA2D6D">
        <w:t xml:space="preserve">s of both </w:t>
      </w:r>
      <w:r w:rsidR="00C52F2C">
        <w:t>women and ethnic minorities compared to other</w:t>
      </w:r>
      <w:r w:rsidR="00164EBA">
        <w:t xml:space="preserve"> positions without being disproportionate, which is seen in the </w:t>
      </w:r>
      <w:r w:rsidR="009F770F">
        <w:t xml:space="preserve">judiciary especially, but is echoed somewhat in both the barrister and legal executive positions. </w:t>
      </w:r>
      <w:r w:rsidR="000A31C8">
        <w:t xml:space="preserve">This shows us that the </w:t>
      </w:r>
      <w:r w:rsidR="00DC78C6">
        <w:t>policies put in place by the SRA seem to be most effective. O</w:t>
      </w:r>
      <w:r w:rsidR="00AE61A8">
        <w:t xml:space="preserve">ther factors may also play into the </w:t>
      </w:r>
      <w:r w:rsidR="00050C7F">
        <w:t xml:space="preserve">disparities in diversity. For example, </w:t>
      </w:r>
      <w:r w:rsidR="00F75BAA">
        <w:t xml:space="preserve">the three other positions in the legal profession stated earlier all have significantly lower populations, making them susceptible to </w:t>
      </w:r>
      <w:r w:rsidR="00D14618">
        <w:t xml:space="preserve">skewed data. </w:t>
      </w:r>
      <w:r w:rsidR="00413B60">
        <w:t xml:space="preserve">Furthermore, the position of legal executive is significantly newer than the other three, </w:t>
      </w:r>
      <w:r w:rsidR="00A56CAC">
        <w:t xml:space="preserve">with a younger, less experienced population as shown by the Ministry of Justice data. </w:t>
      </w:r>
      <w:r w:rsidR="00BE03AB">
        <w:t>The judiciary, as well as the barrister position have significantly</w:t>
      </w:r>
      <w:r w:rsidR="002513D2">
        <w:t xml:space="preserve"> lower ease of access compared to that of a solicitor or legal executive, making them again susceptible to lower populations and </w:t>
      </w:r>
      <w:r w:rsidR="00C132E0">
        <w:t xml:space="preserve">skewed data. </w:t>
      </w:r>
      <w:r w:rsidR="001C2190">
        <w:t xml:space="preserve">This may also however be indicative of bias and need for change in the policies that are enforced by the regulatory bodies of the legal professions. </w:t>
      </w:r>
      <w:r w:rsidR="00362CC5">
        <w:t xml:space="preserve">In 2011, it was written by the law society gazette that </w:t>
      </w:r>
      <w:r w:rsidR="0031728B">
        <w:t>before</w:t>
      </w:r>
      <w:r w:rsidR="002D2648">
        <w:t xml:space="preserve"> the Legal Services Act and Equality Act, the judiciary was “male, pale, and stale” </w:t>
      </w:r>
      <w:r w:rsidR="007B6DF9">
        <w:t xml:space="preserve">in nature, meaning it </w:t>
      </w:r>
      <w:r w:rsidR="007B6DF9">
        <w:lastRenderedPageBreak/>
        <w:t xml:space="preserve">was </w:t>
      </w:r>
      <w:r w:rsidR="005257D4">
        <w:t xml:space="preserve">predominantly represented by older white men. This criticism may yet still ring true </w:t>
      </w:r>
      <w:proofErr w:type="gramStart"/>
      <w:r w:rsidR="005257D4">
        <w:t>in light of</w:t>
      </w:r>
      <w:proofErr w:type="gramEnd"/>
      <w:r w:rsidR="005257D4">
        <w:t xml:space="preserve"> recent findings of the</w:t>
      </w:r>
      <w:r w:rsidR="0029150A">
        <w:t xml:space="preserve"> demographics of the judiciary. </w:t>
      </w:r>
    </w:p>
    <w:p w14:paraId="6DCC1749" w14:textId="23CD33B6" w:rsidR="00C132E0" w:rsidRDefault="00C132E0">
      <w:r>
        <w:t xml:space="preserve">In conclusion, </w:t>
      </w:r>
      <w:r w:rsidR="00437615">
        <w:t>the</w:t>
      </w:r>
      <w:r>
        <w:t xml:space="preserve"> </w:t>
      </w:r>
      <w:r w:rsidR="00437615">
        <w:t>L</w:t>
      </w:r>
      <w:r>
        <w:t xml:space="preserve">egal </w:t>
      </w:r>
      <w:r w:rsidR="00437615">
        <w:t>S</w:t>
      </w:r>
      <w:r>
        <w:t xml:space="preserve">ervices act as well as the Equality Act </w:t>
      </w:r>
      <w:r w:rsidR="009D154E">
        <w:t xml:space="preserve">impose duties on regulatory bodies in all fields to promote diversity and inclusion. </w:t>
      </w:r>
      <w:r w:rsidR="00437615">
        <w:t xml:space="preserve">This is shown by the policies of different regulating bodies in the legal </w:t>
      </w:r>
      <w:r w:rsidR="004917A3">
        <w:t>profession.</w:t>
      </w:r>
      <w:r w:rsidR="00437615">
        <w:t xml:space="preserve"> </w:t>
      </w:r>
      <w:r w:rsidR="00D1583E">
        <w:t xml:space="preserve">These policies have </w:t>
      </w:r>
      <w:r w:rsidR="005A16F4">
        <w:t xml:space="preserve">caused wide demographic shifts in the professions </w:t>
      </w:r>
      <w:r w:rsidR="00691EAB">
        <w:t xml:space="preserve">however the extent to which this is entirely positive, </w:t>
      </w:r>
      <w:r w:rsidR="001C2190">
        <w:t>proportional,</w:t>
      </w:r>
      <w:r w:rsidR="00691EAB">
        <w:t xml:space="preserve"> or representative differs among the professions due to </w:t>
      </w:r>
      <w:r w:rsidR="00744557">
        <w:t>several</w:t>
      </w:r>
      <w:r w:rsidR="00691EAB">
        <w:t xml:space="preserve"> factors. </w:t>
      </w:r>
      <w:r w:rsidR="001523EB">
        <w:t xml:space="preserve"> </w:t>
      </w:r>
    </w:p>
    <w:p w14:paraId="0E866F7F" w14:textId="77777777" w:rsidR="002B5851" w:rsidRDefault="002B5851"/>
    <w:p w14:paraId="0BE8D38C" w14:textId="77777777" w:rsidR="00907A21" w:rsidRDefault="00907A21"/>
    <w:p w14:paraId="1EBEECF0" w14:textId="77777777" w:rsidR="00907A21" w:rsidRDefault="00907A21"/>
    <w:p w14:paraId="61D45230" w14:textId="77777777" w:rsidR="00907A21" w:rsidRDefault="00907A21"/>
    <w:p w14:paraId="29179847" w14:textId="77777777" w:rsidR="00907A21" w:rsidRDefault="00907A21"/>
    <w:p w14:paraId="030E7B27" w14:textId="77777777" w:rsidR="00907A21" w:rsidRDefault="00907A21"/>
    <w:p w14:paraId="0D38E30D" w14:textId="77777777" w:rsidR="00907A21" w:rsidRDefault="00907A21"/>
    <w:p w14:paraId="5ADE989A" w14:textId="77777777" w:rsidR="00907A21" w:rsidRDefault="00907A21"/>
    <w:p w14:paraId="66519FEF" w14:textId="77777777" w:rsidR="00907A21" w:rsidRDefault="00907A21"/>
    <w:p w14:paraId="7400C572" w14:textId="77777777" w:rsidR="00907A21" w:rsidRDefault="00907A21"/>
    <w:p w14:paraId="0B5BC2AC" w14:textId="77777777" w:rsidR="00907A21" w:rsidRDefault="00907A21"/>
    <w:p w14:paraId="14FC9AD4" w14:textId="77777777" w:rsidR="00907A21" w:rsidRDefault="00907A21"/>
    <w:p w14:paraId="71E797E6" w14:textId="77777777" w:rsidR="00907A21" w:rsidRDefault="00907A21"/>
    <w:p w14:paraId="198DCC5C" w14:textId="77777777" w:rsidR="00907A21" w:rsidRDefault="00907A21"/>
    <w:p w14:paraId="5A68F036" w14:textId="77777777" w:rsidR="00907A21" w:rsidRDefault="00907A21"/>
    <w:p w14:paraId="14AC84D0" w14:textId="77777777" w:rsidR="00907A21" w:rsidRDefault="00907A21"/>
    <w:p w14:paraId="1638C7AE" w14:textId="77777777" w:rsidR="00907A21" w:rsidRDefault="00907A21"/>
    <w:p w14:paraId="138FF70A" w14:textId="77777777" w:rsidR="00907A21" w:rsidRDefault="00907A21"/>
    <w:p w14:paraId="79DBF215" w14:textId="77777777" w:rsidR="00907A21" w:rsidRDefault="00907A21"/>
    <w:p w14:paraId="70428E63" w14:textId="77777777" w:rsidR="00907A21" w:rsidRDefault="00907A21"/>
    <w:p w14:paraId="4B0F0D34" w14:textId="77777777" w:rsidR="00907A21" w:rsidRDefault="00907A21"/>
    <w:p w14:paraId="411FB875" w14:textId="77777777" w:rsidR="00907A21" w:rsidRDefault="00907A21"/>
    <w:p w14:paraId="4DB3E507" w14:textId="77777777" w:rsidR="00907A21" w:rsidRDefault="00907A21"/>
    <w:p w14:paraId="2BC1661B" w14:textId="48E9D9B2" w:rsidR="00907A21" w:rsidRDefault="00907A21">
      <w:r>
        <w:lastRenderedPageBreak/>
        <w:t xml:space="preserve">References </w:t>
      </w:r>
    </w:p>
    <w:p w14:paraId="2072A995" w14:textId="77777777" w:rsidR="00907A21" w:rsidRDefault="00907A21"/>
    <w:p w14:paraId="368435C5" w14:textId="77777777" w:rsidR="00034926" w:rsidRDefault="00034926" w:rsidP="00034926">
      <w:r w:rsidRPr="007A5199">
        <w:t>Bar Standards Board (2023).</w:t>
      </w:r>
      <w:r>
        <w:rPr>
          <w:i/>
          <w:iCs/>
        </w:rPr>
        <w:t xml:space="preserve"> The BSB Handbook </w:t>
      </w:r>
      <w:r w:rsidRPr="007A5199">
        <w:t>[online]</w:t>
      </w:r>
      <w:r>
        <w:t xml:space="preserve">. Available at: </w:t>
      </w:r>
      <w:hyperlink r:id="rId4" w:history="1">
        <w:r w:rsidRPr="008430E1">
          <w:rPr>
            <w:rStyle w:val="Hyperlink"/>
          </w:rPr>
          <w:t>https://www.barstandardsboard.org.uk/for-barristers/bsb-handbook-and-code-guidance/the-bsb-handbook.html</w:t>
        </w:r>
      </w:hyperlink>
      <w:r>
        <w:t xml:space="preserve"> (accessed: 8 December 2023) </w:t>
      </w:r>
    </w:p>
    <w:p w14:paraId="090F885B" w14:textId="77777777" w:rsidR="00034926" w:rsidRDefault="00034926" w:rsidP="00034926"/>
    <w:p w14:paraId="33EED0F8" w14:textId="77777777" w:rsidR="00034926" w:rsidRDefault="00034926" w:rsidP="00034926">
      <w:r>
        <w:t xml:space="preserve">Bar Standards Board (No Date). </w:t>
      </w:r>
      <w:r w:rsidRPr="000703FC">
        <w:rPr>
          <w:i/>
          <w:iCs/>
        </w:rPr>
        <w:t xml:space="preserve">The BSB Handbook Equality Rules </w:t>
      </w:r>
      <w:r>
        <w:t xml:space="preserve">[online]. Available at: </w:t>
      </w:r>
      <w:hyperlink r:id="rId5" w:history="1">
        <w:r w:rsidRPr="008430E1">
          <w:rPr>
            <w:rStyle w:val="Hyperlink"/>
          </w:rPr>
          <w:t>https://www.barstandardsboard.org.uk/static/eb082d32-1522-4995-980aa797a14cf2b4/4720f5e7-8d61-46e1-bd930c490b7f7897/02020403-Supporting-Information-for-Chambers-BSB-Handbook-Equality-Rules.pdf</w:t>
        </w:r>
      </w:hyperlink>
      <w:r>
        <w:t xml:space="preserve"> (accessed: 8 December 2023) </w:t>
      </w:r>
    </w:p>
    <w:p w14:paraId="2B09EADF" w14:textId="77777777" w:rsidR="00034926" w:rsidRDefault="00034926"/>
    <w:p w14:paraId="762E3824" w14:textId="77777777" w:rsidR="00034926" w:rsidRPr="007048C5" w:rsidRDefault="00034926" w:rsidP="00034926">
      <w:r>
        <w:t xml:space="preserve">CILEX (No Date). </w:t>
      </w:r>
      <w:r w:rsidRPr="00870838">
        <w:rPr>
          <w:i/>
          <w:iCs/>
        </w:rPr>
        <w:t>Code of Conduct</w:t>
      </w:r>
      <w:r>
        <w:rPr>
          <w:i/>
          <w:iCs/>
        </w:rPr>
        <w:t xml:space="preserve"> </w:t>
      </w:r>
      <w:r w:rsidRPr="007048C5">
        <w:t>[online]</w:t>
      </w:r>
      <w:r>
        <w:t xml:space="preserve">. Available at: </w:t>
      </w:r>
      <w:hyperlink r:id="rId6" w:history="1">
        <w:r w:rsidRPr="008430E1">
          <w:rPr>
            <w:rStyle w:val="Hyperlink"/>
          </w:rPr>
          <w:t>https://www.cilex.org.uk/about_cilex/the_code_of_conduct/code-of-conduct/</w:t>
        </w:r>
      </w:hyperlink>
      <w:proofErr w:type="gramStart"/>
      <w:r>
        <w:t xml:space="preserve">   (</w:t>
      </w:r>
      <w:proofErr w:type="gramEnd"/>
      <w:r>
        <w:t xml:space="preserve">accessed: 8 December 2023) </w:t>
      </w:r>
    </w:p>
    <w:p w14:paraId="454B6811" w14:textId="77777777" w:rsidR="00034926" w:rsidRDefault="00034926"/>
    <w:p w14:paraId="26CFE450" w14:textId="77777777" w:rsidR="00034926" w:rsidRDefault="00034926" w:rsidP="00034926">
      <w:r w:rsidRPr="006255B8">
        <w:rPr>
          <w:i/>
          <w:iCs/>
        </w:rPr>
        <w:t>Equality Act 2010, c.15</w:t>
      </w:r>
      <w:r>
        <w:rPr>
          <w:i/>
          <w:iCs/>
        </w:rPr>
        <w:t xml:space="preserve">, s.47. </w:t>
      </w:r>
      <w:r>
        <w:t xml:space="preserve">Available at: </w:t>
      </w:r>
      <w:hyperlink r:id="rId7" w:history="1">
        <w:r w:rsidRPr="008430E1">
          <w:rPr>
            <w:rStyle w:val="Hyperlink"/>
          </w:rPr>
          <w:t>https://www.legislation.gov.uk/ukpga/2010/15/section/47</w:t>
        </w:r>
      </w:hyperlink>
      <w:r>
        <w:t xml:space="preserve"> (Accessed: 22 November)</w:t>
      </w:r>
    </w:p>
    <w:p w14:paraId="39B9C539" w14:textId="77777777" w:rsidR="00034926" w:rsidRDefault="00034926"/>
    <w:p w14:paraId="46046482" w14:textId="77777777" w:rsidR="00034926" w:rsidRDefault="00034926" w:rsidP="00034926">
      <w:r w:rsidRPr="006255B8">
        <w:rPr>
          <w:i/>
          <w:iCs/>
        </w:rPr>
        <w:t>Equality Act 2010, c.15</w:t>
      </w:r>
      <w:r>
        <w:rPr>
          <w:i/>
          <w:iCs/>
        </w:rPr>
        <w:t xml:space="preserve">, s.48. </w:t>
      </w:r>
      <w:r>
        <w:t xml:space="preserve">Available at: </w:t>
      </w:r>
      <w:hyperlink r:id="rId8" w:history="1">
        <w:r w:rsidRPr="008430E1">
          <w:rPr>
            <w:rStyle w:val="Hyperlink"/>
          </w:rPr>
          <w:t>https://www.legislation.gov.uk/ukpga/2010/15/section/48</w:t>
        </w:r>
      </w:hyperlink>
      <w:r>
        <w:t xml:space="preserve"> (Accessed: 22 November)</w:t>
      </w:r>
    </w:p>
    <w:p w14:paraId="3C37DC1F" w14:textId="77777777" w:rsidR="00034926" w:rsidRDefault="00034926"/>
    <w:p w14:paraId="496E1821" w14:textId="221E7289" w:rsidR="00C466B5" w:rsidRDefault="00C466B5" w:rsidP="00C466B5">
      <w:r w:rsidRPr="006255B8">
        <w:rPr>
          <w:i/>
          <w:iCs/>
        </w:rPr>
        <w:t>Legal Services Act 2007</w:t>
      </w:r>
      <w:r>
        <w:t xml:space="preserve">, </w:t>
      </w:r>
      <w:r w:rsidRPr="006255B8">
        <w:rPr>
          <w:i/>
          <w:iCs/>
        </w:rPr>
        <w:t>c.29</w:t>
      </w:r>
      <w:r w:rsidR="00F1487B">
        <w:rPr>
          <w:i/>
          <w:iCs/>
        </w:rPr>
        <w:t>, s.1</w:t>
      </w:r>
      <w:r>
        <w:t xml:space="preserve">. Available at: </w:t>
      </w:r>
      <w:hyperlink r:id="rId9" w:history="1">
        <w:r w:rsidR="00F1487B" w:rsidRPr="008430E1">
          <w:rPr>
            <w:rStyle w:val="Hyperlink"/>
          </w:rPr>
          <w:t>https://www.legislation.gov.uk/ukpga/2007/29/section/1</w:t>
        </w:r>
      </w:hyperlink>
      <w:r w:rsidR="00F1487B">
        <w:t xml:space="preserve"> </w:t>
      </w:r>
      <w:r>
        <w:t>(Accessed: 22 November)</w:t>
      </w:r>
    </w:p>
    <w:p w14:paraId="0A0925ED" w14:textId="77777777" w:rsidR="00907A21" w:rsidRDefault="00907A21" w:rsidP="0098137F"/>
    <w:p w14:paraId="5EF68B61" w14:textId="77777777" w:rsidR="00034926" w:rsidRDefault="00034926" w:rsidP="00034926">
      <w:pPr>
        <w:rPr>
          <w:i/>
          <w:iCs/>
        </w:rPr>
      </w:pPr>
      <w:r w:rsidRPr="00642965">
        <w:rPr>
          <w:i/>
          <w:iCs/>
        </w:rPr>
        <w:t>Human Rights Act 1998</w:t>
      </w:r>
      <w:r>
        <w:rPr>
          <w:i/>
          <w:iCs/>
        </w:rPr>
        <w:t xml:space="preserve">. </w:t>
      </w:r>
      <w:r w:rsidRPr="003B6148">
        <w:t>Available at:</w:t>
      </w:r>
      <w:r>
        <w:rPr>
          <w:i/>
          <w:iCs/>
        </w:rPr>
        <w:t xml:space="preserve"> </w:t>
      </w:r>
      <w:hyperlink r:id="rId10" w:history="1">
        <w:r w:rsidRPr="008430E1">
          <w:rPr>
            <w:rStyle w:val="Hyperlink"/>
            <w:i/>
            <w:iCs/>
          </w:rPr>
          <w:t>https://www.legislation.gov.uk/ukpga/1998/42/contents</w:t>
        </w:r>
      </w:hyperlink>
      <w:r>
        <w:rPr>
          <w:i/>
          <w:iCs/>
        </w:rPr>
        <w:t xml:space="preserve"> (accessed: 8 December 2023) </w:t>
      </w:r>
    </w:p>
    <w:p w14:paraId="15C00787" w14:textId="77777777" w:rsidR="00034926" w:rsidRDefault="00034926" w:rsidP="00034926">
      <w:pPr>
        <w:rPr>
          <w:i/>
          <w:iCs/>
        </w:rPr>
      </w:pPr>
    </w:p>
    <w:p w14:paraId="2B636208" w14:textId="77777777" w:rsidR="00BA1F6A" w:rsidRDefault="00BA1F6A" w:rsidP="00BA1F6A">
      <w:r>
        <w:t xml:space="preserve">Law Society Gazette (2011). </w:t>
      </w:r>
      <w:r w:rsidRPr="00BE4330">
        <w:rPr>
          <w:i/>
          <w:iCs/>
        </w:rPr>
        <w:t>The Judiciary – Still Too Pale, Male and Stale?</w:t>
      </w:r>
      <w:r w:rsidRPr="00BE4330">
        <w:t xml:space="preserve"> [Online]</w:t>
      </w:r>
      <w:r>
        <w:t xml:space="preserve">. Available at: </w:t>
      </w:r>
      <w:hyperlink r:id="rId11" w:history="1">
        <w:r w:rsidRPr="008430E1">
          <w:rPr>
            <w:rStyle w:val="Hyperlink"/>
          </w:rPr>
          <w:t>https://www.lawgazette.co.uk/analysis/the-judiciary-still-too-pale-male-and-stale/61400.article</w:t>
        </w:r>
      </w:hyperlink>
      <w:r>
        <w:t xml:space="preserve"> (accessed: 8 December 2023) </w:t>
      </w:r>
    </w:p>
    <w:p w14:paraId="70780D39" w14:textId="77777777" w:rsidR="00BA1F6A" w:rsidRDefault="00BA1F6A" w:rsidP="00034926">
      <w:pPr>
        <w:rPr>
          <w:i/>
          <w:iCs/>
        </w:rPr>
      </w:pPr>
    </w:p>
    <w:p w14:paraId="41C6C8C0" w14:textId="77777777" w:rsidR="00BA1F6A" w:rsidRDefault="00034926" w:rsidP="00907A21">
      <w:r w:rsidRPr="004B7192">
        <w:t>Ministry of Justice (2022).</w:t>
      </w:r>
      <w:r>
        <w:rPr>
          <w:i/>
          <w:iCs/>
        </w:rPr>
        <w:t xml:space="preserve"> Diversity of the Judiciary. </w:t>
      </w:r>
      <w:r w:rsidRPr="004B7192">
        <w:t xml:space="preserve">Available at: </w:t>
      </w:r>
      <w:hyperlink r:id="rId12" w:anchor=":~:text=As%20at%201%20April%202022%2C%20white%20men%20constituted%20the%20highest,%2C%20then%20men%20(8%25)" w:history="1">
        <w:r w:rsidRPr="008430E1">
          <w:rPr>
            <w:rStyle w:val="Hyperlink"/>
          </w:rPr>
          <w:t>https://www.gov.uk/government/statistics/diversity-of-the-judiciary-2022-statistics/diversity-of-the-judiciary-legal-professions-new-appointments-and-current-post-holders-2022-</w:t>
        </w:r>
        <w:r w:rsidRPr="008430E1">
          <w:rPr>
            <w:rStyle w:val="Hyperlink"/>
          </w:rPr>
          <w:lastRenderedPageBreak/>
          <w:t>statistics#:~:text=As%20at%201%20April%202022%2C%20white%20men%20constituted%20the%20highest,%2C%20then%20men%20(8%25)</w:t>
        </w:r>
      </w:hyperlink>
      <w:r>
        <w:t xml:space="preserve"> (accessed: 8 December 2023)</w:t>
      </w:r>
    </w:p>
    <w:p w14:paraId="203BB7F9" w14:textId="77777777" w:rsidR="00FE3933" w:rsidRDefault="00FE3933" w:rsidP="00907A21"/>
    <w:p w14:paraId="6ED1AA1E" w14:textId="1A6C24A7" w:rsidR="009B6FF1" w:rsidRDefault="009B6FF1" w:rsidP="00907A21">
      <w:r>
        <w:t>Moon</w:t>
      </w:r>
      <w:r w:rsidR="00225E19">
        <w:t>, G</w:t>
      </w:r>
      <w:r w:rsidR="008D0D2B">
        <w:t xml:space="preserve"> (2000). </w:t>
      </w:r>
      <w:r w:rsidR="00774068" w:rsidRPr="00BA4D2D">
        <w:rPr>
          <w:i/>
          <w:iCs/>
        </w:rPr>
        <w:t>Race Discrimination:</w:t>
      </w:r>
      <w:r w:rsidR="00BA4D2D" w:rsidRPr="00BA4D2D">
        <w:rPr>
          <w:i/>
          <w:iCs/>
        </w:rPr>
        <w:t xml:space="preserve"> developing and using a new legal framework</w:t>
      </w:r>
      <w:r w:rsidR="00BA4D2D" w:rsidRPr="00BA4D2D">
        <w:t xml:space="preserve">. </w:t>
      </w:r>
      <w:r w:rsidR="00A85D3F">
        <w:t xml:space="preserve">Oxford and Portland, </w:t>
      </w:r>
      <w:r w:rsidR="00BA1A0B">
        <w:t>Oregon</w:t>
      </w:r>
      <w:r w:rsidR="00A85D3F">
        <w:t xml:space="preserve">: Hart </w:t>
      </w:r>
      <w:r w:rsidR="00BA1A0B">
        <w:t xml:space="preserve">Publishing </w:t>
      </w:r>
    </w:p>
    <w:p w14:paraId="0DE2873E" w14:textId="77777777" w:rsidR="00FE3933" w:rsidRDefault="00FE3933" w:rsidP="00907A21"/>
    <w:p w14:paraId="3F035810" w14:textId="77777777" w:rsidR="00FE3933" w:rsidRDefault="00FE3933" w:rsidP="00FE3933">
      <w:r w:rsidRPr="00791EE3">
        <w:rPr>
          <w:i/>
          <w:iCs/>
        </w:rPr>
        <w:t>Solicitors Act 1974</w:t>
      </w:r>
      <w:r>
        <w:rPr>
          <w:i/>
          <w:iCs/>
        </w:rPr>
        <w:t xml:space="preserve">, c.47. </w:t>
      </w:r>
      <w:r w:rsidRPr="00E00009">
        <w:t>Available at</w:t>
      </w:r>
      <w:r>
        <w:t xml:space="preserve">: </w:t>
      </w:r>
      <w:hyperlink r:id="rId13" w:history="1">
        <w:r w:rsidRPr="008430E1">
          <w:rPr>
            <w:rStyle w:val="Hyperlink"/>
          </w:rPr>
          <w:t>https://www.legislation.gov.uk/ukpga/1974/47/contents</w:t>
        </w:r>
      </w:hyperlink>
      <w:r>
        <w:t xml:space="preserve"> (Accessed: 8 December 2023) </w:t>
      </w:r>
    </w:p>
    <w:p w14:paraId="318A3ECE" w14:textId="77777777" w:rsidR="00BA1A0B" w:rsidRDefault="00BA1A0B" w:rsidP="00907A21"/>
    <w:p w14:paraId="47E677EA" w14:textId="1CD0AF85" w:rsidR="0031321A" w:rsidRDefault="0031321A" w:rsidP="00907A21">
      <w:r>
        <w:t>S</w:t>
      </w:r>
      <w:r w:rsidR="008D714D">
        <w:t>olicitors Regulat</w:t>
      </w:r>
      <w:r w:rsidR="00B55810">
        <w:t>ion</w:t>
      </w:r>
      <w:r w:rsidR="008D714D">
        <w:t xml:space="preserve"> Authority</w:t>
      </w:r>
      <w:r w:rsidR="004577CA">
        <w:t xml:space="preserve"> (</w:t>
      </w:r>
      <w:r w:rsidR="008F36B5">
        <w:t>2018</w:t>
      </w:r>
      <w:r w:rsidR="004577CA">
        <w:t xml:space="preserve">). </w:t>
      </w:r>
      <w:r w:rsidR="004577CA" w:rsidRPr="004577CA">
        <w:rPr>
          <w:i/>
          <w:iCs/>
        </w:rPr>
        <w:t>SRA Principles</w:t>
      </w:r>
      <w:r w:rsidR="004577CA">
        <w:rPr>
          <w:i/>
          <w:iCs/>
        </w:rPr>
        <w:t xml:space="preserve"> </w:t>
      </w:r>
      <w:r w:rsidR="004577CA" w:rsidRPr="004577CA">
        <w:t>[online]</w:t>
      </w:r>
      <w:r w:rsidR="004577CA">
        <w:t xml:space="preserve">. </w:t>
      </w:r>
      <w:r w:rsidR="000D5965">
        <w:t xml:space="preserve">Available at: </w:t>
      </w:r>
      <w:hyperlink r:id="rId14" w:history="1">
        <w:r w:rsidR="000D5965" w:rsidRPr="008430E1">
          <w:rPr>
            <w:rStyle w:val="Hyperlink"/>
          </w:rPr>
          <w:t>https://www.sra.org.uk/solicitors/standards-regulations/principles/</w:t>
        </w:r>
      </w:hyperlink>
      <w:r w:rsidR="000D5965">
        <w:t xml:space="preserve"> (accessed</w:t>
      </w:r>
      <w:r w:rsidR="00FA5337">
        <w:t>: 8 December 2023</w:t>
      </w:r>
      <w:r w:rsidR="00C6167F">
        <w:t>)</w:t>
      </w:r>
    </w:p>
    <w:p w14:paraId="381CD9AD" w14:textId="77777777" w:rsidR="00C6167F" w:rsidRDefault="00C6167F" w:rsidP="00907A21"/>
    <w:p w14:paraId="79BC14C8" w14:textId="5834EA7C" w:rsidR="00C6167F" w:rsidRDefault="00C6167F" w:rsidP="00907A21">
      <w:r>
        <w:t>S</w:t>
      </w:r>
      <w:r w:rsidR="00B55810">
        <w:t>olicitors Regulation Authority</w:t>
      </w:r>
      <w:r>
        <w:t xml:space="preserve"> (20</w:t>
      </w:r>
      <w:r w:rsidR="008F36B5">
        <w:t>23</w:t>
      </w:r>
      <w:r>
        <w:t>)</w:t>
      </w:r>
      <w:r w:rsidR="00EE25B8">
        <w:t>.</w:t>
      </w:r>
      <w:r>
        <w:t xml:space="preserve"> </w:t>
      </w:r>
      <w:r w:rsidRPr="008F36B5">
        <w:rPr>
          <w:i/>
          <w:iCs/>
        </w:rPr>
        <w:t>SRA</w:t>
      </w:r>
      <w:r w:rsidR="008F36B5" w:rsidRPr="008F36B5">
        <w:rPr>
          <w:i/>
          <w:iCs/>
        </w:rPr>
        <w:t xml:space="preserve"> Code of Conduct</w:t>
      </w:r>
      <w:r w:rsidR="008F36B5">
        <w:rPr>
          <w:i/>
          <w:iCs/>
        </w:rPr>
        <w:t xml:space="preserve"> </w:t>
      </w:r>
      <w:r w:rsidR="008F36B5" w:rsidRPr="008F36B5">
        <w:t>[</w:t>
      </w:r>
      <w:r w:rsidR="008F36B5">
        <w:t xml:space="preserve">online]. </w:t>
      </w:r>
      <w:r w:rsidR="00E262A0">
        <w:t>Available at:</w:t>
      </w:r>
      <w:r w:rsidR="000426C4">
        <w:t xml:space="preserve"> </w:t>
      </w:r>
      <w:hyperlink r:id="rId15" w:history="1">
        <w:r w:rsidR="000426C4" w:rsidRPr="008430E1">
          <w:rPr>
            <w:rStyle w:val="Hyperlink"/>
          </w:rPr>
          <w:t>https://www.sra.org.uk/solicitors/standards-regulations/code-conduct-solicitors/</w:t>
        </w:r>
      </w:hyperlink>
      <w:r w:rsidR="000426C4">
        <w:t xml:space="preserve"> (accessed: </w:t>
      </w:r>
      <w:r w:rsidR="00314FBE">
        <w:t xml:space="preserve">8 December 2023) </w:t>
      </w:r>
    </w:p>
    <w:p w14:paraId="65D3A2F0" w14:textId="77777777" w:rsidR="00CF2E29" w:rsidRDefault="00CF2E29" w:rsidP="00907A21"/>
    <w:p w14:paraId="4D5CDD24" w14:textId="0A763CD3" w:rsidR="00CF2E29" w:rsidRPr="00A24F69" w:rsidRDefault="00CF2E29" w:rsidP="00907A21">
      <w:r>
        <w:t xml:space="preserve">Solicitors Regulation Authority </w:t>
      </w:r>
      <w:r w:rsidR="00076812">
        <w:t xml:space="preserve">(2023). </w:t>
      </w:r>
      <w:r w:rsidR="00076812" w:rsidRPr="00A24F69">
        <w:rPr>
          <w:i/>
          <w:iCs/>
        </w:rPr>
        <w:t>How diver</w:t>
      </w:r>
      <w:r w:rsidR="00A24F69" w:rsidRPr="00A24F69">
        <w:rPr>
          <w:i/>
          <w:iCs/>
        </w:rPr>
        <w:t>se is the solicitors</w:t>
      </w:r>
      <w:r w:rsidR="00A24F69">
        <w:rPr>
          <w:i/>
          <w:iCs/>
        </w:rPr>
        <w:t>’</w:t>
      </w:r>
      <w:r w:rsidR="00A24F69" w:rsidRPr="00A24F69">
        <w:rPr>
          <w:i/>
          <w:iCs/>
        </w:rPr>
        <w:t xml:space="preserve"> profession?</w:t>
      </w:r>
      <w:r w:rsidR="00A24F69">
        <w:rPr>
          <w:i/>
          <w:iCs/>
        </w:rPr>
        <w:t xml:space="preserve"> </w:t>
      </w:r>
      <w:r w:rsidR="00A24F69" w:rsidRPr="00A24F69">
        <w:t>[online]</w:t>
      </w:r>
      <w:r w:rsidR="00A24F69">
        <w:t xml:space="preserve">. Available at: </w:t>
      </w:r>
      <w:hyperlink r:id="rId16" w:history="1">
        <w:r w:rsidR="00751C0F" w:rsidRPr="008430E1">
          <w:rPr>
            <w:rStyle w:val="Hyperlink"/>
          </w:rPr>
          <w:t>https://www.sra.org.uk/sra/equality-diversity/diversity-profession/diverse-legal-profession/</w:t>
        </w:r>
      </w:hyperlink>
      <w:r w:rsidR="00751C0F">
        <w:t xml:space="preserve"> (accessed: 8 December 2023)</w:t>
      </w:r>
    </w:p>
    <w:p w14:paraId="3024906C" w14:textId="77777777" w:rsidR="00314FBE" w:rsidRDefault="00314FBE" w:rsidP="00907A21"/>
    <w:p w14:paraId="18DD207D" w14:textId="77777777" w:rsidR="004B7192" w:rsidRPr="004B7192" w:rsidRDefault="004B7192" w:rsidP="0098137F"/>
    <w:p w14:paraId="10322768" w14:textId="77777777" w:rsidR="00F1487B" w:rsidRDefault="00F1487B" w:rsidP="00C466B5"/>
    <w:p w14:paraId="62B33C1D" w14:textId="77777777" w:rsidR="00356A6F" w:rsidRDefault="00356A6F"/>
    <w:sectPr w:rsidR="00356A6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0FD"/>
    <w:rsid w:val="000015E3"/>
    <w:rsid w:val="000033A2"/>
    <w:rsid w:val="000256E7"/>
    <w:rsid w:val="000334C4"/>
    <w:rsid w:val="00034926"/>
    <w:rsid w:val="000365F4"/>
    <w:rsid w:val="000426C4"/>
    <w:rsid w:val="00050C7F"/>
    <w:rsid w:val="000703FC"/>
    <w:rsid w:val="000762EA"/>
    <w:rsid w:val="00076812"/>
    <w:rsid w:val="00087B5D"/>
    <w:rsid w:val="000A31C8"/>
    <w:rsid w:val="000B2441"/>
    <w:rsid w:val="000C4D12"/>
    <w:rsid w:val="000C764B"/>
    <w:rsid w:val="000D5965"/>
    <w:rsid w:val="000D7B76"/>
    <w:rsid w:val="00115AA3"/>
    <w:rsid w:val="001212E3"/>
    <w:rsid w:val="001240E5"/>
    <w:rsid w:val="001257BF"/>
    <w:rsid w:val="00130CC1"/>
    <w:rsid w:val="00132F5F"/>
    <w:rsid w:val="001366D7"/>
    <w:rsid w:val="001401E4"/>
    <w:rsid w:val="001523EB"/>
    <w:rsid w:val="00164EBA"/>
    <w:rsid w:val="001A6E2D"/>
    <w:rsid w:val="001B1FD4"/>
    <w:rsid w:val="001C0F69"/>
    <w:rsid w:val="001C2190"/>
    <w:rsid w:val="001C6C3F"/>
    <w:rsid w:val="001D1D5B"/>
    <w:rsid w:val="001E6652"/>
    <w:rsid w:val="00202803"/>
    <w:rsid w:val="0021089A"/>
    <w:rsid w:val="002149E0"/>
    <w:rsid w:val="00225E19"/>
    <w:rsid w:val="002327E3"/>
    <w:rsid w:val="00232E9E"/>
    <w:rsid w:val="00241C6A"/>
    <w:rsid w:val="0024388F"/>
    <w:rsid w:val="002513D2"/>
    <w:rsid w:val="00257F1D"/>
    <w:rsid w:val="00270F86"/>
    <w:rsid w:val="00271DE0"/>
    <w:rsid w:val="0029150A"/>
    <w:rsid w:val="00291AC6"/>
    <w:rsid w:val="00296672"/>
    <w:rsid w:val="002B073F"/>
    <w:rsid w:val="002B4C74"/>
    <w:rsid w:val="002B5851"/>
    <w:rsid w:val="002B5F13"/>
    <w:rsid w:val="002D2648"/>
    <w:rsid w:val="002D6DB5"/>
    <w:rsid w:val="002E4D5B"/>
    <w:rsid w:val="0031321A"/>
    <w:rsid w:val="00314FBE"/>
    <w:rsid w:val="00316B60"/>
    <w:rsid w:val="0031728B"/>
    <w:rsid w:val="00317703"/>
    <w:rsid w:val="00343BCA"/>
    <w:rsid w:val="0035192E"/>
    <w:rsid w:val="00356566"/>
    <w:rsid w:val="00356A6F"/>
    <w:rsid w:val="00362CC5"/>
    <w:rsid w:val="00396C3D"/>
    <w:rsid w:val="003A35D4"/>
    <w:rsid w:val="003B6148"/>
    <w:rsid w:val="003C41E7"/>
    <w:rsid w:val="003D726E"/>
    <w:rsid w:val="00413B60"/>
    <w:rsid w:val="00437615"/>
    <w:rsid w:val="004577CA"/>
    <w:rsid w:val="004623F2"/>
    <w:rsid w:val="00472279"/>
    <w:rsid w:val="004917A3"/>
    <w:rsid w:val="004A2C6B"/>
    <w:rsid w:val="004B6330"/>
    <w:rsid w:val="004B7192"/>
    <w:rsid w:val="004D09F8"/>
    <w:rsid w:val="004D1569"/>
    <w:rsid w:val="004F7D52"/>
    <w:rsid w:val="005257D4"/>
    <w:rsid w:val="00526FE1"/>
    <w:rsid w:val="0054418F"/>
    <w:rsid w:val="00564896"/>
    <w:rsid w:val="005A16F4"/>
    <w:rsid w:val="005D6522"/>
    <w:rsid w:val="00622113"/>
    <w:rsid w:val="00642965"/>
    <w:rsid w:val="006476A3"/>
    <w:rsid w:val="006560DA"/>
    <w:rsid w:val="00662908"/>
    <w:rsid w:val="00676D8C"/>
    <w:rsid w:val="00691EAB"/>
    <w:rsid w:val="006944B3"/>
    <w:rsid w:val="00697D33"/>
    <w:rsid w:val="006C525C"/>
    <w:rsid w:val="006C733C"/>
    <w:rsid w:val="006E4689"/>
    <w:rsid w:val="006F5829"/>
    <w:rsid w:val="007048C5"/>
    <w:rsid w:val="00706325"/>
    <w:rsid w:val="00724B24"/>
    <w:rsid w:val="00733E9C"/>
    <w:rsid w:val="00735DEE"/>
    <w:rsid w:val="00736FF2"/>
    <w:rsid w:val="00744557"/>
    <w:rsid w:val="00751C0F"/>
    <w:rsid w:val="00754684"/>
    <w:rsid w:val="00774068"/>
    <w:rsid w:val="00784003"/>
    <w:rsid w:val="007849EA"/>
    <w:rsid w:val="00787623"/>
    <w:rsid w:val="00791EE3"/>
    <w:rsid w:val="00792E71"/>
    <w:rsid w:val="00793E94"/>
    <w:rsid w:val="007958E7"/>
    <w:rsid w:val="00796A82"/>
    <w:rsid w:val="007977D3"/>
    <w:rsid w:val="007A0D5C"/>
    <w:rsid w:val="007A3133"/>
    <w:rsid w:val="007A5199"/>
    <w:rsid w:val="007B6DF9"/>
    <w:rsid w:val="007C5176"/>
    <w:rsid w:val="007D3C9E"/>
    <w:rsid w:val="007F4BA4"/>
    <w:rsid w:val="00812B96"/>
    <w:rsid w:val="00830A94"/>
    <w:rsid w:val="00840DE7"/>
    <w:rsid w:val="0086493E"/>
    <w:rsid w:val="00870838"/>
    <w:rsid w:val="00871733"/>
    <w:rsid w:val="008730B3"/>
    <w:rsid w:val="00875B66"/>
    <w:rsid w:val="00876E62"/>
    <w:rsid w:val="008A2517"/>
    <w:rsid w:val="008A2C8B"/>
    <w:rsid w:val="008B48B2"/>
    <w:rsid w:val="008C7977"/>
    <w:rsid w:val="008D0D2B"/>
    <w:rsid w:val="008D714D"/>
    <w:rsid w:val="008F0B08"/>
    <w:rsid w:val="008F0F84"/>
    <w:rsid w:val="008F35C2"/>
    <w:rsid w:val="008F36B5"/>
    <w:rsid w:val="008F6031"/>
    <w:rsid w:val="009026B0"/>
    <w:rsid w:val="00907A21"/>
    <w:rsid w:val="00912683"/>
    <w:rsid w:val="00942EB2"/>
    <w:rsid w:val="00950D7C"/>
    <w:rsid w:val="00967D03"/>
    <w:rsid w:val="00967F2A"/>
    <w:rsid w:val="0097035B"/>
    <w:rsid w:val="00971EA3"/>
    <w:rsid w:val="0098137F"/>
    <w:rsid w:val="00985430"/>
    <w:rsid w:val="00991998"/>
    <w:rsid w:val="009A33C6"/>
    <w:rsid w:val="009B67C7"/>
    <w:rsid w:val="009B6FF1"/>
    <w:rsid w:val="009D0934"/>
    <w:rsid w:val="009D0A1B"/>
    <w:rsid w:val="009D154E"/>
    <w:rsid w:val="009F20E8"/>
    <w:rsid w:val="009F2803"/>
    <w:rsid w:val="009F770F"/>
    <w:rsid w:val="00A03A07"/>
    <w:rsid w:val="00A121EC"/>
    <w:rsid w:val="00A21802"/>
    <w:rsid w:val="00A24F69"/>
    <w:rsid w:val="00A44CE0"/>
    <w:rsid w:val="00A525B8"/>
    <w:rsid w:val="00A56CAC"/>
    <w:rsid w:val="00A6551C"/>
    <w:rsid w:val="00A66C0E"/>
    <w:rsid w:val="00A772EB"/>
    <w:rsid w:val="00A836D9"/>
    <w:rsid w:val="00A85D3F"/>
    <w:rsid w:val="00A8720D"/>
    <w:rsid w:val="00AB5E7C"/>
    <w:rsid w:val="00AE3A12"/>
    <w:rsid w:val="00AE53EB"/>
    <w:rsid w:val="00AE61A8"/>
    <w:rsid w:val="00B13226"/>
    <w:rsid w:val="00B14C9E"/>
    <w:rsid w:val="00B17033"/>
    <w:rsid w:val="00B34176"/>
    <w:rsid w:val="00B4089D"/>
    <w:rsid w:val="00B46760"/>
    <w:rsid w:val="00B55810"/>
    <w:rsid w:val="00B7291E"/>
    <w:rsid w:val="00B77AFA"/>
    <w:rsid w:val="00B87C64"/>
    <w:rsid w:val="00BA0BAA"/>
    <w:rsid w:val="00BA1A0B"/>
    <w:rsid w:val="00BA1F6A"/>
    <w:rsid w:val="00BA43C5"/>
    <w:rsid w:val="00BA4D2D"/>
    <w:rsid w:val="00BC78A9"/>
    <w:rsid w:val="00BE03AB"/>
    <w:rsid w:val="00BE4330"/>
    <w:rsid w:val="00BF251A"/>
    <w:rsid w:val="00BF3D6C"/>
    <w:rsid w:val="00C132E0"/>
    <w:rsid w:val="00C15471"/>
    <w:rsid w:val="00C23BC3"/>
    <w:rsid w:val="00C31BBD"/>
    <w:rsid w:val="00C36ADB"/>
    <w:rsid w:val="00C466B5"/>
    <w:rsid w:val="00C46CEB"/>
    <w:rsid w:val="00C50E15"/>
    <w:rsid w:val="00C50E9E"/>
    <w:rsid w:val="00C52F2C"/>
    <w:rsid w:val="00C53963"/>
    <w:rsid w:val="00C53F19"/>
    <w:rsid w:val="00C57ACD"/>
    <w:rsid w:val="00C6167F"/>
    <w:rsid w:val="00C90C7F"/>
    <w:rsid w:val="00C91198"/>
    <w:rsid w:val="00CC5527"/>
    <w:rsid w:val="00CD08AC"/>
    <w:rsid w:val="00CD3368"/>
    <w:rsid w:val="00CF2E29"/>
    <w:rsid w:val="00CF70CD"/>
    <w:rsid w:val="00D14618"/>
    <w:rsid w:val="00D1583E"/>
    <w:rsid w:val="00D24892"/>
    <w:rsid w:val="00D309A0"/>
    <w:rsid w:val="00D35BA4"/>
    <w:rsid w:val="00D36DAA"/>
    <w:rsid w:val="00D52B10"/>
    <w:rsid w:val="00D61836"/>
    <w:rsid w:val="00D65FA7"/>
    <w:rsid w:val="00D76B30"/>
    <w:rsid w:val="00D82FD4"/>
    <w:rsid w:val="00D97C33"/>
    <w:rsid w:val="00DB0303"/>
    <w:rsid w:val="00DB68C8"/>
    <w:rsid w:val="00DC408D"/>
    <w:rsid w:val="00DC78C6"/>
    <w:rsid w:val="00E00009"/>
    <w:rsid w:val="00E04E1C"/>
    <w:rsid w:val="00E2230E"/>
    <w:rsid w:val="00E262A0"/>
    <w:rsid w:val="00E307D3"/>
    <w:rsid w:val="00E5512C"/>
    <w:rsid w:val="00E71BFF"/>
    <w:rsid w:val="00E810FD"/>
    <w:rsid w:val="00E93E08"/>
    <w:rsid w:val="00EA2D6D"/>
    <w:rsid w:val="00EA778F"/>
    <w:rsid w:val="00EB2B06"/>
    <w:rsid w:val="00EC4EDC"/>
    <w:rsid w:val="00EE25B8"/>
    <w:rsid w:val="00EE327E"/>
    <w:rsid w:val="00F10FDE"/>
    <w:rsid w:val="00F145C7"/>
    <w:rsid w:val="00F1487B"/>
    <w:rsid w:val="00F44E48"/>
    <w:rsid w:val="00F67BC5"/>
    <w:rsid w:val="00F75BAA"/>
    <w:rsid w:val="00F764CE"/>
    <w:rsid w:val="00F8395D"/>
    <w:rsid w:val="00F96B2B"/>
    <w:rsid w:val="00FA5337"/>
    <w:rsid w:val="00FA75D9"/>
    <w:rsid w:val="00FA778A"/>
    <w:rsid w:val="00FC4BD2"/>
    <w:rsid w:val="00FD1D34"/>
    <w:rsid w:val="00FE1BC8"/>
    <w:rsid w:val="00FE3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71A50"/>
  <w15:chartTrackingRefBased/>
  <w15:docId w15:val="{936EE218-7B79-6449-B671-95E0BA40A0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66B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466B5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48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0/15/section/48" TargetMode="External"/><Relationship Id="rId13" Type="http://schemas.openxmlformats.org/officeDocument/2006/relationships/hyperlink" Target="https://www.legislation.gov.uk/ukpga/1974/47/contents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10/15/section/47" TargetMode="External"/><Relationship Id="rId12" Type="http://schemas.openxmlformats.org/officeDocument/2006/relationships/hyperlink" Target="https://www.gov.uk/government/statistics/diversity-of-the-judiciary-2022-statistics/diversity-of-the-judiciary-legal-professions-new-appointments-and-current-post-holders-2022-statistics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sra.org.uk/sra/equality-diversity/diversity-profession/diverse-legal-profession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ilex.org.uk/about_cilex/the_code_of_conduct/code-of-conduct/" TargetMode="External"/><Relationship Id="rId11" Type="http://schemas.openxmlformats.org/officeDocument/2006/relationships/hyperlink" Target="https://www.lawgazette.co.uk/analysis/the-judiciary-still-too-pale-male-and-stale/61400.article" TargetMode="External"/><Relationship Id="rId5" Type="http://schemas.openxmlformats.org/officeDocument/2006/relationships/hyperlink" Target="https://www.barstandardsboard.org.uk/static/eb082d32-1522-4995-980aa797a14cf2b4/4720f5e7-8d61-46e1-bd930c490b7f7897/02020403-Supporting-Information-for-Chambers-BSB-Handbook-Equality-Rules.pdf" TargetMode="External"/><Relationship Id="rId15" Type="http://schemas.openxmlformats.org/officeDocument/2006/relationships/hyperlink" Target="https://www.sra.org.uk/solicitors/standards-regulations/code-conduct-solicitors/" TargetMode="External"/><Relationship Id="rId10" Type="http://schemas.openxmlformats.org/officeDocument/2006/relationships/hyperlink" Target="https://www.legislation.gov.uk/ukpga/1998/42/contents" TargetMode="External"/><Relationship Id="rId4" Type="http://schemas.openxmlformats.org/officeDocument/2006/relationships/hyperlink" Target="https://www.barstandardsboard.org.uk/for-barristers/bsb-handbook-and-code-guidance/the-bsb-handbook.html" TargetMode="External"/><Relationship Id="rId9" Type="http://schemas.openxmlformats.org/officeDocument/2006/relationships/hyperlink" Target="https://www.legislation.gov.uk/ukpga/2007/29/section/1" TargetMode="External"/><Relationship Id="rId14" Type="http://schemas.openxmlformats.org/officeDocument/2006/relationships/hyperlink" Target="https://www.sra.org.uk/solicitors/standards-regulations/princip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1941</Words>
  <Characters>11066</Characters>
  <Application>Microsoft Office Word</Application>
  <DocSecurity>0</DocSecurity>
  <Lines>92</Lines>
  <Paragraphs>25</Paragraphs>
  <ScaleCrop>false</ScaleCrop>
  <Company/>
  <LinksUpToDate>false</LinksUpToDate>
  <CharactersWithSpaces>12982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Gabrial Harris</dc:creator>
  <cp:keywords/>
  <dc:description/>
  <cp:lastModifiedBy>Gabrial Harris</cp:lastModifiedBy>
  <cp:revision>2</cp:revision>
  <dcterms:created xsi:type="dcterms:W3CDTF">2023-12-08T21:45:00Z</dcterms:created>
  <dcterms:modified xsi:type="dcterms:W3CDTF">2023-12-08T21:45:00Z</dcterms:modified>
</cp:coreProperties>
</file>