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0CC02" w14:textId="77350C6C" w:rsidR="000B64DF" w:rsidRDefault="00000000" w:rsidP="00D25ED4">
      <w:pPr>
        <w:spacing w:before="2000"/>
        <w:jc w:val="center"/>
      </w:pPr>
      <w:r>
        <w:rPr>
          <w:b/>
          <w:sz w:val="32"/>
        </w:rPr>
        <w:t>UNIVERSITY OF WALES TRINITY SAINT DAVID</w:t>
      </w:r>
      <w:r>
        <w:rPr>
          <w:i/>
          <w:sz w:val="28"/>
        </w:rPr>
        <w:br/>
      </w:r>
      <w:r>
        <w:rPr>
          <w:i/>
          <w:sz w:val="28"/>
        </w:rPr>
        <w:br/>
      </w:r>
      <w:r>
        <w:rPr>
          <w:b/>
        </w:rPr>
        <w:t xml:space="preserve">Student Name: </w:t>
      </w:r>
      <w:r w:rsidR="00D25ED4">
        <w:t>Hanan Mohamed Nur</w:t>
      </w:r>
      <w:r>
        <w:br/>
      </w:r>
      <w:r>
        <w:rPr>
          <w:b/>
        </w:rPr>
        <w:t xml:space="preserve">Student ID Number: </w:t>
      </w:r>
      <w:r w:rsidR="00D25ED4">
        <w:t>2430827</w:t>
      </w:r>
      <w:r>
        <w:br/>
      </w:r>
      <w:r>
        <w:rPr>
          <w:b/>
        </w:rPr>
        <w:t xml:space="preserve">Module Code: </w:t>
      </w:r>
      <w:r>
        <w:t>BMHP5021</w:t>
      </w:r>
      <w:r>
        <w:br/>
      </w:r>
      <w:r w:rsidR="00937ECB">
        <w:rPr>
          <w:b/>
        </w:rPr>
        <w:t xml:space="preserve">Lecturer </w:t>
      </w:r>
      <w:r w:rsidR="00CF697F">
        <w:rPr>
          <w:b/>
        </w:rPr>
        <w:t>name:</w:t>
      </w:r>
      <w:r w:rsidR="00986709">
        <w:rPr>
          <w:b/>
        </w:rPr>
        <w:t xml:space="preserve"> </w:t>
      </w:r>
      <w:r w:rsidR="00986709">
        <w:t>Shaila Hussain</w:t>
      </w:r>
    </w:p>
    <w:p w14:paraId="41638577" w14:textId="77777777" w:rsidR="00937ECB" w:rsidRDefault="00937ECB" w:rsidP="00D25ED4">
      <w:pPr>
        <w:spacing w:before="2000"/>
        <w:jc w:val="center"/>
      </w:pPr>
    </w:p>
    <w:p w14:paraId="275F3621" w14:textId="77777777" w:rsidR="000B64DF" w:rsidRDefault="00000000">
      <w:r>
        <w:br w:type="page"/>
      </w:r>
    </w:p>
    <w:p w14:paraId="0AAC5BD2" w14:textId="6603B456" w:rsidR="000B64DF" w:rsidRDefault="00000000">
      <w:pPr>
        <w:pStyle w:val="Heading1"/>
      </w:pPr>
      <w:r>
        <w:lastRenderedPageBreak/>
        <w:t>Introduction</w:t>
      </w:r>
    </w:p>
    <w:p w14:paraId="114B33E0" w14:textId="77777777" w:rsidR="000B64DF" w:rsidRDefault="00000000">
      <w:pPr>
        <w:spacing w:after="240"/>
        <w:jc w:val="both"/>
      </w:pPr>
      <w:r>
        <w:t>The protection and promotion of the welfare of children is a central pillar of modern health and social care practice in the United Kingdom. Within this framework, the concept of 'Early Help' represents a crucial preventative paradigm designed to intervene at the earliest possible stage when problems emerge for children, young people, and their families, or when there is a clear risk of future harm. As emphasized in statutory guidance, providing support early reduces the escalation of need into statutory child protection interventions, thereby improving long-term outcomes for families and mitigating complex social burdens (HM Government, 2018; Department for Education, 2026). However, the efficacy of Early Help systems relies heavily not only on professional multi-agency collaboration but also on how effectively information and access pathways are communicated to the public. For families seeking assistance, local authority websites serve as the primary digital gateway. Navigational clarity, accessibility, and the transparency of support mechanisms on these platforms directly dictate whether vulnerable families can independently access timely interventions or whether they remain isolated until crises occur.</w:t>
      </w:r>
    </w:p>
    <w:p w14:paraId="0D11CEC7" w14:textId="77777777" w:rsidR="000B64DF" w:rsidRDefault="00000000">
      <w:pPr>
        <w:spacing w:after="240"/>
        <w:jc w:val="both"/>
      </w:pPr>
      <w:r>
        <w:t>This report provides an in-depth examination and critical analysis of how the Early Help system is signposted to UK families across three distinct local authority websites: Southwark Council, Nottinghamshire County Council, and Leeds City Council. By evaluating the digital communication strategies of these local authorities, this report compares and contrasts their core strengths and weaknesses. Furthermore, the analysis is underpinned by contemporary academic literature, statutory government frameworks—specifically The Early Help System Guide (HM Government, 2018) and Working Together to Safeguard Children 2026 (Department for Education, 2026)—and established theories of inter-professional practice. Ultimately, this report concludes with a justified evaluation of which local authority demonstrates the most effective and accessible information architecture relating to Early Help and family support services, offering constructive recommendations for digital service improvement.</w:t>
      </w:r>
    </w:p>
    <w:p w14:paraId="7F3656D2" w14:textId="685A9C3E" w:rsidR="000B64DF" w:rsidRDefault="00000000">
      <w:pPr>
        <w:pStyle w:val="Heading1"/>
      </w:pPr>
      <w:r>
        <w:t xml:space="preserve"> Explanation of the Early Help System</w:t>
      </w:r>
    </w:p>
    <w:p w14:paraId="62ADAEC6" w14:textId="77777777" w:rsidR="000B64DF" w:rsidRDefault="00000000">
      <w:pPr>
        <w:spacing w:after="240"/>
        <w:jc w:val="both"/>
      </w:pPr>
      <w:r>
        <w:t xml:space="preserve">The Early Help system encompasses a spectrum of support, interventions, and preventative services aimed at addressing emerging problems for children and families before statutory intervention becomes necessary. Historically, child welfare systems in the UK were criticized for operating reactively—intervening only after significant harm or threshold breaches had occurred (Laming, 2003; Brandon et al., 2020). The evolution of modern safeguarding policy, spearheaded by landmark inquiries and subsequent legislation, has fundamentally shifted this paradigm towards early intervention and preventative support (Parton, 2011; Ferguson, Disney and Horwath, 2018). As outlined in The Early Help System Guide (HM Government, 2018), </w:t>
      </w:r>
      <w:r>
        <w:lastRenderedPageBreak/>
        <w:t>effective Early Help is built on the premise that meeting needs at the earliest possible point is cost-effective, humane, and vastly superior in preserving family units.</w:t>
      </w:r>
    </w:p>
    <w:p w14:paraId="3C16BEC4" w14:textId="77777777" w:rsidR="000B64DF" w:rsidRDefault="00000000">
      <w:pPr>
        <w:spacing w:after="240"/>
        <w:jc w:val="both"/>
      </w:pPr>
      <w:r>
        <w:t>In practice, Early Help addresses a wide array of familial vulnerabilities, including parental mental health difficulties, domestic abuse, substance misuse, financial poverty, housing instability, and child behavioral or educational challenges (Morris et al., 2018). The system operates across a continuum of need, moving from universal services (such as schools and general practitioners) to targeted early help, and ultimately to statutory child protection under Section 17 and Section 47 of the Children Act 1989. The primary mechanism for delivering structured early intervention is the Early Help Assessment (EHA) or equivalent multi-agency assessment framework, which facilitates a coordinated Team Around the Family (TAF) approach. Through this framework, a lead practitioner is appointed to work collaboratively with the family and various agencies to construct a bespoke support plan, establish clear goals, and review progress systematically.</w:t>
      </w:r>
    </w:p>
    <w:p w14:paraId="4FA14111" w14:textId="69B018C5" w:rsidR="000B64DF" w:rsidRDefault="00000000">
      <w:pPr>
        <w:spacing w:after="240"/>
        <w:jc w:val="both"/>
      </w:pPr>
      <w:r>
        <w:t xml:space="preserve">Nevertheless, scholars have noted significant structural tensions within the operationalization of Early Help. </w:t>
      </w:r>
    </w:p>
    <w:p w14:paraId="7849F72C" w14:textId="77777777" w:rsidR="000B64DF" w:rsidRPr="00937ECB" w:rsidRDefault="00000000">
      <w:pPr>
        <w:pStyle w:val="Heading1"/>
      </w:pPr>
      <w:r w:rsidRPr="00937ECB">
        <w:t>3. Explanation of Multi-Agency Working</w:t>
      </w:r>
    </w:p>
    <w:p w14:paraId="489C568F" w14:textId="77777777" w:rsidR="000B64DF" w:rsidRDefault="00000000">
      <w:pPr>
        <w:spacing w:after="240"/>
        <w:jc w:val="both"/>
      </w:pPr>
      <w:r>
        <w:t>Early Help cannot function in isolation; it is inherently reliant on robust multi-agency and inter-disciplinary working. No single agency—whether health, social care, education, housing, or the voluntary sector—possesses the complete range of resources, expertise, or statutory powers required to address the multifaceted challenges confronting vulnerable families. Working Together to Safeguard Children 2026 (Department for Education, 2026) explicitly mandates that safeguarding is a multi-agency responsibility, requiring seamless collaboration, information sharing, and joint accountability across all organizations intersecting with children's lives.</w:t>
      </w:r>
    </w:p>
    <w:p w14:paraId="30B1844A" w14:textId="77777777" w:rsidR="000B64DF" w:rsidRDefault="00000000">
      <w:pPr>
        <w:spacing w:after="240"/>
        <w:jc w:val="both"/>
      </w:pPr>
      <w:r>
        <w:t>Multi-disciplinary working involves professionals from distinct disciplinary backgrounds (such as social workers, health visitors, school nurses, police officers, and mental health practitioners) pooling their knowledge, skills, and perspectives to formulate holistic assessments and interventions (Anning et al., 2010; Horwath and Morrison, 2021). Inter-agency collaboration bridges traditional organizational silos, ensuring that families do not fall through the gaps between adult-focused and child-focused services. For instance, a health visitor identifying maternal postpartum depression can liaise directly with children's services and housing departments through established multi-agency safeguarding hubs (MASH) or local early help partnerships, initiating a coordinated response before the child's developmental welfare is compromised (Cleaver, Unell and Aldgate, 2011).</w:t>
      </w:r>
    </w:p>
    <w:p w14:paraId="252CEAA5" w14:textId="77777777" w:rsidR="000B64DF" w:rsidRDefault="00000000">
      <w:pPr>
        <w:spacing w:after="240"/>
        <w:jc w:val="both"/>
      </w:pPr>
      <w:r>
        <w:t xml:space="preserve">Theoretical frameworks of inter-professional collaboration, such as those proposed by Engeström (2001) regarding 'activity systems' and 'boundary crossing', highlight that effective </w:t>
      </w:r>
      <w:r>
        <w:lastRenderedPageBreak/>
        <w:t>multi-agency work requires shared mental models, mutual trust, and clear communicative channels. When professionals communicate effectively across institutional boundaries, families experience a coherent journey of support rather than disjointed, bureaucratic fragmentation. Furthermore, multi-agency working extends to engagement with families themselves; coproduction and transparent communication ensure that parents are treated as active partners in their support plans rather than passive recipients of state intervention (Forrester et al., 2018). Digital platforms managed by local authorities must therefore reflect this multi-agency ethos by signposting not only internal council services but also integrated community offers, health partnerships, and voluntary sector provisions.</w:t>
      </w:r>
    </w:p>
    <w:p w14:paraId="473274A9" w14:textId="13053EA1" w:rsidR="000B64DF" w:rsidRDefault="00000000">
      <w:pPr>
        <w:pStyle w:val="Heading1"/>
      </w:pPr>
      <w:r>
        <w:t>Evaluation of Local Authority Websites</w:t>
      </w:r>
    </w:p>
    <w:p w14:paraId="75B2647D" w14:textId="7ACD400A" w:rsidR="000B64DF" w:rsidRDefault="00000000">
      <w:pPr>
        <w:pStyle w:val="Heading2"/>
      </w:pPr>
      <w:r>
        <w:t>Southwark Council Website Evaluation</w:t>
      </w:r>
    </w:p>
    <w:p w14:paraId="57C5FB3B" w14:textId="77777777" w:rsidR="000B64DF" w:rsidRDefault="00000000">
      <w:pPr>
        <w:spacing w:after="240"/>
        <w:jc w:val="both"/>
      </w:pPr>
      <w:r>
        <w:t>Southwark Council’s online platform provides a dedicated portal for children and family services, featuring specific pathways for Early Help. Upon navigating to the family support section, users are greeted with a clean, visually structured interface that utilizes clear headings and plain English. The terminology used is accessible to non-specialist audiences, avoiding overly bureaucratic jargon while defining Early Help as support provided to families when 'extra help' is needed.</w:t>
      </w:r>
    </w:p>
    <w:p w14:paraId="6143EEF5" w14:textId="59C32BFB" w:rsidR="000B64DF" w:rsidRDefault="00000000">
      <w:pPr>
        <w:spacing w:after="240"/>
        <w:jc w:val="both"/>
      </w:pPr>
      <w:r>
        <w:t>The website clearly outlines the criteria for accessing Early Help, detailing that families can self-refer or be referred by professionals such as teachers, GPs, or health visitors. Southwark effectively highlights its network of children and family centers across the borough, providing interactive mapping tools and downloadable directories of local activities and parenting courses. Furthermore,</w:t>
      </w:r>
    </w:p>
    <w:p w14:paraId="063315C2" w14:textId="630AD999" w:rsidR="000B64DF" w:rsidRDefault="00000000">
      <w:pPr>
        <w:pStyle w:val="Heading2"/>
      </w:pPr>
      <w:r>
        <w:t xml:space="preserve"> Nottinghamshire County Council Website Evaluation</w:t>
      </w:r>
    </w:p>
    <w:p w14:paraId="70D66467" w14:textId="77777777" w:rsidR="000B64DF" w:rsidRDefault="00000000">
      <w:pPr>
        <w:spacing w:after="240"/>
        <w:jc w:val="both"/>
      </w:pPr>
      <w:r>
        <w:t>Nottinghamshire County Council adopts a highly structured, citizen-centric approach to signposting family support through its 'Nottinghamshire Help Yourself' portal and integrated children's services pages. The digital architecture is designed with clear categorical signposts, including dedicated sections for parents, carers, early childhood services, and family hubs. The website provides a robust, transparent definition of Early Help, explicitly referencing the local authority's commitment to early intervention in alignment with statutory safeguarding guidelines.</w:t>
      </w:r>
    </w:p>
    <w:p w14:paraId="6BD6B4B5" w14:textId="77777777" w:rsidR="000B64DF" w:rsidRDefault="00000000">
      <w:pPr>
        <w:spacing w:after="240"/>
        <w:jc w:val="both"/>
      </w:pPr>
      <w:r>
        <w:t xml:space="preserve">Strengths of the Nottinghamshire platform include its comprehensive directory of local community groups, voluntary sector organizations, and health-led initiatives, demonstrating a strong commitment to multi-agency visibility. The website features clear, step-by-step guidance on how families can request support, alongside explicit instructions for practitioners utilizing the multi-agency safeguarding pathway. A significant usability strength is the inclusion of accessible </w:t>
      </w:r>
      <w:r>
        <w:lastRenderedPageBreak/>
        <w:t>digital forms and clear contact numbers for local family hubs. Nevertheless, some weaknesses persist: certain PDF documents detailing procedural thresholds are dense and text-heavy, which may present barriers for families with lower digital literacy or English as an additional language (EAL). Additionally, the search function occasionally yields redundant historical committee reports rather than direct, user-facing support pathways.</w:t>
      </w:r>
    </w:p>
    <w:p w14:paraId="26DF762C" w14:textId="3B8C3328" w:rsidR="000B64DF" w:rsidRDefault="00000000">
      <w:pPr>
        <w:pStyle w:val="Heading2"/>
      </w:pPr>
      <w:r>
        <w:t xml:space="preserve"> Leeds City Council Website Evaluation</w:t>
      </w:r>
    </w:p>
    <w:p w14:paraId="65C5378B" w14:textId="77777777" w:rsidR="000B64DF" w:rsidRDefault="00000000">
      <w:pPr>
        <w:spacing w:after="240"/>
        <w:jc w:val="both"/>
      </w:pPr>
      <w:r>
        <w:t>Leeds City Council is widely recognized nationally for its pioneering 'Child Friendly City' ethos and its systemic implementation of the 'Leeds Early Help Approach' and restorative practice models (Mason and Ferguson, 2015; Ward et al., 2014). The local authority website reflects this sophisticated ethos through an intuitive, highly polished digital interface dedicated to family support and safeguarding.</w:t>
      </w:r>
    </w:p>
    <w:p w14:paraId="59F0CD39" w14:textId="77777777" w:rsidR="000B64DF" w:rsidRDefault="00000000">
      <w:pPr>
        <w:spacing w:after="240"/>
        <w:jc w:val="both"/>
      </w:pPr>
      <w:r>
        <w:t>The Leeds website excels in communicating the philosophy of Early Help, framing it explicitly around restorative conversations, family group conferences, and community empowerment rather than purely administrative intervention. The site provides exceptionally clear guidance for both families and professionals, detailing the 'Leeds Continuum of Need' with transparent visual indicators that help users identify the appropriate level of support. Multi-agency partnerships are prominently featured, with integrated links to health services, schools, and third-sector organizations. Furthermore, Leeds utilizes multimedia resources, including short explanatory videos and downloadable guides designed for non-specialist audiences. The primary weakness identified on the Leeds platform is the sheer volume of information available; due to the breadth of the city's integrated offer, first-time users can occasionally experience cognitive overload when attempting to isolate specific local hub contacts.</w:t>
      </w:r>
    </w:p>
    <w:p w14:paraId="05FDFBF9" w14:textId="0B893DA9" w:rsidR="000B64DF" w:rsidRDefault="00000000">
      <w:pPr>
        <w:pStyle w:val="Heading1"/>
      </w:pPr>
      <w:r>
        <w:t>Comparative Analysis of Main Strengths and Weaknesses</w:t>
      </w:r>
    </w:p>
    <w:p w14:paraId="7BB82106" w14:textId="77777777" w:rsidR="000B64DF" w:rsidRDefault="00000000">
      <w:pPr>
        <w:spacing w:after="240"/>
        <w:jc w:val="both"/>
      </w:pPr>
      <w:r>
        <w:t>Comparing and contrasting the digital communication strategies of Southwark, Nottinghamshire, and Leeds reveals distinct operational philosophies and varying degrees of accessibility in signposting Early Help.</w:t>
      </w:r>
    </w:p>
    <w:tbl>
      <w:tblPr>
        <w:tblStyle w:val="TableGrid"/>
        <w:tblW w:w="0" w:type="auto"/>
        <w:tblLook w:val="04A0" w:firstRow="1" w:lastRow="0" w:firstColumn="1" w:lastColumn="0" w:noHBand="0" w:noVBand="1"/>
      </w:tblPr>
      <w:tblGrid>
        <w:gridCol w:w="2340"/>
        <w:gridCol w:w="2340"/>
        <w:gridCol w:w="2340"/>
        <w:gridCol w:w="2340"/>
      </w:tblGrid>
      <w:tr w:rsidR="000B64DF" w14:paraId="659079D4" w14:textId="77777777">
        <w:tc>
          <w:tcPr>
            <w:tcW w:w="2340" w:type="dxa"/>
          </w:tcPr>
          <w:p w14:paraId="61D7CB67" w14:textId="77777777" w:rsidR="000B64DF" w:rsidRDefault="00000000">
            <w:r>
              <w:rPr>
                <w:b/>
              </w:rPr>
              <w:t>Local Authority</w:t>
            </w:r>
          </w:p>
        </w:tc>
        <w:tc>
          <w:tcPr>
            <w:tcW w:w="2340" w:type="dxa"/>
          </w:tcPr>
          <w:p w14:paraId="2EA321BC" w14:textId="77777777" w:rsidR="000B64DF" w:rsidRDefault="00000000">
            <w:r>
              <w:rPr>
                <w:b/>
              </w:rPr>
              <w:t>Key Digital Strengths</w:t>
            </w:r>
          </w:p>
        </w:tc>
        <w:tc>
          <w:tcPr>
            <w:tcW w:w="2340" w:type="dxa"/>
          </w:tcPr>
          <w:p w14:paraId="4351F1AD" w14:textId="77777777" w:rsidR="000B64DF" w:rsidRDefault="00000000">
            <w:r>
              <w:rPr>
                <w:b/>
              </w:rPr>
              <w:t>Key Digital Weaknesses</w:t>
            </w:r>
          </w:p>
        </w:tc>
        <w:tc>
          <w:tcPr>
            <w:tcW w:w="2340" w:type="dxa"/>
          </w:tcPr>
          <w:p w14:paraId="39B16585" w14:textId="77777777" w:rsidR="000B64DF" w:rsidRDefault="00000000">
            <w:r>
              <w:rPr>
                <w:b/>
              </w:rPr>
              <w:t>Accessibility &amp; User Experience</w:t>
            </w:r>
          </w:p>
        </w:tc>
      </w:tr>
      <w:tr w:rsidR="000B64DF" w14:paraId="666AACF9" w14:textId="77777777">
        <w:tc>
          <w:tcPr>
            <w:tcW w:w="2340" w:type="dxa"/>
          </w:tcPr>
          <w:p w14:paraId="729EA409" w14:textId="77777777" w:rsidR="000B64DF" w:rsidRDefault="00000000">
            <w:r>
              <w:t>Southwark Council</w:t>
            </w:r>
          </w:p>
        </w:tc>
        <w:tc>
          <w:tcPr>
            <w:tcW w:w="2340" w:type="dxa"/>
          </w:tcPr>
          <w:p w14:paraId="4B07EE4C" w14:textId="77777777" w:rsidR="000B64DF" w:rsidRDefault="00000000">
            <w:r>
              <w:t>Clean interface; clear self-referral pathways; interactive family center mapping.</w:t>
            </w:r>
          </w:p>
        </w:tc>
        <w:tc>
          <w:tcPr>
            <w:tcW w:w="2340" w:type="dxa"/>
          </w:tcPr>
          <w:p w14:paraId="0A4DAB5C" w14:textId="77777777" w:rsidR="000B64DF" w:rsidRDefault="00000000">
            <w:r>
              <w:t>Siloed departmental tabs; fragmented housing and specialized mental health links.</w:t>
            </w:r>
          </w:p>
        </w:tc>
        <w:tc>
          <w:tcPr>
            <w:tcW w:w="2340" w:type="dxa"/>
          </w:tcPr>
          <w:p w14:paraId="60B3A26A" w14:textId="77777777" w:rsidR="000B64DF" w:rsidRDefault="00000000">
            <w:r>
              <w:t>High clarity for basic queries; moderate navigation complexity for multi-agency depth.</w:t>
            </w:r>
          </w:p>
        </w:tc>
      </w:tr>
      <w:tr w:rsidR="000B64DF" w14:paraId="26992EE3" w14:textId="77777777">
        <w:tc>
          <w:tcPr>
            <w:tcW w:w="2340" w:type="dxa"/>
          </w:tcPr>
          <w:p w14:paraId="257ABEF3" w14:textId="77777777" w:rsidR="000B64DF" w:rsidRDefault="00000000">
            <w:r>
              <w:t>Nottinghamshire County Council</w:t>
            </w:r>
          </w:p>
        </w:tc>
        <w:tc>
          <w:tcPr>
            <w:tcW w:w="2340" w:type="dxa"/>
          </w:tcPr>
          <w:p w14:paraId="70FC38BB" w14:textId="77777777" w:rsidR="000B64DF" w:rsidRDefault="00000000">
            <w:r>
              <w:t xml:space="preserve">Comprehensive community directory; robust integration of </w:t>
            </w:r>
            <w:r>
              <w:lastRenderedPageBreak/>
              <w:t>voluntary and health sectors.</w:t>
            </w:r>
          </w:p>
        </w:tc>
        <w:tc>
          <w:tcPr>
            <w:tcW w:w="2340" w:type="dxa"/>
          </w:tcPr>
          <w:p w14:paraId="17195094" w14:textId="77777777" w:rsidR="000B64DF" w:rsidRDefault="00000000">
            <w:r>
              <w:lastRenderedPageBreak/>
              <w:t xml:space="preserve">Dense, text-heavy PDF procedural guides; occasional </w:t>
            </w:r>
            <w:r>
              <w:lastRenderedPageBreak/>
              <w:t>redundant search engine results.</w:t>
            </w:r>
          </w:p>
        </w:tc>
        <w:tc>
          <w:tcPr>
            <w:tcW w:w="2340" w:type="dxa"/>
          </w:tcPr>
          <w:p w14:paraId="4134EDF2" w14:textId="77777777" w:rsidR="000B64DF" w:rsidRDefault="00000000">
            <w:r>
              <w:lastRenderedPageBreak/>
              <w:t xml:space="preserve">Structured and informative; potential barriers for users with </w:t>
            </w:r>
            <w:r>
              <w:lastRenderedPageBreak/>
              <w:t>lower digital literacy.</w:t>
            </w:r>
          </w:p>
        </w:tc>
      </w:tr>
      <w:tr w:rsidR="000B64DF" w14:paraId="23A5F082" w14:textId="77777777">
        <w:tc>
          <w:tcPr>
            <w:tcW w:w="2340" w:type="dxa"/>
          </w:tcPr>
          <w:p w14:paraId="5DA8895D" w14:textId="77777777" w:rsidR="000B64DF" w:rsidRDefault="00000000">
            <w:r>
              <w:lastRenderedPageBreak/>
              <w:t>Leeds City Council</w:t>
            </w:r>
          </w:p>
        </w:tc>
        <w:tc>
          <w:tcPr>
            <w:tcW w:w="2340" w:type="dxa"/>
          </w:tcPr>
          <w:p w14:paraId="25AA98E4" w14:textId="77777777" w:rsidR="000B64DF" w:rsidRDefault="00000000">
            <w:r>
              <w:t>Exceptional articulation of restorative philosophy; transparent Continuum of Need; multimedia guides.</w:t>
            </w:r>
          </w:p>
        </w:tc>
        <w:tc>
          <w:tcPr>
            <w:tcW w:w="2340" w:type="dxa"/>
          </w:tcPr>
          <w:p w14:paraId="1CB83015" w14:textId="77777777" w:rsidR="000B64DF" w:rsidRDefault="00000000">
            <w:r>
              <w:t>High volume of information risks cognitive overload for distressed users.</w:t>
            </w:r>
          </w:p>
        </w:tc>
        <w:tc>
          <w:tcPr>
            <w:tcW w:w="2340" w:type="dxa"/>
          </w:tcPr>
          <w:p w14:paraId="61195385" w14:textId="77777777" w:rsidR="000B64DF" w:rsidRDefault="00000000">
            <w:r>
              <w:t>Extremely high accessibility and holistic design; outstanding professional and public alignment.</w:t>
            </w:r>
          </w:p>
        </w:tc>
      </w:tr>
    </w:tbl>
    <w:p w14:paraId="300860E0" w14:textId="77777777" w:rsidR="000B64DF" w:rsidRDefault="000B64DF">
      <w:pPr>
        <w:spacing w:before="240"/>
      </w:pPr>
    </w:p>
    <w:p w14:paraId="6497CB07" w14:textId="01DE7334" w:rsidR="000B64DF" w:rsidRDefault="00000000">
      <w:pPr>
        <w:spacing w:after="240"/>
        <w:jc w:val="both"/>
      </w:pPr>
      <w:r>
        <w:t>A primary shared strength across all three local authorities is the explicit recognition that Early Help is a multi-agency responsibility. Each website successfully moves beyond a narrow council-centric view by incorporating links to health services, schools, and voluntary organizations, thereby reflecting the mandates set out in Working Together to Safeguard Children 2026 (Department for Education, 2026). Furthermore, all three councils provide clear digital pathways for professional referrals alongside self-referral options for families, empowering parents to seek help proactively.</w:t>
      </w:r>
    </w:p>
    <w:p w14:paraId="2E54CAFF" w14:textId="388B3DDA" w:rsidR="000B64DF" w:rsidRDefault="00000000">
      <w:pPr>
        <w:pStyle w:val="Heading1"/>
      </w:pPr>
      <w:r>
        <w:t>Conclusion and Recommendations</w:t>
      </w:r>
    </w:p>
    <w:p w14:paraId="05FC715B" w14:textId="77777777" w:rsidR="000B64DF" w:rsidRDefault="00000000">
      <w:pPr>
        <w:spacing w:after="240"/>
        <w:jc w:val="both"/>
      </w:pPr>
      <w:r>
        <w:t>In conclusion, this report has examined and analyzed how the Early Help system is signposted across the websites of Southwark Council, Nottinghamshire County Council, and Leeds City Council, utilizing statutory guidance (HM Government, 2018; Department for Education, 2026) and academic literature to evaluate their effectiveness. While all three local authorities demonstrate a commendable commitment to transparent, multi-agency safeguarding communication, Leeds City Council emerges as having the most effective and accessible information architecture. Leeds successfully translates complex safeguarding legislation into a compassionate, user-friendly digital narrative rooted in restorative practice and clear visual continuums of need.</w:t>
      </w:r>
    </w:p>
    <w:p w14:paraId="409565EF" w14:textId="77777777" w:rsidR="000B64DF" w:rsidRDefault="00000000">
      <w:pPr>
        <w:spacing w:after="240"/>
        <w:jc w:val="both"/>
      </w:pPr>
      <w:r>
        <w:t>To further enhance digital signposting across all evaluated local authorities and improve outcomes for children and families, the following evidence-based recommendations are proposed:</w:t>
      </w:r>
    </w:p>
    <w:p w14:paraId="3E744C4E" w14:textId="77777777" w:rsidR="000B64DF" w:rsidRDefault="00000000">
      <w:pPr>
        <w:pStyle w:val="ListNumber"/>
        <w:jc w:val="both"/>
      </w:pPr>
      <w:r>
        <w:t>Simplification of Digital Architecture: Local authorities should streamline navigation menus to minimize cognitive overload, ensuring that distressed families can access emergency and early help contacts within a maximum of three clicks.</w:t>
      </w:r>
    </w:p>
    <w:p w14:paraId="0EA014F2" w14:textId="77777777" w:rsidR="000B64DF" w:rsidRDefault="00000000">
      <w:pPr>
        <w:pStyle w:val="ListNumber"/>
        <w:jc w:val="both"/>
      </w:pPr>
      <w:r>
        <w:t>Enhancement of Multilingual and Accessible Formats: Critical safeguarding information and self-referral forms should be made available in multiple community languages and accessible audio-visual formats to support families with EAL or lower digital literacy.</w:t>
      </w:r>
    </w:p>
    <w:p w14:paraId="2E503BC4" w14:textId="77777777" w:rsidR="000B64DF" w:rsidRDefault="00000000">
      <w:pPr>
        <w:pStyle w:val="ListNumber"/>
        <w:jc w:val="both"/>
      </w:pPr>
      <w:r>
        <w:lastRenderedPageBreak/>
        <w:t>Strengthening Voluntary Sector Integration: Digital directories should feature real-time update mechanisms to ensure that community-led and voluntary sector Early Help provisions are accurately represented alongside statutory services.</w:t>
      </w:r>
    </w:p>
    <w:p w14:paraId="57119C5A" w14:textId="2FB31DDB" w:rsidR="000B64DF" w:rsidRDefault="000B64DF" w:rsidP="00D25ED4">
      <w:pPr>
        <w:pStyle w:val="ListNumber"/>
        <w:numPr>
          <w:ilvl w:val="0"/>
          <w:numId w:val="0"/>
        </w:numPr>
        <w:jc w:val="both"/>
      </w:pPr>
    </w:p>
    <w:p w14:paraId="59A813D7" w14:textId="08F2B127" w:rsidR="000B64DF" w:rsidRDefault="00000000">
      <w:pPr>
        <w:pStyle w:val="Heading1"/>
      </w:pPr>
      <w:r>
        <w:t>References</w:t>
      </w:r>
    </w:p>
    <w:p w14:paraId="200E1592" w14:textId="77777777" w:rsidR="000B64DF" w:rsidRDefault="00000000">
      <w:pPr>
        <w:spacing w:after="120"/>
        <w:ind w:left="720" w:hanging="720"/>
      </w:pPr>
      <w:r>
        <w:t>Anning, A., Cottrell, D., Frost, N., Green, J. and Robinson, M. (2010) Developing multi-professional teamwork for integrated children's services. London: Routledge.</w:t>
      </w:r>
    </w:p>
    <w:p w14:paraId="575E3C2F" w14:textId="77777777" w:rsidR="000B64DF" w:rsidRDefault="00000000">
      <w:pPr>
        <w:spacing w:after="120"/>
        <w:ind w:left="720" w:hanging="720"/>
      </w:pPr>
      <w:r>
        <w:t>Brandon, M., Sidebotham, P., Belderson, P., Cleaver, H., Dickens, J. and Garstang, J. (2020) Pathways to harm, pathways to protection: a study of serious case reviews 2011–2014. London: Department for Education.</w:t>
      </w:r>
    </w:p>
    <w:p w14:paraId="5537AF1D" w14:textId="77777777" w:rsidR="000B64DF" w:rsidRDefault="00000000">
      <w:pPr>
        <w:spacing w:after="120"/>
        <w:ind w:left="720" w:hanging="720"/>
      </w:pPr>
      <w:r>
        <w:t>Bywaters, P., Bunting, L., Davidson, G., Hanratty, J., Mason, W., McCartan, C. and Morris, K. (2018) 'The relationship between poverty, child abuse and neglect: an evidence review', NSPCC Research Briefing, pp. 1–45.</w:t>
      </w:r>
    </w:p>
    <w:p w14:paraId="5445D5C8" w14:textId="77777777" w:rsidR="000B64DF" w:rsidRDefault="00000000">
      <w:pPr>
        <w:spacing w:after="120"/>
        <w:ind w:left="720" w:hanging="720"/>
      </w:pPr>
      <w:r>
        <w:t>Cleaver, H., Unell, I. and Aldgate, J. (2011) Children's needs - parenting capacity: Child abuse: parental mental illness, learning disability, substance misuse and domestic violence. 2nd edn. London: The Stationery Office.</w:t>
      </w:r>
    </w:p>
    <w:p w14:paraId="1627493A" w14:textId="77777777" w:rsidR="000B64DF" w:rsidRDefault="00000000">
      <w:pPr>
        <w:spacing w:after="120"/>
        <w:ind w:left="720" w:hanging="720"/>
      </w:pPr>
      <w:r>
        <w:t>Department for Education (2026) Working Together to Safeguard Children 2026: A guide to multi-agency working to help, protect and promote the welfare of children. London: Crown Copyright.</w:t>
      </w:r>
    </w:p>
    <w:p w14:paraId="7C30FB4D" w14:textId="77777777" w:rsidR="000B64DF" w:rsidRDefault="00000000">
      <w:pPr>
        <w:spacing w:after="120"/>
        <w:ind w:left="720" w:hanging="720"/>
      </w:pPr>
      <w:r>
        <w:t>Engeström, Y. (2001) 'Expansive learning at work: toward an activity theoretical reconceptualization', Journal of Education and Work, 14(1), pp. 133–156.</w:t>
      </w:r>
    </w:p>
    <w:p w14:paraId="7E25B2E1" w14:textId="77777777" w:rsidR="000B64DF" w:rsidRDefault="00000000">
      <w:pPr>
        <w:spacing w:after="120"/>
        <w:ind w:left="720" w:hanging="720"/>
      </w:pPr>
      <w:r>
        <w:t>Ferguson, H., Disney, T. and Horwath, J. (2018) 'Safeguarding children in changing times: The growing significance of early help and social work with families', Child Abuse Review, 27(6), pp. 433–445.</w:t>
      </w:r>
    </w:p>
    <w:p w14:paraId="074C4FF6" w14:textId="77777777" w:rsidR="000B64DF" w:rsidRDefault="00000000">
      <w:pPr>
        <w:spacing w:after="120"/>
        <w:ind w:left="720" w:hanging="720"/>
      </w:pPr>
      <w:r>
        <w:t>Forrester, D., Westlake, D., McCann, M., Thoburn, J., Shefer, G., Glynn, G., Lu, Z. and Eyres, S. (2018) 'Evaluating Southwark’s child protection model: a randomized controlled trial', Children and Youth Services Review, 85, pp. 154–162.</w:t>
      </w:r>
    </w:p>
    <w:p w14:paraId="15A44B57" w14:textId="77777777" w:rsidR="000B64DF" w:rsidRDefault="00000000">
      <w:pPr>
        <w:spacing w:after="120"/>
        <w:ind w:left="720" w:hanging="720"/>
      </w:pPr>
      <w:r>
        <w:t>HM Government (2018) The Early Help System Guide. London: Department for Education.</w:t>
      </w:r>
    </w:p>
    <w:p w14:paraId="5AEAFA35" w14:textId="77777777" w:rsidR="000B64DF" w:rsidRDefault="00000000">
      <w:pPr>
        <w:spacing w:after="120"/>
        <w:ind w:left="720" w:hanging="720"/>
      </w:pPr>
      <w:r>
        <w:t>Horwath, J. and Morrison, T. (2021) 'Collaboration, integration and inter-professional working in children's services', in Davies, M. (ed.) Social Work with Children and Families. London: Routledge, pp. 112–128.</w:t>
      </w:r>
    </w:p>
    <w:p w14:paraId="038DA68A" w14:textId="77777777" w:rsidR="000B64DF" w:rsidRDefault="00000000">
      <w:pPr>
        <w:spacing w:after="120"/>
        <w:ind w:left="720" w:hanging="720"/>
      </w:pPr>
      <w:r>
        <w:t>Leeds City Council (2026) Early help and family support. Available at: https://www.leeds.gov.uk (Accessed: 2 August 2026).</w:t>
      </w:r>
    </w:p>
    <w:p w14:paraId="6C3AA318" w14:textId="77777777" w:rsidR="000B64DF" w:rsidRDefault="00000000">
      <w:pPr>
        <w:spacing w:after="120"/>
        <w:ind w:left="720" w:hanging="720"/>
      </w:pPr>
      <w:r>
        <w:lastRenderedPageBreak/>
        <w:t>Laming, Lord. (2003) The Victoria Climbié Inquiry: Report. Cm. 5730. London: The Stationery Office.</w:t>
      </w:r>
    </w:p>
    <w:p w14:paraId="208FBAF2" w14:textId="77777777" w:rsidR="000B64DF" w:rsidRDefault="00000000">
      <w:pPr>
        <w:spacing w:after="120"/>
        <w:ind w:left="720" w:hanging="720"/>
      </w:pPr>
      <w:r>
        <w:t>Mason, P. and Ferguson, H. (2015) 'Restorative practice and safeguarding in Leeds: An evaluation', Journal of Social Work Practice, 29(3), pp. 311–327.</w:t>
      </w:r>
    </w:p>
    <w:p w14:paraId="450386B1" w14:textId="77777777" w:rsidR="000B64DF" w:rsidRDefault="00000000">
      <w:pPr>
        <w:spacing w:after="120"/>
        <w:ind w:left="720" w:hanging="720"/>
      </w:pPr>
      <w:r>
        <w:t>Morris, K., Mason, W., Bywaters, P., Featherstone, B., Daniel, B., Brady, G., Bunting, L. and Hooper, J. (2018) 'Social work, poverty and child welfare interventions', Child &amp; Family Social Work, 23(3), pp. 364–372.</w:t>
      </w:r>
    </w:p>
    <w:p w14:paraId="335317A8" w14:textId="77777777" w:rsidR="000B64DF" w:rsidRDefault="00000000">
      <w:pPr>
        <w:spacing w:after="120"/>
        <w:ind w:left="720" w:hanging="720"/>
      </w:pPr>
      <w:r>
        <w:t>Nottinghamshire County Council (2026) Early help and support for families. Available at: https://www.nottinghamshire.gov.uk (Accessed: 2 August 2026).</w:t>
      </w:r>
    </w:p>
    <w:p w14:paraId="15BF5C54" w14:textId="77777777" w:rsidR="000B64DF" w:rsidRDefault="00000000">
      <w:pPr>
        <w:spacing w:after="120"/>
        <w:ind w:left="720" w:hanging="720"/>
      </w:pPr>
      <w:r>
        <w:t>Parton, N. (2011) The safeguarding of childhood: modernisation and social change. London: SAGE Publications.</w:t>
      </w:r>
    </w:p>
    <w:p w14:paraId="6945C340" w14:textId="77777777" w:rsidR="000B64DF" w:rsidRDefault="00000000">
      <w:pPr>
        <w:spacing w:after="120"/>
        <w:ind w:left="720" w:hanging="720"/>
      </w:pPr>
      <w:r>
        <w:t>Southwark Council (2026) Early help support for children and families. Available at: https://southwark.gov.uk (Accessed: 2 August 2026).</w:t>
      </w:r>
    </w:p>
    <w:p w14:paraId="721E2DF3" w14:textId="3BF4E635" w:rsidR="000B64DF" w:rsidRDefault="000B64DF" w:rsidP="00D25ED4">
      <w:pPr>
        <w:spacing w:after="120"/>
      </w:pPr>
    </w:p>
    <w:sectPr w:rsidR="000B64DF"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55143143">
    <w:abstractNumId w:val="8"/>
  </w:num>
  <w:num w:numId="2" w16cid:durableId="1417088881">
    <w:abstractNumId w:val="6"/>
  </w:num>
  <w:num w:numId="3" w16cid:durableId="607932558">
    <w:abstractNumId w:val="5"/>
  </w:num>
  <w:num w:numId="4" w16cid:durableId="284310431">
    <w:abstractNumId w:val="4"/>
  </w:num>
  <w:num w:numId="5" w16cid:durableId="1667128770">
    <w:abstractNumId w:val="7"/>
  </w:num>
  <w:num w:numId="6" w16cid:durableId="1201478914">
    <w:abstractNumId w:val="3"/>
  </w:num>
  <w:num w:numId="7" w16cid:durableId="1154178440">
    <w:abstractNumId w:val="2"/>
  </w:num>
  <w:num w:numId="8" w16cid:durableId="600652439">
    <w:abstractNumId w:val="1"/>
  </w:num>
  <w:num w:numId="9" w16cid:durableId="648217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B64DF"/>
    <w:rsid w:val="0015074B"/>
    <w:rsid w:val="002872A3"/>
    <w:rsid w:val="0029639D"/>
    <w:rsid w:val="00326F90"/>
    <w:rsid w:val="0060003A"/>
    <w:rsid w:val="008B10F2"/>
    <w:rsid w:val="00937ECB"/>
    <w:rsid w:val="00986709"/>
    <w:rsid w:val="009C286A"/>
    <w:rsid w:val="00AA1D8D"/>
    <w:rsid w:val="00B47730"/>
    <w:rsid w:val="00C17392"/>
    <w:rsid w:val="00CB0664"/>
    <w:rsid w:val="00CF697F"/>
    <w:rsid w:val="00D25ED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157348"/>
  <w14:defaultImageDpi w14:val="300"/>
  <w15:docId w15:val="{8391CE59-FF37-418A-98E7-83D6CFE09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24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360" w:after="12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Pages>
  <Words>2577</Words>
  <Characters>14690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Hanan Mohamed'Nur (2430827)</cp:lastModifiedBy>
  <cp:revision>6</cp:revision>
  <dcterms:created xsi:type="dcterms:W3CDTF">2013-12-23T23:15:00Z</dcterms:created>
  <dcterms:modified xsi:type="dcterms:W3CDTF">2026-08-08T09:44:00Z</dcterms:modified>
  <cp:category/>
</cp:coreProperties>
</file>