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pPr>
        <w:spacing w:after="0" w:line="360" w:lineRule="auto"/>
        <w:rPr>
          <w:sz w:val="24"/>
        </w:rPr>
      </w:pPr>
      <w:r>
        <w:rPr>
          <w:sz w:val="24"/>
        </w:rPr>
      </w:r>
    </w:p>
    <w:p>
      <w:pPr>
        <w:spacing w:after="0" w:line="360" w:lineRule="auto"/>
        <w:rPr>
          <w:sz w:val="24"/>
        </w:rPr>
      </w:pPr>
      <w:r>
        <w:rPr>
          <w:sz w:val="24"/>
        </w:rPr>
      </w:r>
    </w:p>
    <w:p>
      <w:pPr>
        <w:spacing w:after="0" w:line="360" w:lineRule="auto"/>
        <w:rPr>
          <w:sz w:val="24"/>
        </w:rPr>
      </w:pPr>
      <w:r>
        <w:rPr>
          <w:sz w:val="24"/>
        </w:rPr>
      </w:r>
    </w:p>
    <w:p>
      <w:pPr>
        <w:spacing w:after="0" w:line="360" w:lineRule="auto"/>
        <w:rPr>
          <w:sz w:val="24"/>
        </w:rPr>
      </w:pPr>
      <w:r>
        <w:rPr>
          <w:sz w:val="24"/>
        </w:rPr>
      </w:r>
    </w:p>
    <w:p>
      <w:pPr>
        <w:spacing w:after="0" w:line="360" w:lineRule="auto"/>
        <w:rPr>
          <w:sz w:val="24"/>
        </w:rPr>
      </w:pPr>
      <w:r>
        <w:rPr>
          <w:sz w:val="24"/>
        </w:rPr>
        <w:t xml:space="preserve">                                                                                                                                       Gezim Rrapi</w:t>
      </w:r>
    </w:p>
    <w:p>
      <w:pPr>
        <w:spacing w:after="0" w:line="360" w:lineRule="auto"/>
        <w:rPr>
          <w:sz w:val="24"/>
        </w:rPr>
      </w:pPr>
      <w:r>
        <w:rPr>
          <w:sz w:val="24"/>
        </w:rPr>
        <w:t xml:space="preserve">                                                                                                               Student number 1712729</w:t>
      </w:r>
    </w:p>
    <w:p>
      <w:pPr>
        <w:spacing w:after="0" w:line="360" w:lineRule="auto"/>
        <w:rPr>
          <w:sz w:val="24"/>
        </w:rPr>
      </w:pPr>
      <w:r>
        <w:rPr>
          <w:sz w:val="24"/>
        </w:rPr>
      </w:r>
    </w:p>
    <w:p>
      <w:pPr>
        <w:spacing w:after="0" w:line="360" w:lineRule="auto"/>
        <w:rPr>
          <w:sz w:val="24"/>
        </w:rPr>
      </w:pPr>
      <w:r>
        <w:rPr>
          <w:sz w:val="24"/>
        </w:rPr>
        <w:t xml:space="preserve">                                                        </w:t>
      </w:r>
      <w:r>
        <w:rPr>
          <w:sz w:val="36"/>
        </w:rPr>
        <w:t xml:space="preserve"> Criminal law</w:t>
      </w:r>
    </w:p>
    <w:p>
      <w:pPr>
        <w:spacing w:after="0" w:line="360" w:lineRule="auto"/>
        <w:rPr>
          <w:sz w:val="24"/>
        </w:rPr>
      </w:pPr>
      <w:r>
        <w:rPr>
          <w:sz w:val="28"/>
        </w:rPr>
      </w:r>
    </w:p>
    <w:p>
      <w:pPr>
        <w:spacing w:after="0" w:line="360" w:lineRule="auto"/>
        <w:rPr>
          <w:sz w:val="24"/>
        </w:rPr>
      </w:pPr>
      <w:r>
        <w:rPr>
          <w:sz w:val="28"/>
        </w:rPr>
      </w:r>
    </w:p>
    <w:p>
      <w:pPr>
        <w:spacing w:after="0" w:line="360" w:lineRule="auto"/>
        <w:rPr>
          <w:sz w:val="24"/>
        </w:rPr>
      </w:pPr>
      <w:r>
        <w:rPr>
          <w:sz w:val="28"/>
        </w:rPr>
        <w:t xml:space="preserve"> Scenario question</w:t>
      </w:r>
    </w:p>
    <w:p>
      <w:pPr>
        <w:spacing w:after="0" w:line="360" w:lineRule="auto"/>
        <w:rPr>
          <w:sz w:val="24"/>
        </w:rPr>
      </w:pPr>
      <w:r>
        <w:rPr>
          <w:sz w:val="24"/>
        </w:rPr>
      </w:r>
    </w:p>
    <w:p>
      <w:pPr>
        <w:spacing w:after="0" w:line="360" w:lineRule="auto"/>
      </w:pPr>
      <w:r>
        <w:rPr>
          <w:b/>
        </w:rPr>
      </w:r>
    </w:p>
    <w:p w:rsidR="00240846" w:rsidRDefault="00240846" w14:paraId="5F56CCC3" w14:textId="77777777" w:rsidP="00240846" w:rsidRPr="00314DE6">
      <w:pPr>
        <w:spacing w:after="0" w:line="360" w:lineRule="auto"/>
        <w:rPr>
          <w:bCs/>
          <w:b/>
        </w:rPr>
      </w:pPr>
      <w:r w:rsidRPr="00314DE6">
        <w:rPr>
          <w:bCs/>
          <w:b/>
        </w:rPr>
        <w:t>Introduction</w:t>
      </w:r>
    </w:p>
    <w:p w:rsidR="00240846" w:rsidRDefault="00240846" w14:paraId="1FFA47C8" w14:textId="093A8EC2" w:rsidP="00240846">
      <w:pPr>
        <w:jc w:val="both"/>
        <w:spacing w:after="0" w:line="360" w:lineRule="auto"/>
      </w:pPr>
      <w:r>
        <w:t xml:space="preserve">Determination of liability and/or defence in criminal law is very diverse and subjective. This is because the facts of each case may </w:t>
      </w:r>
      <w:r>
        <w:t>be</w:t>
      </w:r>
      <w:r>
        <w:t xml:space="preserve"> different and there are many factors to consider when preparing a case. </w:t>
      </w:r>
      <w:r>
        <w:t>The first</w:t>
      </w:r>
      <w:r>
        <w:t xml:space="preserve"> is to determine if the offence is a summary offence or an indictable offence. Summary offences may be determined by a hearing alone and not a full trial, while indictable offences are very serious and will often proceed to trial with </w:t>
      </w:r>
      <w:r>
        <w:t xml:space="preserve">the </w:t>
      </w:r>
      <w:r>
        <w:t xml:space="preserve">potential of serious penalties.  Indictable offences can be offences against a person or against </w:t>
      </w:r>
      <w:r>
        <w:t xml:space="preserve">a </w:t>
      </w:r>
      <w:r>
        <w:t xml:space="preserve">property.  There are many other </w:t>
      </w:r>
      <w:r>
        <w:t>classifications,</w:t>
      </w:r>
      <w:r>
        <w:t xml:space="preserve"> but three main considerations always determine the case in Criminal Proceedings: The mens rea (the intention to commit the criminal act, the mental state of the accused);  the </w:t>
      </w:r>
      <w:r>
        <w:t>Actus</w:t>
      </w:r>
      <w:r>
        <w:t xml:space="preserve"> Reus (the criminal act itself); and the Temporal Coincidence (establishing that the intention was present when the crime was committed). These will be used to consider the scenarios presented below citing applicable case law and legislation. </w:t>
      </w:r>
    </w:p>
    <w:p w:rsidR="00240846" w:rsidRDefault="00240846" w14:paraId="51DE0024" w14:textId="2683506A" w:rsidP="00240846">
      <w:pPr>
        <w:jc w:val="both"/>
        <w:spacing w:after="0" w:line="360" w:lineRule="auto"/>
      </w:pPr>
    </w:p>
    <w:p w:rsidR="00240846" w:rsidRDefault="00240846" w14:paraId="16B0C53B" w14:textId="3DBFF7F9" w:rsidP="00240846" w:rsidRPr="00314DE6">
      <w:pPr>
        <w:jc w:val="both"/>
        <w:spacing w:after="0" w:line="360" w:lineRule="auto"/>
        <w:rPr>
          <w:bCs/>
          <w:b/>
        </w:rPr>
      </w:pPr>
      <w:r w:rsidRPr="00314DE6">
        <w:rPr>
          <w:bCs/>
          <w:b/>
        </w:rPr>
        <w:t>A)</w:t>
      </w:r>
    </w:p>
    <w:p w:rsidR="00240846" w:rsidRDefault="00240846" w14:paraId="6E84508D" w14:textId="323E847E" w:rsidP="00240846">
      <w:pPr>
        <w:jc w:val="both"/>
        <w:spacing w:after="0" w:line="360" w:lineRule="auto"/>
      </w:pPr>
      <w:r>
        <w:t xml:space="preserve">The Issues to be considered here include the following: Hadley intended to steal a pair of trainers and made his way into Ronan’s property, destroying an item in the process. When he could not find the </w:t>
      </w:r>
      <w:r w:rsidR="00AA4A20">
        <w:t>item,</w:t>
      </w:r>
      <w:r>
        <w:t xml:space="preserve"> he intended to steal, he did not leave but proceeded to steal another item and set the place on fire. These facts require consideration of </w:t>
      </w:r>
      <w:proofErr w:type="gramStart"/>
      <w:r>
        <w:t>a number of</w:t>
      </w:r>
      <w:proofErr w:type="gramEnd"/>
      <w:r>
        <w:t xml:space="preserve"> laws and judicial precedents to determine the possible extent </w:t>
      </w:r>
      <w:r w:rsidR="00AA4A20">
        <w:t>of</w:t>
      </w:r>
      <w:r>
        <w:t xml:space="preserve"> criminal liability. </w:t>
      </w:r>
    </w:p>
    <w:p w:rsidR="00240846" w:rsidRDefault="00240846" w14:paraId="65132F2D" w14:textId="4C9BC408" w:rsidP="00240846">
      <w:pPr>
        <w:jc w:val="both"/>
        <w:spacing w:after="0" w:line="360" w:lineRule="auto"/>
      </w:pPr>
      <w:r>
        <w:t>Section 9 of the Criminal Justice and Public Order Act, 1994 creates an offence of aggravated trespass. This means an unlawful entry into the property. Section 1 of the Criminal Damage Act 1971 lists the offence of Aggravated criminal damage. S</w:t>
      </w:r>
      <w:r w:rsidR="00AA4A20">
        <w:t xml:space="preserve">. </w:t>
      </w:r>
      <w:r>
        <w:t>1(3) clearly stated the damage by fire as Arson and will be prosecuted as such. Section 4(1)  of the Theft Act</w:t>
      </w:r>
      <w:r w:rsidRPr="007A628C">
        <w:t xml:space="preserve"> 1968</w:t>
      </w:r>
      <w:r>
        <w:t xml:space="preserve"> clearly states that anything can be stolen, the Act also provides for offences of Aggravated Burglary in S. 9. The elements considered here are the entry of a building as a trespasser. The intention of the accused upon entry is irrelevant here as the crime is committed by the entry. If force has been used to enter the </w:t>
      </w:r>
      <w:proofErr w:type="gramStart"/>
      <w:r>
        <w:t>property</w:t>
      </w:r>
      <w:proofErr w:type="gramEnd"/>
      <w:r>
        <w:t xml:space="preserve"> then there may be an added offence of robbery under this Act. It is important to note that the crime of theft must be present for robbery to occur. The Criminal Justice and Public Order Act 1994 covers the offence of </w:t>
      </w:r>
      <w:r w:rsidR="00AA4A20">
        <w:t>trespassing,</w:t>
      </w:r>
      <w:r>
        <w:t xml:space="preserve"> and this may create a liability for trespass and </w:t>
      </w:r>
      <w:r w:rsidR="00AA4A20">
        <w:t>mischief</w:t>
      </w:r>
      <w:r>
        <w:t>.</w:t>
      </w:r>
    </w:p>
    <w:p w:rsidR="00240846" w:rsidRDefault="00240846" w14:paraId="72794B9B" w14:textId="7EB0F7CE" w:rsidP="00240846">
      <w:pPr>
        <w:jc w:val="both"/>
        <w:spacing w:after="0" w:line="360" w:lineRule="auto"/>
      </w:pPr>
      <w:r>
        <w:t xml:space="preserve">Therefore, criminal liability for Hadley, in this case, may include Aggravated Criminal Damage, Arson, Burglary and Theft, Trespass and Mischief. Hadley committed the crime of mischief and trespass when he made his way into the property. He damaged the bench which constitutes an offence of aggravated criminal damage. He </w:t>
      </w:r>
      <w:r>
        <w:t>proceeded</w:t>
      </w:r>
      <w:r>
        <w:t xml:space="preserve"> to enter the house using a stick to gain access, the stick may be considered a weapon in a criminal case and the moment he stole the watch, he had completed the </w:t>
      </w:r>
      <w:r>
        <w:t xml:space="preserve">act of theft. The evidence of a weapon while in the house would </w:t>
        <w:lastRenderedPageBreak/>
      </w:r>
      <w:r>
        <w:t>create</w:t>
      </w:r>
      <w:r>
        <w:t xml:space="preserve"> an added charge of robbery. When he decided to set the fire, there was an intentional number of actions leading up to the fire and he understood the likely outcome of his actions. This is the crime of aggravated damage and specifically arson according to the </w:t>
      </w:r>
      <w:r>
        <w:t>Criminal</w:t>
      </w:r>
      <w:r>
        <w:t xml:space="preserve"> </w:t>
      </w:r>
      <w:r>
        <w:t>Damage</w:t>
      </w:r>
      <w:r>
        <w:t xml:space="preserve"> Act 1971. </w:t>
      </w:r>
    </w:p>
    <w:p w:rsidR="00240846" w:rsidRDefault="00240846" w14:paraId="32565E8A" w14:textId="754E5766" w:rsidP="00240846">
      <w:pPr>
        <w:jc w:val="both"/>
        <w:spacing w:after="0" w:line="360" w:lineRule="auto"/>
      </w:pPr>
      <w:r>
        <w:t xml:space="preserve">While only the Criminal Liabilities Hadley is likely to face </w:t>
      </w:r>
      <w:r w:rsidR="00AA4A20">
        <w:t>have</w:t>
      </w:r>
      <w:r>
        <w:t xml:space="preserve"> been considered, it is pertinent to note that the burden of proof in criminal cases lies with the prosecution. This does not mean the outcome is likely to go in favour of Hadley as from the legislation above, </w:t>
      </w:r>
      <w:r w:rsidR="00314DE6">
        <w:t>criminal</w:t>
      </w:r>
      <w:r>
        <w:t xml:space="preserve"> liabilities are evident</w:t>
      </w:r>
      <w:r w:rsidR="00314DE6">
        <w:t xml:space="preserve"> from the facts; </w:t>
      </w:r>
      <w:r>
        <w:t>only the extent of which will be determined by the Court of Law.</w:t>
      </w:r>
    </w:p>
    <w:p w:rsidR="00240846" w:rsidRDefault="00240846" w14:paraId="558BB56F" w14:textId="77777777" w:rsidP="00240846">
      <w:pPr>
        <w:jc w:val="both"/>
        <w:spacing w:after="0" w:line="360" w:lineRule="auto"/>
      </w:pPr>
    </w:p>
    <w:p w:rsidR="00240846" w:rsidRDefault="00240846" w14:paraId="474F2AB6" w14:textId="64B2E31F" w:rsidP="00240846" w:rsidRPr="00314DE6">
      <w:pPr>
        <w:jc w:val="both"/>
        <w:spacing w:after="0" w:line="360" w:lineRule="auto"/>
        <w:rPr>
          <w:bCs/>
          <w:b/>
        </w:rPr>
      </w:pPr>
      <w:r w:rsidRPr="00314DE6">
        <w:rPr>
          <w:bCs/>
          <w:b/>
        </w:rPr>
        <w:t>B</w:t>
      </w:r>
      <w:r w:rsidRPr="00314DE6">
        <w:rPr>
          <w:bCs/>
          <w:b/>
        </w:rPr>
        <w:t>)</w:t>
      </w:r>
    </w:p>
    <w:p w:rsidR="00240846" w:rsidRDefault="00240846" w14:paraId="432666FA" w14:textId="1FF0135B" w:rsidP="00240846">
      <w:pPr>
        <w:jc w:val="both"/>
        <w:spacing w:after="0" w:line="360" w:lineRule="auto"/>
      </w:pPr>
      <w:r>
        <w:t xml:space="preserve">The </w:t>
      </w:r>
      <w:r>
        <w:t>issue</w:t>
      </w:r>
      <w:r>
        <w:t xml:space="preserve"> to be considered is whether she was reasonably expected to know that drinking would trigger previous symptoms of illness. Also was the outcome a likely result of the act of drinking which the defendant was aware of when she indulged?</w:t>
      </w:r>
    </w:p>
    <w:p w:rsidR="00240846" w:rsidRDefault="00240846" w14:paraId="33495D03" w14:textId="088033DF" w:rsidP="00240846">
      <w:pPr>
        <w:jc w:val="both"/>
        <w:spacing w:after="0" w:line="360" w:lineRule="auto"/>
      </w:pPr>
      <w:r>
        <w:t xml:space="preserve">S.47 of the Offences against the </w:t>
      </w:r>
      <w:r>
        <w:t>Person</w:t>
      </w:r>
      <w:r>
        <w:t xml:space="preserve"> Act </w:t>
      </w:r>
      <w:r>
        <w:t>1861 stipulates</w:t>
      </w:r>
      <w:r>
        <w:t xml:space="preserve"> the offence of assault</w:t>
      </w:r>
      <w:r>
        <w:t xml:space="preserve"> </w:t>
      </w:r>
      <w:r>
        <w:t xml:space="preserve">which causes actual bodily harm. This is a serious offence with </w:t>
      </w:r>
      <w:r>
        <w:t>a</w:t>
      </w:r>
      <w:r>
        <w:t xml:space="preserve"> potential jail time of up to 5 years in prison. According to </w:t>
      </w:r>
      <w:proofErr w:type="spellStart"/>
      <w:r>
        <w:t>Lynsky</w:t>
      </w:r>
      <w:proofErr w:type="spellEnd"/>
      <w:r>
        <w:t xml:space="preserve"> J. in R. V. Miller {1954} actual </w:t>
      </w:r>
      <w:r>
        <w:t>bodily</w:t>
      </w:r>
      <w:r>
        <w:t xml:space="preserve"> harm includes injury and/or hurt that interferes with the </w:t>
      </w:r>
      <w:r>
        <w:t>victim’s</w:t>
      </w:r>
      <w:r>
        <w:t xml:space="preserve"> comfort or health. However, in R. V. Chan Fook {1994}, it has been held that the injury may not be permanent but must not be so trivial to be deemed insignificant. There is no requirement of intention to inflict injury or actual bodily harm, this was held in R. v. Roberts [1971] and R. v. Spratt [1990]</w:t>
      </w:r>
      <w:r w:rsidR="00314DE6">
        <w:t>.</w:t>
      </w:r>
    </w:p>
    <w:p w:rsidR="00240846" w:rsidRDefault="00240846" w14:paraId="20820DEA" w14:textId="3952B539" w:rsidP="00240846">
      <w:pPr>
        <w:jc w:val="both"/>
        <w:spacing w:after="0" w:line="360" w:lineRule="auto"/>
      </w:pPr>
      <w:r>
        <w:t xml:space="preserve">There are various </w:t>
      </w:r>
      <w:r>
        <w:t>types</w:t>
      </w:r>
      <w:r>
        <w:t xml:space="preserve"> of defences in criminal matters including complete, partial, special, general, justificatory and excusatory defences. The latter is a defence based on the plea that the accused did not have mens rea at the time of </w:t>
      </w:r>
      <w:r>
        <w:t>actus</w:t>
      </w:r>
      <w:r>
        <w:t xml:space="preserve"> reus. General defences include Automatism ( insane and non-insane). In R V. Hennessy {1989}, the court held in that the behaviour of the accused caused by the internal factor of being unable to regulate blood sugar due to lack of insulin was correct for a defence of insane automatism as he was diabetic.</w:t>
      </w:r>
    </w:p>
    <w:p w:rsidR="00240846" w:rsidRDefault="00240846" w14:paraId="385C8AF9" w14:textId="7CB4E99E" w:rsidP="00240846">
      <w:pPr>
        <w:jc w:val="both"/>
        <w:spacing w:after="0" w:line="360" w:lineRule="auto"/>
      </w:pPr>
      <w:proofErr w:type="gramStart"/>
      <w:r>
        <w:t>Also</w:t>
      </w:r>
      <w:proofErr w:type="gramEnd"/>
      <w:r>
        <w:t xml:space="preserve"> in R v. Quick {1973}, the accused had taken insulin in this instance but still suffered hypoglycaemia and the court held the insulin which is an external factor, caused the behaviour. It was held that the defence of non-insane automatism was the right defence in this case.  In </w:t>
      </w:r>
      <w:r>
        <w:t>Bratty</w:t>
      </w:r>
      <w:r>
        <w:t xml:space="preserve"> V. AG for Northern Ireland {1963}, Lord Denning defined this as an act/action where the individual has no control of muscle or mind and so is not conscious of committing the action. This defence however will fail if there is any iota </w:t>
      </w:r>
      <w:r>
        <w:t>of</w:t>
      </w:r>
      <w:r>
        <w:t xml:space="preserve"> evidence of control at any time in the action as held in the case of Broome v. </w:t>
      </w:r>
      <w:r>
        <w:t>Perkins</w:t>
      </w:r>
      <w:r>
        <w:t xml:space="preserve"> (1987).  For this defence to hold, there must be medical evidence. </w:t>
      </w:r>
    </w:p>
    <w:p w:rsidR="00240846" w:rsidRDefault="00240846" w14:paraId="514C3870" w14:textId="785441C2" w:rsidP="00240846">
      <w:pPr>
        <w:jc w:val="both"/>
        <w:spacing w:after="0" w:line="360" w:lineRule="auto"/>
      </w:pPr>
      <w:r>
        <w:t xml:space="preserve">Another defence of intoxication which is mentioned </w:t>
        <w:lastRenderedPageBreak/>
      </w:r>
      <w:r>
        <w:t>refers</w:t>
      </w:r>
      <w:r>
        <w:t xml:space="preserve"> to that caused by dangerous drugs and/or alcohol.  In claiming involuntary intoxication, the accused must prove that she was not aware of the potential side effect of the substance as illustrated in the case of R v. Allen {1988}. There must be evidence to show a law of awareness of the content or unusual content of the substance causing intoxication. </w:t>
      </w:r>
      <w:proofErr w:type="gramStart"/>
      <w:r>
        <w:t>If</w:t>
      </w:r>
      <w:proofErr w:type="gramEnd"/>
      <w:r>
        <w:t xml:space="preserve"> however</w:t>
      </w:r>
      <w:r>
        <w:t>,</w:t>
      </w:r>
      <w:r>
        <w:t xml:space="preserve"> the prosecution is able to prove the mens rea was not impacted by the intoxication and would not have removed the desire to cause harm/injury, then this defence will not hold as illustrated in the case of R. V. Kingston {1994}. </w:t>
      </w:r>
    </w:p>
    <w:p w:rsidR="00240846" w:rsidRDefault="00240846" w14:paraId="741E138D" w14:textId="3C3FD828" w:rsidP="00240846">
      <w:pPr>
        <w:jc w:val="both"/>
        <w:spacing w:after="0" w:line="360" w:lineRule="auto"/>
      </w:pPr>
      <w:r>
        <w:t xml:space="preserve">A defence of voluntary intoxication can hold if the accused did not form the mens rea while intoxicated. </w:t>
      </w:r>
      <w:proofErr w:type="gramStart"/>
      <w:r>
        <w:t>However</w:t>
      </w:r>
      <w:proofErr w:type="gramEnd"/>
      <w:r>
        <w:t xml:space="preserve"> it does not remove liability as the accused may still be convicted for an alternative related offence, this is often referred to as basic intent alternative. An exception to this was in the case of AG for Northern Ireland v. Gallagher {1963}, where the defendant used intoxication to have the courage to commit an offence.</w:t>
      </w:r>
    </w:p>
    <w:p w:rsidR="00240846" w:rsidRDefault="00240846" w14:paraId="02E86AB1" w14:textId="41D0F71E" w:rsidP="00240846">
      <w:pPr>
        <w:jc w:val="both"/>
        <w:spacing w:after="0" w:line="360" w:lineRule="auto"/>
      </w:pPr>
      <w:r>
        <w:t xml:space="preserve">Now in this instance, Freya may be able to rely on the defence of insane automatism as in the case of R. V Hennessy or non-insane automatism as in the case of R. V Quick. It is however important to note that she will need to provide medical evidence to this effect to the court thereby placing the burden of proof on her defence. </w:t>
      </w:r>
      <w:proofErr w:type="gramStart"/>
      <w:r>
        <w:t>If</w:t>
      </w:r>
      <w:proofErr w:type="gramEnd"/>
      <w:r>
        <w:t xml:space="preserve"> however, the plea of insane automatism holds, then she will be remanded to a psychiatric unit. This is not necessarily a best-case scenario for an accused. The defence of non-insane automation can hold too but there is the risk of the prosecution proving there was some form of control during the action by  Freya during the action. This raises the question of whether a slap would be an auto-response in an epileptic fit. There must also be clarity that Freya had no previous issues with the individual and did not bear the intention to harm at any time before, during or after the action. </w:t>
      </w:r>
    </w:p>
    <w:p w:rsidR="00240846" w:rsidRDefault="00240846" w14:paraId="5E7A1E12" w14:textId="1F143A7E" w:rsidP="00240846">
      <w:pPr>
        <w:jc w:val="both"/>
        <w:spacing w:after="0" w:line="360" w:lineRule="auto"/>
      </w:pPr>
      <w:r>
        <w:t>Freya’s action of drinking can come under the defence of voluntary intoxication but is likely to still face charges, though to a lesser extent of conviction. This means that she will not be absolved of all liability.</w:t>
      </w:r>
    </w:p>
    <w:p w:rsidR="00240846" w:rsidRDefault="00240846" w14:paraId="50682DE3" w14:textId="08E83B2E" w:rsidP="00240846">
      <w:pPr>
        <w:jc w:val="both"/>
        <w:spacing w:after="0" w:line="360" w:lineRule="auto"/>
      </w:pPr>
      <w:r>
        <w:t>Freya’s case is dependent on factors before and during the action. Her ability to satisfy the conditions of lack of intention and control during the act may help her get off to a lighter conviction sentence.</w:t>
      </w:r>
    </w:p>
    <w:p w:rsidR="00E4643E" w:rsidRDefault="00E4643E" w14:paraId="603D8515" w14:textId="5025C268"/>
    <w:p w:rsidR="00AA4A20" w:rsidRDefault="00AA4A20" w14:paraId="53A000FF" w14:textId="3C532216"/>
    <w:p w:rsidR="00AA4A20" w:rsidRDefault="00AA4A20" w14:paraId="5C4F6B99" w14:textId="5D308B62" w:rsidP="00AA4A20">
      <w:pPr>
        <w:jc w:val="both"/>
        <w:spacing w:after="0" w:line="360" w:lineRule="auto"/>
      </w:pPr>
      <w:r>
        <w:t>Conclusion</w:t>
      </w:r>
    </w:p>
    <w:p w:rsidR="00AA4A20" w:rsidRDefault="00AA4A20" w14:paraId="2A6007D8" w14:textId="45F549A9" w:rsidP="00AA4A20">
      <w:pPr>
        <w:jc w:val="both"/>
        <w:spacing w:after="0" w:line="360" w:lineRule="auto"/>
      </w:pPr>
      <w:r>
        <w:t xml:space="preserve">The prosecution of a criminal case is heavily reliant on evidence. The burden of proof by default lies with the prosecution, however, the defence can in some circumstances </w:t>
      </w:r>
      <w:proofErr w:type="gramStart"/>
      <w:r>
        <w:t>have the opportunity to</w:t>
      </w:r>
      <w:proofErr w:type="gramEnd"/>
      <w:r>
        <w:t xml:space="preserve"> rely on some general and excusatory defences. This does not however automatically imply exoneration but is often towards reducing the charges and extent of the sentence to be given.</w:t>
      </w:r>
    </w:p>
    <w:p w:rsidR="00AA4A20" w:rsidRDefault="00AA4A20" w14:paraId="6E17AB90" w14:textId="1D1DA4FB" w:rsidP="00AA4A20">
      <w:pPr>
        <w:jc w:val="both"/>
        <w:spacing w:after="0" w:line="360" w:lineRule="auto"/>
      </w:pPr>
    </w:p>
    <w:p w:rsidR="00AA4A20" w:rsidRDefault="00AA4A20" w14:paraId="154EF9CB" w14:textId="27319C6A" w:rsidP="00AA4A20" w:rsidRPr="00314DE6">
      <w:pPr>
        <w:jc w:val="both"/>
        <w:spacing w:after="0" w:line="360" w:lineRule="auto"/>
        <w:rPr>
          <w:bCs/>
          <w:b/>
        </w:rPr>
      </w:pPr>
      <w:r w:rsidRPr="00314DE6">
        <w:rPr>
          <w:bCs/>
          <w:b/>
        </w:rPr>
        <w:t>REFERENCES</w:t>
        <w:lastRenderedPageBreak/>
      </w:r>
    </w:p>
    <w:p w:rsidR="00314DE6" w:rsidRDefault="00314DE6" w14:paraId="354A5C22" w14:textId="480E918C" w:rsidP="00AA4A20" w:rsidRPr="00314DE6">
      <w:pPr>
        <w:jc w:val="both"/>
        <w:spacing w:after="0" w:line="360" w:lineRule="auto"/>
        <w:rPr>
          <w:bCs/>
          <w:b/>
        </w:rPr>
      </w:pPr>
      <w:r w:rsidRPr="00314DE6">
        <w:rPr>
          <w:bCs/>
          <w:b/>
        </w:rPr>
        <w:t>Case Law</w:t>
      </w:r>
    </w:p>
    <w:p w:rsidR="00314DE6" w:rsidRDefault="00314DE6" w14:paraId="6BC2A8EF" w14:textId="77777777" w:rsidP="00AA4A20">
      <w:pPr>
        <w:jc w:val="both"/>
        <w:spacing w:after="0" w:line="360" w:lineRule="auto"/>
      </w:pPr>
      <w:r>
        <w:t>AG for Northern Ireland v. Gallagher {1963} AC 349</w:t>
      </w:r>
    </w:p>
    <w:p w:rsidR="00314DE6" w:rsidRDefault="00314DE6" w14:paraId="25D7CDF0" w14:textId="77777777" w:rsidP="00314DE6">
      <w:pPr>
        <w:jc w:val="both"/>
        <w:spacing w:after="0" w:line="360" w:lineRule="auto"/>
      </w:pPr>
      <w:r>
        <w:t>Bratty V. AG for Northern Ireland {1963} AC 386</w:t>
      </w:r>
    </w:p>
    <w:p w:rsidR="00314DE6" w:rsidRDefault="00314DE6" w14:paraId="6304466E" w14:textId="77777777" w:rsidP="00AA4A20">
      <w:pPr>
        <w:jc w:val="both"/>
        <w:spacing w:after="0" w:line="360" w:lineRule="auto"/>
      </w:pPr>
      <w:r>
        <w:t>Broome v. Perkins (1987) 85 Cr App R 321</w:t>
      </w:r>
    </w:p>
    <w:p w:rsidR="00314DE6" w:rsidRDefault="00314DE6" w14:paraId="360EC66C" w14:textId="77777777" w:rsidP="00AA4A20">
      <w:pPr>
        <w:jc w:val="both"/>
        <w:spacing w:after="0" w:line="360" w:lineRule="auto"/>
      </w:pPr>
      <w:proofErr w:type="spellStart"/>
      <w:r>
        <w:t>Lynsky</w:t>
      </w:r>
      <w:proofErr w:type="spellEnd"/>
      <w:r>
        <w:t xml:space="preserve"> J. in R. V. Miller {1954} 2 All ER 529</w:t>
      </w:r>
    </w:p>
    <w:p w:rsidR="00314DE6" w:rsidRDefault="00314DE6" w14:paraId="6FDEFC9E" w14:textId="77777777" w:rsidP="00AA4A20">
      <w:pPr>
        <w:jc w:val="both"/>
        <w:spacing w:after="0" w:line="360" w:lineRule="auto"/>
      </w:pPr>
      <w:r>
        <w:t>R v. Allen {1988} Crim LR 698</w:t>
      </w:r>
    </w:p>
    <w:p w:rsidR="00314DE6" w:rsidRDefault="00314DE6" w14:paraId="588E1C01" w14:textId="77777777" w:rsidP="00AA4A20">
      <w:pPr>
        <w:jc w:val="both"/>
        <w:spacing w:after="0" w:line="360" w:lineRule="auto"/>
      </w:pPr>
      <w:r>
        <w:t>R V. Hennessy {1989} 1 WLR 297</w:t>
      </w:r>
    </w:p>
    <w:p w:rsidR="00314DE6" w:rsidRDefault="00314DE6" w14:paraId="5ED52DB3" w14:textId="77777777" w:rsidP="00AA4A20">
      <w:pPr>
        <w:jc w:val="both"/>
        <w:spacing w:after="0" w:line="360" w:lineRule="auto"/>
      </w:pPr>
      <w:r>
        <w:t>R v. Quick {1973} QB 910</w:t>
      </w:r>
    </w:p>
    <w:p w:rsidR="00314DE6" w:rsidRDefault="00314DE6" w14:paraId="334715FA" w14:textId="77777777" w:rsidP="00314DE6">
      <w:pPr>
        <w:jc w:val="both"/>
        <w:spacing w:after="0" w:line="360" w:lineRule="auto"/>
      </w:pPr>
      <w:r>
        <w:t>R. V. Chan Fook {1994} 1 WLR 689</w:t>
      </w:r>
    </w:p>
    <w:p w:rsidR="00314DE6" w:rsidRDefault="00314DE6" w14:paraId="4922EB84" w14:textId="77777777" w:rsidP="00AA4A20">
      <w:pPr>
        <w:jc w:val="both"/>
        <w:spacing w:after="0" w:line="360" w:lineRule="auto"/>
      </w:pPr>
      <w:r>
        <w:t>R. V. Kingston {1994} 3 WLR 519</w:t>
      </w:r>
    </w:p>
    <w:p w:rsidR="00314DE6" w:rsidRDefault="00314DE6" w14:paraId="5BB1FCAB" w14:textId="77777777" w:rsidP="00314DE6">
      <w:pPr>
        <w:jc w:val="both"/>
        <w:spacing w:after="0" w:line="360" w:lineRule="auto"/>
      </w:pPr>
      <w:r>
        <w:t>R. V. Miller {1954} 2 All ER 529</w:t>
      </w:r>
    </w:p>
    <w:p w:rsidR="00314DE6" w:rsidRDefault="00314DE6" w14:paraId="56372488" w14:textId="77777777" w:rsidP="00314DE6">
      <w:pPr>
        <w:jc w:val="both"/>
        <w:spacing w:after="0" w:line="360" w:lineRule="auto"/>
      </w:pPr>
      <w:r>
        <w:t xml:space="preserve">R. v. Roberts [1971] EWCA Crim 4 </w:t>
      </w:r>
    </w:p>
    <w:p w:rsidR="00314DE6" w:rsidRDefault="00314DE6" w14:paraId="1C814B47" w14:textId="77777777" w:rsidP="00314DE6">
      <w:pPr>
        <w:jc w:val="both"/>
        <w:spacing w:after="0" w:line="360" w:lineRule="auto"/>
      </w:pPr>
      <w:r>
        <w:t>R. v. Spratt [1990] 1 WLR 1073</w:t>
      </w:r>
    </w:p>
    <w:p w:rsidR="00314DE6" w:rsidRDefault="00314DE6" w14:paraId="7BFF6303" w14:textId="77777777" w:rsidP="00314DE6">
      <w:pPr>
        <w:jc w:val="both"/>
        <w:spacing w:after="0" w:line="360" w:lineRule="auto"/>
      </w:pPr>
    </w:p>
    <w:p w:rsidR="00314DE6" w:rsidRDefault="00314DE6" w14:paraId="5E4E45D9" w14:textId="6DB6991D" w:rsidP="00314DE6">
      <w:pPr>
        <w:jc w:val="both"/>
        <w:spacing w:after="0" w:line="360" w:lineRule="auto"/>
        <w:rPr>
          <w:bCs/>
          <w:b/>
        </w:rPr>
      </w:pPr>
      <w:r w:rsidRPr="00314DE6">
        <w:rPr>
          <w:bCs/>
          <w:b/>
        </w:rPr>
        <w:t>Legislation</w:t>
      </w:r>
    </w:p>
    <w:p w:rsidR="00314DE6" w:rsidRDefault="00314DE6" w14:paraId="5728B6C6" w14:textId="77777777" w:rsidP="00AA4A20">
      <w:pPr>
        <w:jc w:val="both"/>
        <w:spacing w:after="0" w:line="360" w:lineRule="auto"/>
      </w:pPr>
      <w:r>
        <w:t>Criminal Damage Act 1971</w:t>
      </w:r>
    </w:p>
    <w:p w:rsidR="00314DE6" w:rsidRDefault="00314DE6" w14:paraId="4FF8A6C4" w14:textId="46CD9F63" w:rsidP="00AA4A20">
      <w:pPr>
        <w:jc w:val="both"/>
        <w:spacing w:after="0" w:line="360" w:lineRule="auto"/>
      </w:pPr>
      <w:r>
        <w:t>Criminal Justice and Public Order Act, 1994</w:t>
      </w:r>
    </w:p>
    <w:p w:rsidR="00314DE6" w:rsidRDefault="00314DE6" w14:paraId="59687DE4" w14:textId="18B2875F" w:rsidP="00AA4A20">
      <w:pPr>
        <w:jc w:val="both"/>
        <w:spacing w:after="0" w:line="360" w:lineRule="auto"/>
      </w:pPr>
      <w:r>
        <w:t>Offences against the Person Act 1861</w:t>
      </w:r>
    </w:p>
    <w:p w:rsidR="00314DE6" w:rsidRDefault="00314DE6" w14:paraId="11228912" w14:textId="77777777" w:rsidP="00AA4A20">
      <w:pPr>
        <w:jc w:val="both"/>
        <w:spacing w:after="0" w:line="360" w:lineRule="auto"/>
      </w:pPr>
      <w:r>
        <w:t>Theft Act</w:t>
      </w:r>
      <w:r w:rsidRPr="007A628C">
        <w:t xml:space="preserve"> 1968</w:t>
      </w:r>
    </w:p>
    <w:p w:rsidR="00314DE6" w:rsidRDefault="00314DE6" w14:paraId="327B8ACC" w14:textId="77777777" w:rsidP="00AA4A20">
      <w:pPr>
        <w:jc w:val="both"/>
        <w:spacing w:after="0" w:line="360" w:lineRule="auto"/>
      </w:pPr>
    </w:p>
    <w:p w:rsidR="00AA4A20" w:rsidRDefault="00AA4A20" w14:paraId="74CBDE81" w14:textId="77777777" w:rsidP="00AA4A20">
      <w:pPr>
        <w:jc w:val="both"/>
        <w:spacing w:after="0" w:line="360" w:lineRule="auto"/>
      </w:pPr>
    </w:p>
    <w:p w:rsidR="00AA4A20" w:rsidRDefault="00AA4A20" w14:paraId="0A92F55E" w14:textId="77777777" w:rsidP="00AA4A20">
      <w:pPr>
        <w:jc w:val="both"/>
        <w:spacing w:after="0" w:line="360" w:lineRule="auto"/>
      </w:pPr>
    </w:p>
    <w:p w:rsidR="00AA4A20" w:rsidRDefault="00AA4A20" w14:paraId="1FA958D6" w14:textId="77777777" w:rsidP="00AA4A20">
      <w:pPr>
        <w:jc w:val="both"/>
        <w:spacing w:after="0" w:line="360" w:lineRule="auto"/>
      </w:pPr>
    </w:p>
    <w:p w:rsidR="00AA4A20" w:rsidRDefault="00AA4A20" w14:paraId="2DD35B4D" w14:textId="77777777" w:rsidP="00AA4A20">
      <w:pPr>
        <w:jc w:val="both"/>
        <w:spacing w:after="0" w:line="360" w:lineRule="auto"/>
      </w:pPr>
    </w:p>
    <w:p w:rsidR="00AA4A20" w:rsidRDefault="00AA4A20" w14:paraId="69A888C3" w14:textId="77777777" w:rsidP="00AA4A20">
      <w:pPr>
        <w:jc w:val="both"/>
        <w:spacing w:after="0" w:line="360" w:lineRule="auto"/>
      </w:pPr>
    </w:p>
    <w:sectPr w:rsidR="00AA4A20">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BB90F"/>
  <w15:chartTrackingRefBased/>
  <w15:docId w15:val="{77B054E5-51F9-4908-9667-60FE850B5018}"/>
  <w:rsids>
    <w:rsidRoot val="00240846"/>
    <w:rsid val="00240846"/>
    <w:rsid val="002F6B14"/>
    <w:rsid val="00314DE6"/>
    <w:rsid val="00682889"/>
    <w:rsid val="00AA4A20"/>
    <w:rsid val="00DD3DA6"/>
    <w:rsid val="00E4643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846"/>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8638E-CE63-498F-8F2A-EA426EF0E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1517</Words>
  <Characters>7726</Characters>
  <Application>Microsoft Office Word</Application>
  <DocSecurity>0</DocSecurity>
  <Lines>515</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West</dc:creator>
  <cp:keywords/>
  <dc:description/>
  <cp:lastModifiedBy>Elizabeth West</cp:lastModifiedBy>
  <cp:revision>1</cp:revision>
  <dcterms:created xsi:type="dcterms:W3CDTF">2023-01-13T13:37:00Z</dcterms:created>
  <dcterms:modified xsi:type="dcterms:W3CDTF">2023-01-13T14:18:00Z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0e02ea4a-e42b-403d-a9ef-1a076968f188</vt:lpwstr>
  </property>
</Properties>
</file>