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609862960"/>
        <w:docPartObj>
          <w:docPartGallery w:val="Cover Pages"/>
          <w:docPartUnique/>
        </w:docPartObj>
      </w:sdtPr>
      <w:sdtContent>
        <w:p w14:paraId="78FEC9C1" w14:textId="28E6C1B3" w:rsidR="00900353" w:rsidRPr="00D9168D" w:rsidRDefault="00900353" w:rsidP="00900353">
          <w:pPr>
            <w:spacing w:line="360" w:lineRule="auto"/>
            <w:rPr>
              <w:rFonts w:ascii="Arial" w:hAnsi="Arial" w:cs="Arial"/>
              <w:b/>
              <w:bCs/>
              <w:sz w:val="56"/>
              <w:szCs w:val="56"/>
            </w:rPr>
          </w:pPr>
          <w:r w:rsidRPr="00D9168D">
            <w:rPr>
              <w:rFonts w:ascii="Arial" w:hAnsi="Arial" w:cs="Arial"/>
              <w:b/>
              <w:bCs/>
              <w:sz w:val="56"/>
              <w:szCs w:val="56"/>
            </w:rPr>
            <w:t>Student Name: Mohammed Razzaque</w:t>
          </w:r>
        </w:p>
        <w:p w14:paraId="618EF97B" w14:textId="77777777" w:rsidR="00900353" w:rsidRPr="00D9168D" w:rsidRDefault="00900353" w:rsidP="00900353">
          <w:pPr>
            <w:spacing w:line="360" w:lineRule="auto"/>
            <w:rPr>
              <w:rFonts w:ascii="Arial" w:hAnsi="Arial" w:cs="Arial"/>
              <w:b/>
              <w:bCs/>
              <w:sz w:val="56"/>
              <w:szCs w:val="56"/>
            </w:rPr>
          </w:pPr>
          <w:r w:rsidRPr="00D9168D">
            <w:rPr>
              <w:rFonts w:ascii="Arial" w:hAnsi="Arial" w:cs="Arial"/>
              <w:b/>
              <w:bCs/>
              <w:sz w:val="56"/>
              <w:szCs w:val="56"/>
            </w:rPr>
            <w:t>Student Number: 2126598</w:t>
          </w:r>
        </w:p>
        <w:p w14:paraId="4505D400" w14:textId="0BDB7BA6" w:rsidR="00900353" w:rsidRPr="00D9168D" w:rsidRDefault="00B365F6" w:rsidP="00900353">
          <w:pPr>
            <w:spacing w:line="360" w:lineRule="auto"/>
            <w:rPr>
              <w:rFonts w:ascii="Arial" w:eastAsia="Times New Roman" w:hAnsi="Arial" w:cs="Arial"/>
              <w:b/>
              <w:bCs/>
              <w:sz w:val="56"/>
              <w:szCs w:val="56"/>
              <w:lang w:eastAsia="en-GB"/>
            </w:rPr>
          </w:pPr>
          <w:r w:rsidRPr="00D9168D">
            <w:rPr>
              <w:rFonts w:ascii="Arial" w:hAnsi="Arial" w:cs="Arial"/>
              <w:b/>
              <w:bCs/>
              <w:sz w:val="56"/>
              <w:szCs w:val="56"/>
            </w:rPr>
            <w:t xml:space="preserve">Developing and Managing Individuals and Teams </w:t>
          </w:r>
          <w:r w:rsidR="00900353" w:rsidRPr="00D9168D">
            <w:rPr>
              <w:rFonts w:ascii="Arial" w:eastAsia="Times New Roman" w:hAnsi="Arial" w:cs="Arial"/>
              <w:b/>
              <w:bCs/>
              <w:sz w:val="56"/>
              <w:szCs w:val="56"/>
              <w:lang w:eastAsia="en-GB"/>
            </w:rPr>
            <w:t>– LCLM500</w:t>
          </w:r>
          <w:r w:rsidRPr="00D9168D">
            <w:rPr>
              <w:rFonts w:ascii="Arial" w:eastAsia="Times New Roman" w:hAnsi="Arial" w:cs="Arial"/>
              <w:b/>
              <w:bCs/>
              <w:sz w:val="56"/>
              <w:szCs w:val="56"/>
              <w:lang w:eastAsia="en-GB"/>
            </w:rPr>
            <w:t>2</w:t>
          </w:r>
        </w:p>
        <w:p w14:paraId="0BA2E88F" w14:textId="5D4F9003" w:rsidR="00900353" w:rsidRPr="00D9168D" w:rsidRDefault="00900353" w:rsidP="00900353">
          <w:pPr>
            <w:spacing w:line="360" w:lineRule="auto"/>
            <w:rPr>
              <w:rFonts w:ascii="Arial" w:eastAsia="Times New Roman" w:hAnsi="Arial" w:cs="Arial"/>
              <w:b/>
              <w:bCs/>
              <w:sz w:val="56"/>
              <w:szCs w:val="56"/>
              <w:lang w:eastAsia="en-GB"/>
            </w:rPr>
          </w:pPr>
          <w:r w:rsidRPr="00D9168D">
            <w:rPr>
              <w:rFonts w:ascii="Arial" w:eastAsia="Times New Roman" w:hAnsi="Arial" w:cs="Arial"/>
              <w:b/>
              <w:bCs/>
              <w:sz w:val="56"/>
              <w:szCs w:val="56"/>
              <w:lang w:eastAsia="en-GB"/>
            </w:rPr>
            <w:t xml:space="preserve">Lecturer: </w:t>
          </w:r>
          <w:r w:rsidR="00B365F6" w:rsidRPr="00D9168D">
            <w:rPr>
              <w:rFonts w:ascii="Arial" w:eastAsia="Times New Roman" w:hAnsi="Arial" w:cs="Arial"/>
              <w:b/>
              <w:bCs/>
              <w:sz w:val="56"/>
              <w:szCs w:val="56"/>
              <w:lang w:eastAsia="en-GB"/>
            </w:rPr>
            <w:t>Dr Mudassar Hasan</w:t>
          </w:r>
        </w:p>
        <w:p w14:paraId="10D7DAB0" w14:textId="03C0604A" w:rsidR="00900353" w:rsidRPr="00D9168D" w:rsidRDefault="00900353">
          <w:pPr>
            <w:rPr>
              <w:rFonts w:ascii="Arial" w:hAnsi="Arial" w:cs="Arial"/>
              <w:sz w:val="56"/>
              <w:szCs w:val="56"/>
            </w:rPr>
          </w:pPr>
        </w:p>
        <w:p w14:paraId="759CF8ED" w14:textId="376BFD4D" w:rsidR="00900353" w:rsidRPr="00D9168D" w:rsidRDefault="00900353">
          <w:pPr>
            <w:rPr>
              <w:rFonts w:ascii="Arial" w:eastAsiaTheme="majorEastAsia" w:hAnsi="Arial" w:cs="Arial"/>
              <w:color w:val="0F4761" w:themeColor="accent1" w:themeShade="BF"/>
            </w:rPr>
          </w:pPr>
          <w:r w:rsidRPr="00D9168D">
            <w:rPr>
              <w:rFonts w:ascii="Arial" w:hAnsi="Arial" w:cs="Arial"/>
              <w:sz w:val="56"/>
              <w:szCs w:val="56"/>
            </w:rPr>
            <w:br w:type="page"/>
          </w:r>
        </w:p>
      </w:sdtContent>
    </w:sdt>
    <w:p w14:paraId="0C42A686" w14:textId="2E2C53F0" w:rsidR="007D2DA6" w:rsidRPr="00D9168D" w:rsidRDefault="007D2DA6" w:rsidP="00D9168D">
      <w:pPr>
        <w:pStyle w:val="Heading1"/>
        <w:spacing w:line="360" w:lineRule="auto"/>
      </w:pPr>
      <w:bookmarkStart w:id="0" w:name="_Toc225254711"/>
      <w:r w:rsidRPr="00D9168D">
        <w:lastRenderedPageBreak/>
        <w:t>Table of Contents</w:t>
      </w:r>
      <w:bookmarkEnd w:id="0"/>
    </w:p>
    <w:p w14:paraId="4D277FE9" w14:textId="0F39DAEC" w:rsidR="00D9168D" w:rsidRDefault="007D2DA6">
      <w:pPr>
        <w:pStyle w:val="TOC1"/>
        <w:tabs>
          <w:tab w:val="right" w:leader="dot" w:pos="9016"/>
        </w:tabs>
        <w:rPr>
          <w:rFonts w:eastAsiaTheme="minorEastAsia"/>
          <w:noProof/>
          <w:lang w:eastAsia="en-GB"/>
        </w:rPr>
      </w:pPr>
      <w:r w:rsidRPr="00D9168D">
        <w:rPr>
          <w:rFonts w:ascii="Arial" w:hAnsi="Arial" w:cs="Arial"/>
        </w:rPr>
        <w:fldChar w:fldCharType="begin"/>
      </w:r>
      <w:r w:rsidRPr="00D9168D">
        <w:rPr>
          <w:rFonts w:ascii="Arial" w:hAnsi="Arial" w:cs="Arial"/>
        </w:rPr>
        <w:instrText xml:space="preserve"> TOC \o "1-3" \h \z \u </w:instrText>
      </w:r>
      <w:r w:rsidRPr="00D9168D">
        <w:rPr>
          <w:rFonts w:ascii="Arial" w:hAnsi="Arial" w:cs="Arial"/>
        </w:rPr>
        <w:fldChar w:fldCharType="separate"/>
      </w:r>
      <w:hyperlink w:anchor="_Toc225254711" w:history="1">
        <w:r w:rsidR="00D9168D" w:rsidRPr="00AC71F0">
          <w:rPr>
            <w:rStyle w:val="Hyperlink"/>
            <w:noProof/>
          </w:rPr>
          <w:t>Table of Contents</w:t>
        </w:r>
        <w:r w:rsidR="00D9168D">
          <w:rPr>
            <w:noProof/>
            <w:webHidden/>
          </w:rPr>
          <w:tab/>
        </w:r>
        <w:r w:rsidR="00D9168D">
          <w:rPr>
            <w:noProof/>
            <w:webHidden/>
          </w:rPr>
          <w:fldChar w:fldCharType="begin"/>
        </w:r>
        <w:r w:rsidR="00D9168D">
          <w:rPr>
            <w:noProof/>
            <w:webHidden/>
          </w:rPr>
          <w:instrText xml:space="preserve"> PAGEREF _Toc225254711 \h </w:instrText>
        </w:r>
        <w:r w:rsidR="00D9168D">
          <w:rPr>
            <w:noProof/>
            <w:webHidden/>
          </w:rPr>
        </w:r>
        <w:r w:rsidR="00D9168D">
          <w:rPr>
            <w:noProof/>
            <w:webHidden/>
          </w:rPr>
          <w:fldChar w:fldCharType="separate"/>
        </w:r>
        <w:r w:rsidR="00D9168D">
          <w:rPr>
            <w:noProof/>
            <w:webHidden/>
          </w:rPr>
          <w:t>1</w:t>
        </w:r>
        <w:r w:rsidR="00D9168D">
          <w:rPr>
            <w:noProof/>
            <w:webHidden/>
          </w:rPr>
          <w:fldChar w:fldCharType="end"/>
        </w:r>
      </w:hyperlink>
    </w:p>
    <w:p w14:paraId="7F62EE39" w14:textId="6E722028" w:rsidR="00D9168D" w:rsidRDefault="00D9168D">
      <w:pPr>
        <w:pStyle w:val="TOC1"/>
        <w:tabs>
          <w:tab w:val="right" w:leader="dot" w:pos="9016"/>
        </w:tabs>
        <w:rPr>
          <w:rFonts w:eastAsiaTheme="minorEastAsia"/>
          <w:noProof/>
          <w:lang w:eastAsia="en-GB"/>
        </w:rPr>
      </w:pPr>
      <w:hyperlink w:anchor="_Toc225254712" w:history="1">
        <w:r w:rsidRPr="00AC71F0">
          <w:rPr>
            <w:rStyle w:val="Hyperlink"/>
            <w:noProof/>
          </w:rPr>
          <w:t>Introduction</w:t>
        </w:r>
        <w:r>
          <w:rPr>
            <w:noProof/>
            <w:webHidden/>
          </w:rPr>
          <w:tab/>
        </w:r>
        <w:r>
          <w:rPr>
            <w:noProof/>
            <w:webHidden/>
          </w:rPr>
          <w:fldChar w:fldCharType="begin"/>
        </w:r>
        <w:r>
          <w:rPr>
            <w:noProof/>
            <w:webHidden/>
          </w:rPr>
          <w:instrText xml:space="preserve"> PAGEREF _Toc225254712 \h </w:instrText>
        </w:r>
        <w:r>
          <w:rPr>
            <w:noProof/>
            <w:webHidden/>
          </w:rPr>
        </w:r>
        <w:r>
          <w:rPr>
            <w:noProof/>
            <w:webHidden/>
          </w:rPr>
          <w:fldChar w:fldCharType="separate"/>
        </w:r>
        <w:r>
          <w:rPr>
            <w:noProof/>
            <w:webHidden/>
          </w:rPr>
          <w:t>2</w:t>
        </w:r>
        <w:r>
          <w:rPr>
            <w:noProof/>
            <w:webHidden/>
          </w:rPr>
          <w:fldChar w:fldCharType="end"/>
        </w:r>
      </w:hyperlink>
    </w:p>
    <w:p w14:paraId="115A0615" w14:textId="1B4F0C03" w:rsidR="00D9168D" w:rsidRDefault="00D9168D">
      <w:pPr>
        <w:pStyle w:val="TOC1"/>
        <w:tabs>
          <w:tab w:val="right" w:leader="dot" w:pos="9016"/>
        </w:tabs>
        <w:rPr>
          <w:rFonts w:eastAsiaTheme="minorEastAsia"/>
          <w:noProof/>
          <w:lang w:eastAsia="en-GB"/>
        </w:rPr>
      </w:pPr>
      <w:hyperlink w:anchor="_Toc225254713" w:history="1">
        <w:r w:rsidRPr="00AC71F0">
          <w:rPr>
            <w:rStyle w:val="Hyperlink"/>
            <w:noProof/>
          </w:rPr>
          <w:t>Explanation of the Specific Factors Related to Technological Advancement, Talent Acquisition and Retention, and Diversity, Equity and Inclusion</w:t>
        </w:r>
        <w:r>
          <w:rPr>
            <w:noProof/>
            <w:webHidden/>
          </w:rPr>
          <w:tab/>
        </w:r>
        <w:r>
          <w:rPr>
            <w:noProof/>
            <w:webHidden/>
          </w:rPr>
          <w:fldChar w:fldCharType="begin"/>
        </w:r>
        <w:r>
          <w:rPr>
            <w:noProof/>
            <w:webHidden/>
          </w:rPr>
          <w:instrText xml:space="preserve"> PAGEREF _Toc225254713 \h </w:instrText>
        </w:r>
        <w:r>
          <w:rPr>
            <w:noProof/>
            <w:webHidden/>
          </w:rPr>
        </w:r>
        <w:r>
          <w:rPr>
            <w:noProof/>
            <w:webHidden/>
          </w:rPr>
          <w:fldChar w:fldCharType="separate"/>
        </w:r>
        <w:r>
          <w:rPr>
            <w:noProof/>
            <w:webHidden/>
          </w:rPr>
          <w:t>2</w:t>
        </w:r>
        <w:r>
          <w:rPr>
            <w:noProof/>
            <w:webHidden/>
          </w:rPr>
          <w:fldChar w:fldCharType="end"/>
        </w:r>
      </w:hyperlink>
    </w:p>
    <w:p w14:paraId="45A81365" w14:textId="22ECECB0" w:rsidR="00D9168D" w:rsidRDefault="00D9168D">
      <w:pPr>
        <w:pStyle w:val="TOC2"/>
        <w:tabs>
          <w:tab w:val="right" w:leader="dot" w:pos="9016"/>
        </w:tabs>
        <w:rPr>
          <w:rFonts w:eastAsiaTheme="minorEastAsia"/>
          <w:noProof/>
          <w:lang w:eastAsia="en-GB"/>
        </w:rPr>
      </w:pPr>
      <w:hyperlink w:anchor="_Toc225254714" w:history="1">
        <w:r w:rsidRPr="00AC71F0">
          <w:rPr>
            <w:rStyle w:val="Hyperlink"/>
            <w:rFonts w:ascii="Arial" w:hAnsi="Arial" w:cs="Arial"/>
            <w:noProof/>
          </w:rPr>
          <w:t>Technological advancement</w:t>
        </w:r>
        <w:r>
          <w:rPr>
            <w:noProof/>
            <w:webHidden/>
          </w:rPr>
          <w:tab/>
        </w:r>
        <w:r>
          <w:rPr>
            <w:noProof/>
            <w:webHidden/>
          </w:rPr>
          <w:fldChar w:fldCharType="begin"/>
        </w:r>
        <w:r>
          <w:rPr>
            <w:noProof/>
            <w:webHidden/>
          </w:rPr>
          <w:instrText xml:space="preserve"> PAGEREF _Toc225254714 \h </w:instrText>
        </w:r>
        <w:r>
          <w:rPr>
            <w:noProof/>
            <w:webHidden/>
          </w:rPr>
        </w:r>
        <w:r>
          <w:rPr>
            <w:noProof/>
            <w:webHidden/>
          </w:rPr>
          <w:fldChar w:fldCharType="separate"/>
        </w:r>
        <w:r>
          <w:rPr>
            <w:noProof/>
            <w:webHidden/>
          </w:rPr>
          <w:t>2</w:t>
        </w:r>
        <w:r>
          <w:rPr>
            <w:noProof/>
            <w:webHidden/>
          </w:rPr>
          <w:fldChar w:fldCharType="end"/>
        </w:r>
      </w:hyperlink>
    </w:p>
    <w:p w14:paraId="5BFCD345" w14:textId="30D4B67F" w:rsidR="00D9168D" w:rsidRDefault="00D9168D">
      <w:pPr>
        <w:pStyle w:val="TOC2"/>
        <w:tabs>
          <w:tab w:val="right" w:leader="dot" w:pos="9016"/>
        </w:tabs>
        <w:rPr>
          <w:rFonts w:eastAsiaTheme="minorEastAsia"/>
          <w:noProof/>
          <w:lang w:eastAsia="en-GB"/>
        </w:rPr>
      </w:pPr>
      <w:hyperlink w:anchor="_Toc225254715" w:history="1">
        <w:r w:rsidRPr="00AC71F0">
          <w:rPr>
            <w:rStyle w:val="Hyperlink"/>
            <w:rFonts w:ascii="Arial" w:hAnsi="Arial" w:cs="Arial"/>
            <w:noProof/>
          </w:rPr>
          <w:t>Talent acquisition and retention</w:t>
        </w:r>
        <w:r>
          <w:rPr>
            <w:noProof/>
            <w:webHidden/>
          </w:rPr>
          <w:tab/>
        </w:r>
        <w:r>
          <w:rPr>
            <w:noProof/>
            <w:webHidden/>
          </w:rPr>
          <w:fldChar w:fldCharType="begin"/>
        </w:r>
        <w:r>
          <w:rPr>
            <w:noProof/>
            <w:webHidden/>
          </w:rPr>
          <w:instrText xml:space="preserve"> PAGEREF _Toc225254715 \h </w:instrText>
        </w:r>
        <w:r>
          <w:rPr>
            <w:noProof/>
            <w:webHidden/>
          </w:rPr>
        </w:r>
        <w:r>
          <w:rPr>
            <w:noProof/>
            <w:webHidden/>
          </w:rPr>
          <w:fldChar w:fldCharType="separate"/>
        </w:r>
        <w:r>
          <w:rPr>
            <w:noProof/>
            <w:webHidden/>
          </w:rPr>
          <w:t>3</w:t>
        </w:r>
        <w:r>
          <w:rPr>
            <w:noProof/>
            <w:webHidden/>
          </w:rPr>
          <w:fldChar w:fldCharType="end"/>
        </w:r>
      </w:hyperlink>
    </w:p>
    <w:p w14:paraId="0D41E625" w14:textId="5D5162B2" w:rsidR="00D9168D" w:rsidRDefault="00D9168D">
      <w:pPr>
        <w:pStyle w:val="TOC2"/>
        <w:tabs>
          <w:tab w:val="right" w:leader="dot" w:pos="9016"/>
        </w:tabs>
        <w:rPr>
          <w:rFonts w:eastAsiaTheme="minorEastAsia"/>
          <w:noProof/>
          <w:lang w:eastAsia="en-GB"/>
        </w:rPr>
      </w:pPr>
      <w:hyperlink w:anchor="_Toc225254716" w:history="1">
        <w:r w:rsidRPr="00AC71F0">
          <w:rPr>
            <w:rStyle w:val="Hyperlink"/>
            <w:rFonts w:ascii="Arial" w:hAnsi="Arial" w:cs="Arial"/>
            <w:noProof/>
          </w:rPr>
          <w:t>Diversity, Equity and Inclusion (DEI)</w:t>
        </w:r>
        <w:r>
          <w:rPr>
            <w:noProof/>
            <w:webHidden/>
          </w:rPr>
          <w:tab/>
        </w:r>
        <w:r>
          <w:rPr>
            <w:noProof/>
            <w:webHidden/>
          </w:rPr>
          <w:fldChar w:fldCharType="begin"/>
        </w:r>
        <w:r>
          <w:rPr>
            <w:noProof/>
            <w:webHidden/>
          </w:rPr>
          <w:instrText xml:space="preserve"> PAGEREF _Toc225254716 \h </w:instrText>
        </w:r>
        <w:r>
          <w:rPr>
            <w:noProof/>
            <w:webHidden/>
          </w:rPr>
        </w:r>
        <w:r>
          <w:rPr>
            <w:noProof/>
            <w:webHidden/>
          </w:rPr>
          <w:fldChar w:fldCharType="separate"/>
        </w:r>
        <w:r>
          <w:rPr>
            <w:noProof/>
            <w:webHidden/>
          </w:rPr>
          <w:t>3</w:t>
        </w:r>
        <w:r>
          <w:rPr>
            <w:noProof/>
            <w:webHidden/>
          </w:rPr>
          <w:fldChar w:fldCharType="end"/>
        </w:r>
      </w:hyperlink>
    </w:p>
    <w:p w14:paraId="3426D862" w14:textId="52939903" w:rsidR="00D9168D" w:rsidRDefault="00D9168D">
      <w:pPr>
        <w:pStyle w:val="TOC1"/>
        <w:tabs>
          <w:tab w:val="right" w:leader="dot" w:pos="9016"/>
        </w:tabs>
        <w:rPr>
          <w:rFonts w:eastAsiaTheme="minorEastAsia"/>
          <w:noProof/>
          <w:lang w:eastAsia="en-GB"/>
        </w:rPr>
      </w:pPr>
      <w:hyperlink w:anchor="_Toc225254717" w:history="1">
        <w:r w:rsidRPr="00AC71F0">
          <w:rPr>
            <w:rStyle w:val="Hyperlink"/>
            <w:rFonts w:ascii="Arial" w:hAnsi="Arial" w:cs="Arial"/>
            <w:noProof/>
          </w:rPr>
          <w:t>Evaluation of Contemporary HR Practices to Address the Identified Factors</w:t>
        </w:r>
        <w:r>
          <w:rPr>
            <w:noProof/>
            <w:webHidden/>
          </w:rPr>
          <w:tab/>
        </w:r>
        <w:r>
          <w:rPr>
            <w:noProof/>
            <w:webHidden/>
          </w:rPr>
          <w:fldChar w:fldCharType="begin"/>
        </w:r>
        <w:r>
          <w:rPr>
            <w:noProof/>
            <w:webHidden/>
          </w:rPr>
          <w:instrText xml:space="preserve"> PAGEREF _Toc225254717 \h </w:instrText>
        </w:r>
        <w:r>
          <w:rPr>
            <w:noProof/>
            <w:webHidden/>
          </w:rPr>
        </w:r>
        <w:r>
          <w:rPr>
            <w:noProof/>
            <w:webHidden/>
          </w:rPr>
          <w:fldChar w:fldCharType="separate"/>
        </w:r>
        <w:r>
          <w:rPr>
            <w:noProof/>
            <w:webHidden/>
          </w:rPr>
          <w:t>3</w:t>
        </w:r>
        <w:r>
          <w:rPr>
            <w:noProof/>
            <w:webHidden/>
          </w:rPr>
          <w:fldChar w:fldCharType="end"/>
        </w:r>
      </w:hyperlink>
    </w:p>
    <w:p w14:paraId="5147F141" w14:textId="5E27ED7E" w:rsidR="00D9168D" w:rsidRDefault="00D9168D">
      <w:pPr>
        <w:pStyle w:val="TOC1"/>
        <w:tabs>
          <w:tab w:val="right" w:leader="dot" w:pos="9016"/>
        </w:tabs>
        <w:rPr>
          <w:rFonts w:eastAsiaTheme="minorEastAsia"/>
          <w:noProof/>
          <w:lang w:eastAsia="en-GB"/>
        </w:rPr>
      </w:pPr>
      <w:hyperlink w:anchor="_Toc225254718" w:history="1">
        <w:r w:rsidRPr="00AC71F0">
          <w:rPr>
            <w:rStyle w:val="Hyperlink"/>
            <w:noProof/>
          </w:rPr>
          <w:t>Critical Evaluation of How Departmental Managers Can Ensure These Contemporary HR Practices Are Implemented as a Matter of Urgency</w:t>
        </w:r>
        <w:r>
          <w:rPr>
            <w:noProof/>
            <w:webHidden/>
          </w:rPr>
          <w:tab/>
        </w:r>
        <w:r>
          <w:rPr>
            <w:noProof/>
            <w:webHidden/>
          </w:rPr>
          <w:fldChar w:fldCharType="begin"/>
        </w:r>
        <w:r>
          <w:rPr>
            <w:noProof/>
            <w:webHidden/>
          </w:rPr>
          <w:instrText xml:space="preserve"> PAGEREF _Toc225254718 \h </w:instrText>
        </w:r>
        <w:r>
          <w:rPr>
            <w:noProof/>
            <w:webHidden/>
          </w:rPr>
        </w:r>
        <w:r>
          <w:rPr>
            <w:noProof/>
            <w:webHidden/>
          </w:rPr>
          <w:fldChar w:fldCharType="separate"/>
        </w:r>
        <w:r>
          <w:rPr>
            <w:noProof/>
            <w:webHidden/>
          </w:rPr>
          <w:t>5</w:t>
        </w:r>
        <w:r>
          <w:rPr>
            <w:noProof/>
            <w:webHidden/>
          </w:rPr>
          <w:fldChar w:fldCharType="end"/>
        </w:r>
      </w:hyperlink>
    </w:p>
    <w:p w14:paraId="4FFF39A8" w14:textId="6796C77F" w:rsidR="00D9168D" w:rsidRDefault="00D9168D">
      <w:pPr>
        <w:pStyle w:val="TOC1"/>
        <w:tabs>
          <w:tab w:val="right" w:leader="dot" w:pos="9016"/>
        </w:tabs>
        <w:rPr>
          <w:rFonts w:eastAsiaTheme="minorEastAsia"/>
          <w:noProof/>
          <w:lang w:eastAsia="en-GB"/>
        </w:rPr>
      </w:pPr>
      <w:hyperlink w:anchor="_Toc225254719" w:history="1">
        <w:r w:rsidRPr="00AC71F0">
          <w:rPr>
            <w:rStyle w:val="Hyperlink"/>
            <w:noProof/>
          </w:rPr>
          <w:t>Recommendations</w:t>
        </w:r>
        <w:r>
          <w:rPr>
            <w:noProof/>
            <w:webHidden/>
          </w:rPr>
          <w:tab/>
        </w:r>
        <w:r>
          <w:rPr>
            <w:noProof/>
            <w:webHidden/>
          </w:rPr>
          <w:fldChar w:fldCharType="begin"/>
        </w:r>
        <w:r>
          <w:rPr>
            <w:noProof/>
            <w:webHidden/>
          </w:rPr>
          <w:instrText xml:space="preserve"> PAGEREF _Toc225254719 \h </w:instrText>
        </w:r>
        <w:r>
          <w:rPr>
            <w:noProof/>
            <w:webHidden/>
          </w:rPr>
        </w:r>
        <w:r>
          <w:rPr>
            <w:noProof/>
            <w:webHidden/>
          </w:rPr>
          <w:fldChar w:fldCharType="separate"/>
        </w:r>
        <w:r>
          <w:rPr>
            <w:noProof/>
            <w:webHidden/>
          </w:rPr>
          <w:t>6</w:t>
        </w:r>
        <w:r>
          <w:rPr>
            <w:noProof/>
            <w:webHidden/>
          </w:rPr>
          <w:fldChar w:fldCharType="end"/>
        </w:r>
      </w:hyperlink>
    </w:p>
    <w:p w14:paraId="0D53C337" w14:textId="529C6BEB" w:rsidR="00D9168D" w:rsidRDefault="00D9168D">
      <w:pPr>
        <w:pStyle w:val="TOC1"/>
        <w:tabs>
          <w:tab w:val="right" w:leader="dot" w:pos="9016"/>
        </w:tabs>
        <w:rPr>
          <w:rFonts w:eastAsiaTheme="minorEastAsia"/>
          <w:noProof/>
          <w:lang w:eastAsia="en-GB"/>
        </w:rPr>
      </w:pPr>
      <w:hyperlink w:anchor="_Toc225254720" w:history="1">
        <w:r w:rsidRPr="00AC71F0">
          <w:rPr>
            <w:rStyle w:val="Hyperlink"/>
            <w:noProof/>
          </w:rPr>
          <w:t>Conclusion</w:t>
        </w:r>
        <w:r>
          <w:rPr>
            <w:noProof/>
            <w:webHidden/>
          </w:rPr>
          <w:tab/>
        </w:r>
        <w:r>
          <w:rPr>
            <w:noProof/>
            <w:webHidden/>
          </w:rPr>
          <w:fldChar w:fldCharType="begin"/>
        </w:r>
        <w:r>
          <w:rPr>
            <w:noProof/>
            <w:webHidden/>
          </w:rPr>
          <w:instrText xml:space="preserve"> PAGEREF _Toc225254720 \h </w:instrText>
        </w:r>
        <w:r>
          <w:rPr>
            <w:noProof/>
            <w:webHidden/>
          </w:rPr>
        </w:r>
        <w:r>
          <w:rPr>
            <w:noProof/>
            <w:webHidden/>
          </w:rPr>
          <w:fldChar w:fldCharType="separate"/>
        </w:r>
        <w:r>
          <w:rPr>
            <w:noProof/>
            <w:webHidden/>
          </w:rPr>
          <w:t>7</w:t>
        </w:r>
        <w:r>
          <w:rPr>
            <w:noProof/>
            <w:webHidden/>
          </w:rPr>
          <w:fldChar w:fldCharType="end"/>
        </w:r>
      </w:hyperlink>
    </w:p>
    <w:p w14:paraId="6174DF02" w14:textId="4E32F302" w:rsidR="00D9168D" w:rsidRDefault="00D9168D">
      <w:pPr>
        <w:pStyle w:val="TOC1"/>
        <w:tabs>
          <w:tab w:val="right" w:leader="dot" w:pos="9016"/>
        </w:tabs>
        <w:rPr>
          <w:rFonts w:eastAsiaTheme="minorEastAsia"/>
          <w:noProof/>
          <w:lang w:eastAsia="en-GB"/>
        </w:rPr>
      </w:pPr>
      <w:hyperlink w:anchor="_Toc225254721" w:history="1">
        <w:r w:rsidRPr="00AC71F0">
          <w:rPr>
            <w:rStyle w:val="Hyperlink"/>
            <w:noProof/>
          </w:rPr>
          <w:t>References</w:t>
        </w:r>
        <w:r>
          <w:rPr>
            <w:noProof/>
            <w:webHidden/>
          </w:rPr>
          <w:tab/>
        </w:r>
        <w:r>
          <w:rPr>
            <w:noProof/>
            <w:webHidden/>
          </w:rPr>
          <w:fldChar w:fldCharType="begin"/>
        </w:r>
        <w:r>
          <w:rPr>
            <w:noProof/>
            <w:webHidden/>
          </w:rPr>
          <w:instrText xml:space="preserve"> PAGEREF _Toc225254721 \h </w:instrText>
        </w:r>
        <w:r>
          <w:rPr>
            <w:noProof/>
            <w:webHidden/>
          </w:rPr>
        </w:r>
        <w:r>
          <w:rPr>
            <w:noProof/>
            <w:webHidden/>
          </w:rPr>
          <w:fldChar w:fldCharType="separate"/>
        </w:r>
        <w:r>
          <w:rPr>
            <w:noProof/>
            <w:webHidden/>
          </w:rPr>
          <w:t>8</w:t>
        </w:r>
        <w:r>
          <w:rPr>
            <w:noProof/>
            <w:webHidden/>
          </w:rPr>
          <w:fldChar w:fldCharType="end"/>
        </w:r>
      </w:hyperlink>
    </w:p>
    <w:p w14:paraId="299AC11F" w14:textId="5B9C3B3F" w:rsidR="002C6239" w:rsidRPr="00D9168D" w:rsidRDefault="007D2DA6" w:rsidP="007D2DA6">
      <w:pPr>
        <w:pStyle w:val="Heading1"/>
        <w:rPr>
          <w:rFonts w:ascii="Arial" w:hAnsi="Arial" w:cs="Arial"/>
          <w:sz w:val="24"/>
          <w:szCs w:val="24"/>
        </w:rPr>
      </w:pPr>
      <w:r w:rsidRPr="00D9168D">
        <w:rPr>
          <w:rFonts w:ascii="Arial" w:hAnsi="Arial" w:cs="Arial"/>
          <w:sz w:val="24"/>
          <w:szCs w:val="24"/>
        </w:rPr>
        <w:fldChar w:fldCharType="end"/>
      </w:r>
    </w:p>
    <w:p w14:paraId="736F812D" w14:textId="77777777" w:rsidR="002C6239" w:rsidRPr="00D9168D" w:rsidRDefault="002C6239" w:rsidP="007D2DA6">
      <w:pPr>
        <w:pStyle w:val="Heading1"/>
        <w:rPr>
          <w:rFonts w:ascii="Arial" w:hAnsi="Arial" w:cs="Arial"/>
          <w:sz w:val="24"/>
          <w:szCs w:val="24"/>
        </w:rPr>
      </w:pPr>
    </w:p>
    <w:p w14:paraId="0FB64B27" w14:textId="77777777" w:rsidR="002C6239" w:rsidRPr="00D9168D" w:rsidRDefault="002C6239" w:rsidP="007D2DA6">
      <w:pPr>
        <w:pStyle w:val="Heading1"/>
        <w:rPr>
          <w:rFonts w:ascii="Arial" w:hAnsi="Arial" w:cs="Arial"/>
          <w:sz w:val="24"/>
          <w:szCs w:val="24"/>
        </w:rPr>
      </w:pPr>
    </w:p>
    <w:p w14:paraId="137C7CAD" w14:textId="77777777" w:rsidR="002C6239" w:rsidRPr="00D9168D" w:rsidRDefault="002C6239" w:rsidP="007D2DA6">
      <w:pPr>
        <w:pStyle w:val="Heading1"/>
        <w:rPr>
          <w:rFonts w:ascii="Arial" w:hAnsi="Arial" w:cs="Arial"/>
          <w:sz w:val="24"/>
          <w:szCs w:val="24"/>
        </w:rPr>
      </w:pPr>
    </w:p>
    <w:p w14:paraId="6BAF2362" w14:textId="77777777" w:rsidR="002C6239" w:rsidRPr="00D9168D" w:rsidRDefault="002C6239" w:rsidP="007D2DA6">
      <w:pPr>
        <w:pStyle w:val="Heading1"/>
        <w:rPr>
          <w:rFonts w:ascii="Arial" w:hAnsi="Arial" w:cs="Arial"/>
          <w:sz w:val="24"/>
          <w:szCs w:val="24"/>
        </w:rPr>
      </w:pPr>
    </w:p>
    <w:p w14:paraId="044BF8A8" w14:textId="77777777" w:rsidR="002C6239" w:rsidRPr="00D9168D" w:rsidRDefault="002C6239" w:rsidP="007D2DA6">
      <w:pPr>
        <w:pStyle w:val="Heading1"/>
        <w:rPr>
          <w:rFonts w:ascii="Arial" w:hAnsi="Arial" w:cs="Arial"/>
          <w:sz w:val="24"/>
          <w:szCs w:val="24"/>
        </w:rPr>
      </w:pPr>
    </w:p>
    <w:p w14:paraId="2448955C" w14:textId="77777777" w:rsidR="002C6239" w:rsidRDefault="002C6239" w:rsidP="007D2DA6">
      <w:pPr>
        <w:pStyle w:val="Heading1"/>
        <w:rPr>
          <w:rFonts w:ascii="Arial" w:hAnsi="Arial" w:cs="Arial"/>
          <w:sz w:val="24"/>
          <w:szCs w:val="24"/>
        </w:rPr>
      </w:pPr>
    </w:p>
    <w:p w14:paraId="5B19978A" w14:textId="77777777" w:rsidR="00D9168D" w:rsidRDefault="00D9168D" w:rsidP="00D9168D"/>
    <w:p w14:paraId="06EB25E3" w14:textId="77777777" w:rsidR="00D9168D" w:rsidRPr="00D9168D" w:rsidRDefault="00D9168D" w:rsidP="00D9168D"/>
    <w:p w14:paraId="06CC1340" w14:textId="77777777" w:rsidR="002C6239" w:rsidRPr="00D9168D" w:rsidRDefault="002C6239" w:rsidP="007D2DA6">
      <w:pPr>
        <w:pStyle w:val="Heading1"/>
        <w:rPr>
          <w:rFonts w:ascii="Arial" w:hAnsi="Arial" w:cs="Arial"/>
          <w:sz w:val="24"/>
          <w:szCs w:val="24"/>
        </w:rPr>
      </w:pPr>
    </w:p>
    <w:p w14:paraId="6DA22833" w14:textId="77777777" w:rsidR="002C6239" w:rsidRPr="00D9168D" w:rsidRDefault="002C6239" w:rsidP="002C6239">
      <w:pPr>
        <w:rPr>
          <w:rFonts w:ascii="Arial" w:hAnsi="Arial" w:cs="Arial"/>
        </w:rPr>
      </w:pPr>
    </w:p>
    <w:p w14:paraId="2198649F" w14:textId="77777777" w:rsidR="002C6239" w:rsidRPr="00D9168D" w:rsidRDefault="002C6239" w:rsidP="002C6239">
      <w:pPr>
        <w:rPr>
          <w:rFonts w:ascii="Arial" w:hAnsi="Arial" w:cs="Arial"/>
        </w:rPr>
      </w:pPr>
    </w:p>
    <w:p w14:paraId="6CD13DE1" w14:textId="4436D667" w:rsidR="00B552A5" w:rsidRPr="00D9168D" w:rsidRDefault="00B552A5" w:rsidP="00D9168D">
      <w:pPr>
        <w:pStyle w:val="Heading1"/>
      </w:pPr>
      <w:bookmarkStart w:id="1" w:name="_Toc225254712"/>
      <w:r w:rsidRPr="00D9168D">
        <w:lastRenderedPageBreak/>
        <w:t>Introduction</w:t>
      </w:r>
      <w:bookmarkEnd w:id="1"/>
    </w:p>
    <w:p w14:paraId="130B0B75" w14:textId="2C89B9CD" w:rsidR="003D7007" w:rsidRPr="00D9168D" w:rsidRDefault="003D7007" w:rsidP="00315E85">
      <w:pPr>
        <w:rPr>
          <w:rFonts w:ascii="Arial" w:hAnsi="Arial" w:cs="Arial"/>
        </w:rPr>
      </w:pPr>
      <w:r w:rsidRPr="00D9168D">
        <w:rPr>
          <w:rFonts w:ascii="Arial" w:hAnsi="Arial" w:cs="Arial"/>
        </w:rPr>
        <w:t xml:space="preserve">Human Resource Management (HRM) plays a pivotal role in enabling organisations </w:t>
      </w:r>
      <w:proofErr w:type="spellStart"/>
      <w:r w:rsidR="00D9168D">
        <w:rPr>
          <w:rFonts w:ascii="Arial" w:hAnsi="Arial" w:cs="Arial"/>
        </w:rPr>
        <w:t>reponse</w:t>
      </w:r>
      <w:proofErr w:type="spellEnd"/>
      <w:r w:rsidRPr="00D9168D">
        <w:rPr>
          <w:rFonts w:ascii="Arial" w:hAnsi="Arial" w:cs="Arial"/>
        </w:rPr>
        <w:t xml:space="preserve"> to </w:t>
      </w:r>
      <w:proofErr w:type="gramStart"/>
      <w:r w:rsidRPr="00D9168D">
        <w:rPr>
          <w:rFonts w:ascii="Arial" w:hAnsi="Arial" w:cs="Arial"/>
        </w:rPr>
        <w:t>changing</w:t>
      </w:r>
      <w:proofErr w:type="gramEnd"/>
      <w:r w:rsidRPr="00D9168D">
        <w:rPr>
          <w:rFonts w:ascii="Arial" w:hAnsi="Arial" w:cs="Arial"/>
        </w:rPr>
        <w:t xml:space="preserve"> business conditions and sustain long-term performance. In</w:t>
      </w:r>
      <w:r w:rsidR="00D9168D">
        <w:rPr>
          <w:rFonts w:ascii="Arial" w:hAnsi="Arial" w:cs="Arial"/>
        </w:rPr>
        <w:t xml:space="preserve"> </w:t>
      </w:r>
      <w:r w:rsidRPr="00D9168D">
        <w:rPr>
          <w:rFonts w:ascii="Arial" w:hAnsi="Arial" w:cs="Arial"/>
        </w:rPr>
        <w:t>contemporary business environment</w:t>
      </w:r>
      <w:r w:rsidR="00D9168D">
        <w:rPr>
          <w:rFonts w:ascii="Arial" w:hAnsi="Arial" w:cs="Arial"/>
        </w:rPr>
        <w:t>s</w:t>
      </w:r>
      <w:r w:rsidRPr="00D9168D">
        <w:rPr>
          <w:rFonts w:ascii="Arial" w:hAnsi="Arial" w:cs="Arial"/>
        </w:rPr>
        <w:t>, HR extends beyond traditional functions such as recruitment, training and employee relations to address wider strategic challenges</w:t>
      </w:r>
      <w:r w:rsidR="00D9168D">
        <w:rPr>
          <w:rFonts w:ascii="Arial" w:hAnsi="Arial" w:cs="Arial"/>
        </w:rPr>
        <w:t>.</w:t>
      </w:r>
    </w:p>
    <w:p w14:paraId="58F388A6" w14:textId="13934000" w:rsidR="00315E85" w:rsidRPr="00315E85" w:rsidRDefault="003D7007" w:rsidP="00315E85">
      <w:pPr>
        <w:rPr>
          <w:rFonts w:ascii="Arial" w:hAnsi="Arial" w:cs="Arial"/>
        </w:rPr>
      </w:pPr>
      <w:r w:rsidRPr="00D9168D">
        <w:rPr>
          <w:rFonts w:ascii="Arial" w:hAnsi="Arial" w:cs="Arial"/>
        </w:rPr>
        <w:t>This report examines these challenges in relation to Tesco plc, one of the UK’s largest retailers. It analyses the key factors associated with these issues, evaluates relevant contemporary HR practices, and critically assesses how departmental managers can support their effective implementation.</w:t>
      </w:r>
    </w:p>
    <w:p w14:paraId="2BE0BD08" w14:textId="180E705B" w:rsidR="00F23F91" w:rsidRPr="00D9168D" w:rsidRDefault="00EE408B" w:rsidP="00D9168D">
      <w:pPr>
        <w:pStyle w:val="Heading1"/>
      </w:pPr>
      <w:bookmarkStart w:id="2" w:name="_Toc225254713"/>
      <w:r w:rsidRPr="00D9168D">
        <w:t>Explanation of the Specific Factors Related to Technological Advancement, Talent Acquisition and Retention, and Diversity, Equity and Inclusion</w:t>
      </w:r>
      <w:bookmarkEnd w:id="2"/>
      <w:r w:rsidRPr="00D9168D">
        <w:t xml:space="preserve"> </w:t>
      </w:r>
    </w:p>
    <w:p w14:paraId="0985AC84" w14:textId="77777777" w:rsidR="00F23F91" w:rsidRPr="00F23F91" w:rsidRDefault="00F23F91" w:rsidP="00F23F91">
      <w:pPr>
        <w:rPr>
          <w:rFonts w:ascii="Arial" w:hAnsi="Arial" w:cs="Arial"/>
        </w:rPr>
      </w:pPr>
      <w:r w:rsidRPr="00F23F91">
        <w:rPr>
          <w:rFonts w:ascii="Arial" w:hAnsi="Arial" w:cs="Arial"/>
        </w:rPr>
        <w:t>HR departments in UK organisations face increasing pressure to respond to both internal and external change. For Tesco plc, these pressures are especially significant because it operates at scale, employs a large and diverse workforce, and competes in a fast-moving retail market. In this context, three key HR factors are technological advancement, talent acquisition and retention, and Diversity, Equity and Inclusion (DEI). Together, these factors shape workforce capability, employee engagement, service quality and long-term organisational performance.</w:t>
      </w:r>
    </w:p>
    <w:p w14:paraId="5BFBD05A" w14:textId="7E83BDEA" w:rsidR="003D7007" w:rsidRPr="00D9168D" w:rsidRDefault="00F23F91" w:rsidP="003D7007">
      <w:pPr>
        <w:rPr>
          <w:rFonts w:ascii="Arial" w:hAnsi="Arial" w:cs="Arial"/>
        </w:rPr>
      </w:pPr>
      <w:bookmarkStart w:id="3" w:name="_Toc225254714"/>
      <w:r w:rsidRPr="00F23F91">
        <w:rPr>
          <w:rStyle w:val="Heading2Char"/>
          <w:rFonts w:ascii="Arial" w:hAnsi="Arial" w:cs="Arial"/>
          <w:sz w:val="24"/>
          <w:szCs w:val="24"/>
        </w:rPr>
        <w:t>Technological advancement</w:t>
      </w:r>
      <w:bookmarkEnd w:id="3"/>
      <w:r w:rsidRPr="00F23F91">
        <w:rPr>
          <w:rFonts w:ascii="Arial" w:hAnsi="Arial" w:cs="Arial"/>
        </w:rPr>
        <w:br/>
      </w:r>
      <w:r w:rsidR="003D7007" w:rsidRPr="00D9168D">
        <w:rPr>
          <w:rFonts w:ascii="Arial" w:hAnsi="Arial" w:cs="Arial"/>
        </w:rPr>
        <w:t>Technological advancement is one of the most significant factors shaping HR management within Tesco. As a major UK retailer, Tesco increasingly relies on automation, online shopping platforms, digital stock systems, data analytics and self-service technologies to improve efficiency and customer experience. While these developments create opportunities for innovation and productivity, they also create workforce challenges. A key issue is the need for employees to develop new skills. As work becomes more technology-driven, Tesco requires employees who are digitally competent, adaptable and able to use changing systems effectively. This places pressure on HR to identify skills gaps and provide learning and development opportunities that help employees keep pace with technological change (Armstrong and Taylor, 2020).</w:t>
      </w:r>
    </w:p>
    <w:p w14:paraId="4486BADE" w14:textId="6F86DB8B" w:rsidR="00F23F91" w:rsidRPr="00F23F91" w:rsidRDefault="003D7007" w:rsidP="003D7007">
      <w:pPr>
        <w:rPr>
          <w:rFonts w:ascii="Arial" w:hAnsi="Arial" w:cs="Arial"/>
        </w:rPr>
      </w:pPr>
      <w:r w:rsidRPr="003D7007">
        <w:rPr>
          <w:rFonts w:ascii="Arial" w:hAnsi="Arial" w:cs="Arial"/>
        </w:rPr>
        <w:t xml:space="preserve">Technological advancement also alters job design. Routine tasks may be reduced through automation, while new roles emerge that require stronger technical, analytical and problem-solving skills. For Tesco, this can create uncertainty among employees, particularly where technological change is linked to job security concerns or changing performance expectations. HR therefore has an important role in </w:t>
      </w:r>
      <w:r w:rsidRPr="003D7007">
        <w:rPr>
          <w:rFonts w:ascii="Arial" w:hAnsi="Arial" w:cs="Arial"/>
        </w:rPr>
        <w:lastRenderedPageBreak/>
        <w:t>workforce planning, communication, retraining and supporting employees through organisational change (Boxall and Purcell, 2016).</w:t>
      </w:r>
    </w:p>
    <w:p w14:paraId="7FBBB5A7" w14:textId="77777777" w:rsidR="00F23F91" w:rsidRPr="00F23F91" w:rsidRDefault="00F23F91" w:rsidP="00F23F91">
      <w:pPr>
        <w:rPr>
          <w:rFonts w:ascii="Arial" w:hAnsi="Arial" w:cs="Arial"/>
        </w:rPr>
      </w:pPr>
      <w:bookmarkStart w:id="4" w:name="_Toc225254715"/>
      <w:r w:rsidRPr="00F23F91">
        <w:rPr>
          <w:rStyle w:val="Heading2Char"/>
          <w:rFonts w:ascii="Arial" w:hAnsi="Arial" w:cs="Arial"/>
          <w:sz w:val="24"/>
          <w:szCs w:val="24"/>
        </w:rPr>
        <w:t>Talent acquisition and retention</w:t>
      </w:r>
      <w:bookmarkEnd w:id="4"/>
      <w:r w:rsidRPr="00F23F91">
        <w:rPr>
          <w:rFonts w:ascii="Arial" w:hAnsi="Arial" w:cs="Arial"/>
        </w:rPr>
        <w:br/>
        <w:t>Talent acquisition and retention are also key concerns because Tesco depends on a stable and capable workforce to maintain customer service and operational effectiveness. Retail employment can involve shift work, workload pressures and limited progression in some roles, all of which can contribute to turnover. For a large employer such as Tesco, high turnover creates costs through repeated recruitment, training, disruption to teamwork and reduced service consistency.</w:t>
      </w:r>
    </w:p>
    <w:p w14:paraId="5F34D428" w14:textId="77777777" w:rsidR="00F23F91" w:rsidRPr="00F23F91" w:rsidRDefault="00F23F91" w:rsidP="00F23F91">
      <w:pPr>
        <w:rPr>
          <w:rFonts w:ascii="Arial" w:hAnsi="Arial" w:cs="Arial"/>
        </w:rPr>
      </w:pPr>
      <w:r w:rsidRPr="00F23F91">
        <w:rPr>
          <w:rFonts w:ascii="Arial" w:hAnsi="Arial" w:cs="Arial"/>
        </w:rPr>
        <w:t>Talent acquisition is increasingly shaped by the organisation’s attractiveness as an employer. While pay remains important, applicants are also influenced by career development opportunities, flexibility, workplace culture and organisational reputation. Tesco therefore needs HR strategies that position the organisation as an employer of choice while ensuring recruitment methods identify candidates whose skills and attitudes align with business needs. Retention is equally important because experienced employees contribute to stronger team performance, more reliable operations and better customer interactions. HR practices such as recognition, development opportunities, supportive leadership and fair reward systems are essential in reducing turnover and strengthening employee commitment (Armstrong and Taylor, 2020).</w:t>
      </w:r>
    </w:p>
    <w:p w14:paraId="08BBF28E" w14:textId="77777777" w:rsidR="00F23F91" w:rsidRPr="00F23F91" w:rsidRDefault="00F23F91" w:rsidP="00F23F91">
      <w:pPr>
        <w:rPr>
          <w:rFonts w:ascii="Arial" w:hAnsi="Arial" w:cs="Arial"/>
        </w:rPr>
      </w:pPr>
      <w:bookmarkStart w:id="5" w:name="_Toc225254716"/>
      <w:r w:rsidRPr="00F23F91">
        <w:rPr>
          <w:rStyle w:val="Heading2Char"/>
          <w:rFonts w:ascii="Arial" w:hAnsi="Arial" w:cs="Arial"/>
          <w:sz w:val="24"/>
          <w:szCs w:val="24"/>
        </w:rPr>
        <w:t>Diversity, Equity and Inclusion (DEI)</w:t>
      </w:r>
      <w:bookmarkEnd w:id="5"/>
      <w:r w:rsidRPr="00F23F91">
        <w:rPr>
          <w:rFonts w:ascii="Arial" w:hAnsi="Arial" w:cs="Arial"/>
        </w:rPr>
        <w:br/>
        <w:t>Diversity, Equity and Inclusion are central concerns for Tesco because it employs a large and varied workforce and serves a broad customer base across the UK. Diversity refers to differences within the workforce, including gender, ethnicity, age, disability, religion and social background. Equity focuses on fairness in access to opportunities, treatment and outcomes, while inclusion concerns whether employees feel respected, valued and able to contribute fully.</w:t>
      </w:r>
    </w:p>
    <w:p w14:paraId="2D54D3E8" w14:textId="77777777" w:rsidR="00F23F91" w:rsidRPr="00F23F91" w:rsidRDefault="00F23F91" w:rsidP="00F23F91">
      <w:pPr>
        <w:rPr>
          <w:rFonts w:ascii="Arial" w:hAnsi="Arial" w:cs="Arial"/>
        </w:rPr>
      </w:pPr>
      <w:r w:rsidRPr="00F23F91">
        <w:rPr>
          <w:rFonts w:ascii="Arial" w:hAnsi="Arial" w:cs="Arial"/>
        </w:rPr>
        <w:t>For Tesco, DEI is both an ethical and strategic issue. Ethically, the organisation is expected to provide equal opportunity and reduce discrimination. Strategically, a diverse and inclusive workforce can improve decision-making, strengthen collaboration and enhance understanding of customer needs. However, DEI cannot be achieved through policy statements alone. It requires fair recruitment and promotion systems, inclusive leadership and a workplace culture that supports progression. Professional guidance emphasises that equality, diversity and inclusion should be embedded in everyday management practice rather than treated as a separate initiative (</w:t>
      </w:r>
      <w:proofErr w:type="spellStart"/>
      <w:r w:rsidRPr="00F23F91">
        <w:rPr>
          <w:rFonts w:ascii="Arial" w:hAnsi="Arial" w:cs="Arial"/>
        </w:rPr>
        <w:t>Acas</w:t>
      </w:r>
      <w:proofErr w:type="spellEnd"/>
      <w:r w:rsidRPr="00F23F91">
        <w:rPr>
          <w:rFonts w:ascii="Arial" w:hAnsi="Arial" w:cs="Arial"/>
        </w:rPr>
        <w:t>, 2024).</w:t>
      </w:r>
    </w:p>
    <w:p w14:paraId="4C74B71C" w14:textId="541A063A" w:rsidR="00B51288" w:rsidRPr="00D9168D" w:rsidRDefault="00B51288" w:rsidP="00315E85">
      <w:pPr>
        <w:pStyle w:val="Heading1"/>
        <w:rPr>
          <w:rFonts w:ascii="Arial" w:hAnsi="Arial" w:cs="Arial"/>
          <w:sz w:val="24"/>
          <w:szCs w:val="24"/>
        </w:rPr>
      </w:pPr>
      <w:bookmarkStart w:id="6" w:name="_Toc225254717"/>
      <w:r w:rsidRPr="00D9168D">
        <w:rPr>
          <w:rFonts w:ascii="Arial" w:hAnsi="Arial" w:cs="Arial"/>
          <w:sz w:val="24"/>
          <w:szCs w:val="24"/>
        </w:rPr>
        <w:t>Evaluation of Contemporary HR Practices to Address the Identified Factors</w:t>
      </w:r>
      <w:bookmarkEnd w:id="6"/>
      <w:r w:rsidRPr="00D9168D">
        <w:rPr>
          <w:rFonts w:ascii="Arial" w:hAnsi="Arial" w:cs="Arial"/>
          <w:sz w:val="24"/>
          <w:szCs w:val="24"/>
        </w:rPr>
        <w:t xml:space="preserve"> </w:t>
      </w:r>
    </w:p>
    <w:p w14:paraId="182A5F07" w14:textId="3EA524DD" w:rsidR="003D7007" w:rsidRPr="00D9168D" w:rsidRDefault="00F23F91" w:rsidP="003D7007">
      <w:pPr>
        <w:rPr>
          <w:rFonts w:ascii="Arial" w:hAnsi="Arial" w:cs="Arial"/>
        </w:rPr>
      </w:pPr>
      <w:r w:rsidRPr="00D9168D">
        <w:rPr>
          <w:rFonts w:ascii="Arial" w:hAnsi="Arial" w:cs="Arial"/>
        </w:rPr>
        <w:t xml:space="preserve">Contemporary </w:t>
      </w:r>
      <w:r w:rsidR="003D7007" w:rsidRPr="00D9168D">
        <w:rPr>
          <w:rFonts w:ascii="Arial" w:hAnsi="Arial" w:cs="Arial"/>
        </w:rPr>
        <w:t xml:space="preserve">HR practices are essential in helping Tesco respond to technological change, labour market pressures and expectations around Diversity, Equity and Inclusion (DEI). As a major UK retailer, Tesco requires HR practices that address </w:t>
      </w:r>
      <w:r w:rsidR="003D7007" w:rsidRPr="00D9168D">
        <w:rPr>
          <w:rFonts w:ascii="Arial" w:hAnsi="Arial" w:cs="Arial"/>
        </w:rPr>
        <w:lastRenderedPageBreak/>
        <w:t>immediate staffing issues while strengthening long-term capability, flexibility and organisational performance. Tesco’s recent reporting highlights productivity, skills development and colleague inclusion, suggesting these priorities are embedded within wider business strategy rather than treated as isolated HR concerns (Tesco PLC, 2025b).</w:t>
      </w:r>
    </w:p>
    <w:p w14:paraId="2C8C4D36" w14:textId="08C090DA" w:rsidR="003D7007" w:rsidRPr="003D7007" w:rsidRDefault="003D7007" w:rsidP="003D7007">
      <w:pPr>
        <w:rPr>
          <w:rFonts w:ascii="Arial" w:hAnsi="Arial" w:cs="Arial"/>
        </w:rPr>
      </w:pPr>
      <w:r w:rsidRPr="003D7007">
        <w:rPr>
          <w:rFonts w:ascii="Arial" w:hAnsi="Arial" w:cs="Arial"/>
        </w:rPr>
        <w:t xml:space="preserve">To address technological advancement, one key contemporary HR practice is continuous digital learning and workforce upskilling. As Tesco becomes more reliant on automation, online, digital systems and data-led operations, employees must adapt to new technologies and working methods. Digital learning platforms, blended development programmes and structured skills training are valuable because they can be delivered efficiently across a large workforce. Tesco’s Sustainability Report highlights employability, skills, </w:t>
      </w:r>
      <w:r w:rsidR="009B22EF" w:rsidRPr="00D9168D">
        <w:rPr>
          <w:rFonts w:ascii="Arial" w:hAnsi="Arial" w:cs="Arial"/>
        </w:rPr>
        <w:t xml:space="preserve">and </w:t>
      </w:r>
      <w:r w:rsidRPr="003D7007">
        <w:rPr>
          <w:rFonts w:ascii="Arial" w:hAnsi="Arial" w:cs="Arial"/>
        </w:rPr>
        <w:t>internships, indicating that workforce capability is viewed as a strategic priority (Tesco PLC, 2025a). The main strength of this approach is that it improves adaptability and reduces the risk of skills becoming outdated. However, it is less effective if learning is too generic, poorly timed or left to self-directed completion. Digital upskilling is therefore most effective when linked to role requirements and reinforced by managers in practice.</w:t>
      </w:r>
    </w:p>
    <w:p w14:paraId="1D7AD6E7" w14:textId="52F9DD7F" w:rsidR="003D7007" w:rsidRPr="003D7007" w:rsidRDefault="003D7007" w:rsidP="003D7007">
      <w:pPr>
        <w:rPr>
          <w:rFonts w:ascii="Arial" w:hAnsi="Arial" w:cs="Arial"/>
        </w:rPr>
      </w:pPr>
      <w:r w:rsidRPr="003D7007">
        <w:rPr>
          <w:rFonts w:ascii="Arial" w:hAnsi="Arial" w:cs="Arial"/>
        </w:rPr>
        <w:t>A</w:t>
      </w:r>
      <w:r w:rsidR="009B22EF" w:rsidRPr="00D9168D">
        <w:rPr>
          <w:rFonts w:ascii="Arial" w:hAnsi="Arial" w:cs="Arial"/>
        </w:rPr>
        <w:t xml:space="preserve">nother </w:t>
      </w:r>
      <w:r w:rsidRPr="003D7007">
        <w:rPr>
          <w:rFonts w:ascii="Arial" w:hAnsi="Arial" w:cs="Arial"/>
        </w:rPr>
        <w:t>relevant HR practice is strategic workforce planning linked to reskilling and job redesign. This helps anticipate future skill needs rather than respond only after labour shortages or operational changes arise. Its main advantage is that it supports business continuity while reducing reliance on external recruitment. Tesco’s Annual Report highlights ongoing change in productivity, capability and operational delivery, making planned workforce adaptation particularly important (Tesco PLC, 2025b). However, the effectiveness of this practice depends on accurate forecasting and consistent implementation. If future requirements are misjudged, Tesco may invest in training that does not match operational need.</w:t>
      </w:r>
    </w:p>
    <w:p w14:paraId="0C931DEF" w14:textId="77777777" w:rsidR="003D7007" w:rsidRPr="003D7007" w:rsidRDefault="003D7007" w:rsidP="003D7007">
      <w:pPr>
        <w:rPr>
          <w:rFonts w:ascii="Arial" w:hAnsi="Arial" w:cs="Arial"/>
        </w:rPr>
      </w:pPr>
      <w:r w:rsidRPr="003D7007">
        <w:rPr>
          <w:rFonts w:ascii="Arial" w:hAnsi="Arial" w:cs="Arial"/>
        </w:rPr>
        <w:t>To address talent acquisition and retention, a widely used contemporary HR practice is employer branding supported by structured recruitment and development systems. In a competitive labour market, Tesco must present itself as an attractive employer by promoting career opportunities, development pathways, organisational values and a supportive working environment. Tesco’s Sustainability Report refers to employability programmes, apprenticeships and career-related opportunities, suggesting an effort to strengthen its appeal to current and prospective employees (Tesco PLC, 2025a). This can improve applicant quality and reduce avoidable turnover. However, employer branding is only credible when the employee experience reflects recruitment promises. If staff do not experience fair treatment, development or progression after joining, retention problems are likely to remain.</w:t>
      </w:r>
    </w:p>
    <w:p w14:paraId="02F00E47" w14:textId="77777777" w:rsidR="003D7007" w:rsidRPr="003D7007" w:rsidRDefault="003D7007" w:rsidP="003D7007">
      <w:pPr>
        <w:rPr>
          <w:rFonts w:ascii="Arial" w:hAnsi="Arial" w:cs="Arial"/>
        </w:rPr>
      </w:pPr>
      <w:r w:rsidRPr="003D7007">
        <w:rPr>
          <w:rFonts w:ascii="Arial" w:hAnsi="Arial" w:cs="Arial"/>
        </w:rPr>
        <w:t xml:space="preserve">Retention is also supported by career development, engagement and progression-focused practices. Mentoring, internal mobility, performance feedback and recognition can strengthen employee commitment by addressing limited perceived opportunity for growth. However, their success depends on fairness and consistency. </w:t>
      </w:r>
      <w:r w:rsidRPr="003D7007">
        <w:rPr>
          <w:rFonts w:ascii="Arial" w:hAnsi="Arial" w:cs="Arial"/>
        </w:rPr>
        <w:lastRenderedPageBreak/>
        <w:t>If access to development opportunities appears uneven, such practices may damage trust rather than improve commitment.</w:t>
      </w:r>
    </w:p>
    <w:p w14:paraId="0D7B75A1" w14:textId="604E8084" w:rsidR="002C6239" w:rsidRPr="002C6239" w:rsidRDefault="003D7007" w:rsidP="003D7007">
      <w:pPr>
        <w:rPr>
          <w:rFonts w:ascii="Arial" w:hAnsi="Arial" w:cs="Arial"/>
        </w:rPr>
      </w:pPr>
      <w:r w:rsidRPr="003D7007">
        <w:rPr>
          <w:rFonts w:ascii="Arial" w:hAnsi="Arial" w:cs="Arial"/>
        </w:rPr>
        <w:t xml:space="preserve">For DEI, one of the most effective contemporary HR practices is inclusive recruitment, promotion and workplace monitoring. </w:t>
      </w:r>
      <w:proofErr w:type="spellStart"/>
      <w:r w:rsidRPr="003D7007">
        <w:rPr>
          <w:rFonts w:ascii="Arial" w:hAnsi="Arial" w:cs="Arial"/>
        </w:rPr>
        <w:t>Acas</w:t>
      </w:r>
      <w:proofErr w:type="spellEnd"/>
      <w:r w:rsidRPr="003D7007">
        <w:rPr>
          <w:rFonts w:ascii="Arial" w:hAnsi="Arial" w:cs="Arial"/>
        </w:rPr>
        <w:t xml:space="preserve"> states that equality, diversity and inclusion can help employers attract and retain good staff, improve ideas and problem-solving, and better serve a diverse customer base (</w:t>
      </w:r>
      <w:proofErr w:type="spellStart"/>
      <w:r w:rsidRPr="003D7007">
        <w:rPr>
          <w:rFonts w:ascii="Arial" w:hAnsi="Arial" w:cs="Arial"/>
        </w:rPr>
        <w:t>Acas</w:t>
      </w:r>
      <w:proofErr w:type="spellEnd"/>
      <w:r w:rsidRPr="003D7007">
        <w:rPr>
          <w:rFonts w:ascii="Arial" w:hAnsi="Arial" w:cs="Arial"/>
        </w:rPr>
        <w:t xml:space="preserve">, 2024). This suggests that DEI has practical as well as ethical value. Structured interviews, clear promotion criteria, equality policies and monitoring systems can help reduce bias and improve transparency. </w:t>
      </w:r>
      <w:proofErr w:type="spellStart"/>
      <w:r w:rsidRPr="003D7007">
        <w:rPr>
          <w:rFonts w:ascii="Arial" w:hAnsi="Arial" w:cs="Arial"/>
        </w:rPr>
        <w:t>Acas</w:t>
      </w:r>
      <w:proofErr w:type="spellEnd"/>
      <w:r w:rsidRPr="003D7007">
        <w:rPr>
          <w:rFonts w:ascii="Arial" w:hAnsi="Arial" w:cs="Arial"/>
        </w:rPr>
        <w:t xml:space="preserve"> also stresses the importance of checking whether inclusion measures work in practice through surveys and monitoring data (</w:t>
      </w:r>
      <w:proofErr w:type="spellStart"/>
      <w:r w:rsidRPr="003D7007">
        <w:rPr>
          <w:rFonts w:ascii="Arial" w:hAnsi="Arial" w:cs="Arial"/>
        </w:rPr>
        <w:t>Acas</w:t>
      </w:r>
      <w:proofErr w:type="spellEnd"/>
      <w:r w:rsidRPr="003D7007">
        <w:rPr>
          <w:rFonts w:ascii="Arial" w:hAnsi="Arial" w:cs="Arial"/>
        </w:rPr>
        <w:t>, 2024). EHRC guidance similarly highlights the legal and organisational importance of fairness in recruitment, treatment, progression and workplace culture (EHRC, 2011). Tesco’s wider reporting also suggests that inclusion is being positioned as a strategic issue rather than a symbolic commitment (Tesco PLC, 2025a; Tesco PLC, 2025b). However, DEI practices are only fully effective when leaders reinforce them consistently through everyday decisions and behaviour.</w:t>
      </w:r>
    </w:p>
    <w:p w14:paraId="5E8C858E" w14:textId="45820E0A" w:rsidR="00CC5F6D" w:rsidRPr="00D9168D" w:rsidRDefault="00CC5F6D" w:rsidP="00D9168D">
      <w:pPr>
        <w:pStyle w:val="Heading1"/>
      </w:pPr>
      <w:bookmarkStart w:id="7" w:name="_Toc225254718"/>
      <w:r w:rsidRPr="00D9168D">
        <w:t>Critical Evaluation of How Departmental Managers Can Ensure These Contemporary HR Practices Are Implemented as a Matter of Urgency</w:t>
      </w:r>
      <w:bookmarkEnd w:id="7"/>
    </w:p>
    <w:p w14:paraId="3ECDE52E" w14:textId="3A7589FF" w:rsidR="002C6239" w:rsidRPr="00D9168D" w:rsidRDefault="002C6239" w:rsidP="002C6239">
      <w:pPr>
        <w:rPr>
          <w:rFonts w:ascii="Arial" w:hAnsi="Arial" w:cs="Arial"/>
        </w:rPr>
      </w:pPr>
      <w:r w:rsidRPr="00D9168D">
        <w:rPr>
          <w:rFonts w:ascii="Arial" w:hAnsi="Arial" w:cs="Arial"/>
        </w:rPr>
        <w:t xml:space="preserve">Departmental managers play a crucial role in ensuring that HR practices are implemented effectively at Tesco. A key issue in HRM is that well-designed policies at senior or HR level do not guarantee consistent implementation in daily operations. In practice, the success of HR initiatives depends heavily </w:t>
      </w:r>
      <w:proofErr w:type="gramStart"/>
      <w:r w:rsidRPr="00D9168D">
        <w:rPr>
          <w:rFonts w:ascii="Arial" w:hAnsi="Arial" w:cs="Arial"/>
        </w:rPr>
        <w:t>on line</w:t>
      </w:r>
      <w:proofErr w:type="gramEnd"/>
      <w:r w:rsidRPr="00D9168D">
        <w:rPr>
          <w:rFonts w:ascii="Arial" w:hAnsi="Arial" w:cs="Arial"/>
        </w:rPr>
        <w:t xml:space="preserve"> managers, as they translate formal policy into everyday supervision, communication and decision-making (Guest and Bos-Nehles, 2013; Purcell and Hutchinson, 2007). This is especially important at Tesco, where technological change, retention pressures and DEI expectations must be managed across a large and operationally demanding workforce.</w:t>
      </w:r>
    </w:p>
    <w:p w14:paraId="7BDDEDF9" w14:textId="3DE01B4F" w:rsidR="002C6239" w:rsidRPr="002C6239" w:rsidRDefault="003D7007" w:rsidP="002C6239">
      <w:pPr>
        <w:rPr>
          <w:rFonts w:ascii="Arial" w:hAnsi="Arial" w:cs="Arial"/>
        </w:rPr>
      </w:pPr>
      <w:r w:rsidRPr="00D9168D">
        <w:rPr>
          <w:rFonts w:ascii="Arial" w:hAnsi="Arial" w:cs="Arial"/>
        </w:rPr>
        <w:t>D</w:t>
      </w:r>
      <w:r w:rsidR="002C6239" w:rsidRPr="002C6239">
        <w:rPr>
          <w:rFonts w:ascii="Arial" w:hAnsi="Arial" w:cs="Arial"/>
        </w:rPr>
        <w:t>epartmental managers can ensure urgent implementation is by embedding HR priorities into everyday performance management. Rather than treating digital training, retention and inclusive practice as separate HR concerns, managers should integrate them into team objectives, review discussions and operational expectations. Purcell and Hutchinson (2007) argue that front-line managers are central to relationship</w:t>
      </w:r>
      <w:r w:rsidRPr="00D9168D">
        <w:rPr>
          <w:rFonts w:ascii="Arial" w:hAnsi="Arial" w:cs="Arial"/>
        </w:rPr>
        <w:t>s</w:t>
      </w:r>
      <w:r w:rsidR="002C6239" w:rsidRPr="002C6239">
        <w:rPr>
          <w:rFonts w:ascii="Arial" w:hAnsi="Arial" w:cs="Arial"/>
        </w:rPr>
        <w:t xml:space="preserve"> between HR practices and employee outcomes because their behaviour shapes how employees experience people management. </w:t>
      </w:r>
      <w:r w:rsidRPr="00D9168D">
        <w:rPr>
          <w:rFonts w:ascii="Arial" w:hAnsi="Arial" w:cs="Arial"/>
        </w:rPr>
        <w:t>Th</w:t>
      </w:r>
      <w:r w:rsidR="002C6239" w:rsidRPr="002C6239">
        <w:rPr>
          <w:rFonts w:ascii="Arial" w:hAnsi="Arial" w:cs="Arial"/>
        </w:rPr>
        <w:t xml:space="preserve">is means monitoring staff engagement with digital upskilling, applying fair recruitment processes, and providing regular feedback and development support. The strength of this approach is that it creates accountability and makes implementation visible. </w:t>
      </w:r>
      <w:r w:rsidR="002C6239" w:rsidRPr="002C6239">
        <w:rPr>
          <w:rFonts w:ascii="Arial" w:hAnsi="Arial" w:cs="Arial"/>
        </w:rPr>
        <w:lastRenderedPageBreak/>
        <w:t>However, it can become superficial if managers focus only on target completion rather than genuine improvements in behaviour and capability.</w:t>
      </w:r>
    </w:p>
    <w:p w14:paraId="0BFF689D" w14:textId="1C6E6219" w:rsidR="002C6239" w:rsidRPr="002C6239" w:rsidRDefault="002C6239" w:rsidP="002C6239">
      <w:pPr>
        <w:rPr>
          <w:rFonts w:ascii="Arial" w:hAnsi="Arial" w:cs="Arial"/>
        </w:rPr>
      </w:pPr>
      <w:r w:rsidRPr="002C6239">
        <w:rPr>
          <w:rFonts w:ascii="Arial" w:hAnsi="Arial" w:cs="Arial"/>
        </w:rPr>
        <w:t xml:space="preserve">Managers must also be properly equipped to implement HR practices effectively. Bos-Nehles, van </w:t>
      </w:r>
      <w:proofErr w:type="spellStart"/>
      <w:r w:rsidRPr="002C6239">
        <w:rPr>
          <w:rFonts w:ascii="Arial" w:hAnsi="Arial" w:cs="Arial"/>
        </w:rPr>
        <w:t>Riemsdijk</w:t>
      </w:r>
      <w:proofErr w:type="spellEnd"/>
      <w:r w:rsidRPr="002C6239">
        <w:rPr>
          <w:rFonts w:ascii="Arial" w:hAnsi="Arial" w:cs="Arial"/>
        </w:rPr>
        <w:t xml:space="preserve"> and </w:t>
      </w:r>
      <w:proofErr w:type="spellStart"/>
      <w:r w:rsidRPr="002C6239">
        <w:rPr>
          <w:rFonts w:ascii="Arial" w:hAnsi="Arial" w:cs="Arial"/>
        </w:rPr>
        <w:t>Looise</w:t>
      </w:r>
      <w:proofErr w:type="spellEnd"/>
      <w:r w:rsidRPr="002C6239">
        <w:rPr>
          <w:rFonts w:ascii="Arial" w:hAnsi="Arial" w:cs="Arial"/>
        </w:rPr>
        <w:t xml:space="preserve"> (2013) show that successful HR implementation depends on managers having the ability, motivation and opportunity to carry out these responsibilities. This is relevant to Tesco, as urgency cannot be achieved simply by expecting managers to act faster. They need the skills to manage recruitment, coaching, performance and inclusion issues, alongside sufficient time, resources and HR support. </w:t>
      </w:r>
      <w:r w:rsidR="009B22EF" w:rsidRPr="00D9168D">
        <w:rPr>
          <w:rFonts w:ascii="Arial" w:hAnsi="Arial" w:cs="Arial"/>
        </w:rPr>
        <w:t>If</w:t>
      </w:r>
      <w:r w:rsidRPr="002C6239">
        <w:rPr>
          <w:rFonts w:ascii="Arial" w:hAnsi="Arial" w:cs="Arial"/>
        </w:rPr>
        <w:t xml:space="preserve"> Tesco expects rapid implementation without strengthening managerial capability, outcomes are likely to vary across departments. In this sense, urgency without support may weaken rather than improve HR practice.</w:t>
      </w:r>
    </w:p>
    <w:p w14:paraId="605D0BF3" w14:textId="77777777" w:rsidR="002C6239" w:rsidRPr="002C6239" w:rsidRDefault="002C6239" w:rsidP="002C6239">
      <w:pPr>
        <w:rPr>
          <w:rFonts w:ascii="Arial" w:hAnsi="Arial" w:cs="Arial"/>
        </w:rPr>
      </w:pPr>
      <w:r w:rsidRPr="002C6239">
        <w:rPr>
          <w:rFonts w:ascii="Arial" w:hAnsi="Arial" w:cs="Arial"/>
        </w:rPr>
        <w:t>This argument is reinforced by Evans (2017), who found that role overload, ambiguity and conflict can reduce the consistency of HR implementation by front-line managers in retail settings. This is particularly relevant to Tesco, where departmental managers are likely to face staffing shortages, customer service pressures and productivity demands. Under such conditions, longer-term HR priorities such as development, retention and DEI may be overshadowed by immediate operational concerns. Therefore, if implementation is to happen as a matter of urgency, Tesco must not only assign responsibility to managers but also remove barriers to effective action. This may include clearer expectations, practical HR guidance, realistic spans of control and stronger follow-up from senior leaders.</w:t>
      </w:r>
    </w:p>
    <w:p w14:paraId="06AF632E" w14:textId="3757B2DD" w:rsidR="00CC5F6D" w:rsidRPr="00D9168D" w:rsidRDefault="002C6239" w:rsidP="002C6239">
      <w:pPr>
        <w:rPr>
          <w:rFonts w:ascii="Arial" w:hAnsi="Arial" w:cs="Arial"/>
        </w:rPr>
      </w:pPr>
      <w:r w:rsidRPr="002C6239">
        <w:rPr>
          <w:rFonts w:ascii="Arial" w:hAnsi="Arial" w:cs="Arial"/>
        </w:rPr>
        <w:t xml:space="preserve">Overall, departmental managers can promote urgent implementation by integrating HR priorities into daily management, monitoring outcomes and acting consistently. However, critical evaluation suggests that implementation will only be effective where managers are trained, supported and held accountable. At Tesco, urgency should therefore be understood not simply as speed, but as coordinated and well-supported managerial action that translates HR strategy into consistent workplace practice (Guest and Bos-Nehles, 2013; Bos-Nehles, van </w:t>
      </w:r>
      <w:proofErr w:type="spellStart"/>
      <w:r w:rsidRPr="002C6239">
        <w:rPr>
          <w:rFonts w:ascii="Arial" w:hAnsi="Arial" w:cs="Arial"/>
        </w:rPr>
        <w:t>Riemsdijk</w:t>
      </w:r>
      <w:proofErr w:type="spellEnd"/>
      <w:r w:rsidRPr="002C6239">
        <w:rPr>
          <w:rFonts w:ascii="Arial" w:hAnsi="Arial" w:cs="Arial"/>
        </w:rPr>
        <w:t xml:space="preserve"> and </w:t>
      </w:r>
      <w:proofErr w:type="spellStart"/>
      <w:r w:rsidRPr="002C6239">
        <w:rPr>
          <w:rFonts w:ascii="Arial" w:hAnsi="Arial" w:cs="Arial"/>
        </w:rPr>
        <w:t>Looise</w:t>
      </w:r>
      <w:proofErr w:type="spellEnd"/>
      <w:r w:rsidRPr="002C6239">
        <w:rPr>
          <w:rFonts w:ascii="Arial" w:hAnsi="Arial" w:cs="Arial"/>
        </w:rPr>
        <w:t>, 2013).</w:t>
      </w:r>
    </w:p>
    <w:p w14:paraId="0AF48130" w14:textId="5933E83B" w:rsidR="00F23F91" w:rsidRPr="00D9168D" w:rsidRDefault="00F23F91" w:rsidP="00D9168D">
      <w:pPr>
        <w:pStyle w:val="Heading1"/>
      </w:pPr>
      <w:bookmarkStart w:id="8" w:name="_Toc225254719"/>
      <w:r w:rsidRPr="00D9168D">
        <w:t>Recommendations</w:t>
      </w:r>
      <w:bookmarkEnd w:id="8"/>
    </w:p>
    <w:p w14:paraId="7D209473" w14:textId="77777777" w:rsidR="00F23F91" w:rsidRPr="00D9168D" w:rsidRDefault="00F23F91" w:rsidP="00F23F91">
      <w:pPr>
        <w:pStyle w:val="NormalWeb"/>
        <w:rPr>
          <w:rFonts w:ascii="Arial" w:hAnsi="Arial" w:cs="Arial"/>
        </w:rPr>
      </w:pPr>
      <w:r w:rsidRPr="00D9168D">
        <w:rPr>
          <w:rFonts w:ascii="Arial" w:hAnsi="Arial" w:cs="Arial"/>
        </w:rPr>
        <w:t>Tesco should strengthen role-specific digital upskilling to ensure that employees can respond effectively to ongoing technological change. Training should be aligned with operational needs, linked to workforce planning, and reinforced by line managers so that learning results in improved capability rather than simple completion of training activity (Tesco PLC, 2025a; Tesco PLC, 2025b).</w:t>
      </w:r>
    </w:p>
    <w:p w14:paraId="65EBEEE5" w14:textId="77777777" w:rsidR="00F23F91" w:rsidRPr="00D9168D" w:rsidRDefault="00F23F91" w:rsidP="00F23F91">
      <w:pPr>
        <w:pStyle w:val="NormalWeb"/>
        <w:rPr>
          <w:rFonts w:ascii="Arial" w:hAnsi="Arial" w:cs="Arial"/>
        </w:rPr>
      </w:pPr>
      <w:r w:rsidRPr="00D9168D">
        <w:rPr>
          <w:rFonts w:ascii="Arial" w:hAnsi="Arial" w:cs="Arial"/>
        </w:rPr>
        <w:t>Tesco should also improve retention through more structured career development and progression opportunities. Greater use of mentoring, internal mobility, feedback and recognition would help strengthen employee commitment, reduce avoidable turnover and support workforce stability over time (Armstrong and Taylor, 2020).</w:t>
      </w:r>
    </w:p>
    <w:p w14:paraId="62BF8DC4" w14:textId="17EAC124" w:rsidR="00F23F91" w:rsidRPr="00D9168D" w:rsidRDefault="00F23F91" w:rsidP="00F23F91">
      <w:pPr>
        <w:pStyle w:val="NormalWeb"/>
        <w:rPr>
          <w:rFonts w:ascii="Arial" w:hAnsi="Arial" w:cs="Arial"/>
        </w:rPr>
      </w:pPr>
      <w:r w:rsidRPr="00D9168D">
        <w:rPr>
          <w:rFonts w:ascii="Arial" w:hAnsi="Arial" w:cs="Arial"/>
        </w:rPr>
        <w:lastRenderedPageBreak/>
        <w:t>Finally, Tesco should embed Diversity, Equity and Inclusion more consistently through stronger managerial accountability. Departmental managers should be expected to apply fair recruitment, development and promotion practices, with outcomes monitored regularly to ensure that inclusion is reflected in everyday management rather than remaining only at policy level</w:t>
      </w:r>
      <w:r w:rsidRPr="00D9168D">
        <w:rPr>
          <w:rFonts w:ascii="Arial" w:hAnsi="Arial" w:cs="Arial"/>
        </w:rPr>
        <w:t>.</w:t>
      </w:r>
    </w:p>
    <w:p w14:paraId="7B8F7FE5" w14:textId="07742F70" w:rsidR="00F23F91" w:rsidRPr="00D9168D" w:rsidRDefault="00F23F91" w:rsidP="00D9168D">
      <w:pPr>
        <w:pStyle w:val="Heading1"/>
      </w:pPr>
      <w:bookmarkStart w:id="9" w:name="_Toc225254720"/>
      <w:r w:rsidRPr="00D9168D">
        <w:t>Conclusion</w:t>
      </w:r>
      <w:bookmarkEnd w:id="9"/>
    </w:p>
    <w:p w14:paraId="06C8962A" w14:textId="463966CF" w:rsidR="009B22EF" w:rsidRPr="00D9168D" w:rsidRDefault="009B22EF" w:rsidP="00B51288">
      <w:pPr>
        <w:rPr>
          <w:rFonts w:ascii="Arial" w:hAnsi="Arial" w:cs="Arial"/>
        </w:rPr>
      </w:pPr>
      <w:r w:rsidRPr="00D9168D">
        <w:rPr>
          <w:rFonts w:ascii="Arial" w:hAnsi="Arial" w:cs="Arial"/>
        </w:rPr>
        <w:t>In conclusion, Tesco’s HR function must respond strategically to technological advancement, talent acquisition and retention, and Diversity, Equity and Inclusion (DEI). These issues are significant because they affect workforce capability, employee commitment and Tesco’s ability to sustain service quality and long-term performance in a competitive retail environment (Armstrong and Taylor, 2020; Boxall and Purcell, 2016). Contemporary HR practices, including digital upskilling, workforce planning, career development and inclusive people management, offer practical means of addressing these challenges. However, their effectiveness depends not simply on policy design, but on consistent implementation, managerial capability and integration into everyday operations. Departmental managers are therefore central to translating HR strategy into practice through communication, performance management and accountability (Purcell and Hutchinson, 2007; Guest and Bos-Nehles, 2013). Ultimately, Tesco’s success depends on implementing HR practices in a consistent and strategic manner across the organisation.</w:t>
      </w:r>
    </w:p>
    <w:p w14:paraId="1585595B" w14:textId="77777777" w:rsidR="00D9168D" w:rsidRDefault="00D9168D" w:rsidP="00D9168D">
      <w:pPr>
        <w:pStyle w:val="Heading1"/>
      </w:pPr>
    </w:p>
    <w:p w14:paraId="1F736F30" w14:textId="77777777" w:rsidR="00D9168D" w:rsidRDefault="00D9168D" w:rsidP="00D9168D">
      <w:pPr>
        <w:pStyle w:val="Heading1"/>
      </w:pPr>
    </w:p>
    <w:p w14:paraId="6ECB011D" w14:textId="77777777" w:rsidR="00D9168D" w:rsidRDefault="00D9168D" w:rsidP="00D9168D">
      <w:pPr>
        <w:pStyle w:val="Heading1"/>
      </w:pPr>
    </w:p>
    <w:p w14:paraId="3246E694" w14:textId="77777777" w:rsidR="00D9168D" w:rsidRDefault="00D9168D" w:rsidP="00D9168D"/>
    <w:p w14:paraId="11FC140A" w14:textId="77777777" w:rsidR="00D9168D" w:rsidRDefault="00D9168D" w:rsidP="00D9168D"/>
    <w:p w14:paraId="32F3A265" w14:textId="77777777" w:rsidR="00D9168D" w:rsidRDefault="00D9168D" w:rsidP="00D9168D"/>
    <w:p w14:paraId="55E35BC1" w14:textId="77777777" w:rsidR="00D9168D" w:rsidRDefault="00D9168D" w:rsidP="00D9168D"/>
    <w:p w14:paraId="5DD14958" w14:textId="77777777" w:rsidR="00D9168D" w:rsidRDefault="00D9168D" w:rsidP="00D9168D"/>
    <w:p w14:paraId="73C131C8" w14:textId="77777777" w:rsidR="00D9168D" w:rsidRPr="00D9168D" w:rsidRDefault="00D9168D" w:rsidP="00D9168D"/>
    <w:p w14:paraId="35815D10" w14:textId="14E4AD61" w:rsidR="007D2DA6" w:rsidRPr="00D9168D" w:rsidRDefault="007D2DA6" w:rsidP="00D9168D">
      <w:pPr>
        <w:pStyle w:val="Heading1"/>
      </w:pPr>
      <w:bookmarkStart w:id="10" w:name="_Toc225254721"/>
      <w:r w:rsidRPr="00D9168D">
        <w:lastRenderedPageBreak/>
        <w:t>References</w:t>
      </w:r>
      <w:bookmarkEnd w:id="10"/>
    </w:p>
    <w:p w14:paraId="694F26F8" w14:textId="77777777" w:rsidR="002C6239" w:rsidRPr="002C6239" w:rsidRDefault="002C6239" w:rsidP="002C6239">
      <w:pPr>
        <w:rPr>
          <w:rFonts w:ascii="Arial" w:hAnsi="Arial" w:cs="Arial"/>
        </w:rPr>
      </w:pPr>
      <w:proofErr w:type="spellStart"/>
      <w:r w:rsidRPr="002C6239">
        <w:rPr>
          <w:rFonts w:ascii="Arial" w:hAnsi="Arial" w:cs="Arial"/>
        </w:rPr>
        <w:t>Acas</w:t>
      </w:r>
      <w:proofErr w:type="spellEnd"/>
      <w:r w:rsidRPr="002C6239">
        <w:rPr>
          <w:rFonts w:ascii="Arial" w:hAnsi="Arial" w:cs="Arial"/>
        </w:rPr>
        <w:t xml:space="preserve"> (2024) </w:t>
      </w:r>
      <w:r w:rsidRPr="002C6239">
        <w:rPr>
          <w:rFonts w:ascii="Arial" w:hAnsi="Arial" w:cs="Arial"/>
          <w:i/>
          <w:iCs/>
        </w:rPr>
        <w:t>Improving equality, diversity and inclusion</w:t>
      </w:r>
      <w:r w:rsidRPr="002C6239">
        <w:rPr>
          <w:rFonts w:ascii="Arial" w:hAnsi="Arial" w:cs="Arial"/>
        </w:rPr>
        <w:t>. London: Advisory, Conciliation and Arbitration Service.</w:t>
      </w:r>
    </w:p>
    <w:p w14:paraId="1C96DFF2" w14:textId="77777777" w:rsidR="002C6239" w:rsidRPr="002C6239" w:rsidRDefault="002C6239" w:rsidP="002C6239">
      <w:pPr>
        <w:rPr>
          <w:rFonts w:ascii="Arial" w:hAnsi="Arial" w:cs="Arial"/>
        </w:rPr>
      </w:pPr>
      <w:r w:rsidRPr="002C6239">
        <w:rPr>
          <w:rFonts w:ascii="Arial" w:hAnsi="Arial" w:cs="Arial"/>
        </w:rPr>
        <w:t xml:space="preserve">Armstrong, M. and Taylor, S. (2020) </w:t>
      </w:r>
      <w:r w:rsidRPr="002C6239">
        <w:rPr>
          <w:rFonts w:ascii="Arial" w:hAnsi="Arial" w:cs="Arial"/>
          <w:i/>
          <w:iCs/>
        </w:rPr>
        <w:t>Armstrong’s Handbook of Human Resource Management Practice</w:t>
      </w:r>
      <w:r w:rsidRPr="002C6239">
        <w:rPr>
          <w:rFonts w:ascii="Arial" w:hAnsi="Arial" w:cs="Arial"/>
        </w:rPr>
        <w:t xml:space="preserve">. 15th </w:t>
      </w:r>
      <w:proofErr w:type="spellStart"/>
      <w:r w:rsidRPr="002C6239">
        <w:rPr>
          <w:rFonts w:ascii="Arial" w:hAnsi="Arial" w:cs="Arial"/>
        </w:rPr>
        <w:t>edn</w:t>
      </w:r>
      <w:proofErr w:type="spellEnd"/>
      <w:r w:rsidRPr="002C6239">
        <w:rPr>
          <w:rFonts w:ascii="Arial" w:hAnsi="Arial" w:cs="Arial"/>
        </w:rPr>
        <w:t>. London: Kogan Page.</w:t>
      </w:r>
    </w:p>
    <w:p w14:paraId="631A174F" w14:textId="77777777" w:rsidR="002C6239" w:rsidRPr="002C6239" w:rsidRDefault="002C6239" w:rsidP="002C6239">
      <w:pPr>
        <w:rPr>
          <w:rFonts w:ascii="Arial" w:hAnsi="Arial" w:cs="Arial"/>
        </w:rPr>
      </w:pPr>
      <w:r w:rsidRPr="002C6239">
        <w:rPr>
          <w:rFonts w:ascii="Arial" w:hAnsi="Arial" w:cs="Arial"/>
        </w:rPr>
        <w:t xml:space="preserve">Bos-Nehles, A.C., van </w:t>
      </w:r>
      <w:proofErr w:type="spellStart"/>
      <w:r w:rsidRPr="002C6239">
        <w:rPr>
          <w:rFonts w:ascii="Arial" w:hAnsi="Arial" w:cs="Arial"/>
        </w:rPr>
        <w:t>Riemsdijk</w:t>
      </w:r>
      <w:proofErr w:type="spellEnd"/>
      <w:r w:rsidRPr="002C6239">
        <w:rPr>
          <w:rFonts w:ascii="Arial" w:hAnsi="Arial" w:cs="Arial"/>
        </w:rPr>
        <w:t xml:space="preserve">, M.J. and </w:t>
      </w:r>
      <w:proofErr w:type="spellStart"/>
      <w:r w:rsidRPr="002C6239">
        <w:rPr>
          <w:rFonts w:ascii="Arial" w:hAnsi="Arial" w:cs="Arial"/>
        </w:rPr>
        <w:t>Looise</w:t>
      </w:r>
      <w:proofErr w:type="spellEnd"/>
      <w:r w:rsidRPr="002C6239">
        <w:rPr>
          <w:rFonts w:ascii="Arial" w:hAnsi="Arial" w:cs="Arial"/>
        </w:rPr>
        <w:t xml:space="preserve">, J.K. (2013) ‘Employee perceptions of line management performance: applying the AMO theory to explain the effectiveness of line managers’ HRM implementation’, </w:t>
      </w:r>
      <w:r w:rsidRPr="002C6239">
        <w:rPr>
          <w:rFonts w:ascii="Arial" w:hAnsi="Arial" w:cs="Arial"/>
          <w:i/>
          <w:iCs/>
        </w:rPr>
        <w:t>Human Resource Management</w:t>
      </w:r>
      <w:r w:rsidRPr="002C6239">
        <w:rPr>
          <w:rFonts w:ascii="Arial" w:hAnsi="Arial" w:cs="Arial"/>
        </w:rPr>
        <w:t>, 52(6), pp. 861–877.</w:t>
      </w:r>
    </w:p>
    <w:p w14:paraId="7AFD2E14" w14:textId="77777777" w:rsidR="002C6239" w:rsidRPr="002C6239" w:rsidRDefault="002C6239" w:rsidP="002C6239">
      <w:pPr>
        <w:rPr>
          <w:rFonts w:ascii="Arial" w:hAnsi="Arial" w:cs="Arial"/>
        </w:rPr>
      </w:pPr>
      <w:r w:rsidRPr="002C6239">
        <w:rPr>
          <w:rFonts w:ascii="Arial" w:hAnsi="Arial" w:cs="Arial"/>
        </w:rPr>
        <w:t xml:space="preserve">Boxall, P. and Purcell, J. (2016) </w:t>
      </w:r>
      <w:r w:rsidRPr="002C6239">
        <w:rPr>
          <w:rFonts w:ascii="Arial" w:hAnsi="Arial" w:cs="Arial"/>
          <w:i/>
          <w:iCs/>
        </w:rPr>
        <w:t>Strategy and Human Resource Management</w:t>
      </w:r>
      <w:r w:rsidRPr="002C6239">
        <w:rPr>
          <w:rFonts w:ascii="Arial" w:hAnsi="Arial" w:cs="Arial"/>
        </w:rPr>
        <w:t xml:space="preserve">. 4th </w:t>
      </w:r>
      <w:proofErr w:type="spellStart"/>
      <w:r w:rsidRPr="002C6239">
        <w:rPr>
          <w:rFonts w:ascii="Arial" w:hAnsi="Arial" w:cs="Arial"/>
        </w:rPr>
        <w:t>edn</w:t>
      </w:r>
      <w:proofErr w:type="spellEnd"/>
      <w:r w:rsidRPr="002C6239">
        <w:rPr>
          <w:rFonts w:ascii="Arial" w:hAnsi="Arial" w:cs="Arial"/>
        </w:rPr>
        <w:t>. London: Palgrave Macmillan.</w:t>
      </w:r>
    </w:p>
    <w:p w14:paraId="5DDDA32F" w14:textId="77777777" w:rsidR="002C6239" w:rsidRPr="002C6239" w:rsidRDefault="002C6239" w:rsidP="002C6239">
      <w:pPr>
        <w:rPr>
          <w:rFonts w:ascii="Arial" w:hAnsi="Arial" w:cs="Arial"/>
        </w:rPr>
      </w:pPr>
      <w:r w:rsidRPr="002C6239">
        <w:rPr>
          <w:rFonts w:ascii="Arial" w:hAnsi="Arial" w:cs="Arial"/>
        </w:rPr>
        <w:t xml:space="preserve">EHRC (2011) </w:t>
      </w:r>
      <w:r w:rsidRPr="002C6239">
        <w:rPr>
          <w:rFonts w:ascii="Arial" w:hAnsi="Arial" w:cs="Arial"/>
          <w:i/>
          <w:iCs/>
        </w:rPr>
        <w:t>Equality Act 2010 Code of Practice on Employment</w:t>
      </w:r>
      <w:r w:rsidRPr="002C6239">
        <w:rPr>
          <w:rFonts w:ascii="Arial" w:hAnsi="Arial" w:cs="Arial"/>
        </w:rPr>
        <w:t>. Manchester: Equality and Human Rights Commission.</w:t>
      </w:r>
    </w:p>
    <w:p w14:paraId="1ACA2DE6" w14:textId="77777777" w:rsidR="002C6239" w:rsidRPr="002C6239" w:rsidRDefault="002C6239" w:rsidP="002C6239">
      <w:pPr>
        <w:rPr>
          <w:rFonts w:ascii="Arial" w:hAnsi="Arial" w:cs="Arial"/>
        </w:rPr>
      </w:pPr>
      <w:r w:rsidRPr="002C6239">
        <w:rPr>
          <w:rFonts w:ascii="Arial" w:hAnsi="Arial" w:cs="Arial"/>
        </w:rPr>
        <w:t xml:space="preserve">Evans, S. (2017) ‘HRM and </w:t>
      </w:r>
      <w:proofErr w:type="gramStart"/>
      <w:r w:rsidRPr="002C6239">
        <w:rPr>
          <w:rFonts w:ascii="Arial" w:hAnsi="Arial" w:cs="Arial"/>
        </w:rPr>
        <w:t>front line</w:t>
      </w:r>
      <w:proofErr w:type="gramEnd"/>
      <w:r w:rsidRPr="002C6239">
        <w:rPr>
          <w:rFonts w:ascii="Arial" w:hAnsi="Arial" w:cs="Arial"/>
        </w:rPr>
        <w:t xml:space="preserve"> managers: the influence of role stress’, </w:t>
      </w:r>
      <w:r w:rsidRPr="002C6239">
        <w:rPr>
          <w:rFonts w:ascii="Arial" w:hAnsi="Arial" w:cs="Arial"/>
          <w:i/>
          <w:iCs/>
        </w:rPr>
        <w:t>International Journal of Human Resource Management</w:t>
      </w:r>
      <w:r w:rsidRPr="002C6239">
        <w:rPr>
          <w:rFonts w:ascii="Arial" w:hAnsi="Arial" w:cs="Arial"/>
        </w:rPr>
        <w:t>, 28(22), pp. 3128–3148.</w:t>
      </w:r>
    </w:p>
    <w:p w14:paraId="594F92A4" w14:textId="77777777" w:rsidR="002C6239" w:rsidRPr="002C6239" w:rsidRDefault="002C6239" w:rsidP="002C6239">
      <w:pPr>
        <w:rPr>
          <w:rFonts w:ascii="Arial" w:hAnsi="Arial" w:cs="Arial"/>
        </w:rPr>
      </w:pPr>
      <w:r w:rsidRPr="002C6239">
        <w:rPr>
          <w:rFonts w:ascii="Arial" w:hAnsi="Arial" w:cs="Arial"/>
        </w:rPr>
        <w:t xml:space="preserve">Guest, D.E. and Bos-Nehles, A.C. (2013) ‘HRM and performance: the role of effective implementation’, in Paauwe, J., Guest, D.E. and Wright, P.M. (eds.) </w:t>
      </w:r>
      <w:r w:rsidRPr="002C6239">
        <w:rPr>
          <w:rFonts w:ascii="Arial" w:hAnsi="Arial" w:cs="Arial"/>
          <w:i/>
          <w:iCs/>
        </w:rPr>
        <w:t>HRM and Performance: Achievements and Challenges</w:t>
      </w:r>
      <w:r w:rsidRPr="002C6239">
        <w:rPr>
          <w:rFonts w:ascii="Arial" w:hAnsi="Arial" w:cs="Arial"/>
        </w:rPr>
        <w:t>. Chichester: Wiley-Blackwell, pp. 79–96.</w:t>
      </w:r>
    </w:p>
    <w:p w14:paraId="5CB97F5C" w14:textId="77777777" w:rsidR="002C6239" w:rsidRPr="002C6239" w:rsidRDefault="002C6239" w:rsidP="002C6239">
      <w:pPr>
        <w:rPr>
          <w:rFonts w:ascii="Arial" w:hAnsi="Arial" w:cs="Arial"/>
        </w:rPr>
      </w:pPr>
      <w:r w:rsidRPr="002C6239">
        <w:rPr>
          <w:rFonts w:ascii="Arial" w:hAnsi="Arial" w:cs="Arial"/>
        </w:rPr>
        <w:t xml:space="preserve">Purcell, J. and Hutchinson, S. (2007) ‘Front-line managers as agents in the HRM-performance causal chain: theory, analysis and evidence’, </w:t>
      </w:r>
      <w:r w:rsidRPr="002C6239">
        <w:rPr>
          <w:rFonts w:ascii="Arial" w:hAnsi="Arial" w:cs="Arial"/>
          <w:i/>
          <w:iCs/>
        </w:rPr>
        <w:t>Human Resource Management Journal</w:t>
      </w:r>
      <w:r w:rsidRPr="002C6239">
        <w:rPr>
          <w:rFonts w:ascii="Arial" w:hAnsi="Arial" w:cs="Arial"/>
        </w:rPr>
        <w:t>, 17(1), pp. 3–20.</w:t>
      </w:r>
    </w:p>
    <w:p w14:paraId="5357C7D5" w14:textId="77777777" w:rsidR="002C6239" w:rsidRPr="002C6239" w:rsidRDefault="002C6239" w:rsidP="002C6239">
      <w:pPr>
        <w:rPr>
          <w:rFonts w:ascii="Arial" w:hAnsi="Arial" w:cs="Arial"/>
        </w:rPr>
      </w:pPr>
      <w:r w:rsidRPr="002C6239">
        <w:rPr>
          <w:rFonts w:ascii="Arial" w:hAnsi="Arial" w:cs="Arial"/>
        </w:rPr>
        <w:t xml:space="preserve">Tesco PLC (2025a) </w:t>
      </w:r>
      <w:r w:rsidRPr="002C6239">
        <w:rPr>
          <w:rFonts w:ascii="Arial" w:hAnsi="Arial" w:cs="Arial"/>
          <w:i/>
          <w:iCs/>
        </w:rPr>
        <w:t>Sustainability Report 2025</w:t>
      </w:r>
      <w:r w:rsidRPr="002C6239">
        <w:rPr>
          <w:rFonts w:ascii="Arial" w:hAnsi="Arial" w:cs="Arial"/>
        </w:rPr>
        <w:t>. Welwyn Garden City: Tesco PLC.</w:t>
      </w:r>
    </w:p>
    <w:p w14:paraId="699A274B" w14:textId="77777777" w:rsidR="002C6239" w:rsidRPr="002C6239" w:rsidRDefault="002C6239" w:rsidP="002C6239">
      <w:pPr>
        <w:rPr>
          <w:rFonts w:ascii="Arial" w:hAnsi="Arial" w:cs="Arial"/>
        </w:rPr>
      </w:pPr>
      <w:r w:rsidRPr="002C6239">
        <w:rPr>
          <w:rFonts w:ascii="Arial" w:hAnsi="Arial" w:cs="Arial"/>
        </w:rPr>
        <w:t xml:space="preserve">Tesco PLC (2025b) </w:t>
      </w:r>
      <w:r w:rsidRPr="002C6239">
        <w:rPr>
          <w:rFonts w:ascii="Arial" w:hAnsi="Arial" w:cs="Arial"/>
          <w:i/>
          <w:iCs/>
        </w:rPr>
        <w:t>Annual Report and Financial Statements 2025</w:t>
      </w:r>
      <w:r w:rsidRPr="002C6239">
        <w:rPr>
          <w:rFonts w:ascii="Arial" w:hAnsi="Arial" w:cs="Arial"/>
        </w:rPr>
        <w:t>. Welwyn Garden City: Tesco PLC.</w:t>
      </w:r>
    </w:p>
    <w:p w14:paraId="7A10CBE9" w14:textId="77777777" w:rsidR="00EE408B" w:rsidRPr="00D9168D" w:rsidRDefault="00EE408B" w:rsidP="00EE408B">
      <w:pPr>
        <w:rPr>
          <w:rFonts w:ascii="Arial" w:hAnsi="Arial" w:cs="Arial"/>
        </w:rPr>
      </w:pPr>
    </w:p>
    <w:sectPr w:rsidR="00EE408B" w:rsidRPr="00D9168D" w:rsidSect="0090035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08B"/>
    <w:rsid w:val="002C6239"/>
    <w:rsid w:val="00315E85"/>
    <w:rsid w:val="003D7007"/>
    <w:rsid w:val="004B06BA"/>
    <w:rsid w:val="00526D31"/>
    <w:rsid w:val="00721056"/>
    <w:rsid w:val="007D2DA6"/>
    <w:rsid w:val="00900353"/>
    <w:rsid w:val="009B22EF"/>
    <w:rsid w:val="00B365F6"/>
    <w:rsid w:val="00B51288"/>
    <w:rsid w:val="00B552A5"/>
    <w:rsid w:val="00C010D1"/>
    <w:rsid w:val="00CC5F6D"/>
    <w:rsid w:val="00D9168D"/>
    <w:rsid w:val="00EE408B"/>
    <w:rsid w:val="00F23F91"/>
    <w:rsid w:val="00FA14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354AC"/>
  <w15:chartTrackingRefBased/>
  <w15:docId w15:val="{AB4F1071-D936-4F9F-BE86-061F298BA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0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E40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40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40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40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40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40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40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40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0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E40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40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40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40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40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40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40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408B"/>
    <w:rPr>
      <w:rFonts w:eastAsiaTheme="majorEastAsia" w:cstheme="majorBidi"/>
      <w:color w:val="272727" w:themeColor="text1" w:themeTint="D8"/>
    </w:rPr>
  </w:style>
  <w:style w:type="paragraph" w:styleId="Title">
    <w:name w:val="Title"/>
    <w:basedOn w:val="Normal"/>
    <w:next w:val="Normal"/>
    <w:link w:val="TitleChar"/>
    <w:uiPriority w:val="10"/>
    <w:qFormat/>
    <w:rsid w:val="00EE40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0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40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40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408B"/>
    <w:pPr>
      <w:spacing w:before="160"/>
      <w:jc w:val="center"/>
    </w:pPr>
    <w:rPr>
      <w:i/>
      <w:iCs/>
      <w:color w:val="404040" w:themeColor="text1" w:themeTint="BF"/>
    </w:rPr>
  </w:style>
  <w:style w:type="character" w:customStyle="1" w:styleId="QuoteChar">
    <w:name w:val="Quote Char"/>
    <w:basedOn w:val="DefaultParagraphFont"/>
    <w:link w:val="Quote"/>
    <w:uiPriority w:val="29"/>
    <w:rsid w:val="00EE408B"/>
    <w:rPr>
      <w:i/>
      <w:iCs/>
      <w:color w:val="404040" w:themeColor="text1" w:themeTint="BF"/>
    </w:rPr>
  </w:style>
  <w:style w:type="paragraph" w:styleId="ListParagraph">
    <w:name w:val="List Paragraph"/>
    <w:basedOn w:val="Normal"/>
    <w:uiPriority w:val="34"/>
    <w:qFormat/>
    <w:rsid w:val="00EE408B"/>
    <w:pPr>
      <w:ind w:left="720"/>
      <w:contextualSpacing/>
    </w:pPr>
  </w:style>
  <w:style w:type="character" w:styleId="IntenseEmphasis">
    <w:name w:val="Intense Emphasis"/>
    <w:basedOn w:val="DefaultParagraphFont"/>
    <w:uiPriority w:val="21"/>
    <w:qFormat/>
    <w:rsid w:val="00EE408B"/>
    <w:rPr>
      <w:i/>
      <w:iCs/>
      <w:color w:val="0F4761" w:themeColor="accent1" w:themeShade="BF"/>
    </w:rPr>
  </w:style>
  <w:style w:type="paragraph" w:styleId="IntenseQuote">
    <w:name w:val="Intense Quote"/>
    <w:basedOn w:val="Normal"/>
    <w:next w:val="Normal"/>
    <w:link w:val="IntenseQuoteChar"/>
    <w:uiPriority w:val="30"/>
    <w:qFormat/>
    <w:rsid w:val="00EE40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408B"/>
    <w:rPr>
      <w:i/>
      <w:iCs/>
      <w:color w:val="0F4761" w:themeColor="accent1" w:themeShade="BF"/>
    </w:rPr>
  </w:style>
  <w:style w:type="character" w:styleId="IntenseReference">
    <w:name w:val="Intense Reference"/>
    <w:basedOn w:val="DefaultParagraphFont"/>
    <w:uiPriority w:val="32"/>
    <w:qFormat/>
    <w:rsid w:val="00EE408B"/>
    <w:rPr>
      <w:b/>
      <w:bCs/>
      <w:smallCaps/>
      <w:color w:val="0F4761" w:themeColor="accent1" w:themeShade="BF"/>
      <w:spacing w:val="5"/>
    </w:rPr>
  </w:style>
  <w:style w:type="paragraph" w:styleId="TOC1">
    <w:name w:val="toc 1"/>
    <w:basedOn w:val="Normal"/>
    <w:next w:val="Normal"/>
    <w:autoRedefine/>
    <w:uiPriority w:val="39"/>
    <w:unhideWhenUsed/>
    <w:rsid w:val="007D2DA6"/>
    <w:pPr>
      <w:spacing w:after="100"/>
    </w:pPr>
  </w:style>
  <w:style w:type="paragraph" w:styleId="TOC2">
    <w:name w:val="toc 2"/>
    <w:basedOn w:val="Normal"/>
    <w:next w:val="Normal"/>
    <w:autoRedefine/>
    <w:uiPriority w:val="39"/>
    <w:unhideWhenUsed/>
    <w:rsid w:val="007D2DA6"/>
    <w:pPr>
      <w:spacing w:after="100"/>
      <w:ind w:left="240"/>
    </w:pPr>
  </w:style>
  <w:style w:type="character" w:styleId="Hyperlink">
    <w:name w:val="Hyperlink"/>
    <w:basedOn w:val="DefaultParagraphFont"/>
    <w:uiPriority w:val="99"/>
    <w:unhideWhenUsed/>
    <w:rsid w:val="007D2DA6"/>
    <w:rPr>
      <w:color w:val="467886" w:themeColor="hyperlink"/>
      <w:u w:val="single"/>
    </w:rPr>
  </w:style>
  <w:style w:type="paragraph" w:styleId="NormalWeb">
    <w:name w:val="Normal (Web)"/>
    <w:basedOn w:val="Normal"/>
    <w:uiPriority w:val="99"/>
    <w:unhideWhenUsed/>
    <w:rsid w:val="002C623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link w:val="NoSpacingChar"/>
    <w:uiPriority w:val="1"/>
    <w:qFormat/>
    <w:rsid w:val="0090035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00353"/>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5BA31-0A3C-46C7-8EC6-4A3C3D186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2827</Words>
  <Characters>16117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Razzaque (2126598)</dc:creator>
  <cp:keywords/>
  <dc:description/>
  <cp:lastModifiedBy>Mohammed Razzaque (2126598)</cp:lastModifiedBy>
  <cp:revision>3</cp:revision>
  <dcterms:created xsi:type="dcterms:W3CDTF">2026-03-24T14:22:00Z</dcterms:created>
  <dcterms:modified xsi:type="dcterms:W3CDTF">2026-03-24T14:28:00Z</dcterms:modified>
</cp:coreProperties>
</file>