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C231F" w14:textId="77777777" w:rsidR="004120C9" w:rsidRPr="00801845" w:rsidRDefault="004120C9">
      <w:pPr>
        <w:rPr>
          <w:sz w:val="28"/>
          <w:szCs w:val="28"/>
        </w:rPr>
      </w:pPr>
    </w:p>
    <w:p w14:paraId="1A945DEB" w14:textId="77777777" w:rsidR="00864A7B" w:rsidRPr="00801845" w:rsidRDefault="00864A7B">
      <w:pPr>
        <w:rPr>
          <w:b/>
          <w:bCs/>
          <w:sz w:val="28"/>
          <w:szCs w:val="28"/>
        </w:rPr>
      </w:pPr>
    </w:p>
    <w:p w14:paraId="61E4C419" w14:textId="569993BE" w:rsidR="00864A7B" w:rsidRPr="00801845" w:rsidRDefault="00864A7B">
      <w:pPr>
        <w:rPr>
          <w:rFonts w:ascii="Arial" w:hAnsi="Arial" w:cs="Arial"/>
          <w:b/>
          <w:bCs/>
          <w:sz w:val="28"/>
          <w:szCs w:val="28"/>
        </w:rPr>
      </w:pPr>
      <w:r w:rsidRPr="00801845">
        <w:rPr>
          <w:rFonts w:ascii="Arial" w:hAnsi="Arial" w:cs="Arial"/>
          <w:b/>
          <w:bCs/>
          <w:sz w:val="28"/>
          <w:szCs w:val="28"/>
        </w:rPr>
        <w:t>Student Name: Ekos Adamu</w:t>
      </w:r>
    </w:p>
    <w:p w14:paraId="5D378155" w14:textId="49151AA9" w:rsidR="00864A7B" w:rsidRPr="00801845" w:rsidRDefault="00864A7B">
      <w:pPr>
        <w:rPr>
          <w:rFonts w:ascii="Arial" w:hAnsi="Arial" w:cs="Arial"/>
          <w:b/>
          <w:bCs/>
          <w:sz w:val="28"/>
          <w:szCs w:val="28"/>
        </w:rPr>
      </w:pPr>
      <w:r w:rsidRPr="00801845">
        <w:rPr>
          <w:rFonts w:ascii="Arial" w:hAnsi="Arial" w:cs="Arial"/>
          <w:b/>
          <w:bCs/>
          <w:sz w:val="28"/>
          <w:szCs w:val="28"/>
        </w:rPr>
        <w:t>Student Number: 2016551</w:t>
      </w:r>
    </w:p>
    <w:p w14:paraId="738A7DF4" w14:textId="506DCAC1" w:rsidR="00864A7B" w:rsidRPr="00801845" w:rsidRDefault="00864A7B">
      <w:pPr>
        <w:rPr>
          <w:rFonts w:ascii="Arial" w:hAnsi="Arial" w:cs="Arial"/>
          <w:b/>
          <w:bCs/>
          <w:sz w:val="28"/>
          <w:szCs w:val="28"/>
        </w:rPr>
      </w:pPr>
      <w:r w:rsidRPr="00801845">
        <w:rPr>
          <w:rFonts w:ascii="Arial" w:hAnsi="Arial" w:cs="Arial"/>
          <w:b/>
          <w:bCs/>
          <w:sz w:val="28"/>
          <w:szCs w:val="28"/>
        </w:rPr>
        <w:t xml:space="preserve">Programme: </w:t>
      </w:r>
      <w:r w:rsidR="00C95DA1" w:rsidRPr="00801845">
        <w:rPr>
          <w:rFonts w:ascii="Arial" w:hAnsi="Arial" w:cs="Arial"/>
          <w:b/>
          <w:bCs/>
          <w:sz w:val="28"/>
          <w:szCs w:val="28"/>
        </w:rPr>
        <w:t>BSc (Hons) Health and social care</w:t>
      </w:r>
    </w:p>
    <w:p w14:paraId="284E5BCA" w14:textId="1B8DD41B" w:rsidR="00864A7B" w:rsidRPr="00801845" w:rsidRDefault="00864A7B">
      <w:pPr>
        <w:rPr>
          <w:rFonts w:ascii="Arial" w:hAnsi="Arial" w:cs="Arial"/>
          <w:b/>
          <w:bCs/>
          <w:sz w:val="28"/>
          <w:szCs w:val="28"/>
        </w:rPr>
      </w:pPr>
      <w:r w:rsidRPr="00801845">
        <w:rPr>
          <w:rFonts w:ascii="Arial" w:hAnsi="Arial" w:cs="Arial"/>
          <w:b/>
          <w:bCs/>
          <w:sz w:val="28"/>
          <w:szCs w:val="28"/>
        </w:rPr>
        <w:t>Module code:</w:t>
      </w:r>
      <w:r w:rsidR="00725FC2" w:rsidRPr="00801845">
        <w:rPr>
          <w:rFonts w:ascii="Arial" w:hAnsi="Arial" w:cs="Arial"/>
          <w:b/>
          <w:bCs/>
          <w:sz w:val="28"/>
          <w:szCs w:val="28"/>
        </w:rPr>
        <w:t xml:space="preserve"> BMHP6030</w:t>
      </w:r>
    </w:p>
    <w:p w14:paraId="7CCC8D00" w14:textId="375DE4A4" w:rsidR="00864A7B" w:rsidRPr="00801845" w:rsidRDefault="00864A7B">
      <w:pPr>
        <w:rPr>
          <w:rFonts w:ascii="Arial" w:hAnsi="Arial" w:cs="Arial"/>
          <w:b/>
          <w:bCs/>
          <w:sz w:val="28"/>
          <w:szCs w:val="28"/>
        </w:rPr>
      </w:pPr>
      <w:r w:rsidRPr="00801845">
        <w:rPr>
          <w:rFonts w:ascii="Arial" w:hAnsi="Arial" w:cs="Arial"/>
          <w:b/>
          <w:bCs/>
          <w:sz w:val="28"/>
          <w:szCs w:val="28"/>
        </w:rPr>
        <w:t>Lecturer:</w:t>
      </w:r>
      <w:r w:rsidR="00725FC2" w:rsidRPr="00801845">
        <w:rPr>
          <w:rFonts w:ascii="Arial" w:hAnsi="Arial" w:cs="Arial"/>
          <w:b/>
          <w:bCs/>
          <w:sz w:val="28"/>
          <w:szCs w:val="28"/>
        </w:rPr>
        <w:t xml:space="preserve"> Parese Ahmed</w:t>
      </w:r>
    </w:p>
    <w:p w14:paraId="517F1C15" w14:textId="4CD67B17" w:rsidR="00864A7B" w:rsidRPr="00801845" w:rsidRDefault="00864A7B">
      <w:pPr>
        <w:rPr>
          <w:rFonts w:ascii="Arial" w:hAnsi="Arial" w:cs="Arial"/>
          <w:b/>
          <w:bCs/>
          <w:sz w:val="28"/>
          <w:szCs w:val="28"/>
        </w:rPr>
      </w:pPr>
      <w:r w:rsidRPr="00801845">
        <w:rPr>
          <w:rFonts w:ascii="Arial" w:hAnsi="Arial" w:cs="Arial"/>
          <w:b/>
          <w:bCs/>
          <w:sz w:val="28"/>
          <w:szCs w:val="28"/>
        </w:rPr>
        <w:t>Assignment Title:</w:t>
      </w:r>
      <w:r w:rsidR="00725FC2" w:rsidRPr="00801845">
        <w:rPr>
          <w:rFonts w:ascii="Arial" w:hAnsi="Arial" w:cs="Arial"/>
          <w:b/>
          <w:bCs/>
          <w:sz w:val="28"/>
          <w:szCs w:val="28"/>
        </w:rPr>
        <w:t xml:space="preserve"> </w:t>
      </w:r>
      <w:r w:rsidR="00EE1695" w:rsidRPr="00801845">
        <w:rPr>
          <w:rFonts w:ascii="Arial" w:hAnsi="Arial" w:cs="Arial"/>
          <w:b/>
          <w:bCs/>
          <w:sz w:val="28"/>
          <w:szCs w:val="28"/>
        </w:rPr>
        <w:t xml:space="preserve">Component 2, Assignment </w:t>
      </w:r>
      <w:r w:rsidR="00616B00" w:rsidRPr="00801845">
        <w:rPr>
          <w:rFonts w:ascii="Arial" w:hAnsi="Arial" w:cs="Arial"/>
          <w:b/>
          <w:bCs/>
          <w:sz w:val="28"/>
          <w:szCs w:val="28"/>
        </w:rPr>
        <w:t xml:space="preserve">Final </w:t>
      </w:r>
      <w:r w:rsidR="00E12617" w:rsidRPr="00801845">
        <w:rPr>
          <w:rFonts w:ascii="Arial" w:hAnsi="Arial" w:cs="Arial"/>
          <w:b/>
          <w:bCs/>
          <w:sz w:val="28"/>
          <w:szCs w:val="28"/>
        </w:rPr>
        <w:t>R</w:t>
      </w:r>
      <w:r w:rsidR="00EE1695" w:rsidRPr="00801845">
        <w:rPr>
          <w:rFonts w:ascii="Arial" w:hAnsi="Arial" w:cs="Arial"/>
          <w:b/>
          <w:bCs/>
          <w:sz w:val="28"/>
          <w:szCs w:val="28"/>
        </w:rPr>
        <w:t>eport.</w:t>
      </w:r>
    </w:p>
    <w:p w14:paraId="44315F5B" w14:textId="77777777" w:rsidR="00864A7B" w:rsidRPr="00801845" w:rsidRDefault="00864A7B">
      <w:pPr>
        <w:rPr>
          <w:sz w:val="28"/>
          <w:szCs w:val="28"/>
        </w:rPr>
      </w:pPr>
    </w:p>
    <w:p w14:paraId="36FB67BA" w14:textId="77777777" w:rsidR="00573D71" w:rsidRPr="00801845" w:rsidRDefault="00573D71">
      <w:pPr>
        <w:rPr>
          <w:sz w:val="28"/>
          <w:szCs w:val="28"/>
        </w:rPr>
      </w:pPr>
    </w:p>
    <w:p w14:paraId="23BE4277" w14:textId="77777777" w:rsidR="00573D71" w:rsidRPr="00801845" w:rsidRDefault="00573D71">
      <w:pPr>
        <w:rPr>
          <w:sz w:val="28"/>
          <w:szCs w:val="28"/>
        </w:rPr>
      </w:pPr>
    </w:p>
    <w:p w14:paraId="459068A3" w14:textId="77777777" w:rsidR="00573D71" w:rsidRPr="00801845" w:rsidRDefault="00573D71">
      <w:pPr>
        <w:rPr>
          <w:sz w:val="28"/>
          <w:szCs w:val="28"/>
        </w:rPr>
      </w:pPr>
    </w:p>
    <w:p w14:paraId="53D477AE" w14:textId="77777777" w:rsidR="00573D71" w:rsidRDefault="00573D71">
      <w:pPr>
        <w:rPr>
          <w:sz w:val="22"/>
          <w:szCs w:val="22"/>
        </w:rPr>
      </w:pPr>
    </w:p>
    <w:p w14:paraId="35B43068" w14:textId="77777777" w:rsidR="00573D71" w:rsidRDefault="00573D71">
      <w:pPr>
        <w:rPr>
          <w:sz w:val="22"/>
          <w:szCs w:val="22"/>
        </w:rPr>
      </w:pPr>
    </w:p>
    <w:p w14:paraId="2AF17592" w14:textId="77777777" w:rsidR="00573D71" w:rsidRDefault="00573D71">
      <w:pPr>
        <w:rPr>
          <w:sz w:val="22"/>
          <w:szCs w:val="22"/>
        </w:rPr>
      </w:pPr>
    </w:p>
    <w:p w14:paraId="615E7AF0" w14:textId="77777777" w:rsidR="00573D71" w:rsidRDefault="00573D71">
      <w:pPr>
        <w:rPr>
          <w:sz w:val="22"/>
          <w:szCs w:val="22"/>
        </w:rPr>
      </w:pPr>
    </w:p>
    <w:p w14:paraId="77E988DA" w14:textId="77777777" w:rsidR="00573D71" w:rsidRDefault="00573D71">
      <w:pPr>
        <w:rPr>
          <w:sz w:val="22"/>
          <w:szCs w:val="22"/>
        </w:rPr>
      </w:pPr>
    </w:p>
    <w:p w14:paraId="4AAAE3D3" w14:textId="77777777" w:rsidR="00573D71" w:rsidRDefault="00573D71">
      <w:pPr>
        <w:rPr>
          <w:sz w:val="22"/>
          <w:szCs w:val="22"/>
        </w:rPr>
      </w:pPr>
    </w:p>
    <w:p w14:paraId="3B89DE8F" w14:textId="77777777" w:rsidR="00573D71" w:rsidRDefault="00573D71">
      <w:pPr>
        <w:rPr>
          <w:sz w:val="22"/>
          <w:szCs w:val="22"/>
        </w:rPr>
      </w:pPr>
    </w:p>
    <w:p w14:paraId="340F756E" w14:textId="77777777" w:rsidR="00573D71" w:rsidRDefault="00573D71">
      <w:pPr>
        <w:rPr>
          <w:sz w:val="22"/>
          <w:szCs w:val="22"/>
        </w:rPr>
      </w:pPr>
    </w:p>
    <w:p w14:paraId="642625F2" w14:textId="77777777" w:rsidR="00573D71" w:rsidRDefault="00573D71">
      <w:pPr>
        <w:rPr>
          <w:sz w:val="22"/>
          <w:szCs w:val="22"/>
        </w:rPr>
      </w:pPr>
    </w:p>
    <w:p w14:paraId="2D81E90D" w14:textId="77777777" w:rsidR="00573D71" w:rsidRDefault="00573D71">
      <w:pPr>
        <w:rPr>
          <w:sz w:val="22"/>
          <w:szCs w:val="22"/>
        </w:rPr>
      </w:pPr>
    </w:p>
    <w:p w14:paraId="1D39CE34" w14:textId="77777777" w:rsidR="00573D71" w:rsidRDefault="00573D71">
      <w:pPr>
        <w:rPr>
          <w:sz w:val="22"/>
          <w:szCs w:val="22"/>
        </w:rPr>
      </w:pPr>
    </w:p>
    <w:p w14:paraId="4DD06AC9" w14:textId="77777777" w:rsidR="00573D71" w:rsidRDefault="00573D71">
      <w:pPr>
        <w:rPr>
          <w:sz w:val="22"/>
          <w:szCs w:val="22"/>
        </w:rPr>
      </w:pPr>
    </w:p>
    <w:p w14:paraId="683CD30E" w14:textId="77777777" w:rsidR="00573D71" w:rsidRDefault="00573D71">
      <w:pPr>
        <w:rPr>
          <w:sz w:val="22"/>
          <w:szCs w:val="22"/>
        </w:rPr>
      </w:pPr>
    </w:p>
    <w:p w14:paraId="593D2F47" w14:textId="77777777" w:rsidR="00573D71" w:rsidRDefault="00573D71">
      <w:pPr>
        <w:rPr>
          <w:sz w:val="22"/>
          <w:szCs w:val="22"/>
        </w:rPr>
      </w:pPr>
    </w:p>
    <w:p w14:paraId="40458DF7" w14:textId="77777777" w:rsidR="00573D71" w:rsidRDefault="00573D71">
      <w:pPr>
        <w:rPr>
          <w:sz w:val="22"/>
          <w:szCs w:val="22"/>
        </w:rPr>
      </w:pPr>
    </w:p>
    <w:p w14:paraId="2C3560EF" w14:textId="77777777" w:rsidR="00573D71" w:rsidRDefault="00573D71">
      <w:pPr>
        <w:rPr>
          <w:sz w:val="22"/>
          <w:szCs w:val="22"/>
        </w:rPr>
      </w:pPr>
    </w:p>
    <w:p w14:paraId="63989EE4" w14:textId="77777777" w:rsidR="00573D71" w:rsidRDefault="00573D71">
      <w:pPr>
        <w:rPr>
          <w:sz w:val="22"/>
          <w:szCs w:val="22"/>
        </w:rPr>
      </w:pPr>
    </w:p>
    <w:p w14:paraId="3B8E62C7" w14:textId="77777777" w:rsidR="00573D71" w:rsidRDefault="00573D71" w:rsidP="00FE1C46">
      <w:pPr>
        <w:spacing w:line="360" w:lineRule="auto"/>
        <w:jc w:val="both"/>
        <w:rPr>
          <w:sz w:val="22"/>
          <w:szCs w:val="22"/>
        </w:rPr>
      </w:pPr>
    </w:p>
    <w:p w14:paraId="2476F933" w14:textId="54F86BC6" w:rsidR="00C4455A" w:rsidRDefault="00573D71" w:rsidP="00FE1C46">
      <w:pPr>
        <w:spacing w:line="360" w:lineRule="auto"/>
        <w:jc w:val="both"/>
        <w:rPr>
          <w:rFonts w:ascii="Arial" w:hAnsi="Arial" w:cs="Arial"/>
          <w:b/>
          <w:bCs/>
          <w:sz w:val="22"/>
          <w:szCs w:val="22"/>
        </w:rPr>
      </w:pPr>
      <w:r w:rsidRPr="00B73900">
        <w:rPr>
          <w:rFonts w:ascii="Arial" w:hAnsi="Arial" w:cs="Arial"/>
          <w:b/>
          <w:bCs/>
          <w:sz w:val="22"/>
          <w:szCs w:val="22"/>
        </w:rPr>
        <w:t>Table of Contents                                                                                                  Page</w:t>
      </w:r>
    </w:p>
    <w:p w14:paraId="3E8D9268" w14:textId="77777777" w:rsidR="00FE1C46" w:rsidRPr="00FE1C46" w:rsidRDefault="00FE1C46" w:rsidP="00FE1C46">
      <w:pPr>
        <w:spacing w:line="360" w:lineRule="auto"/>
        <w:jc w:val="both"/>
        <w:rPr>
          <w:rFonts w:ascii="Arial" w:hAnsi="Arial" w:cs="Arial"/>
          <w:b/>
          <w:bCs/>
          <w:sz w:val="22"/>
          <w:szCs w:val="22"/>
        </w:rPr>
      </w:pPr>
    </w:p>
    <w:p w14:paraId="52ED4C71" w14:textId="49EA8BBC" w:rsidR="00B1383D" w:rsidRPr="00801845" w:rsidRDefault="00F25929" w:rsidP="00FE1C46">
      <w:pPr>
        <w:spacing w:line="360" w:lineRule="auto"/>
        <w:jc w:val="both"/>
        <w:rPr>
          <w:rFonts w:ascii="Arial" w:hAnsi="Arial" w:cs="Arial"/>
          <w:sz w:val="22"/>
          <w:szCs w:val="22"/>
        </w:rPr>
      </w:pPr>
      <w:r w:rsidRPr="00801845">
        <w:rPr>
          <w:rFonts w:ascii="Arial" w:hAnsi="Arial" w:cs="Arial"/>
          <w:sz w:val="22"/>
          <w:szCs w:val="22"/>
        </w:rPr>
        <w:t>Introduction</w:t>
      </w:r>
      <w:r w:rsidR="00801845" w:rsidRPr="00801845">
        <w:rPr>
          <w:rFonts w:ascii="Arial" w:hAnsi="Arial" w:cs="Arial"/>
          <w:sz w:val="22"/>
          <w:szCs w:val="22"/>
        </w:rPr>
        <w:t xml:space="preserve">                              </w:t>
      </w:r>
      <w:r w:rsidR="00801845">
        <w:rPr>
          <w:rFonts w:ascii="Arial" w:hAnsi="Arial" w:cs="Arial"/>
          <w:sz w:val="22"/>
          <w:szCs w:val="22"/>
        </w:rPr>
        <w:t xml:space="preserve">   </w:t>
      </w:r>
      <w:r w:rsidR="00801845" w:rsidRPr="00801845">
        <w:rPr>
          <w:rFonts w:ascii="Arial" w:hAnsi="Arial" w:cs="Arial"/>
          <w:sz w:val="22"/>
          <w:szCs w:val="22"/>
        </w:rPr>
        <w:t xml:space="preserve">                                                                                      </w:t>
      </w:r>
      <w:r w:rsidR="0040438E">
        <w:rPr>
          <w:rFonts w:ascii="Arial" w:hAnsi="Arial" w:cs="Arial"/>
          <w:sz w:val="22"/>
          <w:szCs w:val="22"/>
        </w:rPr>
        <w:t xml:space="preserve"> </w:t>
      </w:r>
      <w:r w:rsidR="00801845" w:rsidRPr="00801845">
        <w:rPr>
          <w:rFonts w:ascii="Arial" w:hAnsi="Arial" w:cs="Arial"/>
          <w:sz w:val="22"/>
          <w:szCs w:val="22"/>
        </w:rPr>
        <w:t xml:space="preserve">   3</w:t>
      </w:r>
    </w:p>
    <w:p w14:paraId="272C58D9" w14:textId="7E3153E1" w:rsidR="00F25929" w:rsidRPr="00801845" w:rsidRDefault="00F25929" w:rsidP="00FE1C46">
      <w:pPr>
        <w:spacing w:line="360" w:lineRule="auto"/>
        <w:jc w:val="both"/>
        <w:rPr>
          <w:rFonts w:ascii="Arial" w:hAnsi="Arial" w:cs="Arial"/>
          <w:sz w:val="22"/>
          <w:szCs w:val="22"/>
        </w:rPr>
      </w:pPr>
      <w:r w:rsidRPr="00801845">
        <w:rPr>
          <w:rFonts w:ascii="Arial" w:hAnsi="Arial" w:cs="Arial"/>
          <w:sz w:val="22"/>
          <w:szCs w:val="22"/>
        </w:rPr>
        <w:t xml:space="preserve">Section 1: SDG 3 – Good Health and Wellbeing </w:t>
      </w:r>
      <w:r w:rsidR="00801845" w:rsidRPr="00801845">
        <w:rPr>
          <w:rFonts w:ascii="Arial" w:hAnsi="Arial" w:cs="Arial"/>
          <w:sz w:val="22"/>
          <w:szCs w:val="22"/>
        </w:rPr>
        <w:t xml:space="preserve">                                          </w:t>
      </w:r>
    </w:p>
    <w:p w14:paraId="78018924" w14:textId="17F42F06" w:rsidR="00801845" w:rsidRPr="00801845" w:rsidRDefault="00F25929" w:rsidP="00FE1C46">
      <w:pPr>
        <w:spacing w:line="360" w:lineRule="auto"/>
        <w:jc w:val="both"/>
        <w:rPr>
          <w:rFonts w:ascii="Arial" w:hAnsi="Arial" w:cs="Arial"/>
          <w:sz w:val="22"/>
          <w:szCs w:val="22"/>
        </w:rPr>
      </w:pPr>
      <w:r w:rsidRPr="00801845">
        <w:rPr>
          <w:rFonts w:ascii="Arial" w:hAnsi="Arial" w:cs="Arial"/>
          <w:sz w:val="22"/>
          <w:szCs w:val="22"/>
        </w:rPr>
        <w:t xml:space="preserve">   An overview of Sustainable Development Goal 3 (SDG 3)</w:t>
      </w:r>
      <w:r w:rsidR="00801845" w:rsidRPr="00801845">
        <w:rPr>
          <w:rFonts w:ascii="Arial" w:hAnsi="Arial" w:cs="Arial"/>
          <w:sz w:val="22"/>
          <w:szCs w:val="22"/>
        </w:rPr>
        <w:t xml:space="preserve">                                                3</w:t>
      </w:r>
    </w:p>
    <w:p w14:paraId="488FC96F" w14:textId="0BE8CF9A" w:rsidR="00685390" w:rsidRPr="00801845" w:rsidRDefault="00F25929" w:rsidP="00FE1C46">
      <w:pPr>
        <w:spacing w:line="360" w:lineRule="auto"/>
        <w:jc w:val="both"/>
        <w:rPr>
          <w:rFonts w:ascii="Arial" w:hAnsi="Arial" w:cs="Arial"/>
          <w:sz w:val="22"/>
          <w:szCs w:val="22"/>
        </w:rPr>
      </w:pPr>
      <w:r w:rsidRPr="00801845">
        <w:rPr>
          <w:rFonts w:ascii="Arial" w:hAnsi="Arial" w:cs="Arial"/>
          <w:sz w:val="22"/>
          <w:szCs w:val="22"/>
        </w:rPr>
        <w:t xml:space="preserve"> </w:t>
      </w:r>
      <w:bookmarkStart w:id="0" w:name="_Hlk213714705"/>
      <w:r w:rsidR="00801845">
        <w:rPr>
          <w:rFonts w:ascii="Arial" w:hAnsi="Arial" w:cs="Arial"/>
          <w:sz w:val="22"/>
          <w:szCs w:val="22"/>
        </w:rPr>
        <w:t xml:space="preserve"> </w:t>
      </w:r>
      <w:r w:rsidRPr="00801845">
        <w:rPr>
          <w:rFonts w:ascii="Arial" w:hAnsi="Arial" w:cs="Arial"/>
          <w:sz w:val="22"/>
          <w:szCs w:val="22"/>
        </w:rPr>
        <w:t>Global policies and initiatives</w:t>
      </w:r>
      <w:r w:rsidR="00801845" w:rsidRPr="00801845">
        <w:rPr>
          <w:rFonts w:ascii="Arial" w:hAnsi="Arial" w:cs="Arial"/>
          <w:sz w:val="22"/>
          <w:szCs w:val="22"/>
        </w:rPr>
        <w:t xml:space="preserve">                                                                                              3</w:t>
      </w:r>
      <w:r w:rsidR="00801845">
        <w:rPr>
          <w:rFonts w:ascii="Arial" w:hAnsi="Arial" w:cs="Arial"/>
          <w:sz w:val="22"/>
          <w:szCs w:val="22"/>
        </w:rPr>
        <w:t>-</w:t>
      </w:r>
      <w:r w:rsidR="00801845" w:rsidRPr="00801845">
        <w:rPr>
          <w:rFonts w:ascii="Arial" w:hAnsi="Arial" w:cs="Arial"/>
          <w:sz w:val="22"/>
          <w:szCs w:val="22"/>
        </w:rPr>
        <w:t>4</w:t>
      </w:r>
    </w:p>
    <w:p w14:paraId="6F101C2F" w14:textId="5DDDD2CF" w:rsidR="00685390" w:rsidRPr="00801845" w:rsidRDefault="00F25929" w:rsidP="00FE1C46">
      <w:pPr>
        <w:spacing w:line="360" w:lineRule="auto"/>
        <w:jc w:val="both"/>
        <w:rPr>
          <w:rFonts w:ascii="Arial" w:hAnsi="Arial" w:cs="Arial"/>
          <w:sz w:val="22"/>
          <w:szCs w:val="22"/>
        </w:rPr>
      </w:pPr>
      <w:r w:rsidRPr="00801845">
        <w:rPr>
          <w:rFonts w:ascii="Arial" w:hAnsi="Arial" w:cs="Arial"/>
          <w:sz w:val="22"/>
          <w:szCs w:val="22"/>
        </w:rPr>
        <w:t xml:space="preserve">   National and local examples</w:t>
      </w:r>
      <w:r w:rsidR="00801845" w:rsidRPr="00801845">
        <w:rPr>
          <w:rFonts w:ascii="Arial" w:hAnsi="Arial" w:cs="Arial"/>
          <w:sz w:val="22"/>
          <w:szCs w:val="22"/>
        </w:rPr>
        <w:t xml:space="preserve">                                                                                              4</w:t>
      </w:r>
      <w:r w:rsidR="0040438E">
        <w:rPr>
          <w:rFonts w:ascii="Arial" w:hAnsi="Arial" w:cs="Arial"/>
          <w:sz w:val="22"/>
          <w:szCs w:val="22"/>
        </w:rPr>
        <w:t>-5</w:t>
      </w:r>
    </w:p>
    <w:p w14:paraId="734FC7B7" w14:textId="7D9CC293" w:rsidR="0040438E" w:rsidRDefault="00F25929" w:rsidP="00FE1C46">
      <w:pPr>
        <w:spacing w:line="360" w:lineRule="auto"/>
        <w:jc w:val="both"/>
        <w:rPr>
          <w:rFonts w:ascii="Arial" w:hAnsi="Arial" w:cs="Arial"/>
          <w:sz w:val="22"/>
          <w:szCs w:val="22"/>
        </w:rPr>
      </w:pPr>
      <w:r w:rsidRPr="00801845">
        <w:rPr>
          <w:rFonts w:ascii="Arial" w:hAnsi="Arial" w:cs="Arial"/>
          <w:sz w:val="22"/>
          <w:szCs w:val="22"/>
        </w:rPr>
        <w:t xml:space="preserve"> </w:t>
      </w:r>
      <w:r w:rsidR="0040438E">
        <w:rPr>
          <w:rFonts w:ascii="Arial" w:hAnsi="Arial" w:cs="Arial"/>
          <w:sz w:val="22"/>
          <w:szCs w:val="22"/>
        </w:rPr>
        <w:t xml:space="preserve"> </w:t>
      </w:r>
      <w:r w:rsidRPr="00801845">
        <w:rPr>
          <w:rFonts w:ascii="Arial" w:hAnsi="Arial" w:cs="Arial"/>
          <w:sz w:val="22"/>
          <w:szCs w:val="22"/>
        </w:rPr>
        <w:t xml:space="preserve"> </w:t>
      </w:r>
      <w:r w:rsidR="00FE1C46" w:rsidRPr="00801845">
        <w:rPr>
          <w:rFonts w:ascii="Arial" w:hAnsi="Arial" w:cs="Arial"/>
          <w:sz w:val="22"/>
          <w:szCs w:val="22"/>
        </w:rPr>
        <w:t>T</w:t>
      </w:r>
      <w:r w:rsidRPr="00801845">
        <w:rPr>
          <w:rFonts w:ascii="Arial" w:hAnsi="Arial" w:cs="Arial"/>
          <w:sz w:val="22"/>
          <w:szCs w:val="22"/>
        </w:rPr>
        <w:t>heories</w:t>
      </w:r>
      <w:r w:rsidR="00FE1C46" w:rsidRPr="00801845">
        <w:rPr>
          <w:rFonts w:ascii="Arial" w:hAnsi="Arial" w:cs="Arial"/>
          <w:sz w:val="22"/>
          <w:szCs w:val="22"/>
        </w:rPr>
        <w:t xml:space="preserve"> and </w:t>
      </w:r>
      <w:r w:rsidRPr="00801845">
        <w:rPr>
          <w:rFonts w:ascii="Arial" w:hAnsi="Arial" w:cs="Arial"/>
          <w:sz w:val="22"/>
          <w:szCs w:val="22"/>
        </w:rPr>
        <w:t>model</w:t>
      </w:r>
      <w:r w:rsidR="00FE1C46" w:rsidRPr="00801845">
        <w:rPr>
          <w:rFonts w:ascii="Arial" w:hAnsi="Arial" w:cs="Arial"/>
          <w:sz w:val="22"/>
          <w:szCs w:val="22"/>
        </w:rPr>
        <w:t xml:space="preserve"> Application</w:t>
      </w:r>
      <w:r w:rsidR="0040438E">
        <w:rPr>
          <w:rFonts w:ascii="Arial" w:hAnsi="Arial" w:cs="Arial"/>
          <w:sz w:val="22"/>
          <w:szCs w:val="22"/>
        </w:rPr>
        <w:t xml:space="preserve">                                                                                         5</w:t>
      </w:r>
    </w:p>
    <w:p w14:paraId="4CE645A4" w14:textId="4F3CBCCC" w:rsidR="00F25929" w:rsidRPr="00801845" w:rsidRDefault="0040438E" w:rsidP="00FE1C46">
      <w:pPr>
        <w:spacing w:line="360" w:lineRule="auto"/>
        <w:jc w:val="both"/>
        <w:rPr>
          <w:rFonts w:ascii="Arial" w:hAnsi="Arial" w:cs="Arial"/>
          <w:sz w:val="22"/>
          <w:szCs w:val="22"/>
        </w:rPr>
      </w:pPr>
      <w:r>
        <w:rPr>
          <w:rFonts w:ascii="Arial" w:hAnsi="Arial" w:cs="Arial"/>
          <w:sz w:val="22"/>
          <w:szCs w:val="22"/>
        </w:rPr>
        <w:t xml:space="preserve"> </w:t>
      </w:r>
      <w:r w:rsidR="00F25929" w:rsidRPr="00801845">
        <w:rPr>
          <w:rFonts w:ascii="Arial" w:hAnsi="Arial" w:cs="Arial"/>
          <w:sz w:val="22"/>
          <w:szCs w:val="22"/>
        </w:rPr>
        <w:t xml:space="preserve"> </w:t>
      </w:r>
      <w:r w:rsidR="00FE1C46" w:rsidRPr="00801845">
        <w:rPr>
          <w:rFonts w:ascii="Arial" w:hAnsi="Arial" w:cs="Arial"/>
          <w:sz w:val="22"/>
          <w:szCs w:val="22"/>
        </w:rPr>
        <w:t xml:space="preserve"> </w:t>
      </w:r>
      <w:r w:rsidR="00F25929" w:rsidRPr="00801845">
        <w:rPr>
          <w:rFonts w:ascii="Arial" w:hAnsi="Arial" w:cs="Arial"/>
          <w:sz w:val="22"/>
          <w:szCs w:val="22"/>
        </w:rPr>
        <w:t xml:space="preserve">Recommendation </w:t>
      </w:r>
      <w:r>
        <w:rPr>
          <w:rFonts w:ascii="Arial" w:hAnsi="Arial" w:cs="Arial"/>
          <w:sz w:val="22"/>
          <w:szCs w:val="22"/>
        </w:rPr>
        <w:t xml:space="preserve">                                                                                                              5-6</w:t>
      </w:r>
    </w:p>
    <w:p w14:paraId="36462CEF" w14:textId="77777777" w:rsidR="00C4455A" w:rsidRPr="00801845" w:rsidRDefault="00C4455A" w:rsidP="00FE1C46">
      <w:pPr>
        <w:spacing w:line="360" w:lineRule="auto"/>
        <w:jc w:val="both"/>
        <w:rPr>
          <w:rFonts w:ascii="Arial" w:hAnsi="Arial" w:cs="Arial"/>
          <w:sz w:val="22"/>
          <w:szCs w:val="22"/>
        </w:rPr>
      </w:pPr>
    </w:p>
    <w:bookmarkEnd w:id="0"/>
    <w:p w14:paraId="0CD7AADE" w14:textId="730F358D" w:rsidR="00C4455A" w:rsidRPr="00801845" w:rsidRDefault="00C4455A" w:rsidP="00FE1C46">
      <w:pPr>
        <w:spacing w:line="360" w:lineRule="auto"/>
        <w:jc w:val="both"/>
        <w:rPr>
          <w:rFonts w:ascii="Arial" w:hAnsi="Arial" w:cs="Arial"/>
          <w:sz w:val="22"/>
          <w:szCs w:val="22"/>
        </w:rPr>
      </w:pPr>
      <w:r w:rsidRPr="00801845">
        <w:rPr>
          <w:rFonts w:ascii="Arial" w:hAnsi="Arial" w:cs="Arial"/>
          <w:sz w:val="22"/>
          <w:szCs w:val="22"/>
        </w:rPr>
        <w:t>Section 2: - Clean water and sanitation</w:t>
      </w:r>
    </w:p>
    <w:p w14:paraId="6331A021" w14:textId="1DDB7F4D" w:rsidR="00685390" w:rsidRPr="00801845" w:rsidRDefault="00C4455A" w:rsidP="00FE1C46">
      <w:pPr>
        <w:spacing w:line="360" w:lineRule="auto"/>
        <w:jc w:val="both"/>
        <w:rPr>
          <w:rFonts w:ascii="Arial" w:hAnsi="Arial" w:cs="Arial"/>
          <w:sz w:val="22"/>
          <w:szCs w:val="22"/>
        </w:rPr>
      </w:pPr>
      <w:r w:rsidRPr="00801845">
        <w:rPr>
          <w:rFonts w:ascii="Arial" w:hAnsi="Arial" w:cs="Arial"/>
          <w:sz w:val="22"/>
          <w:szCs w:val="22"/>
        </w:rPr>
        <w:t xml:space="preserve"> </w:t>
      </w:r>
      <w:r w:rsidR="00F25929" w:rsidRPr="00801845">
        <w:rPr>
          <w:rFonts w:ascii="Arial" w:hAnsi="Arial" w:cs="Arial"/>
          <w:sz w:val="22"/>
          <w:szCs w:val="22"/>
        </w:rPr>
        <w:t>An overview of SDG 6</w:t>
      </w:r>
      <w:r w:rsidRPr="00801845">
        <w:rPr>
          <w:rFonts w:ascii="Arial" w:hAnsi="Arial" w:cs="Arial"/>
          <w:sz w:val="22"/>
          <w:szCs w:val="22"/>
        </w:rPr>
        <w:t xml:space="preserve"> -</w:t>
      </w:r>
      <w:r w:rsidR="00F25929" w:rsidRPr="00801845">
        <w:rPr>
          <w:rFonts w:ascii="Arial" w:hAnsi="Arial" w:cs="Arial"/>
          <w:sz w:val="22"/>
          <w:szCs w:val="22"/>
        </w:rPr>
        <w:t xml:space="preserve"> </w:t>
      </w:r>
      <w:bookmarkStart w:id="1" w:name="_Hlk213714605"/>
      <w:r w:rsidRPr="00801845">
        <w:rPr>
          <w:rFonts w:ascii="Arial" w:hAnsi="Arial" w:cs="Arial"/>
          <w:sz w:val="22"/>
          <w:szCs w:val="22"/>
        </w:rPr>
        <w:t>Clean water and sanitation</w:t>
      </w:r>
      <w:bookmarkEnd w:id="1"/>
      <w:r w:rsidR="0040438E">
        <w:rPr>
          <w:rFonts w:ascii="Arial" w:hAnsi="Arial" w:cs="Arial"/>
          <w:sz w:val="22"/>
          <w:szCs w:val="22"/>
        </w:rPr>
        <w:t xml:space="preserve">                                                           6</w:t>
      </w:r>
    </w:p>
    <w:p w14:paraId="2818928C" w14:textId="31886091" w:rsidR="00C4455A" w:rsidRPr="00801845" w:rsidRDefault="00C4455A" w:rsidP="00FE1C46">
      <w:pPr>
        <w:spacing w:line="360" w:lineRule="auto"/>
        <w:jc w:val="both"/>
        <w:rPr>
          <w:rFonts w:ascii="Arial" w:hAnsi="Arial" w:cs="Arial"/>
          <w:sz w:val="22"/>
          <w:szCs w:val="22"/>
        </w:rPr>
      </w:pPr>
      <w:r w:rsidRPr="00801845">
        <w:rPr>
          <w:rFonts w:ascii="Arial" w:hAnsi="Arial" w:cs="Arial"/>
          <w:sz w:val="22"/>
          <w:szCs w:val="22"/>
        </w:rPr>
        <w:t xml:space="preserve">        Global policies and initiatives</w:t>
      </w:r>
      <w:r w:rsidR="0040438E">
        <w:rPr>
          <w:rFonts w:ascii="Arial" w:hAnsi="Arial" w:cs="Arial"/>
          <w:sz w:val="22"/>
          <w:szCs w:val="22"/>
        </w:rPr>
        <w:t xml:space="preserve">                                                                                       6-7</w:t>
      </w:r>
    </w:p>
    <w:p w14:paraId="51BAD99A" w14:textId="48CD2975" w:rsidR="00C4455A" w:rsidRPr="00801845" w:rsidRDefault="00C4455A" w:rsidP="00FE1C46">
      <w:pPr>
        <w:spacing w:line="360" w:lineRule="auto"/>
        <w:jc w:val="both"/>
        <w:rPr>
          <w:rFonts w:ascii="Arial" w:hAnsi="Arial" w:cs="Arial"/>
          <w:sz w:val="22"/>
          <w:szCs w:val="22"/>
        </w:rPr>
      </w:pPr>
      <w:r w:rsidRPr="00801845">
        <w:rPr>
          <w:rFonts w:ascii="Arial" w:hAnsi="Arial" w:cs="Arial"/>
          <w:sz w:val="22"/>
          <w:szCs w:val="22"/>
        </w:rPr>
        <w:t xml:space="preserve">        National and local examples</w:t>
      </w:r>
      <w:r w:rsidR="0040438E">
        <w:rPr>
          <w:rFonts w:ascii="Arial" w:hAnsi="Arial" w:cs="Arial"/>
          <w:sz w:val="22"/>
          <w:szCs w:val="22"/>
        </w:rPr>
        <w:t xml:space="preserve">                                                                                        7</w:t>
      </w:r>
    </w:p>
    <w:p w14:paraId="083AD37F" w14:textId="30545DC5" w:rsidR="00C4455A" w:rsidRPr="00801845" w:rsidRDefault="00C4455A" w:rsidP="00FE1C46">
      <w:pPr>
        <w:spacing w:line="360" w:lineRule="auto"/>
        <w:jc w:val="both"/>
        <w:rPr>
          <w:rFonts w:ascii="Arial" w:hAnsi="Arial" w:cs="Arial"/>
          <w:sz w:val="22"/>
          <w:szCs w:val="22"/>
        </w:rPr>
      </w:pPr>
      <w:r w:rsidRPr="00801845">
        <w:rPr>
          <w:rFonts w:ascii="Arial" w:hAnsi="Arial" w:cs="Arial"/>
          <w:sz w:val="22"/>
          <w:szCs w:val="22"/>
        </w:rPr>
        <w:t xml:space="preserve">       </w:t>
      </w:r>
      <w:r w:rsidR="00FE1C46" w:rsidRPr="00801845">
        <w:rPr>
          <w:rFonts w:ascii="Arial" w:hAnsi="Arial" w:cs="Arial"/>
          <w:sz w:val="22"/>
          <w:szCs w:val="22"/>
        </w:rPr>
        <w:t xml:space="preserve"> </w:t>
      </w:r>
      <w:r w:rsidRPr="00801845">
        <w:rPr>
          <w:rFonts w:ascii="Arial" w:hAnsi="Arial" w:cs="Arial"/>
          <w:sz w:val="22"/>
          <w:szCs w:val="22"/>
        </w:rPr>
        <w:t>Theor</w:t>
      </w:r>
      <w:r w:rsidR="00FE1C46" w:rsidRPr="00801845">
        <w:rPr>
          <w:rFonts w:ascii="Arial" w:hAnsi="Arial" w:cs="Arial"/>
          <w:sz w:val="22"/>
          <w:szCs w:val="22"/>
        </w:rPr>
        <w:t>ies</w:t>
      </w:r>
      <w:r w:rsidRPr="00801845">
        <w:rPr>
          <w:rFonts w:ascii="Arial" w:hAnsi="Arial" w:cs="Arial"/>
          <w:sz w:val="22"/>
          <w:szCs w:val="22"/>
        </w:rPr>
        <w:t xml:space="preserve"> and Model Application</w:t>
      </w:r>
      <w:r w:rsidR="0040438E">
        <w:rPr>
          <w:rFonts w:ascii="Arial" w:hAnsi="Arial" w:cs="Arial"/>
          <w:sz w:val="22"/>
          <w:szCs w:val="22"/>
        </w:rPr>
        <w:t xml:space="preserve">                                                                                   8</w:t>
      </w:r>
    </w:p>
    <w:p w14:paraId="7DE3E742" w14:textId="3900519A" w:rsidR="00685390" w:rsidRPr="00801845" w:rsidRDefault="00C4455A" w:rsidP="00FE1C46">
      <w:pPr>
        <w:spacing w:line="360" w:lineRule="auto"/>
        <w:jc w:val="both"/>
        <w:rPr>
          <w:rFonts w:ascii="Arial" w:hAnsi="Arial" w:cs="Arial"/>
          <w:sz w:val="22"/>
          <w:szCs w:val="22"/>
        </w:rPr>
      </w:pPr>
      <w:r w:rsidRPr="00801845">
        <w:rPr>
          <w:rFonts w:ascii="Arial" w:hAnsi="Arial" w:cs="Arial"/>
          <w:sz w:val="22"/>
          <w:szCs w:val="22"/>
        </w:rPr>
        <w:t xml:space="preserve">       </w:t>
      </w:r>
      <w:r w:rsidR="00FE1C46" w:rsidRPr="00801845">
        <w:rPr>
          <w:rFonts w:ascii="Arial" w:hAnsi="Arial" w:cs="Arial"/>
          <w:sz w:val="22"/>
          <w:szCs w:val="22"/>
        </w:rPr>
        <w:t xml:space="preserve"> </w:t>
      </w:r>
      <w:r w:rsidRPr="00801845">
        <w:rPr>
          <w:rFonts w:ascii="Arial" w:hAnsi="Arial" w:cs="Arial"/>
          <w:sz w:val="22"/>
          <w:szCs w:val="22"/>
        </w:rPr>
        <w:t>Recommendation</w:t>
      </w:r>
      <w:r w:rsidR="0040438E">
        <w:rPr>
          <w:rFonts w:ascii="Arial" w:hAnsi="Arial" w:cs="Arial"/>
          <w:sz w:val="22"/>
          <w:szCs w:val="22"/>
        </w:rPr>
        <w:t xml:space="preserve">                                                                                                         8-9</w:t>
      </w:r>
    </w:p>
    <w:p w14:paraId="1F98B4DA" w14:textId="77777777" w:rsidR="00C4455A" w:rsidRPr="00801845" w:rsidRDefault="00C4455A" w:rsidP="00FE1C46">
      <w:pPr>
        <w:spacing w:line="360" w:lineRule="auto"/>
        <w:jc w:val="both"/>
        <w:rPr>
          <w:rFonts w:ascii="Arial" w:hAnsi="Arial" w:cs="Arial"/>
          <w:sz w:val="22"/>
          <w:szCs w:val="22"/>
        </w:rPr>
      </w:pPr>
    </w:p>
    <w:p w14:paraId="4768069D" w14:textId="72DF3FCE" w:rsidR="00685390" w:rsidRPr="00801845" w:rsidRDefault="00C4455A" w:rsidP="00FE1C46">
      <w:pPr>
        <w:spacing w:line="360" w:lineRule="auto"/>
        <w:jc w:val="both"/>
        <w:rPr>
          <w:rFonts w:ascii="Arial" w:hAnsi="Arial" w:cs="Arial"/>
          <w:sz w:val="22"/>
          <w:szCs w:val="22"/>
        </w:rPr>
      </w:pPr>
      <w:r w:rsidRPr="00801845">
        <w:rPr>
          <w:rFonts w:ascii="Arial" w:hAnsi="Arial" w:cs="Arial"/>
          <w:sz w:val="22"/>
          <w:szCs w:val="22"/>
        </w:rPr>
        <w:t>Conclusion</w:t>
      </w:r>
      <w:r w:rsidR="0040438E">
        <w:rPr>
          <w:rFonts w:ascii="Arial" w:hAnsi="Arial" w:cs="Arial"/>
          <w:sz w:val="22"/>
          <w:szCs w:val="22"/>
        </w:rPr>
        <w:t xml:space="preserve">                                                                                                                           9</w:t>
      </w:r>
    </w:p>
    <w:p w14:paraId="2F5AB6FD" w14:textId="737519C9" w:rsidR="00C4455A" w:rsidRPr="00801845" w:rsidRDefault="00C4455A" w:rsidP="00FE1C46">
      <w:pPr>
        <w:spacing w:line="360" w:lineRule="auto"/>
        <w:jc w:val="both"/>
        <w:rPr>
          <w:rFonts w:ascii="Arial" w:hAnsi="Arial" w:cs="Arial"/>
          <w:sz w:val="22"/>
          <w:szCs w:val="22"/>
        </w:rPr>
      </w:pPr>
      <w:r w:rsidRPr="00801845">
        <w:rPr>
          <w:rFonts w:ascii="Arial" w:hAnsi="Arial" w:cs="Arial"/>
          <w:sz w:val="22"/>
          <w:szCs w:val="22"/>
        </w:rPr>
        <w:t>Reference list</w:t>
      </w:r>
      <w:r w:rsidR="0040438E">
        <w:rPr>
          <w:rFonts w:ascii="Arial" w:hAnsi="Arial" w:cs="Arial"/>
          <w:sz w:val="22"/>
          <w:szCs w:val="22"/>
        </w:rPr>
        <w:t xml:space="preserve">                                                                                                                     10-14</w:t>
      </w:r>
    </w:p>
    <w:p w14:paraId="32953202" w14:textId="77777777" w:rsidR="00685390" w:rsidRDefault="00685390">
      <w:pPr>
        <w:rPr>
          <w:sz w:val="22"/>
          <w:szCs w:val="22"/>
        </w:rPr>
      </w:pPr>
    </w:p>
    <w:p w14:paraId="0C036EB7" w14:textId="77777777" w:rsidR="00685390" w:rsidRDefault="00685390">
      <w:pPr>
        <w:rPr>
          <w:sz w:val="22"/>
          <w:szCs w:val="22"/>
        </w:rPr>
      </w:pPr>
    </w:p>
    <w:p w14:paraId="77AA99A3" w14:textId="77777777" w:rsidR="00685390" w:rsidRDefault="00685390">
      <w:pPr>
        <w:rPr>
          <w:sz w:val="22"/>
          <w:szCs w:val="22"/>
        </w:rPr>
      </w:pPr>
    </w:p>
    <w:p w14:paraId="12E7AA59" w14:textId="77777777" w:rsidR="00685390" w:rsidRDefault="00685390">
      <w:pPr>
        <w:rPr>
          <w:sz w:val="22"/>
          <w:szCs w:val="22"/>
        </w:rPr>
      </w:pPr>
    </w:p>
    <w:p w14:paraId="7ECA7723" w14:textId="77777777" w:rsidR="00B73900" w:rsidRDefault="00B73900" w:rsidP="00273D6F">
      <w:pPr>
        <w:spacing w:line="360" w:lineRule="auto"/>
        <w:jc w:val="both"/>
        <w:rPr>
          <w:sz w:val="22"/>
          <w:szCs w:val="22"/>
        </w:rPr>
      </w:pPr>
    </w:p>
    <w:p w14:paraId="14E65C53" w14:textId="39AEB7B5" w:rsidR="00685390" w:rsidRPr="005F5268" w:rsidRDefault="003E1984" w:rsidP="00FE1C46">
      <w:pPr>
        <w:spacing w:line="360" w:lineRule="auto"/>
        <w:jc w:val="both"/>
        <w:rPr>
          <w:rFonts w:ascii="Arial" w:hAnsi="Arial" w:cs="Arial"/>
          <w:b/>
          <w:bCs/>
          <w:sz w:val="22"/>
          <w:szCs w:val="22"/>
        </w:rPr>
      </w:pPr>
      <w:r w:rsidRPr="005F5268">
        <w:rPr>
          <w:rFonts w:ascii="Arial" w:hAnsi="Arial" w:cs="Arial"/>
          <w:b/>
          <w:bCs/>
          <w:sz w:val="22"/>
          <w:szCs w:val="22"/>
        </w:rPr>
        <w:lastRenderedPageBreak/>
        <w:t>Introduction</w:t>
      </w:r>
    </w:p>
    <w:p w14:paraId="66079725" w14:textId="4433FE50" w:rsidR="00273D6F" w:rsidRDefault="007F0B20" w:rsidP="00FE1C46">
      <w:pPr>
        <w:spacing w:line="360" w:lineRule="auto"/>
        <w:jc w:val="both"/>
        <w:rPr>
          <w:rFonts w:ascii="Arial" w:hAnsi="Arial" w:cs="Arial"/>
          <w:sz w:val="22"/>
          <w:szCs w:val="22"/>
        </w:rPr>
      </w:pPr>
      <w:r w:rsidRPr="007F0B20">
        <w:rPr>
          <w:rFonts w:ascii="Arial" w:hAnsi="Arial" w:cs="Arial"/>
          <w:sz w:val="22"/>
          <w:szCs w:val="22"/>
        </w:rPr>
        <w:t xml:space="preserve">This </w:t>
      </w:r>
      <w:r w:rsidR="000A3F52">
        <w:rPr>
          <w:rFonts w:ascii="Arial" w:hAnsi="Arial" w:cs="Arial"/>
          <w:sz w:val="22"/>
          <w:szCs w:val="22"/>
        </w:rPr>
        <w:t>report</w:t>
      </w:r>
      <w:r w:rsidRPr="007F0B20">
        <w:rPr>
          <w:rFonts w:ascii="Arial" w:hAnsi="Arial" w:cs="Arial"/>
          <w:sz w:val="22"/>
          <w:szCs w:val="22"/>
        </w:rPr>
        <w:t xml:space="preserve"> </w:t>
      </w:r>
      <w:r w:rsidR="003A6705">
        <w:rPr>
          <w:rFonts w:ascii="Arial" w:hAnsi="Arial" w:cs="Arial"/>
          <w:sz w:val="22"/>
          <w:szCs w:val="22"/>
        </w:rPr>
        <w:t xml:space="preserve">focuses </w:t>
      </w:r>
      <w:r w:rsidR="005F5268">
        <w:rPr>
          <w:rFonts w:ascii="Arial" w:hAnsi="Arial" w:cs="Arial"/>
          <w:sz w:val="22"/>
          <w:szCs w:val="22"/>
        </w:rPr>
        <w:t>on</w:t>
      </w:r>
      <w:r w:rsidR="00313A74">
        <w:rPr>
          <w:rFonts w:ascii="Arial" w:hAnsi="Arial" w:cs="Arial"/>
          <w:sz w:val="22"/>
          <w:szCs w:val="22"/>
        </w:rPr>
        <w:t xml:space="preserve"> two </w:t>
      </w:r>
      <w:r w:rsidRPr="007F0B20">
        <w:rPr>
          <w:rFonts w:ascii="Arial" w:hAnsi="Arial" w:cs="Arial"/>
          <w:sz w:val="22"/>
          <w:szCs w:val="22"/>
        </w:rPr>
        <w:t>Sustainable Development Goals (SDGs)</w:t>
      </w:r>
      <w:r w:rsidR="00A02F0C">
        <w:rPr>
          <w:rFonts w:ascii="Arial" w:hAnsi="Arial" w:cs="Arial"/>
          <w:sz w:val="22"/>
          <w:szCs w:val="22"/>
        </w:rPr>
        <w:t xml:space="preserve">, it </w:t>
      </w:r>
      <w:r w:rsidRPr="007F0B20">
        <w:rPr>
          <w:rFonts w:ascii="Arial" w:hAnsi="Arial" w:cs="Arial"/>
          <w:sz w:val="22"/>
          <w:szCs w:val="22"/>
        </w:rPr>
        <w:t>concer</w:t>
      </w:r>
      <w:r w:rsidR="00A02F0C">
        <w:rPr>
          <w:rFonts w:ascii="Arial" w:hAnsi="Arial" w:cs="Arial"/>
          <w:sz w:val="22"/>
          <w:szCs w:val="22"/>
        </w:rPr>
        <w:t>ns</w:t>
      </w:r>
      <w:r w:rsidRPr="007F0B20">
        <w:rPr>
          <w:rFonts w:ascii="Arial" w:hAnsi="Arial" w:cs="Arial"/>
          <w:sz w:val="22"/>
          <w:szCs w:val="22"/>
        </w:rPr>
        <w:t xml:space="preserve"> their </w:t>
      </w:r>
      <w:r w:rsidR="003A6705">
        <w:rPr>
          <w:rFonts w:ascii="Arial" w:hAnsi="Arial" w:cs="Arial"/>
          <w:sz w:val="22"/>
          <w:szCs w:val="22"/>
        </w:rPr>
        <w:t>global</w:t>
      </w:r>
      <w:r w:rsidR="001F7A62">
        <w:rPr>
          <w:rFonts w:ascii="Arial" w:hAnsi="Arial" w:cs="Arial"/>
          <w:sz w:val="22"/>
          <w:szCs w:val="22"/>
        </w:rPr>
        <w:t xml:space="preserve"> policies</w:t>
      </w:r>
      <w:r w:rsidR="000570F3">
        <w:rPr>
          <w:rFonts w:ascii="Arial" w:hAnsi="Arial" w:cs="Arial"/>
          <w:sz w:val="22"/>
          <w:szCs w:val="22"/>
        </w:rPr>
        <w:t xml:space="preserve">, </w:t>
      </w:r>
      <w:r w:rsidR="001F7A62">
        <w:rPr>
          <w:rFonts w:ascii="Arial" w:hAnsi="Arial" w:cs="Arial"/>
          <w:sz w:val="22"/>
          <w:szCs w:val="22"/>
        </w:rPr>
        <w:t>initiative</w:t>
      </w:r>
      <w:r w:rsidR="00FE1C46">
        <w:rPr>
          <w:rFonts w:ascii="Arial" w:hAnsi="Arial" w:cs="Arial"/>
          <w:sz w:val="22"/>
          <w:szCs w:val="22"/>
        </w:rPr>
        <w:t>s</w:t>
      </w:r>
      <w:r w:rsidR="00142952">
        <w:rPr>
          <w:rFonts w:ascii="Arial" w:hAnsi="Arial" w:cs="Arial"/>
          <w:sz w:val="22"/>
          <w:szCs w:val="22"/>
        </w:rPr>
        <w:t xml:space="preserve">, national and local examples, the </w:t>
      </w:r>
      <w:r w:rsidR="003D3E00">
        <w:rPr>
          <w:rFonts w:ascii="Arial" w:hAnsi="Arial" w:cs="Arial"/>
          <w:sz w:val="22"/>
          <w:szCs w:val="22"/>
        </w:rPr>
        <w:t xml:space="preserve">use of </w:t>
      </w:r>
      <w:r w:rsidR="0003316B">
        <w:rPr>
          <w:rFonts w:ascii="Arial" w:hAnsi="Arial" w:cs="Arial"/>
          <w:sz w:val="22"/>
          <w:szCs w:val="22"/>
        </w:rPr>
        <w:t>theories/models</w:t>
      </w:r>
      <w:r w:rsidRPr="007F0B20">
        <w:rPr>
          <w:rFonts w:ascii="Arial" w:hAnsi="Arial" w:cs="Arial"/>
          <w:sz w:val="22"/>
          <w:szCs w:val="22"/>
        </w:rPr>
        <w:t xml:space="preserve"> </w:t>
      </w:r>
      <w:r w:rsidR="00273D6F" w:rsidRPr="007F0B20">
        <w:rPr>
          <w:rFonts w:ascii="Arial" w:hAnsi="Arial" w:cs="Arial"/>
          <w:sz w:val="22"/>
          <w:szCs w:val="22"/>
        </w:rPr>
        <w:t>and</w:t>
      </w:r>
      <w:r w:rsidR="0003316B">
        <w:rPr>
          <w:rFonts w:ascii="Arial" w:hAnsi="Arial" w:cs="Arial"/>
          <w:sz w:val="22"/>
          <w:szCs w:val="22"/>
        </w:rPr>
        <w:t xml:space="preserve"> </w:t>
      </w:r>
      <w:r w:rsidR="00D5173F">
        <w:rPr>
          <w:rFonts w:ascii="Arial" w:hAnsi="Arial" w:cs="Arial"/>
          <w:sz w:val="22"/>
          <w:szCs w:val="22"/>
        </w:rPr>
        <w:t>recommendations</w:t>
      </w:r>
      <w:r w:rsidRPr="007F0B20">
        <w:rPr>
          <w:rFonts w:ascii="Arial" w:hAnsi="Arial" w:cs="Arial"/>
          <w:sz w:val="22"/>
          <w:szCs w:val="22"/>
        </w:rPr>
        <w:t xml:space="preserve">. It emphasises </w:t>
      </w:r>
      <w:r w:rsidR="00816FBB">
        <w:rPr>
          <w:rFonts w:ascii="Arial" w:hAnsi="Arial" w:cs="Arial"/>
          <w:sz w:val="22"/>
          <w:szCs w:val="22"/>
        </w:rPr>
        <w:t xml:space="preserve">on </w:t>
      </w:r>
      <w:r w:rsidR="00816FBB" w:rsidRPr="007F0B20">
        <w:rPr>
          <w:rFonts w:ascii="Arial" w:hAnsi="Arial" w:cs="Arial"/>
          <w:sz w:val="22"/>
          <w:szCs w:val="22"/>
        </w:rPr>
        <w:t>integrated</w:t>
      </w:r>
      <w:r w:rsidRPr="007F0B20">
        <w:rPr>
          <w:rFonts w:ascii="Arial" w:hAnsi="Arial" w:cs="Arial"/>
          <w:sz w:val="22"/>
          <w:szCs w:val="22"/>
        </w:rPr>
        <w:t xml:space="preserve"> strategies</w:t>
      </w:r>
      <w:r w:rsidR="000570F3">
        <w:rPr>
          <w:rFonts w:ascii="Arial" w:hAnsi="Arial" w:cs="Arial"/>
          <w:sz w:val="22"/>
          <w:szCs w:val="22"/>
        </w:rPr>
        <w:t xml:space="preserve"> </w:t>
      </w:r>
      <w:r w:rsidRPr="007F0B20">
        <w:rPr>
          <w:rFonts w:ascii="Arial" w:hAnsi="Arial" w:cs="Arial"/>
          <w:sz w:val="22"/>
          <w:szCs w:val="22"/>
        </w:rPr>
        <w:t>such as enhancing health services and upgrading water infrastructure</w:t>
      </w:r>
      <w:r w:rsidR="00BF5361">
        <w:rPr>
          <w:rFonts w:ascii="Arial" w:hAnsi="Arial" w:cs="Arial"/>
          <w:sz w:val="22"/>
          <w:szCs w:val="22"/>
        </w:rPr>
        <w:t xml:space="preserve"> also </w:t>
      </w:r>
      <w:r w:rsidRPr="007F0B20">
        <w:rPr>
          <w:rFonts w:ascii="Arial" w:hAnsi="Arial" w:cs="Arial"/>
          <w:sz w:val="22"/>
          <w:szCs w:val="22"/>
        </w:rPr>
        <w:t>promot</w:t>
      </w:r>
      <w:r w:rsidR="00BF5361">
        <w:rPr>
          <w:rFonts w:ascii="Arial" w:hAnsi="Arial" w:cs="Arial"/>
          <w:sz w:val="22"/>
          <w:szCs w:val="22"/>
        </w:rPr>
        <w:t>ing</w:t>
      </w:r>
      <w:r w:rsidRPr="007F0B20">
        <w:rPr>
          <w:rFonts w:ascii="Arial" w:hAnsi="Arial" w:cs="Arial"/>
          <w:sz w:val="22"/>
          <w:szCs w:val="22"/>
        </w:rPr>
        <w:t xml:space="preserve"> both objectives concurrently. </w:t>
      </w:r>
    </w:p>
    <w:p w14:paraId="60A4FBDC" w14:textId="4149F7CE" w:rsidR="004D5D02" w:rsidRDefault="00273D6F" w:rsidP="00FE1C46">
      <w:pPr>
        <w:spacing w:line="360" w:lineRule="auto"/>
        <w:jc w:val="both"/>
        <w:rPr>
          <w:rFonts w:ascii="Arial" w:hAnsi="Arial" w:cs="Arial"/>
          <w:sz w:val="22"/>
          <w:szCs w:val="22"/>
        </w:rPr>
      </w:pPr>
      <w:r w:rsidRPr="00273D6F">
        <w:rPr>
          <w:rFonts w:ascii="Arial" w:hAnsi="Arial" w:cs="Arial"/>
          <w:sz w:val="22"/>
          <w:szCs w:val="22"/>
        </w:rPr>
        <w:t xml:space="preserve">Sustainable Development Goal 3 (SDG 3) seeks to ensure healthy lives and improve well-being for persons across all age groups. The main objectives include reducing global maternal and child mortality, eliminating diseases like AIDS, malaria, and tuberculosis, and achieving universal access to healthcare and essential pharmaceuticals (United Nations, 2023). Achieving SDG 3 is essential for sustainable development, since strong health underpins economic productivity, education, and equity. </w:t>
      </w:r>
    </w:p>
    <w:p w14:paraId="2291331F" w14:textId="77777777" w:rsidR="00FE1C46" w:rsidRDefault="00816FBB" w:rsidP="00FE1C46">
      <w:pPr>
        <w:spacing w:line="360" w:lineRule="auto"/>
        <w:jc w:val="both"/>
        <w:rPr>
          <w:rFonts w:ascii="Arial" w:hAnsi="Arial" w:cs="Arial"/>
          <w:sz w:val="22"/>
          <w:szCs w:val="22"/>
        </w:rPr>
      </w:pPr>
      <w:r>
        <w:rPr>
          <w:rFonts w:ascii="Arial" w:hAnsi="Arial" w:cs="Arial"/>
          <w:sz w:val="22"/>
          <w:szCs w:val="22"/>
        </w:rPr>
        <w:t xml:space="preserve">Sustainable Development Goal 6 (SDG 6) </w:t>
      </w:r>
      <w:r w:rsidR="00273D6F" w:rsidRPr="00273D6F">
        <w:rPr>
          <w:rFonts w:ascii="Arial" w:hAnsi="Arial" w:cs="Arial"/>
          <w:sz w:val="22"/>
          <w:szCs w:val="22"/>
        </w:rPr>
        <w:t>Clean Water and Sanitation</w:t>
      </w:r>
      <w:r w:rsidR="004A3A09">
        <w:rPr>
          <w:rFonts w:ascii="Arial" w:hAnsi="Arial" w:cs="Arial"/>
          <w:sz w:val="22"/>
          <w:szCs w:val="22"/>
        </w:rPr>
        <w:t xml:space="preserve"> </w:t>
      </w:r>
      <w:r w:rsidRPr="00273D6F">
        <w:rPr>
          <w:rFonts w:ascii="Arial" w:hAnsi="Arial" w:cs="Arial"/>
          <w:sz w:val="22"/>
          <w:szCs w:val="22"/>
        </w:rPr>
        <w:t>seek</w:t>
      </w:r>
      <w:r w:rsidR="00273D6F" w:rsidRPr="00273D6F">
        <w:rPr>
          <w:rFonts w:ascii="Arial" w:hAnsi="Arial" w:cs="Arial"/>
          <w:sz w:val="22"/>
          <w:szCs w:val="22"/>
        </w:rPr>
        <w:t xml:space="preserve"> to ensure the availability and sustainable management of water and sanitation for everyone. Access to clean water and sanitation directly influences health outcomes by reducing the spread of waterborne diseases and enhancing hygiene (World Health Organization, 2022). </w:t>
      </w:r>
      <w:bookmarkStart w:id="2" w:name="_Hlk213714019"/>
    </w:p>
    <w:p w14:paraId="69A0CB23" w14:textId="77777777" w:rsidR="00FE1C46" w:rsidRDefault="00FE1C46" w:rsidP="00FE1C46">
      <w:pPr>
        <w:spacing w:line="360" w:lineRule="auto"/>
        <w:jc w:val="both"/>
        <w:rPr>
          <w:rFonts w:ascii="Arial" w:hAnsi="Arial" w:cs="Arial"/>
          <w:sz w:val="22"/>
          <w:szCs w:val="22"/>
        </w:rPr>
      </w:pPr>
    </w:p>
    <w:p w14:paraId="2302AE61" w14:textId="3762F013" w:rsidR="00077E58" w:rsidRPr="00FE1C46" w:rsidRDefault="008824BB" w:rsidP="00FE1C46">
      <w:pPr>
        <w:spacing w:line="360" w:lineRule="auto"/>
        <w:jc w:val="both"/>
        <w:rPr>
          <w:rFonts w:ascii="Arial" w:hAnsi="Arial" w:cs="Arial"/>
          <w:sz w:val="22"/>
          <w:szCs w:val="22"/>
        </w:rPr>
      </w:pPr>
      <w:r w:rsidRPr="00CA69F3">
        <w:rPr>
          <w:rFonts w:ascii="Arial" w:hAnsi="Arial" w:cs="Arial"/>
          <w:b/>
          <w:bCs/>
          <w:sz w:val="22"/>
          <w:szCs w:val="22"/>
        </w:rPr>
        <w:t>Section 1: SDG 3</w:t>
      </w:r>
      <w:r w:rsidR="0063465A" w:rsidRPr="00CA69F3">
        <w:rPr>
          <w:rFonts w:ascii="Arial" w:hAnsi="Arial" w:cs="Arial"/>
          <w:b/>
          <w:bCs/>
          <w:sz w:val="22"/>
          <w:szCs w:val="22"/>
        </w:rPr>
        <w:t xml:space="preserve"> – Good Health and Wellbeing</w:t>
      </w:r>
      <w:r w:rsidR="00855EBC" w:rsidRPr="00CA69F3">
        <w:rPr>
          <w:rFonts w:ascii="Arial" w:hAnsi="Arial" w:cs="Arial"/>
          <w:b/>
          <w:bCs/>
          <w:sz w:val="22"/>
          <w:szCs w:val="22"/>
        </w:rPr>
        <w:t xml:space="preserve"> </w:t>
      </w:r>
    </w:p>
    <w:p w14:paraId="61348F58" w14:textId="6C311CF8" w:rsidR="00097F5E" w:rsidRPr="00097F5E" w:rsidRDefault="00CA69F3" w:rsidP="00FE1C46">
      <w:pPr>
        <w:spacing w:line="360" w:lineRule="auto"/>
        <w:jc w:val="both"/>
        <w:rPr>
          <w:b/>
          <w:bCs/>
        </w:rPr>
      </w:pPr>
      <w:r w:rsidRPr="00097F5E">
        <w:rPr>
          <w:rFonts w:ascii="Arial" w:hAnsi="Arial" w:cs="Arial"/>
          <w:b/>
          <w:bCs/>
          <w:sz w:val="22"/>
          <w:szCs w:val="22"/>
        </w:rPr>
        <w:t xml:space="preserve">An overview of </w:t>
      </w:r>
      <w:r w:rsidR="002D1549">
        <w:rPr>
          <w:rFonts w:ascii="Arial" w:hAnsi="Arial" w:cs="Arial"/>
          <w:b/>
          <w:bCs/>
          <w:sz w:val="22"/>
          <w:szCs w:val="22"/>
        </w:rPr>
        <w:t>Sustainable Development Goal 3 (</w:t>
      </w:r>
      <w:r w:rsidR="00BC4305" w:rsidRPr="00097F5E">
        <w:rPr>
          <w:rFonts w:ascii="Arial" w:hAnsi="Arial" w:cs="Arial"/>
          <w:b/>
          <w:bCs/>
          <w:sz w:val="22"/>
          <w:szCs w:val="22"/>
        </w:rPr>
        <w:t>SDG 3</w:t>
      </w:r>
      <w:r w:rsidR="002D1549">
        <w:rPr>
          <w:rFonts w:ascii="Arial" w:hAnsi="Arial" w:cs="Arial"/>
          <w:b/>
          <w:bCs/>
          <w:sz w:val="22"/>
          <w:szCs w:val="22"/>
        </w:rPr>
        <w:t>)</w:t>
      </w:r>
      <w:r w:rsidR="00097F5E" w:rsidRPr="00097F5E">
        <w:rPr>
          <w:b/>
          <w:bCs/>
        </w:rPr>
        <w:t xml:space="preserve"> </w:t>
      </w:r>
    </w:p>
    <w:bookmarkEnd w:id="2"/>
    <w:p w14:paraId="237B4292" w14:textId="4DB477F2" w:rsidR="00BC4305" w:rsidRDefault="00097F5E" w:rsidP="00FE1C46">
      <w:pPr>
        <w:spacing w:line="360" w:lineRule="auto"/>
        <w:jc w:val="both"/>
        <w:rPr>
          <w:rFonts w:ascii="Arial" w:hAnsi="Arial" w:cs="Arial"/>
          <w:sz w:val="22"/>
          <w:szCs w:val="22"/>
        </w:rPr>
      </w:pPr>
      <w:r w:rsidRPr="00097F5E">
        <w:rPr>
          <w:rFonts w:ascii="Arial" w:hAnsi="Arial" w:cs="Arial"/>
          <w:sz w:val="22"/>
          <w:szCs w:val="22"/>
        </w:rPr>
        <w:t xml:space="preserve">Sustainable Development Goal 3 (SDG 3), "Ensure healthy lives and promote well-being for all ages," encompasses several objectives, including the reduction of the mortality of mothers and babies, the eradication of epidemics of communicable diseases, the decrease of premature deaths from non-communicable diseases (NCDs), and the enhancement of access to universal health coverage and essential medicines (WHO, </w:t>
      </w:r>
      <w:r w:rsidR="00990EAF">
        <w:rPr>
          <w:rFonts w:ascii="Arial" w:hAnsi="Arial" w:cs="Arial"/>
          <w:sz w:val="22"/>
          <w:szCs w:val="22"/>
        </w:rPr>
        <w:t>2022</w:t>
      </w:r>
      <w:r w:rsidRPr="00097F5E">
        <w:rPr>
          <w:rFonts w:ascii="Arial" w:hAnsi="Arial" w:cs="Arial"/>
          <w:sz w:val="22"/>
          <w:szCs w:val="22"/>
        </w:rPr>
        <w:t xml:space="preserve">.). </w:t>
      </w:r>
      <w:bookmarkStart w:id="3" w:name="_Hlk213349995"/>
      <w:r w:rsidRPr="00097F5E">
        <w:rPr>
          <w:rFonts w:ascii="Arial" w:hAnsi="Arial" w:cs="Arial"/>
          <w:sz w:val="22"/>
          <w:szCs w:val="22"/>
        </w:rPr>
        <w:t>The United Nations Development, Economic, Social, and Cultural Affairs (UN DESA) asserts that the 2030 Agenda perceives health as both an outcome of development and a catalyst for it. Healthier people exhibit increased productivity, higher school attendance, and impose a reduced strain on social services</w:t>
      </w:r>
      <w:r w:rsidR="00D415A6">
        <w:rPr>
          <w:rFonts w:ascii="Arial" w:hAnsi="Arial" w:cs="Arial"/>
          <w:sz w:val="22"/>
          <w:szCs w:val="22"/>
        </w:rPr>
        <w:t xml:space="preserve"> (</w:t>
      </w:r>
      <w:r w:rsidR="00045AE5">
        <w:rPr>
          <w:rFonts w:ascii="Arial" w:hAnsi="Arial" w:cs="Arial"/>
          <w:sz w:val="22"/>
          <w:szCs w:val="22"/>
        </w:rPr>
        <w:t>UN DESA</w:t>
      </w:r>
      <w:r w:rsidR="00D415A6">
        <w:rPr>
          <w:rFonts w:ascii="Arial" w:hAnsi="Arial" w:cs="Arial"/>
          <w:sz w:val="22"/>
          <w:szCs w:val="22"/>
        </w:rPr>
        <w:t>, 202</w:t>
      </w:r>
      <w:r w:rsidR="00045AE5">
        <w:rPr>
          <w:rFonts w:ascii="Arial" w:hAnsi="Arial" w:cs="Arial"/>
          <w:sz w:val="22"/>
          <w:szCs w:val="22"/>
        </w:rPr>
        <w:t>4</w:t>
      </w:r>
      <w:r w:rsidR="00D415A6">
        <w:rPr>
          <w:rFonts w:ascii="Arial" w:hAnsi="Arial" w:cs="Arial"/>
          <w:sz w:val="22"/>
          <w:szCs w:val="22"/>
        </w:rPr>
        <w:t>).</w:t>
      </w:r>
    </w:p>
    <w:bookmarkEnd w:id="3"/>
    <w:p w14:paraId="4E3EC270" w14:textId="77777777" w:rsidR="00F75AE0" w:rsidRDefault="00F75AE0" w:rsidP="00FE1C46">
      <w:pPr>
        <w:spacing w:line="360" w:lineRule="auto"/>
        <w:jc w:val="both"/>
        <w:rPr>
          <w:rFonts w:ascii="Arial" w:hAnsi="Arial" w:cs="Arial"/>
          <w:sz w:val="22"/>
          <w:szCs w:val="22"/>
        </w:rPr>
      </w:pPr>
    </w:p>
    <w:p w14:paraId="31D7BD0C" w14:textId="77777777" w:rsidR="00F75AE0" w:rsidRDefault="00F75AE0" w:rsidP="00FE1C46">
      <w:pPr>
        <w:spacing w:line="360" w:lineRule="auto"/>
        <w:jc w:val="both"/>
        <w:rPr>
          <w:rFonts w:ascii="Arial" w:hAnsi="Arial" w:cs="Arial"/>
          <w:sz w:val="22"/>
          <w:szCs w:val="22"/>
        </w:rPr>
      </w:pPr>
    </w:p>
    <w:p w14:paraId="5F9323D6" w14:textId="77777777" w:rsidR="000D14C4" w:rsidRDefault="000D14C4" w:rsidP="00FE1C46">
      <w:pPr>
        <w:spacing w:line="360" w:lineRule="auto"/>
        <w:jc w:val="both"/>
        <w:rPr>
          <w:rFonts w:ascii="Arial" w:hAnsi="Arial" w:cs="Arial"/>
          <w:b/>
          <w:bCs/>
          <w:sz w:val="22"/>
          <w:szCs w:val="22"/>
        </w:rPr>
      </w:pPr>
      <w:bookmarkStart w:id="4" w:name="_Hlk213290570"/>
    </w:p>
    <w:p w14:paraId="56C23D89" w14:textId="46705C56" w:rsidR="00097F5E" w:rsidRDefault="00F75AE0" w:rsidP="00FE1C46">
      <w:pPr>
        <w:spacing w:line="360" w:lineRule="auto"/>
        <w:jc w:val="both"/>
        <w:rPr>
          <w:rFonts w:ascii="Arial" w:hAnsi="Arial" w:cs="Arial"/>
          <w:b/>
          <w:bCs/>
          <w:sz w:val="22"/>
          <w:szCs w:val="22"/>
        </w:rPr>
      </w:pPr>
      <w:bookmarkStart w:id="5" w:name="_Hlk213714060"/>
      <w:r w:rsidRPr="00F75AE0">
        <w:rPr>
          <w:rFonts w:ascii="Arial" w:hAnsi="Arial" w:cs="Arial"/>
          <w:b/>
          <w:bCs/>
          <w:sz w:val="22"/>
          <w:szCs w:val="22"/>
        </w:rPr>
        <w:t xml:space="preserve">Global policies and </w:t>
      </w:r>
      <w:r>
        <w:rPr>
          <w:rFonts w:ascii="Arial" w:hAnsi="Arial" w:cs="Arial"/>
          <w:b/>
          <w:bCs/>
          <w:sz w:val="22"/>
          <w:szCs w:val="22"/>
        </w:rPr>
        <w:t>i</w:t>
      </w:r>
      <w:r w:rsidRPr="00F75AE0">
        <w:rPr>
          <w:rFonts w:ascii="Arial" w:hAnsi="Arial" w:cs="Arial"/>
          <w:b/>
          <w:bCs/>
          <w:sz w:val="22"/>
          <w:szCs w:val="22"/>
        </w:rPr>
        <w:t>nitiative</w:t>
      </w:r>
      <w:r>
        <w:rPr>
          <w:rFonts w:ascii="Arial" w:hAnsi="Arial" w:cs="Arial"/>
          <w:b/>
          <w:bCs/>
          <w:sz w:val="22"/>
          <w:szCs w:val="22"/>
        </w:rPr>
        <w:t>s</w:t>
      </w:r>
    </w:p>
    <w:bookmarkEnd w:id="5"/>
    <w:p w14:paraId="323815C1" w14:textId="77777777" w:rsidR="00B81794" w:rsidRDefault="00B81794" w:rsidP="00FE1C46">
      <w:pPr>
        <w:spacing w:after="0" w:line="360" w:lineRule="auto"/>
        <w:jc w:val="both"/>
        <w:rPr>
          <w:rFonts w:ascii="Arial" w:eastAsia="Times New Roman" w:hAnsi="Arial" w:cs="Arial"/>
          <w:kern w:val="0"/>
          <w:sz w:val="22"/>
          <w:szCs w:val="22"/>
          <w:lang w:eastAsia="en-GB"/>
          <w14:ligatures w14:val="none"/>
        </w:rPr>
      </w:pPr>
    </w:p>
    <w:p w14:paraId="6F6689E4" w14:textId="77777777" w:rsidR="00FE1C46" w:rsidRPr="00E00209" w:rsidRDefault="00FE1C46" w:rsidP="00FE1C46">
      <w:pPr>
        <w:spacing w:after="0" w:line="360" w:lineRule="auto"/>
        <w:jc w:val="both"/>
        <w:rPr>
          <w:rFonts w:ascii="Arial" w:eastAsia="Times New Roman" w:hAnsi="Arial" w:cs="Arial"/>
          <w:kern w:val="0"/>
          <w:sz w:val="22"/>
          <w:szCs w:val="22"/>
          <w:lang w:eastAsia="en-GB"/>
          <w14:ligatures w14:val="none"/>
        </w:rPr>
      </w:pPr>
    </w:p>
    <w:p w14:paraId="096A893E" w14:textId="77777777" w:rsidR="00E00209" w:rsidRPr="00E00209" w:rsidRDefault="00E00209" w:rsidP="00E00209">
      <w:pPr>
        <w:spacing w:after="0" w:line="360" w:lineRule="auto"/>
        <w:jc w:val="both"/>
        <w:rPr>
          <w:rFonts w:ascii="Arial" w:hAnsi="Arial" w:cs="Arial"/>
          <w:sz w:val="22"/>
          <w:szCs w:val="22"/>
        </w:rPr>
      </w:pPr>
      <w:r w:rsidRPr="00E00209">
        <w:rPr>
          <w:rFonts w:ascii="Arial" w:hAnsi="Arial" w:cs="Arial"/>
          <w:sz w:val="22"/>
          <w:szCs w:val="22"/>
        </w:rPr>
        <w:t>SDG 3 promotes universal health coverage, preventable mortality reduction, and health system strengthening worldwide. The Global Action Plan for Healthy Lives and Well-being for All (SDG3 GAP) calls for coordinated UN agency and collaborator efforts to improve primary health care, sustainable funding, and disease prevention (WHO, 2025). Despite progress, unequal execution, fragmented financing, and little local ownership sometimes hinder efficacy. These programs set shared goals and accountability frameworks, but lasting, inclusive health improvements require national integration and equitable resource distribution.</w:t>
      </w:r>
    </w:p>
    <w:p w14:paraId="44D053B8" w14:textId="571FB4E9" w:rsidR="00E00209" w:rsidRDefault="00E00209" w:rsidP="00E00209">
      <w:pPr>
        <w:spacing w:after="0" w:line="360" w:lineRule="auto"/>
        <w:jc w:val="both"/>
        <w:rPr>
          <w:rFonts w:ascii="Arial" w:hAnsi="Arial" w:cs="Arial"/>
          <w:sz w:val="22"/>
          <w:szCs w:val="22"/>
        </w:rPr>
      </w:pPr>
      <w:r w:rsidRPr="00E00209">
        <w:rPr>
          <w:rFonts w:ascii="Arial" w:hAnsi="Arial" w:cs="Arial"/>
          <w:sz w:val="22"/>
          <w:szCs w:val="22"/>
        </w:rPr>
        <w:t>Global SDG 3 actions have succeeded in several crucial areas.   Increased immunisation campaigns have reduced child mortality and prevented millions of measles and polio deaths (UN DESA, 2023).  Increased HIV treatment has extended life, and global initiatives have reduced malaria and tuberculosis (WHO, 2023).  Universal health coverage has also made it easier to access essential drugs and care for pregnant women in many countries.  Despite these gains, growth is unequal, especially in low-income communities without money or healthcare facilities.</w:t>
      </w:r>
    </w:p>
    <w:p w14:paraId="34B9E86A" w14:textId="77777777" w:rsidR="00E00209" w:rsidRPr="00E00209" w:rsidRDefault="00E00209" w:rsidP="00E00209">
      <w:pPr>
        <w:spacing w:after="0" w:line="360" w:lineRule="auto"/>
        <w:jc w:val="both"/>
        <w:rPr>
          <w:rFonts w:ascii="Arial" w:hAnsi="Arial" w:cs="Arial"/>
          <w:sz w:val="22"/>
          <w:szCs w:val="22"/>
        </w:rPr>
      </w:pPr>
    </w:p>
    <w:p w14:paraId="297233AC" w14:textId="6628C311" w:rsidR="00855EBC" w:rsidRPr="00FE1C46" w:rsidRDefault="00F75AE0" w:rsidP="00FE1C46">
      <w:pPr>
        <w:spacing w:after="0" w:line="360" w:lineRule="auto"/>
        <w:jc w:val="both"/>
        <w:rPr>
          <w:rFonts w:ascii="Arial" w:eastAsia="Times New Roman" w:hAnsi="Arial" w:cs="Arial"/>
          <w:kern w:val="0"/>
          <w:sz w:val="22"/>
          <w:szCs w:val="22"/>
          <w:lang w:eastAsia="en-GB"/>
          <w14:ligatures w14:val="none"/>
        </w:rPr>
      </w:pPr>
      <w:r>
        <w:rPr>
          <w:rFonts w:ascii="Arial" w:hAnsi="Arial" w:cs="Arial"/>
          <w:b/>
          <w:bCs/>
          <w:sz w:val="22"/>
          <w:szCs w:val="22"/>
        </w:rPr>
        <w:t>National and local examples</w:t>
      </w:r>
    </w:p>
    <w:p w14:paraId="31E2B5F2" w14:textId="6F022BBD" w:rsidR="00F75AE0" w:rsidRDefault="00DA342D" w:rsidP="00FE1C46">
      <w:pPr>
        <w:spacing w:line="360" w:lineRule="auto"/>
        <w:jc w:val="both"/>
        <w:rPr>
          <w:rFonts w:ascii="Arial" w:hAnsi="Arial" w:cs="Arial"/>
          <w:sz w:val="22"/>
          <w:szCs w:val="22"/>
        </w:rPr>
      </w:pPr>
      <w:r w:rsidRPr="00DA342D">
        <w:rPr>
          <w:rFonts w:ascii="Arial" w:hAnsi="Arial" w:cs="Arial"/>
          <w:sz w:val="22"/>
          <w:szCs w:val="22"/>
        </w:rPr>
        <w:t xml:space="preserve">The national responses illustrate how global objectives are adapted to local community systems. The National Health Service Long Term Plan (2019) in England outlined several priorities that closely align with Sustainable Development Goal 3 (SDG3). The goals encompass prevention, the enhancement of community and primary care, and the reduction of significant health threats (including cardiovascular disease, malignancies, and respiratory illnesses) via early diagnosis and refined service models (NHS England, 2019). The Plan operationalises the universal health and noncommunicable disease targets of Sustainable Development Goal 3 by prioritising community-based care and prevention. </w:t>
      </w:r>
    </w:p>
    <w:p w14:paraId="7979BB79" w14:textId="1FC8734E" w:rsidR="00274DE5" w:rsidRDefault="00274DE5" w:rsidP="00FE1C46">
      <w:pPr>
        <w:spacing w:line="360" w:lineRule="auto"/>
        <w:jc w:val="both"/>
        <w:rPr>
          <w:rFonts w:ascii="Arial" w:hAnsi="Arial" w:cs="Arial"/>
          <w:sz w:val="22"/>
          <w:szCs w:val="22"/>
        </w:rPr>
      </w:pPr>
      <w:r w:rsidRPr="00274DE5">
        <w:rPr>
          <w:rFonts w:ascii="Arial" w:hAnsi="Arial" w:cs="Arial"/>
          <w:sz w:val="22"/>
          <w:szCs w:val="22"/>
        </w:rPr>
        <w:t>The new NHS Long Term Plan puts preventive, integrated care, and fair access to health services first. The Medium-Term Planning Framework 2026–2029 focuses on reducing waiting lists, extending digital and primary care, and enabling speedier cancer detection and treatment (NHS England, 2024).  But progress is in danger because of ongoing staff shortages, lack of money, and increased demand. The King’s Fund (2024) says that the plan's goals are high, but not enough money is going into educating workers and improving public health, which makes it harder to carry out. Also, health inequities between regions are still a big problem, especially in poor areas (</w:t>
      </w:r>
      <w:r w:rsidR="000D0228" w:rsidRPr="000D0228">
        <w:rPr>
          <w:rFonts w:ascii="Arial" w:hAnsi="Arial" w:cs="Arial"/>
          <w:sz w:val="22"/>
          <w:szCs w:val="22"/>
        </w:rPr>
        <w:t>Charles et al. (2019</w:t>
      </w:r>
      <w:r w:rsidRPr="00274DE5">
        <w:rPr>
          <w:rFonts w:ascii="Arial" w:hAnsi="Arial" w:cs="Arial"/>
          <w:sz w:val="22"/>
          <w:szCs w:val="22"/>
        </w:rPr>
        <w:t xml:space="preserve">). The NHS wants to reach the SDG 3 target of universal and sustainable healthcare by making community-based care stronger, mental health services better, and decision-making based on data better. Keeping workers, </w:t>
      </w:r>
      <w:r w:rsidRPr="00274DE5">
        <w:rPr>
          <w:rFonts w:ascii="Arial" w:hAnsi="Arial" w:cs="Arial"/>
          <w:sz w:val="22"/>
          <w:szCs w:val="22"/>
        </w:rPr>
        <w:lastRenderedPageBreak/>
        <w:t>encouraging local innovation, and getting government money on a regular basis will all be important for successful implementation.</w:t>
      </w:r>
    </w:p>
    <w:p w14:paraId="067D04F7" w14:textId="6E61A085" w:rsidR="00C27865" w:rsidRDefault="0002283A" w:rsidP="00FE1C46">
      <w:pPr>
        <w:spacing w:line="360" w:lineRule="auto"/>
        <w:jc w:val="both"/>
        <w:rPr>
          <w:rFonts w:ascii="Arial" w:hAnsi="Arial" w:cs="Arial"/>
          <w:sz w:val="22"/>
          <w:szCs w:val="22"/>
        </w:rPr>
      </w:pPr>
      <w:r>
        <w:rPr>
          <w:rFonts w:ascii="Arial" w:hAnsi="Arial" w:cs="Arial"/>
          <w:b/>
          <w:bCs/>
          <w:sz w:val="22"/>
          <w:szCs w:val="22"/>
        </w:rPr>
        <w:t>L</w:t>
      </w:r>
      <w:r w:rsidR="00C27865" w:rsidRPr="0026443C">
        <w:rPr>
          <w:rFonts w:ascii="Arial" w:hAnsi="Arial" w:cs="Arial"/>
          <w:b/>
          <w:bCs/>
          <w:sz w:val="22"/>
          <w:szCs w:val="22"/>
        </w:rPr>
        <w:t>ocal initiative</w:t>
      </w:r>
      <w:r w:rsidR="0026443C" w:rsidRPr="0026443C">
        <w:rPr>
          <w:rFonts w:ascii="Arial" w:hAnsi="Arial" w:cs="Arial"/>
          <w:b/>
          <w:bCs/>
          <w:sz w:val="22"/>
          <w:szCs w:val="22"/>
        </w:rPr>
        <w:t xml:space="preserve"> </w:t>
      </w:r>
    </w:p>
    <w:p w14:paraId="635AB40A" w14:textId="38D8D698" w:rsidR="002C3D6B" w:rsidRPr="00B07665" w:rsidRDefault="002C3D6B" w:rsidP="00FE1C46">
      <w:pPr>
        <w:spacing w:line="360" w:lineRule="auto"/>
        <w:jc w:val="both"/>
        <w:rPr>
          <w:rFonts w:ascii="Arial" w:hAnsi="Arial" w:cs="Arial"/>
          <w:sz w:val="22"/>
          <w:szCs w:val="22"/>
        </w:rPr>
      </w:pPr>
      <w:r w:rsidRPr="002C3D6B">
        <w:rPr>
          <w:rFonts w:ascii="Arial" w:hAnsi="Arial" w:cs="Arial"/>
          <w:sz w:val="22"/>
          <w:szCs w:val="22"/>
        </w:rPr>
        <w:t xml:space="preserve">The East Staffordshire Borough Council and The Bread-and-Butter Thing (TBBT) are working together to fight food insecurity by giving extra food to families with low incomes.  The project does, however, have a few problems.  The cost-of-living problem has led to higher demand, which has stretched capacity. At the same time, </w:t>
      </w:r>
      <w:r w:rsidR="006D24FB">
        <w:rPr>
          <w:rFonts w:ascii="Arial" w:hAnsi="Arial" w:cs="Arial"/>
          <w:sz w:val="22"/>
          <w:szCs w:val="22"/>
        </w:rPr>
        <w:t>the</w:t>
      </w:r>
      <w:r w:rsidRPr="002C3D6B">
        <w:rPr>
          <w:rFonts w:ascii="Arial" w:hAnsi="Arial" w:cs="Arial"/>
          <w:sz w:val="22"/>
          <w:szCs w:val="22"/>
        </w:rPr>
        <w:t xml:space="preserve"> lack of volunteers and logistical challenges, like food storage, transportation, and scheduling, make everyday operations more difficult.  It is still hard to make sure that rural communities have long-term health and socioeconomic outcomes (East Staffordshire Borough Council, 2024; Support Staffordshire, 2023; UK Parliament, 2023).  Even with these problems, the collaboration is still very important for helping needy areas and cutting down on food waste.</w:t>
      </w:r>
    </w:p>
    <w:p w14:paraId="32D13271" w14:textId="21A203D8" w:rsidR="00F75AE0" w:rsidRDefault="00F75AE0" w:rsidP="00FE1C46">
      <w:pPr>
        <w:spacing w:line="360" w:lineRule="auto"/>
        <w:jc w:val="both"/>
        <w:rPr>
          <w:rFonts w:ascii="Arial" w:hAnsi="Arial" w:cs="Arial"/>
          <w:b/>
          <w:bCs/>
          <w:sz w:val="22"/>
          <w:szCs w:val="22"/>
        </w:rPr>
      </w:pPr>
      <w:r>
        <w:rPr>
          <w:rFonts w:ascii="Arial" w:hAnsi="Arial" w:cs="Arial"/>
          <w:b/>
          <w:bCs/>
          <w:sz w:val="22"/>
          <w:szCs w:val="22"/>
        </w:rPr>
        <w:t>Theories</w:t>
      </w:r>
      <w:r w:rsidR="006D24FB">
        <w:rPr>
          <w:rFonts w:ascii="Arial" w:hAnsi="Arial" w:cs="Arial"/>
          <w:b/>
          <w:bCs/>
          <w:sz w:val="22"/>
          <w:szCs w:val="22"/>
        </w:rPr>
        <w:t xml:space="preserve"> and </w:t>
      </w:r>
      <w:r>
        <w:rPr>
          <w:rFonts w:ascii="Arial" w:hAnsi="Arial" w:cs="Arial"/>
          <w:b/>
          <w:bCs/>
          <w:sz w:val="22"/>
          <w:szCs w:val="22"/>
        </w:rPr>
        <w:t>Models</w:t>
      </w:r>
      <w:r w:rsidR="006D24FB">
        <w:rPr>
          <w:rFonts w:ascii="Arial" w:hAnsi="Arial" w:cs="Arial"/>
          <w:b/>
          <w:bCs/>
          <w:sz w:val="22"/>
          <w:szCs w:val="22"/>
        </w:rPr>
        <w:t xml:space="preserve"> application</w:t>
      </w:r>
    </w:p>
    <w:p w14:paraId="79E8F001" w14:textId="760DED7C" w:rsidR="00437994" w:rsidRDefault="00116DBC" w:rsidP="00FE1C46">
      <w:pPr>
        <w:spacing w:line="360" w:lineRule="auto"/>
        <w:jc w:val="both"/>
        <w:rPr>
          <w:rFonts w:ascii="Arial" w:hAnsi="Arial" w:cs="Arial"/>
          <w:sz w:val="22"/>
          <w:szCs w:val="22"/>
        </w:rPr>
      </w:pPr>
      <w:r w:rsidRPr="00116DBC">
        <w:rPr>
          <w:rFonts w:ascii="Arial" w:hAnsi="Arial" w:cs="Arial"/>
          <w:sz w:val="22"/>
          <w:szCs w:val="22"/>
        </w:rPr>
        <w:t>Theories and models improve our understanding of the effectiveness of interventions. The "rainbow" model created by Dahlgren and Whitehead, serving as an umbrella for socioeconomic determinants of health, is a crucial tool for contemplating Sustainable Development Goal 3</w:t>
      </w:r>
      <w:r w:rsidR="000737B3" w:rsidRPr="00116DBC">
        <w:rPr>
          <w:rFonts w:ascii="Arial" w:hAnsi="Arial" w:cs="Arial"/>
          <w:sz w:val="22"/>
          <w:szCs w:val="22"/>
        </w:rPr>
        <w:t xml:space="preserve">. </w:t>
      </w:r>
      <w:r w:rsidRPr="00116DBC">
        <w:rPr>
          <w:rFonts w:ascii="Arial" w:hAnsi="Arial" w:cs="Arial"/>
          <w:sz w:val="22"/>
          <w:szCs w:val="22"/>
        </w:rPr>
        <w:t>This approach situates human health within the contexts of social, economic, and environmental factors</w:t>
      </w:r>
      <w:r w:rsidR="000737B3" w:rsidRPr="00116DBC">
        <w:rPr>
          <w:rFonts w:ascii="Arial" w:hAnsi="Arial" w:cs="Arial"/>
          <w:sz w:val="22"/>
          <w:szCs w:val="22"/>
        </w:rPr>
        <w:t xml:space="preserve">. </w:t>
      </w:r>
      <w:r w:rsidRPr="00116DBC">
        <w:rPr>
          <w:rFonts w:ascii="Arial" w:hAnsi="Arial" w:cs="Arial"/>
          <w:sz w:val="22"/>
          <w:szCs w:val="22"/>
        </w:rPr>
        <w:t xml:space="preserve">The argument posits that policy must extend beyond clinical services to tackle upstream determinants </w:t>
      </w:r>
      <w:bookmarkStart w:id="6" w:name="_Hlk213448948"/>
      <w:r w:rsidRPr="00116DBC">
        <w:rPr>
          <w:rFonts w:ascii="Arial" w:hAnsi="Arial" w:cs="Arial"/>
          <w:sz w:val="22"/>
          <w:szCs w:val="22"/>
        </w:rPr>
        <w:t>(Dahlgren and Whitehead</w:t>
      </w:r>
      <w:r w:rsidR="004116C3">
        <w:rPr>
          <w:rFonts w:ascii="Arial" w:hAnsi="Arial" w:cs="Arial"/>
          <w:sz w:val="22"/>
          <w:szCs w:val="22"/>
        </w:rPr>
        <w:t>, 2021</w:t>
      </w:r>
      <w:r w:rsidRPr="00116DBC">
        <w:rPr>
          <w:rFonts w:ascii="Arial" w:hAnsi="Arial" w:cs="Arial"/>
          <w:sz w:val="22"/>
          <w:szCs w:val="22"/>
        </w:rPr>
        <w:t xml:space="preserve">). </w:t>
      </w:r>
      <w:bookmarkEnd w:id="6"/>
      <w:r w:rsidRPr="00116DBC">
        <w:rPr>
          <w:rFonts w:ascii="Arial" w:hAnsi="Arial" w:cs="Arial"/>
          <w:sz w:val="22"/>
          <w:szCs w:val="22"/>
        </w:rPr>
        <w:t>Complementary models, such the biopsychosocial approach and ecological health models, underscore the necessity of integrated multisectoral solutions</w:t>
      </w:r>
      <w:r w:rsidR="004116C3">
        <w:rPr>
          <w:rFonts w:ascii="Arial" w:hAnsi="Arial" w:cs="Arial"/>
          <w:sz w:val="22"/>
          <w:szCs w:val="22"/>
        </w:rPr>
        <w:t xml:space="preserve"> </w:t>
      </w:r>
      <w:r w:rsidRPr="00116DBC">
        <w:rPr>
          <w:rFonts w:ascii="Arial" w:hAnsi="Arial" w:cs="Arial"/>
          <w:sz w:val="22"/>
          <w:szCs w:val="22"/>
        </w:rPr>
        <w:t>encompassing education, housing, water and sanitation, and economic support</w:t>
      </w:r>
      <w:r w:rsidR="00623BC2">
        <w:rPr>
          <w:rFonts w:ascii="Arial" w:hAnsi="Arial" w:cs="Arial"/>
          <w:sz w:val="22"/>
          <w:szCs w:val="22"/>
        </w:rPr>
        <w:t xml:space="preserve"> </w:t>
      </w:r>
      <w:r w:rsidRPr="00116DBC">
        <w:rPr>
          <w:rFonts w:ascii="Arial" w:hAnsi="Arial" w:cs="Arial"/>
          <w:sz w:val="22"/>
          <w:szCs w:val="22"/>
        </w:rPr>
        <w:t>to attain the aims of Sustainable Development Goal 3 (SDG3)</w:t>
      </w:r>
      <w:r w:rsidR="000737B3" w:rsidRPr="00116DBC">
        <w:rPr>
          <w:rFonts w:ascii="Arial" w:hAnsi="Arial" w:cs="Arial"/>
          <w:sz w:val="22"/>
          <w:szCs w:val="22"/>
        </w:rPr>
        <w:t xml:space="preserve">. </w:t>
      </w:r>
      <w:r w:rsidRPr="00116DBC">
        <w:rPr>
          <w:rFonts w:ascii="Arial" w:hAnsi="Arial" w:cs="Arial"/>
          <w:sz w:val="22"/>
          <w:szCs w:val="22"/>
        </w:rPr>
        <w:t xml:space="preserve">According to these models, clinical, public health, and social policy mechanisms should be </w:t>
      </w:r>
      <w:r w:rsidR="000737B3" w:rsidRPr="00116DBC">
        <w:rPr>
          <w:rFonts w:ascii="Arial" w:hAnsi="Arial" w:cs="Arial"/>
          <w:sz w:val="22"/>
          <w:szCs w:val="22"/>
        </w:rPr>
        <w:t>used</w:t>
      </w:r>
      <w:r w:rsidRPr="00116DBC">
        <w:rPr>
          <w:rFonts w:ascii="Arial" w:hAnsi="Arial" w:cs="Arial"/>
          <w:sz w:val="22"/>
          <w:szCs w:val="22"/>
        </w:rPr>
        <w:t xml:space="preserve"> in the development of programs that endorse integration</w:t>
      </w:r>
      <w:r w:rsidR="00E73A51">
        <w:rPr>
          <w:rFonts w:ascii="Arial" w:hAnsi="Arial" w:cs="Arial"/>
          <w:sz w:val="22"/>
          <w:szCs w:val="22"/>
        </w:rPr>
        <w:t xml:space="preserve"> </w:t>
      </w:r>
      <w:r w:rsidR="00E73A51" w:rsidRPr="00E73A51">
        <w:rPr>
          <w:rFonts w:ascii="Arial" w:hAnsi="Arial" w:cs="Arial"/>
          <w:sz w:val="22"/>
          <w:szCs w:val="22"/>
        </w:rPr>
        <w:t>(Dahlgren and Whitehead, 2021).</w:t>
      </w:r>
    </w:p>
    <w:p w14:paraId="728FB3D1" w14:textId="77777777" w:rsidR="0090093D" w:rsidRPr="00E45D0B" w:rsidRDefault="0090093D" w:rsidP="00FE1C46">
      <w:pPr>
        <w:spacing w:line="360" w:lineRule="auto"/>
        <w:jc w:val="both"/>
        <w:rPr>
          <w:rFonts w:ascii="Arial" w:hAnsi="Arial" w:cs="Arial"/>
          <w:sz w:val="22"/>
          <w:szCs w:val="22"/>
        </w:rPr>
      </w:pPr>
    </w:p>
    <w:p w14:paraId="38C77E55" w14:textId="410360C3" w:rsidR="00F75AE0" w:rsidRDefault="00F75AE0" w:rsidP="00FE1C46">
      <w:pPr>
        <w:spacing w:line="360" w:lineRule="auto"/>
        <w:jc w:val="both"/>
        <w:rPr>
          <w:rFonts w:ascii="Arial" w:hAnsi="Arial" w:cs="Arial"/>
          <w:b/>
          <w:bCs/>
          <w:sz w:val="22"/>
          <w:szCs w:val="22"/>
        </w:rPr>
      </w:pPr>
      <w:r>
        <w:rPr>
          <w:rFonts w:ascii="Arial" w:hAnsi="Arial" w:cs="Arial"/>
          <w:b/>
          <w:bCs/>
          <w:sz w:val="22"/>
          <w:szCs w:val="22"/>
        </w:rPr>
        <w:t>Recommendations</w:t>
      </w:r>
    </w:p>
    <w:p w14:paraId="0F001863" w14:textId="55B3E35B" w:rsidR="00BD2079" w:rsidRDefault="00BD2079" w:rsidP="00FE1C46">
      <w:pPr>
        <w:spacing w:line="360" w:lineRule="auto"/>
        <w:jc w:val="both"/>
        <w:rPr>
          <w:rFonts w:ascii="Arial" w:eastAsia="Times New Roman" w:hAnsi="Arial" w:cs="Arial"/>
          <w:kern w:val="0"/>
          <w:sz w:val="22"/>
          <w:szCs w:val="22"/>
          <w:lang w:eastAsia="en-GB"/>
          <w14:ligatures w14:val="none"/>
        </w:rPr>
      </w:pPr>
      <w:r w:rsidRPr="00BD2079">
        <w:rPr>
          <w:rFonts w:ascii="Arial" w:hAnsi="Arial" w:cs="Arial"/>
          <w:b/>
          <w:bCs/>
          <w:sz w:val="22"/>
          <w:szCs w:val="22"/>
        </w:rPr>
        <w:t xml:space="preserve">Promote Localised Implementation: </w:t>
      </w:r>
      <w:r w:rsidRPr="00BD2079">
        <w:rPr>
          <w:rFonts w:ascii="Arial" w:eastAsia="Times New Roman" w:hAnsi="Arial" w:cs="Arial"/>
          <w:kern w:val="0"/>
          <w:sz w:val="22"/>
          <w:szCs w:val="22"/>
          <w:lang w:eastAsia="en-GB"/>
          <w14:ligatures w14:val="none"/>
        </w:rPr>
        <w:t>Enhance community</w:t>
      </w:r>
      <w:r>
        <w:rPr>
          <w:rFonts w:ascii="Arial" w:eastAsia="Times New Roman" w:hAnsi="Arial" w:cs="Arial"/>
          <w:kern w:val="0"/>
          <w:sz w:val="22"/>
          <w:szCs w:val="22"/>
          <w:lang w:eastAsia="en-GB"/>
          <w14:ligatures w14:val="none"/>
        </w:rPr>
        <w:t xml:space="preserve"> </w:t>
      </w:r>
      <w:r w:rsidRPr="00BD2079">
        <w:rPr>
          <w:rFonts w:ascii="Arial" w:eastAsia="Times New Roman" w:hAnsi="Arial" w:cs="Arial"/>
          <w:kern w:val="0"/>
          <w:sz w:val="22"/>
          <w:szCs w:val="22"/>
          <w:lang w:eastAsia="en-GB"/>
          <w14:ligatures w14:val="none"/>
        </w:rPr>
        <w:t>level collaborations</w:t>
      </w:r>
      <w:r>
        <w:rPr>
          <w:rFonts w:ascii="Arial" w:eastAsia="Times New Roman" w:hAnsi="Arial" w:cs="Arial"/>
          <w:kern w:val="0"/>
          <w:sz w:val="22"/>
          <w:szCs w:val="22"/>
          <w:lang w:eastAsia="en-GB"/>
          <w14:ligatures w14:val="none"/>
        </w:rPr>
        <w:t xml:space="preserve">, </w:t>
      </w:r>
      <w:r w:rsidRPr="00BD2079">
        <w:rPr>
          <w:rFonts w:ascii="Arial" w:eastAsia="Times New Roman" w:hAnsi="Arial" w:cs="Arial"/>
          <w:kern w:val="0"/>
          <w:sz w:val="22"/>
          <w:szCs w:val="22"/>
          <w:lang w:eastAsia="en-GB"/>
          <w14:ligatures w14:val="none"/>
        </w:rPr>
        <w:t>such as the Healthy London Partnership—by offering adaptable micro-grants and collaborative decision-making opportunities. Community involvement enhances trust and guarantees culturally relevant health promotion</w:t>
      </w:r>
      <w:r w:rsidR="00970050">
        <w:rPr>
          <w:rFonts w:ascii="Arial" w:eastAsia="Times New Roman" w:hAnsi="Arial" w:cs="Arial"/>
          <w:kern w:val="0"/>
          <w:sz w:val="22"/>
          <w:szCs w:val="22"/>
          <w:lang w:eastAsia="en-GB"/>
          <w14:ligatures w14:val="none"/>
        </w:rPr>
        <w:t xml:space="preserve"> (NHS England, 2019)</w:t>
      </w:r>
      <w:r w:rsidRPr="00BD2079">
        <w:rPr>
          <w:rFonts w:ascii="Arial" w:eastAsia="Times New Roman" w:hAnsi="Arial" w:cs="Arial"/>
          <w:kern w:val="0"/>
          <w:sz w:val="22"/>
          <w:szCs w:val="22"/>
          <w:lang w:eastAsia="en-GB"/>
          <w14:ligatures w14:val="none"/>
        </w:rPr>
        <w:t xml:space="preserve">. </w:t>
      </w:r>
    </w:p>
    <w:p w14:paraId="63CF43B3" w14:textId="53BD0AC9" w:rsidR="00970050" w:rsidRDefault="00970050" w:rsidP="00FE1C46">
      <w:pPr>
        <w:spacing w:line="360" w:lineRule="auto"/>
        <w:jc w:val="both"/>
        <w:rPr>
          <w:rFonts w:ascii="Arial" w:eastAsia="Times New Roman" w:hAnsi="Arial" w:cs="Arial"/>
          <w:kern w:val="0"/>
          <w:sz w:val="22"/>
          <w:szCs w:val="22"/>
          <w:lang w:eastAsia="en-GB"/>
          <w14:ligatures w14:val="none"/>
        </w:rPr>
      </w:pPr>
      <w:r w:rsidRPr="00970050">
        <w:rPr>
          <w:rFonts w:ascii="Arial" w:eastAsia="Times New Roman" w:hAnsi="Arial" w:cs="Arial"/>
          <w:b/>
          <w:bCs/>
          <w:kern w:val="0"/>
          <w:sz w:val="22"/>
          <w:szCs w:val="22"/>
          <w:lang w:eastAsia="en-GB"/>
          <w14:ligatures w14:val="none"/>
        </w:rPr>
        <w:lastRenderedPageBreak/>
        <w:t>Strengthen Health Equity Monitoring:</w:t>
      </w:r>
      <w:r>
        <w:rPr>
          <w:rFonts w:ascii="Arial" w:eastAsia="Times New Roman" w:hAnsi="Arial" w:cs="Arial"/>
          <w:b/>
          <w:bCs/>
          <w:kern w:val="0"/>
          <w:sz w:val="22"/>
          <w:szCs w:val="22"/>
          <w:lang w:eastAsia="en-GB"/>
          <w14:ligatures w14:val="none"/>
        </w:rPr>
        <w:t xml:space="preserve"> </w:t>
      </w:r>
      <w:r w:rsidRPr="00970050">
        <w:rPr>
          <w:rFonts w:ascii="Arial" w:eastAsia="Times New Roman" w:hAnsi="Arial" w:cs="Arial"/>
          <w:kern w:val="0"/>
          <w:sz w:val="22"/>
          <w:szCs w:val="22"/>
          <w:lang w:eastAsia="en-GB"/>
          <w14:ligatures w14:val="none"/>
        </w:rPr>
        <w:t xml:space="preserve">Establish separated data systems to discern discrepancies in access, outcomes, and service provision. This data base underpins targeted initiatives and inclusive </w:t>
      </w:r>
      <w:r w:rsidR="00437994" w:rsidRPr="00970050">
        <w:rPr>
          <w:rFonts w:ascii="Arial" w:eastAsia="Times New Roman" w:hAnsi="Arial" w:cs="Arial"/>
          <w:kern w:val="0"/>
          <w:sz w:val="22"/>
          <w:szCs w:val="22"/>
          <w:lang w:eastAsia="en-GB"/>
          <w14:ligatures w14:val="none"/>
        </w:rPr>
        <w:t>policymaking</w:t>
      </w:r>
      <w:r w:rsidR="00437994">
        <w:rPr>
          <w:rFonts w:ascii="Arial" w:eastAsia="Times New Roman" w:hAnsi="Arial" w:cs="Arial"/>
          <w:kern w:val="0"/>
          <w:sz w:val="22"/>
          <w:szCs w:val="22"/>
          <w:lang w:eastAsia="en-GB"/>
          <w14:ligatures w14:val="none"/>
        </w:rPr>
        <w:t xml:space="preserve"> </w:t>
      </w:r>
      <w:r w:rsidR="00437994">
        <w:t>(</w:t>
      </w:r>
      <w:r w:rsidR="00437994" w:rsidRPr="00437994">
        <w:rPr>
          <w:rFonts w:ascii="Arial" w:eastAsia="Times New Roman" w:hAnsi="Arial" w:cs="Arial"/>
          <w:kern w:val="0"/>
          <w:sz w:val="22"/>
          <w:szCs w:val="22"/>
          <w:lang w:eastAsia="en-GB"/>
          <w14:ligatures w14:val="none"/>
        </w:rPr>
        <w:t>Hosseinpoor et al., 2023)</w:t>
      </w:r>
      <w:r w:rsidRPr="00970050">
        <w:rPr>
          <w:rFonts w:ascii="Arial" w:eastAsia="Times New Roman" w:hAnsi="Arial" w:cs="Arial"/>
          <w:kern w:val="0"/>
          <w:sz w:val="22"/>
          <w:szCs w:val="22"/>
          <w:lang w:eastAsia="en-GB"/>
          <w14:ligatures w14:val="none"/>
        </w:rPr>
        <w:t>.</w:t>
      </w:r>
    </w:p>
    <w:p w14:paraId="07D566E0" w14:textId="125828B9" w:rsidR="000737B3" w:rsidRDefault="00437994" w:rsidP="00FE1C46">
      <w:pPr>
        <w:spacing w:line="360" w:lineRule="auto"/>
        <w:jc w:val="both"/>
        <w:rPr>
          <w:rFonts w:ascii="Arial" w:eastAsia="Times New Roman" w:hAnsi="Arial" w:cs="Arial"/>
          <w:kern w:val="0"/>
          <w:sz w:val="22"/>
          <w:szCs w:val="22"/>
          <w:lang w:eastAsia="en-GB"/>
          <w14:ligatures w14:val="none"/>
        </w:rPr>
      </w:pPr>
      <w:r w:rsidRPr="00437994">
        <w:rPr>
          <w:rFonts w:ascii="Arial" w:eastAsia="Times New Roman" w:hAnsi="Arial" w:cs="Arial"/>
          <w:b/>
          <w:bCs/>
          <w:kern w:val="0"/>
          <w:sz w:val="22"/>
          <w:szCs w:val="22"/>
          <w:lang w:eastAsia="en-GB"/>
          <w14:ligatures w14:val="none"/>
        </w:rPr>
        <w:t>Address Social Determinants of Health:</w:t>
      </w:r>
      <w:r>
        <w:rPr>
          <w:rFonts w:ascii="Arial" w:eastAsia="Times New Roman" w:hAnsi="Arial" w:cs="Arial"/>
          <w:b/>
          <w:bCs/>
          <w:kern w:val="0"/>
          <w:sz w:val="22"/>
          <w:szCs w:val="22"/>
          <w:lang w:eastAsia="en-GB"/>
          <w14:ligatures w14:val="none"/>
        </w:rPr>
        <w:t xml:space="preserve"> </w:t>
      </w:r>
      <w:r w:rsidR="00645C4A">
        <w:rPr>
          <w:rFonts w:ascii="Arial" w:eastAsia="Times New Roman" w:hAnsi="Arial" w:cs="Arial"/>
          <w:kern w:val="0"/>
          <w:sz w:val="22"/>
          <w:szCs w:val="22"/>
          <w:lang w:eastAsia="en-GB"/>
          <w14:ligatures w14:val="none"/>
        </w:rPr>
        <w:t>Applying</w:t>
      </w:r>
      <w:r>
        <w:rPr>
          <w:rFonts w:ascii="Arial" w:eastAsia="Times New Roman" w:hAnsi="Arial" w:cs="Arial"/>
          <w:kern w:val="0"/>
          <w:sz w:val="22"/>
          <w:szCs w:val="22"/>
          <w:lang w:eastAsia="en-GB"/>
          <w14:ligatures w14:val="none"/>
        </w:rPr>
        <w:t xml:space="preserve"> the Dahlgren and Whitehead (1991) model </w:t>
      </w:r>
      <w:r w:rsidRPr="00437994">
        <w:rPr>
          <w:rFonts w:ascii="Arial" w:eastAsia="Times New Roman" w:hAnsi="Arial" w:cs="Arial"/>
          <w:kern w:val="0"/>
          <w:sz w:val="22"/>
          <w:szCs w:val="22"/>
          <w:lang w:eastAsia="en-GB"/>
          <w14:ligatures w14:val="none"/>
        </w:rPr>
        <w:t>to tackle upstream factors such as poverty, housing, education, and employment. Integrating these determinants into health policies can create long-term improvements in population well-being.</w:t>
      </w:r>
    </w:p>
    <w:p w14:paraId="26AA13A7" w14:textId="250C6EDC" w:rsidR="0049682E" w:rsidRPr="00FE1C46" w:rsidRDefault="0049682E" w:rsidP="00FE1C46">
      <w:pPr>
        <w:spacing w:line="360" w:lineRule="auto"/>
        <w:jc w:val="both"/>
        <w:rPr>
          <w:rFonts w:ascii="Arial" w:eastAsia="Times New Roman" w:hAnsi="Arial" w:cs="Arial"/>
          <w:kern w:val="0"/>
          <w:sz w:val="22"/>
          <w:szCs w:val="22"/>
          <w:lang w:eastAsia="en-GB"/>
          <w14:ligatures w14:val="none"/>
        </w:rPr>
      </w:pPr>
      <w:r w:rsidRPr="00645C4A">
        <w:rPr>
          <w:rFonts w:ascii="Arial" w:eastAsia="Times New Roman" w:hAnsi="Arial" w:cs="Arial"/>
          <w:b/>
          <w:bCs/>
          <w:kern w:val="0"/>
          <w:sz w:val="22"/>
          <w:szCs w:val="22"/>
          <w:lang w:eastAsia="en-GB"/>
          <w14:ligatures w14:val="none"/>
        </w:rPr>
        <w:t>Additionally</w:t>
      </w:r>
      <w:r w:rsidRPr="002958E0">
        <w:rPr>
          <w:rFonts w:ascii="Arial" w:eastAsia="Times New Roman" w:hAnsi="Arial" w:cs="Arial"/>
          <w:b/>
          <w:bCs/>
          <w:kern w:val="0"/>
          <w:sz w:val="22"/>
          <w:szCs w:val="22"/>
          <w:lang w:eastAsia="en-GB"/>
          <w14:ligatures w14:val="none"/>
        </w:rPr>
        <w:t xml:space="preserve">, </w:t>
      </w:r>
      <w:r w:rsidR="002958E0" w:rsidRPr="002958E0">
        <w:rPr>
          <w:rFonts w:ascii="Arial" w:eastAsia="Times New Roman" w:hAnsi="Arial" w:cs="Arial"/>
          <w:kern w:val="0"/>
          <w:sz w:val="22"/>
          <w:szCs w:val="22"/>
          <w:lang w:eastAsia="en-GB"/>
          <w14:ligatures w14:val="none"/>
        </w:rPr>
        <w:t>an</w:t>
      </w:r>
      <w:r w:rsidR="0020704D" w:rsidRPr="002958E0">
        <w:rPr>
          <w:rFonts w:ascii="Arial" w:eastAsia="Times New Roman" w:hAnsi="Arial" w:cs="Arial"/>
          <w:kern w:val="0"/>
          <w:sz w:val="22"/>
          <w:szCs w:val="22"/>
          <w:lang w:eastAsia="en-GB"/>
          <w14:ligatures w14:val="none"/>
        </w:rPr>
        <w:t xml:space="preserve"> explicit illustration of a social determinant of health within SDG 3 (Good Health and Well-being) is the quality of housing. Substandard housing</w:t>
      </w:r>
      <w:r w:rsidR="002958E0">
        <w:rPr>
          <w:rFonts w:ascii="Arial" w:eastAsia="Times New Roman" w:hAnsi="Arial" w:cs="Arial"/>
          <w:kern w:val="0"/>
          <w:sz w:val="22"/>
          <w:szCs w:val="22"/>
          <w:lang w:eastAsia="en-GB"/>
          <w14:ligatures w14:val="none"/>
        </w:rPr>
        <w:t xml:space="preserve"> </w:t>
      </w:r>
      <w:r w:rsidR="0020704D" w:rsidRPr="002958E0">
        <w:rPr>
          <w:rFonts w:ascii="Arial" w:eastAsia="Times New Roman" w:hAnsi="Arial" w:cs="Arial"/>
          <w:kern w:val="0"/>
          <w:sz w:val="22"/>
          <w:szCs w:val="22"/>
          <w:lang w:eastAsia="en-GB"/>
          <w14:ligatures w14:val="none"/>
        </w:rPr>
        <w:t>characterized by dampness, overcrowding, or insecurity</w:t>
      </w:r>
      <w:r w:rsidR="002958E0">
        <w:rPr>
          <w:rFonts w:ascii="Arial" w:eastAsia="Times New Roman" w:hAnsi="Arial" w:cs="Arial"/>
          <w:kern w:val="0"/>
          <w:sz w:val="22"/>
          <w:szCs w:val="22"/>
          <w:lang w:eastAsia="en-GB"/>
          <w14:ligatures w14:val="none"/>
        </w:rPr>
        <w:t xml:space="preserve"> </w:t>
      </w:r>
      <w:r w:rsidR="0020704D" w:rsidRPr="002958E0">
        <w:rPr>
          <w:rFonts w:ascii="Arial" w:eastAsia="Times New Roman" w:hAnsi="Arial" w:cs="Arial"/>
          <w:kern w:val="0"/>
          <w:sz w:val="22"/>
          <w:szCs w:val="22"/>
          <w:lang w:eastAsia="en-GB"/>
          <w14:ligatures w14:val="none"/>
        </w:rPr>
        <w:t>directly contributes to respiratory ailments, stress, and deteriorating mental health. Research in the UK indicates that those residing in inadequate housing are at a heightened risk of developing chronic diseases such as asthma and depression, adversely impacting overall well-being and life expectancy (Marmot, 2020). decreasing housing disparities via affordable housing initiatives and improved living conditions advances SDG 3 by addressing the fundamental causes of poor health rather than merely managing its consequences.</w:t>
      </w:r>
    </w:p>
    <w:p w14:paraId="4ADECE4A" w14:textId="4233B19C" w:rsidR="00F75AE0" w:rsidRDefault="00F75AE0" w:rsidP="00FE1C46">
      <w:pPr>
        <w:spacing w:line="360" w:lineRule="auto"/>
        <w:jc w:val="both"/>
        <w:rPr>
          <w:rFonts w:ascii="Arial" w:hAnsi="Arial" w:cs="Arial"/>
          <w:b/>
          <w:bCs/>
          <w:sz w:val="22"/>
          <w:szCs w:val="22"/>
        </w:rPr>
      </w:pPr>
      <w:r w:rsidRPr="00BD2079">
        <w:rPr>
          <w:rFonts w:ascii="Arial" w:hAnsi="Arial" w:cs="Arial"/>
          <w:b/>
          <w:bCs/>
          <w:sz w:val="22"/>
          <w:szCs w:val="22"/>
        </w:rPr>
        <w:t>Section</w:t>
      </w:r>
      <w:r>
        <w:rPr>
          <w:rFonts w:ascii="Arial" w:hAnsi="Arial" w:cs="Arial"/>
          <w:b/>
          <w:bCs/>
          <w:sz w:val="22"/>
          <w:szCs w:val="22"/>
        </w:rPr>
        <w:t xml:space="preserve"> </w:t>
      </w:r>
      <w:r w:rsidR="002D1549">
        <w:rPr>
          <w:rFonts w:ascii="Arial" w:hAnsi="Arial" w:cs="Arial"/>
          <w:b/>
          <w:bCs/>
          <w:sz w:val="22"/>
          <w:szCs w:val="22"/>
        </w:rPr>
        <w:t>2 SDG 6</w:t>
      </w:r>
      <w:r w:rsidR="00C4455A">
        <w:rPr>
          <w:rFonts w:ascii="Arial" w:hAnsi="Arial" w:cs="Arial"/>
          <w:b/>
          <w:bCs/>
          <w:sz w:val="22"/>
          <w:szCs w:val="22"/>
        </w:rPr>
        <w:t xml:space="preserve"> - </w:t>
      </w:r>
      <w:r w:rsidR="00C4455A" w:rsidRPr="00C4455A">
        <w:rPr>
          <w:rFonts w:ascii="Arial" w:hAnsi="Arial" w:cs="Arial"/>
          <w:b/>
          <w:bCs/>
          <w:sz w:val="22"/>
          <w:szCs w:val="22"/>
        </w:rPr>
        <w:t>Clean water and sanitation</w:t>
      </w:r>
    </w:p>
    <w:bookmarkEnd w:id="4"/>
    <w:p w14:paraId="2AF45820" w14:textId="516AC7B3" w:rsidR="00077E58" w:rsidRDefault="00F75AE0" w:rsidP="00FE1C46">
      <w:pPr>
        <w:spacing w:line="360" w:lineRule="auto"/>
        <w:jc w:val="both"/>
        <w:rPr>
          <w:rFonts w:ascii="Arial" w:hAnsi="Arial" w:cs="Arial"/>
          <w:b/>
          <w:bCs/>
          <w:sz w:val="22"/>
          <w:szCs w:val="22"/>
        </w:rPr>
      </w:pPr>
      <w:r w:rsidRPr="00F75AE0">
        <w:rPr>
          <w:rFonts w:ascii="Arial" w:hAnsi="Arial" w:cs="Arial"/>
          <w:b/>
          <w:bCs/>
          <w:sz w:val="22"/>
          <w:szCs w:val="22"/>
        </w:rPr>
        <w:t>An overview o</w:t>
      </w:r>
      <w:r>
        <w:rPr>
          <w:rFonts w:ascii="Arial" w:hAnsi="Arial" w:cs="Arial"/>
          <w:b/>
          <w:bCs/>
          <w:sz w:val="22"/>
          <w:szCs w:val="22"/>
        </w:rPr>
        <w:t>f</w:t>
      </w:r>
      <w:r w:rsidRPr="00F75AE0">
        <w:rPr>
          <w:rFonts w:ascii="Arial" w:hAnsi="Arial" w:cs="Arial"/>
          <w:b/>
          <w:bCs/>
          <w:sz w:val="22"/>
          <w:szCs w:val="22"/>
        </w:rPr>
        <w:t xml:space="preserve"> sustainable Development Goal 6 (SDG 6)</w:t>
      </w:r>
    </w:p>
    <w:p w14:paraId="289F0C7F" w14:textId="77777777" w:rsidR="00E00209" w:rsidRPr="00E00209" w:rsidRDefault="00E00209" w:rsidP="00E00209">
      <w:pPr>
        <w:spacing w:line="360" w:lineRule="auto"/>
        <w:jc w:val="both"/>
        <w:rPr>
          <w:rFonts w:ascii="Arial" w:hAnsi="Arial" w:cs="Arial"/>
          <w:sz w:val="22"/>
          <w:szCs w:val="22"/>
        </w:rPr>
      </w:pPr>
      <w:r w:rsidRPr="00E00209">
        <w:rPr>
          <w:rFonts w:ascii="Arial" w:hAnsi="Arial" w:cs="Arial"/>
          <w:sz w:val="22"/>
          <w:szCs w:val="22"/>
        </w:rPr>
        <w:t xml:space="preserve">SDG 6 seeks to "ensure availability and sustainable management of water and sanitation for all." Clean water and sanitation are human rights that are vital to socioeconomic progress, environmental sustainability, and global health. Water efficiency, freshwater ecosystem protection, and universal access to clean drinking water, sanitation, and hygiene (WASH) are objective goals (United Nations, 2023). </w:t>
      </w:r>
    </w:p>
    <w:p w14:paraId="7C2E6FE5" w14:textId="78AF1B0E" w:rsidR="00274BE8" w:rsidRDefault="00E00209" w:rsidP="00E00209">
      <w:pPr>
        <w:spacing w:line="360" w:lineRule="auto"/>
        <w:jc w:val="both"/>
        <w:rPr>
          <w:rFonts w:ascii="Arial" w:hAnsi="Arial" w:cs="Arial"/>
          <w:sz w:val="22"/>
          <w:szCs w:val="22"/>
        </w:rPr>
      </w:pPr>
      <w:r w:rsidRPr="00E00209">
        <w:rPr>
          <w:rFonts w:ascii="Arial" w:hAnsi="Arial" w:cs="Arial"/>
          <w:sz w:val="22"/>
          <w:szCs w:val="22"/>
        </w:rPr>
        <w:t>The global progress of SDG 6 is inconsistent. According to the UN World Water Development Report 2023 (UNESCO, 2023), over two billion people lack safe water and over 3.5 billion lack proper sanitation. Integrated management and sustainable finance are needed to meet 2030 goals due to rising water scarcity and pollution from urbanisation, population increase, and climate change.</w:t>
      </w:r>
    </w:p>
    <w:p w14:paraId="4F259100" w14:textId="587ADAF3" w:rsidR="00F75AE0" w:rsidRDefault="00F75AE0" w:rsidP="00FE1C46">
      <w:pPr>
        <w:spacing w:line="360" w:lineRule="auto"/>
        <w:jc w:val="both"/>
        <w:rPr>
          <w:rFonts w:ascii="Arial" w:hAnsi="Arial" w:cs="Arial"/>
          <w:b/>
          <w:bCs/>
          <w:sz w:val="22"/>
          <w:szCs w:val="22"/>
        </w:rPr>
      </w:pPr>
      <w:r w:rsidRPr="00F75AE0">
        <w:rPr>
          <w:rFonts w:ascii="Arial" w:hAnsi="Arial" w:cs="Arial"/>
          <w:b/>
          <w:bCs/>
          <w:sz w:val="22"/>
          <w:szCs w:val="22"/>
        </w:rPr>
        <w:t xml:space="preserve">Global policies and </w:t>
      </w:r>
      <w:r>
        <w:rPr>
          <w:rFonts w:ascii="Arial" w:hAnsi="Arial" w:cs="Arial"/>
          <w:b/>
          <w:bCs/>
          <w:sz w:val="22"/>
          <w:szCs w:val="22"/>
        </w:rPr>
        <w:t>i</w:t>
      </w:r>
      <w:r w:rsidRPr="00F75AE0">
        <w:rPr>
          <w:rFonts w:ascii="Arial" w:hAnsi="Arial" w:cs="Arial"/>
          <w:b/>
          <w:bCs/>
          <w:sz w:val="22"/>
          <w:szCs w:val="22"/>
        </w:rPr>
        <w:t>nitiative</w:t>
      </w:r>
      <w:r>
        <w:rPr>
          <w:rFonts w:ascii="Arial" w:hAnsi="Arial" w:cs="Arial"/>
          <w:b/>
          <w:bCs/>
          <w:sz w:val="22"/>
          <w:szCs w:val="22"/>
        </w:rPr>
        <w:t>s</w:t>
      </w:r>
    </w:p>
    <w:p w14:paraId="4609ADAB" w14:textId="77777777" w:rsidR="00274BE8" w:rsidRPr="00274BE8" w:rsidRDefault="00274BE8" w:rsidP="00FE1C46">
      <w:pPr>
        <w:spacing w:line="360" w:lineRule="auto"/>
        <w:jc w:val="both"/>
        <w:rPr>
          <w:rFonts w:ascii="Arial" w:hAnsi="Arial" w:cs="Arial"/>
          <w:sz w:val="22"/>
          <w:szCs w:val="22"/>
        </w:rPr>
      </w:pPr>
      <w:r w:rsidRPr="00274BE8">
        <w:rPr>
          <w:rFonts w:ascii="Arial" w:hAnsi="Arial" w:cs="Arial"/>
          <w:sz w:val="22"/>
          <w:szCs w:val="22"/>
        </w:rPr>
        <w:t xml:space="preserve">The United Nations-Water Integrated Monitoring Initiative assists countries in tracking progress and identifying policy deficiencies by integrating data and reporting on SDG 6 indicators globally (UN-Water, 2022). Governments and stakeholders are engaged by the </w:t>
      </w:r>
      <w:r w:rsidRPr="00274BE8">
        <w:rPr>
          <w:rFonts w:ascii="Arial" w:hAnsi="Arial" w:cs="Arial"/>
          <w:sz w:val="22"/>
          <w:szCs w:val="22"/>
        </w:rPr>
        <w:lastRenderedPageBreak/>
        <w:t>Water Action Decade 2018–2028 to promote cross-sectoral partnerships, invest in resilient water infrastructure, and enhance sustainable water resource management (UN, 2018).</w:t>
      </w:r>
    </w:p>
    <w:p w14:paraId="37837BA1" w14:textId="41681655" w:rsidR="00F75AE0" w:rsidRPr="0088288C" w:rsidRDefault="00274BE8" w:rsidP="00FE1C46">
      <w:pPr>
        <w:spacing w:line="360" w:lineRule="auto"/>
        <w:jc w:val="both"/>
        <w:rPr>
          <w:rFonts w:ascii="Arial" w:hAnsi="Arial" w:cs="Arial"/>
          <w:sz w:val="22"/>
          <w:szCs w:val="22"/>
        </w:rPr>
      </w:pPr>
      <w:r w:rsidRPr="00274BE8">
        <w:rPr>
          <w:rFonts w:ascii="Arial" w:hAnsi="Arial" w:cs="Arial"/>
          <w:sz w:val="22"/>
          <w:szCs w:val="22"/>
        </w:rPr>
        <w:t xml:space="preserve">The Sanitation and Water for All (SWA) partnership unites governments, civil society, and the private sector to enhance accountability and financing mechanisms, while the Global Water Partnership (GWP) promotes Integrated Water Resources Management (IWRM) to reconcile environmental sustainability with human requirements, exemplifying complementary initiatives (SWA, 2022). </w:t>
      </w:r>
    </w:p>
    <w:p w14:paraId="4A2AA31C" w14:textId="77777777" w:rsidR="00F75AE0" w:rsidRDefault="00F75AE0" w:rsidP="00FE1C46">
      <w:pPr>
        <w:spacing w:line="360" w:lineRule="auto"/>
        <w:jc w:val="both"/>
        <w:rPr>
          <w:rFonts w:ascii="Arial" w:hAnsi="Arial" w:cs="Arial"/>
          <w:b/>
          <w:bCs/>
          <w:sz w:val="22"/>
          <w:szCs w:val="22"/>
        </w:rPr>
      </w:pPr>
      <w:r>
        <w:rPr>
          <w:rFonts w:ascii="Arial" w:hAnsi="Arial" w:cs="Arial"/>
          <w:b/>
          <w:bCs/>
          <w:sz w:val="22"/>
          <w:szCs w:val="22"/>
        </w:rPr>
        <w:t>National and local examples</w:t>
      </w:r>
    </w:p>
    <w:p w14:paraId="147C72A3" w14:textId="77777777" w:rsidR="0088288C" w:rsidRDefault="0088288C" w:rsidP="00FE1C46">
      <w:pPr>
        <w:spacing w:line="360" w:lineRule="auto"/>
        <w:jc w:val="both"/>
        <w:rPr>
          <w:rFonts w:ascii="Arial" w:hAnsi="Arial" w:cs="Arial"/>
          <w:sz w:val="22"/>
          <w:szCs w:val="22"/>
        </w:rPr>
      </w:pPr>
      <w:r w:rsidRPr="0088288C">
        <w:rPr>
          <w:rFonts w:ascii="Arial" w:hAnsi="Arial" w:cs="Arial"/>
          <w:sz w:val="22"/>
          <w:szCs w:val="22"/>
        </w:rPr>
        <w:t>In the UK, the implementation of SDG 6 is facilitated through a combination of local government initiatives, regulatory oversight, and environmental legislation. Water utilities are regulated nationally by Ofwat and the Environment Agency, which enforces standards for environmental protection, efficiency, and supply quality. The 25 Year Environment Plan (DEFRA, 2018) outlines a sustained commitment to improving water quality, reducing pollution, and restoring freshwater ecosystems.</w:t>
      </w:r>
    </w:p>
    <w:p w14:paraId="346CB03D" w14:textId="6A2BCCE8" w:rsidR="002958E0" w:rsidRDefault="004C0852" w:rsidP="00FE1C46">
      <w:pPr>
        <w:spacing w:line="360" w:lineRule="auto"/>
        <w:jc w:val="both"/>
        <w:rPr>
          <w:rFonts w:ascii="Arial" w:hAnsi="Arial" w:cs="Arial"/>
          <w:sz w:val="22"/>
          <w:szCs w:val="22"/>
        </w:rPr>
      </w:pPr>
      <w:r>
        <w:rPr>
          <w:rFonts w:ascii="Arial" w:hAnsi="Arial" w:cs="Arial"/>
          <w:b/>
          <w:bCs/>
          <w:sz w:val="22"/>
          <w:szCs w:val="22"/>
        </w:rPr>
        <w:t>L</w:t>
      </w:r>
      <w:r w:rsidRPr="004C0852">
        <w:rPr>
          <w:rFonts w:ascii="Arial" w:hAnsi="Arial" w:cs="Arial"/>
          <w:b/>
          <w:bCs/>
          <w:sz w:val="22"/>
          <w:szCs w:val="22"/>
        </w:rPr>
        <w:t>ocally,</w:t>
      </w:r>
      <w:r w:rsidRPr="004C0852">
        <w:rPr>
          <w:rFonts w:ascii="Arial" w:hAnsi="Arial" w:cs="Arial"/>
          <w:sz w:val="22"/>
          <w:szCs w:val="22"/>
        </w:rPr>
        <w:t xml:space="preserve"> </w:t>
      </w:r>
      <w:r>
        <w:rPr>
          <w:rFonts w:ascii="Arial" w:hAnsi="Arial" w:cs="Arial"/>
          <w:sz w:val="22"/>
          <w:szCs w:val="22"/>
        </w:rPr>
        <w:t>T</w:t>
      </w:r>
      <w:r w:rsidRPr="004C0852">
        <w:rPr>
          <w:rFonts w:ascii="Arial" w:hAnsi="Arial" w:cs="Arial"/>
          <w:sz w:val="22"/>
          <w:szCs w:val="22"/>
        </w:rPr>
        <w:t xml:space="preserve">he </w:t>
      </w:r>
      <w:r>
        <w:rPr>
          <w:rFonts w:ascii="Arial" w:hAnsi="Arial" w:cs="Arial"/>
          <w:sz w:val="22"/>
          <w:szCs w:val="22"/>
        </w:rPr>
        <w:t xml:space="preserve">Severn Trent water helps </w:t>
      </w:r>
      <w:r w:rsidR="003F30E1">
        <w:rPr>
          <w:rFonts w:ascii="Arial" w:hAnsi="Arial" w:cs="Arial"/>
          <w:sz w:val="22"/>
          <w:szCs w:val="22"/>
        </w:rPr>
        <w:t>low-income</w:t>
      </w:r>
      <w:r>
        <w:rPr>
          <w:rFonts w:ascii="Arial" w:hAnsi="Arial" w:cs="Arial"/>
          <w:sz w:val="22"/>
          <w:szCs w:val="22"/>
        </w:rPr>
        <w:t xml:space="preserve"> customers to reduce their bills</w:t>
      </w:r>
      <w:r w:rsidR="0002283A">
        <w:rPr>
          <w:rFonts w:ascii="Arial" w:hAnsi="Arial" w:cs="Arial"/>
          <w:sz w:val="22"/>
          <w:szCs w:val="22"/>
        </w:rPr>
        <w:t xml:space="preserve"> through different schemes namely</w:t>
      </w:r>
      <w:r>
        <w:rPr>
          <w:rFonts w:ascii="Arial" w:hAnsi="Arial" w:cs="Arial"/>
          <w:sz w:val="22"/>
          <w:szCs w:val="22"/>
        </w:rPr>
        <w:t>:</w:t>
      </w:r>
    </w:p>
    <w:p w14:paraId="7CC77E5B" w14:textId="17F1B391" w:rsidR="004C0852" w:rsidRDefault="004C0852" w:rsidP="00FE1C46">
      <w:pPr>
        <w:spacing w:line="360" w:lineRule="auto"/>
        <w:jc w:val="both"/>
        <w:rPr>
          <w:rFonts w:ascii="Arial" w:hAnsi="Arial" w:cs="Arial"/>
          <w:sz w:val="22"/>
          <w:szCs w:val="22"/>
        </w:rPr>
      </w:pPr>
      <w:r w:rsidRPr="003F30E1">
        <w:rPr>
          <w:rFonts w:ascii="Arial" w:hAnsi="Arial" w:cs="Arial"/>
          <w:b/>
          <w:bCs/>
          <w:sz w:val="22"/>
          <w:szCs w:val="22"/>
        </w:rPr>
        <w:t>Big differen</w:t>
      </w:r>
      <w:r w:rsidR="003F30E1" w:rsidRPr="003F30E1">
        <w:rPr>
          <w:rFonts w:ascii="Arial" w:hAnsi="Arial" w:cs="Arial"/>
          <w:b/>
          <w:bCs/>
          <w:sz w:val="22"/>
          <w:szCs w:val="22"/>
        </w:rPr>
        <w:t>ce Scheme:</w:t>
      </w:r>
      <w:r w:rsidR="003F30E1">
        <w:rPr>
          <w:rFonts w:ascii="Arial" w:hAnsi="Arial" w:cs="Arial"/>
          <w:sz w:val="22"/>
          <w:szCs w:val="22"/>
        </w:rPr>
        <w:t xml:space="preserve"> This Severn Trent’s social tariff for customers with low household income (under £23,492). Eligible customers can receive a bill reduction (up to 70% off). The scheme also provides a tailored payment plan and can help repay outstanding debt</w:t>
      </w:r>
      <w:r w:rsidR="00E969FB">
        <w:rPr>
          <w:rFonts w:ascii="Arial" w:hAnsi="Arial" w:cs="Arial"/>
          <w:sz w:val="22"/>
          <w:szCs w:val="22"/>
        </w:rPr>
        <w:t xml:space="preserve"> </w:t>
      </w:r>
      <w:r w:rsidR="00E969FB" w:rsidRPr="00E969FB">
        <w:rPr>
          <w:rFonts w:ascii="Arial" w:hAnsi="Arial" w:cs="Arial"/>
          <w:sz w:val="22"/>
          <w:szCs w:val="22"/>
        </w:rPr>
        <w:t>(Trent Water, 2016)</w:t>
      </w:r>
      <w:r w:rsidR="00E969FB">
        <w:rPr>
          <w:rFonts w:ascii="Arial" w:hAnsi="Arial" w:cs="Arial"/>
          <w:sz w:val="22"/>
          <w:szCs w:val="22"/>
        </w:rPr>
        <w:t>.</w:t>
      </w:r>
    </w:p>
    <w:p w14:paraId="488F2ACD" w14:textId="77777777" w:rsidR="001E09BC" w:rsidRDefault="003F30E1" w:rsidP="00FE1C46">
      <w:pPr>
        <w:spacing w:line="360" w:lineRule="auto"/>
        <w:jc w:val="both"/>
        <w:rPr>
          <w:rFonts w:ascii="Arial" w:eastAsia="Times New Roman" w:hAnsi="Arial" w:cs="Arial"/>
          <w:kern w:val="0"/>
          <w:sz w:val="22"/>
          <w:szCs w:val="22"/>
          <w:lang w:eastAsia="en-GB"/>
          <w14:ligatures w14:val="none"/>
        </w:rPr>
      </w:pPr>
      <w:r w:rsidRPr="003F30E1">
        <w:rPr>
          <w:rFonts w:ascii="Arial" w:hAnsi="Arial" w:cs="Arial"/>
          <w:b/>
          <w:bCs/>
          <w:sz w:val="22"/>
          <w:szCs w:val="22"/>
        </w:rPr>
        <w:t>Water Sure Bill Cap</w:t>
      </w:r>
      <w:r w:rsidRPr="00E969FB">
        <w:rPr>
          <w:rFonts w:ascii="Arial" w:hAnsi="Arial" w:cs="Arial"/>
          <w:b/>
          <w:bCs/>
          <w:sz w:val="22"/>
          <w:szCs w:val="22"/>
        </w:rPr>
        <w:t>:</w:t>
      </w:r>
      <w:r w:rsidR="00E969FB" w:rsidRPr="00E969FB">
        <w:rPr>
          <w:rFonts w:ascii="Arial" w:hAnsi="Arial" w:cs="Arial"/>
          <w:b/>
          <w:bCs/>
          <w:sz w:val="22"/>
          <w:szCs w:val="22"/>
        </w:rPr>
        <w:t xml:space="preserve"> </w:t>
      </w:r>
      <w:r w:rsidR="00E969FB" w:rsidRPr="00E969FB">
        <w:rPr>
          <w:rFonts w:ascii="Arial" w:eastAsia="Times New Roman" w:hAnsi="Arial" w:cs="Arial"/>
          <w:kern w:val="0"/>
          <w:sz w:val="22"/>
          <w:szCs w:val="22"/>
          <w:lang w:eastAsia="en-GB"/>
          <w14:ligatures w14:val="none"/>
        </w:rPr>
        <w:t>For clients receiving specific benefits, possessing a water meter, and either belonging to a large family or having a medical condition that necessitates increased water consumption. Severn Trent limits its annual charges to a specified threshold</w:t>
      </w:r>
      <w:r w:rsidR="001E09BC">
        <w:rPr>
          <w:rFonts w:ascii="Arial" w:eastAsia="Times New Roman" w:hAnsi="Arial" w:cs="Arial"/>
          <w:kern w:val="0"/>
          <w:sz w:val="22"/>
          <w:szCs w:val="22"/>
          <w:lang w:eastAsia="en-GB"/>
          <w14:ligatures w14:val="none"/>
        </w:rPr>
        <w:t xml:space="preserve"> (Trent Water,2025).</w:t>
      </w:r>
    </w:p>
    <w:p w14:paraId="75F6C635" w14:textId="714D3526" w:rsidR="00D15C37" w:rsidRPr="00D15C37" w:rsidRDefault="00D15C37" w:rsidP="00FE1C46">
      <w:pPr>
        <w:spacing w:line="360" w:lineRule="auto"/>
        <w:jc w:val="both"/>
        <w:rPr>
          <w:rFonts w:ascii="Arial" w:eastAsia="Times New Roman" w:hAnsi="Arial" w:cs="Arial"/>
          <w:b/>
          <w:bCs/>
          <w:kern w:val="0"/>
          <w:sz w:val="22"/>
          <w:szCs w:val="22"/>
          <w:lang w:eastAsia="en-GB"/>
          <w14:ligatures w14:val="none"/>
        </w:rPr>
      </w:pPr>
      <w:r w:rsidRPr="00D15C37">
        <w:rPr>
          <w:rFonts w:ascii="Arial" w:eastAsia="Times New Roman" w:hAnsi="Arial" w:cs="Arial"/>
          <w:b/>
          <w:bCs/>
          <w:kern w:val="0"/>
          <w:sz w:val="22"/>
          <w:szCs w:val="22"/>
          <w:lang w:eastAsia="en-GB"/>
          <w14:ligatures w14:val="none"/>
        </w:rPr>
        <w:t>Challenges</w:t>
      </w:r>
    </w:p>
    <w:p w14:paraId="21A810AE" w14:textId="33A817A7" w:rsidR="00D15C37" w:rsidRDefault="00D15C37" w:rsidP="00FE1C46">
      <w:pPr>
        <w:spacing w:line="360" w:lineRule="auto"/>
        <w:jc w:val="both"/>
        <w:rPr>
          <w:rFonts w:ascii="Arial" w:eastAsia="Times New Roman" w:hAnsi="Arial" w:cs="Arial"/>
          <w:kern w:val="0"/>
          <w:sz w:val="22"/>
          <w:szCs w:val="22"/>
          <w:lang w:eastAsia="en-GB"/>
          <w14:ligatures w14:val="none"/>
        </w:rPr>
      </w:pPr>
      <w:r w:rsidRPr="00D15C37">
        <w:rPr>
          <w:rFonts w:ascii="Arial" w:eastAsia="Times New Roman" w:hAnsi="Arial" w:cs="Arial"/>
          <w:kern w:val="0"/>
          <w:sz w:val="22"/>
          <w:szCs w:val="22"/>
          <w:lang w:eastAsia="en-GB"/>
          <w14:ligatures w14:val="none"/>
        </w:rPr>
        <w:t>Severn Trent encounters several local obstacles while endeavouring to assist low-income residents. The demand for financial assistance has significantly increased due to the cost-of-living issue, exerting pressure on the Big Difference Scheme and debt-support agencies (Severn</w:t>
      </w:r>
      <w:r w:rsidR="00B311B0">
        <w:rPr>
          <w:rFonts w:ascii="Arial" w:eastAsia="Times New Roman" w:hAnsi="Arial" w:cs="Arial"/>
          <w:kern w:val="0"/>
          <w:sz w:val="22"/>
          <w:szCs w:val="22"/>
          <w:lang w:eastAsia="en-GB"/>
          <w14:ligatures w14:val="none"/>
        </w:rPr>
        <w:t xml:space="preserve"> </w:t>
      </w:r>
      <w:r w:rsidRPr="00D15C37">
        <w:rPr>
          <w:rFonts w:ascii="Arial" w:eastAsia="Times New Roman" w:hAnsi="Arial" w:cs="Arial"/>
          <w:kern w:val="0"/>
          <w:sz w:val="22"/>
          <w:szCs w:val="22"/>
          <w:lang w:eastAsia="en-GB"/>
          <w14:ligatures w14:val="none"/>
        </w:rPr>
        <w:t>Trent, 2024). The deterioration of infrastructure and substantial investment requirements may increase costs, jeopardising affordability for at-risk consumers (Severn Trent, 2024). Community research indicates that numerous eligible citizens are uninformed of support programs, resulting in access disparities (Severn Trent, 2023). Reconciling necessary enhancements with equitable pricing continues to be its most enduring local concern.</w:t>
      </w:r>
    </w:p>
    <w:p w14:paraId="0BCA296A" w14:textId="383EA1A7" w:rsidR="00F75AE0" w:rsidRDefault="00D42AF6" w:rsidP="00FE1C46">
      <w:pPr>
        <w:spacing w:line="360" w:lineRule="auto"/>
        <w:jc w:val="both"/>
        <w:rPr>
          <w:rFonts w:ascii="Arial" w:hAnsi="Arial" w:cs="Arial"/>
          <w:b/>
          <w:bCs/>
          <w:sz w:val="22"/>
          <w:szCs w:val="22"/>
        </w:rPr>
      </w:pPr>
      <w:bookmarkStart w:id="7" w:name="_Hlk213714897"/>
      <w:r>
        <w:rPr>
          <w:rFonts w:ascii="Arial" w:hAnsi="Arial" w:cs="Arial"/>
          <w:b/>
          <w:bCs/>
          <w:sz w:val="22"/>
          <w:szCs w:val="22"/>
        </w:rPr>
        <w:lastRenderedPageBreak/>
        <w:t>Theor</w:t>
      </w:r>
      <w:r w:rsidR="00255245">
        <w:rPr>
          <w:rFonts w:ascii="Arial" w:hAnsi="Arial" w:cs="Arial"/>
          <w:b/>
          <w:bCs/>
          <w:sz w:val="22"/>
          <w:szCs w:val="22"/>
        </w:rPr>
        <w:t>y</w:t>
      </w:r>
      <w:r>
        <w:rPr>
          <w:rFonts w:ascii="Arial" w:hAnsi="Arial" w:cs="Arial"/>
          <w:b/>
          <w:bCs/>
          <w:sz w:val="22"/>
          <w:szCs w:val="22"/>
        </w:rPr>
        <w:t xml:space="preserve"> and Model Application</w:t>
      </w:r>
    </w:p>
    <w:bookmarkEnd w:id="7"/>
    <w:p w14:paraId="06FFF0D0" w14:textId="5DD89592" w:rsidR="00255245" w:rsidRDefault="00D3753F" w:rsidP="00FE1C46">
      <w:pPr>
        <w:spacing w:after="0" w:line="360" w:lineRule="auto"/>
        <w:jc w:val="both"/>
        <w:rPr>
          <w:rFonts w:ascii="Arial" w:eastAsia="Times New Roman" w:hAnsi="Arial" w:cs="Arial"/>
          <w:kern w:val="0"/>
          <w:sz w:val="22"/>
          <w:szCs w:val="22"/>
          <w:highlight w:val="yellow"/>
          <w:lang w:eastAsia="en-GB"/>
          <w14:ligatures w14:val="none"/>
        </w:rPr>
      </w:pPr>
      <w:r w:rsidRPr="00D3753F">
        <w:rPr>
          <w:rFonts w:ascii="Arial" w:eastAsia="Times New Roman" w:hAnsi="Arial" w:cs="Arial"/>
          <w:kern w:val="0"/>
          <w:sz w:val="22"/>
          <w:szCs w:val="22"/>
          <w:lang w:eastAsia="en-GB"/>
          <w14:ligatures w14:val="none"/>
        </w:rPr>
        <w:t>SDG 6 acknowledges that clean water and good sanitation are essential for human survival, directly correlating with the foundation of Maslow’s Hierarchy of Needs. Maslow contends that physiological demands, including water, sanitation, and secure living conditions, must be satisfied prior to persons progressing towards security, belonging, esteem, and self-actualization (Maslow, 1943). Potable water is crucial for consumption, culinary processes, hygiene, illness mitigation, and overall physiological functioning. The WHO emphasises that insufficient access to potable water elevates the risks of infections, malnutrition, and adverse health outcomes, hence constraining individuals' capacity to work, study, or maintain well-being (WHO, 2022). By guaranteeing universal access to clean water, SDG 6 establishes the basis for the fulfilment of all other human necessities. In the absence of this fundamental prerequisite, societies stay ensnared in cycles of disease and instability, hindering advancement both personally and socially.</w:t>
      </w:r>
    </w:p>
    <w:p w14:paraId="7FE8680D" w14:textId="77777777" w:rsidR="00255245" w:rsidRDefault="00255245" w:rsidP="00FE1C46">
      <w:pPr>
        <w:spacing w:after="0" w:line="360" w:lineRule="auto"/>
        <w:jc w:val="both"/>
        <w:rPr>
          <w:rFonts w:ascii="Arial" w:eastAsia="Times New Roman" w:hAnsi="Arial" w:cs="Arial"/>
          <w:kern w:val="0"/>
          <w:sz w:val="22"/>
          <w:szCs w:val="22"/>
          <w:highlight w:val="yellow"/>
          <w:lang w:eastAsia="en-GB"/>
          <w14:ligatures w14:val="none"/>
        </w:rPr>
      </w:pPr>
    </w:p>
    <w:p w14:paraId="076303D2" w14:textId="77777777" w:rsidR="00D3753F" w:rsidRDefault="00AA141A" w:rsidP="00FE1C46">
      <w:pPr>
        <w:spacing w:after="0" w:line="360" w:lineRule="auto"/>
        <w:jc w:val="both"/>
        <w:rPr>
          <w:rFonts w:ascii="Arial" w:eastAsia="Times New Roman" w:hAnsi="Arial" w:cs="Arial"/>
          <w:kern w:val="0"/>
          <w:sz w:val="22"/>
          <w:szCs w:val="22"/>
          <w:lang w:eastAsia="en-GB"/>
          <w14:ligatures w14:val="none"/>
        </w:rPr>
      </w:pPr>
      <w:r w:rsidRPr="00276B62">
        <w:rPr>
          <w:rFonts w:ascii="Arial" w:eastAsia="Times New Roman" w:hAnsi="Arial" w:cs="Arial"/>
          <w:b/>
          <w:bCs/>
          <w:kern w:val="0"/>
          <w:sz w:val="22"/>
          <w:szCs w:val="22"/>
          <w:lang w:eastAsia="en-GB"/>
          <w14:ligatures w14:val="none"/>
        </w:rPr>
        <w:t>Additionally,</w:t>
      </w:r>
      <w:r>
        <w:rPr>
          <w:rFonts w:ascii="Arial" w:eastAsia="Times New Roman" w:hAnsi="Arial" w:cs="Arial"/>
          <w:kern w:val="0"/>
          <w:sz w:val="22"/>
          <w:szCs w:val="22"/>
          <w:lang w:eastAsia="en-GB"/>
          <w14:ligatures w14:val="none"/>
        </w:rPr>
        <w:t xml:space="preserve"> </w:t>
      </w:r>
      <w:r w:rsidR="00966C6C" w:rsidRPr="00966C6C">
        <w:rPr>
          <w:rFonts w:ascii="Arial" w:eastAsia="Times New Roman" w:hAnsi="Arial" w:cs="Arial"/>
          <w:kern w:val="0"/>
          <w:sz w:val="22"/>
          <w:szCs w:val="22"/>
          <w:lang w:eastAsia="en-GB"/>
          <w14:ligatures w14:val="none"/>
        </w:rPr>
        <w:t>The Ecological Model of Health (McLeroy et al., 1988) also recognises that water and sanitation conditions affect population health at individual, community, and environmental levels. These models show that SDG 6 outcomes like disease reduction and climate resilience require multisectoral coordination between public health, environment, and infrastructure sectors.</w:t>
      </w:r>
    </w:p>
    <w:p w14:paraId="547BDACF" w14:textId="77777777" w:rsidR="00276B62" w:rsidRDefault="00276B62" w:rsidP="00FE1C46">
      <w:pPr>
        <w:spacing w:after="0" w:line="360" w:lineRule="auto"/>
        <w:jc w:val="both"/>
        <w:rPr>
          <w:rFonts w:ascii="Arial" w:eastAsia="Times New Roman" w:hAnsi="Arial" w:cs="Arial"/>
          <w:kern w:val="0"/>
          <w:sz w:val="22"/>
          <w:szCs w:val="22"/>
          <w:lang w:eastAsia="en-GB"/>
          <w14:ligatures w14:val="none"/>
        </w:rPr>
      </w:pPr>
    </w:p>
    <w:p w14:paraId="2BC2C86B" w14:textId="1D151A09" w:rsidR="00D3753F" w:rsidRDefault="00276B62" w:rsidP="00FE1C46">
      <w:pPr>
        <w:spacing w:after="0" w:line="360" w:lineRule="auto"/>
        <w:jc w:val="both"/>
        <w:rPr>
          <w:rFonts w:ascii="Arial" w:eastAsia="Times New Roman" w:hAnsi="Arial" w:cs="Arial"/>
          <w:kern w:val="0"/>
          <w:sz w:val="22"/>
          <w:szCs w:val="22"/>
          <w:lang w:eastAsia="en-GB"/>
          <w14:ligatures w14:val="none"/>
        </w:rPr>
      </w:pPr>
      <w:r w:rsidRPr="00276B62">
        <w:rPr>
          <w:rFonts w:ascii="Arial" w:eastAsia="Times New Roman" w:hAnsi="Arial" w:cs="Arial"/>
          <w:kern w:val="0"/>
          <w:sz w:val="22"/>
          <w:szCs w:val="22"/>
          <w:lang w:eastAsia="en-GB"/>
          <w14:ligatures w14:val="none"/>
        </w:rPr>
        <w:t>Potable water is vital for health, dignity, and fundamental human existence.  Access to potable water mitigates diseases like cholera, diarrhoea, and typhoid, which the WHO recognises as primary contributors to mortality in resource-limited environments (WHO, 2022).  Access to clean water enhances cleanliness, nutrition, and economic productivity, allowing persons to pursue education, employment, and overall well-being.  In its absence, communities encounter recurring cycles of illness and adversity that obstruct development (UN, 2024).</w:t>
      </w:r>
    </w:p>
    <w:p w14:paraId="12D5973C" w14:textId="77777777" w:rsidR="00F75AE0" w:rsidRDefault="00F75AE0" w:rsidP="00FE1C46">
      <w:pPr>
        <w:spacing w:line="360" w:lineRule="auto"/>
        <w:jc w:val="both"/>
        <w:rPr>
          <w:rFonts w:ascii="Arial" w:hAnsi="Arial" w:cs="Arial"/>
          <w:b/>
          <w:bCs/>
          <w:sz w:val="22"/>
          <w:szCs w:val="22"/>
        </w:rPr>
      </w:pPr>
    </w:p>
    <w:p w14:paraId="27179EC8" w14:textId="77777777" w:rsidR="00F75AE0" w:rsidRPr="00F75AE0" w:rsidRDefault="00F75AE0" w:rsidP="00FE1C46">
      <w:pPr>
        <w:spacing w:line="360" w:lineRule="auto"/>
        <w:jc w:val="both"/>
        <w:rPr>
          <w:rFonts w:ascii="Arial" w:hAnsi="Arial" w:cs="Arial"/>
          <w:b/>
          <w:bCs/>
          <w:sz w:val="22"/>
          <w:szCs w:val="22"/>
        </w:rPr>
      </w:pPr>
      <w:r>
        <w:rPr>
          <w:rFonts w:ascii="Arial" w:hAnsi="Arial" w:cs="Arial"/>
          <w:b/>
          <w:bCs/>
          <w:sz w:val="22"/>
          <w:szCs w:val="22"/>
        </w:rPr>
        <w:t>Recommendations</w:t>
      </w:r>
    </w:p>
    <w:p w14:paraId="546F6011" w14:textId="7C636D3F" w:rsidR="00077E58" w:rsidRPr="00F511A8" w:rsidRDefault="00F511A8" w:rsidP="00FE1C46">
      <w:pPr>
        <w:spacing w:line="360" w:lineRule="auto"/>
        <w:jc w:val="both"/>
        <w:rPr>
          <w:rFonts w:ascii="Arial" w:hAnsi="Arial" w:cs="Arial"/>
          <w:b/>
          <w:bCs/>
          <w:sz w:val="22"/>
          <w:szCs w:val="22"/>
        </w:rPr>
      </w:pPr>
      <w:r w:rsidRPr="00F511A8">
        <w:rPr>
          <w:rFonts w:ascii="Arial" w:hAnsi="Arial" w:cs="Arial"/>
          <w:b/>
          <w:bCs/>
          <w:sz w:val="22"/>
          <w:szCs w:val="22"/>
        </w:rPr>
        <w:t xml:space="preserve">Strengthen Integrated </w:t>
      </w:r>
      <w:r w:rsidR="00FF75C6" w:rsidRPr="00F511A8">
        <w:rPr>
          <w:rFonts w:ascii="Arial" w:hAnsi="Arial" w:cs="Arial"/>
          <w:b/>
          <w:bCs/>
          <w:sz w:val="22"/>
          <w:szCs w:val="22"/>
        </w:rPr>
        <w:t>Govern</w:t>
      </w:r>
      <w:r w:rsidR="00FF75C6" w:rsidRPr="00FF75C6">
        <w:rPr>
          <w:rFonts w:ascii="Arial" w:hAnsi="Arial" w:cs="Arial"/>
          <w:b/>
          <w:bCs/>
          <w:sz w:val="22"/>
          <w:szCs w:val="22"/>
        </w:rPr>
        <w:t>ance:</w:t>
      </w:r>
    </w:p>
    <w:p w14:paraId="6082FD73" w14:textId="7A593E4C" w:rsidR="00077E58" w:rsidRDefault="00F511A8" w:rsidP="00FE1C46">
      <w:pPr>
        <w:spacing w:line="360" w:lineRule="auto"/>
        <w:jc w:val="both"/>
        <w:rPr>
          <w:rFonts w:ascii="Arial" w:hAnsi="Arial" w:cs="Arial"/>
          <w:sz w:val="22"/>
          <w:szCs w:val="22"/>
        </w:rPr>
      </w:pPr>
      <w:r w:rsidRPr="00F511A8">
        <w:rPr>
          <w:rFonts w:ascii="Arial" w:hAnsi="Arial" w:cs="Arial"/>
          <w:sz w:val="22"/>
          <w:szCs w:val="22"/>
        </w:rPr>
        <w:t>National and municipal governments ought to institutionalise Integrated Water Resources Management (IWRM) concepts to guarantee interdepartmental collaboration across the water, health, and urban planning sectors</w:t>
      </w:r>
      <w:r>
        <w:rPr>
          <w:rFonts w:ascii="Arial" w:hAnsi="Arial" w:cs="Arial"/>
          <w:sz w:val="22"/>
          <w:szCs w:val="22"/>
        </w:rPr>
        <w:t xml:space="preserve"> (GWR, 2017)</w:t>
      </w:r>
      <w:r w:rsidRPr="00F511A8">
        <w:rPr>
          <w:rFonts w:ascii="Arial" w:hAnsi="Arial" w:cs="Arial"/>
          <w:sz w:val="22"/>
          <w:szCs w:val="22"/>
        </w:rPr>
        <w:t>.</w:t>
      </w:r>
    </w:p>
    <w:p w14:paraId="4669641F" w14:textId="3C604442" w:rsidR="00F511A8" w:rsidRPr="00FF75C6" w:rsidRDefault="00F511A8" w:rsidP="00FE1C46">
      <w:pPr>
        <w:spacing w:line="360" w:lineRule="auto"/>
        <w:jc w:val="both"/>
        <w:rPr>
          <w:rFonts w:ascii="Arial" w:hAnsi="Arial" w:cs="Arial"/>
          <w:b/>
          <w:bCs/>
          <w:sz w:val="22"/>
          <w:szCs w:val="22"/>
        </w:rPr>
      </w:pPr>
      <w:r w:rsidRPr="00FF75C6">
        <w:rPr>
          <w:rFonts w:ascii="Arial" w:hAnsi="Arial" w:cs="Arial"/>
          <w:b/>
          <w:bCs/>
          <w:sz w:val="22"/>
          <w:szCs w:val="22"/>
        </w:rPr>
        <w:t xml:space="preserve">Increase </w:t>
      </w:r>
      <w:r w:rsidR="00FF75C6" w:rsidRPr="00FF75C6">
        <w:rPr>
          <w:rFonts w:ascii="Arial" w:hAnsi="Arial" w:cs="Arial"/>
          <w:b/>
          <w:bCs/>
          <w:sz w:val="22"/>
          <w:szCs w:val="22"/>
        </w:rPr>
        <w:t>Sustainability Investment:</w:t>
      </w:r>
    </w:p>
    <w:p w14:paraId="369CA4B0" w14:textId="79364A37" w:rsidR="00077E58" w:rsidRDefault="00FF75C6" w:rsidP="00FE1C46">
      <w:pPr>
        <w:spacing w:line="360" w:lineRule="auto"/>
        <w:jc w:val="both"/>
        <w:rPr>
          <w:rFonts w:ascii="Arial" w:hAnsi="Arial" w:cs="Arial"/>
          <w:sz w:val="22"/>
          <w:szCs w:val="22"/>
        </w:rPr>
      </w:pPr>
      <w:r>
        <w:rPr>
          <w:rFonts w:ascii="Arial" w:hAnsi="Arial" w:cs="Arial"/>
          <w:sz w:val="22"/>
          <w:szCs w:val="22"/>
        </w:rPr>
        <w:lastRenderedPageBreak/>
        <w:t>Expand public and private investment in water infrastr</w:t>
      </w:r>
      <w:r w:rsidR="005B1F9A">
        <w:rPr>
          <w:rFonts w:ascii="Arial" w:hAnsi="Arial" w:cs="Arial"/>
          <w:sz w:val="22"/>
          <w:szCs w:val="22"/>
        </w:rPr>
        <w:t>ucture, prioritizing climate-resilient systems and wastewater treatment to reduce pollution (UNESCO, 2023).</w:t>
      </w:r>
    </w:p>
    <w:p w14:paraId="0D3185D4" w14:textId="77777777" w:rsidR="00EE609E" w:rsidRDefault="00EE609E" w:rsidP="00FE1C46">
      <w:pPr>
        <w:spacing w:line="360" w:lineRule="auto"/>
        <w:jc w:val="both"/>
        <w:rPr>
          <w:rFonts w:ascii="Arial" w:hAnsi="Arial" w:cs="Arial"/>
          <w:b/>
          <w:bCs/>
          <w:sz w:val="22"/>
          <w:szCs w:val="22"/>
        </w:rPr>
      </w:pPr>
    </w:p>
    <w:p w14:paraId="1CFAA74E" w14:textId="464CD91A" w:rsidR="00F75AE0" w:rsidRPr="005C3C1E" w:rsidRDefault="005C3C1E" w:rsidP="00FE1C46">
      <w:pPr>
        <w:spacing w:line="360" w:lineRule="auto"/>
        <w:jc w:val="both"/>
        <w:rPr>
          <w:rFonts w:ascii="Arial" w:hAnsi="Arial" w:cs="Arial"/>
          <w:b/>
          <w:bCs/>
          <w:sz w:val="22"/>
          <w:szCs w:val="22"/>
        </w:rPr>
      </w:pPr>
      <w:r w:rsidRPr="005C3C1E">
        <w:rPr>
          <w:rFonts w:ascii="Arial" w:hAnsi="Arial" w:cs="Arial"/>
          <w:b/>
          <w:bCs/>
          <w:sz w:val="22"/>
          <w:szCs w:val="22"/>
        </w:rPr>
        <w:t>Conclusion</w:t>
      </w:r>
    </w:p>
    <w:p w14:paraId="1328D369" w14:textId="3D19E253" w:rsidR="00FE1C46" w:rsidRDefault="00FE1C46" w:rsidP="00FE1C46">
      <w:pPr>
        <w:spacing w:line="360" w:lineRule="auto"/>
        <w:jc w:val="both"/>
        <w:rPr>
          <w:rFonts w:ascii="Arial" w:hAnsi="Arial" w:cs="Arial"/>
          <w:sz w:val="22"/>
          <w:szCs w:val="22"/>
        </w:rPr>
      </w:pPr>
      <w:r w:rsidRPr="00FE1C46">
        <w:rPr>
          <w:rFonts w:ascii="Arial" w:hAnsi="Arial" w:cs="Arial"/>
          <w:sz w:val="22"/>
          <w:szCs w:val="22"/>
        </w:rPr>
        <w:t>In Europe and Northern America, over 94% of people have access to drinking water that is securely managed, however in sub-Saharan Africa, coverage drops to 31% (UNICEF/JMP, 2023). This demonstrates the huge regional discrepancies that exist in terms of access to clean water.  The existence of these inequities draws attention to considerable gaps in water infrastructure and quality regarding global growth.</w:t>
      </w:r>
    </w:p>
    <w:p w14:paraId="7A4202AD" w14:textId="20430F21" w:rsidR="00F75AE0" w:rsidRDefault="005C3C1E" w:rsidP="00FE1C46">
      <w:pPr>
        <w:spacing w:line="360" w:lineRule="auto"/>
        <w:jc w:val="both"/>
        <w:rPr>
          <w:rFonts w:ascii="Arial" w:hAnsi="Arial" w:cs="Arial"/>
          <w:sz w:val="22"/>
          <w:szCs w:val="22"/>
        </w:rPr>
      </w:pPr>
      <w:r w:rsidRPr="005C3C1E">
        <w:rPr>
          <w:rFonts w:ascii="Arial" w:hAnsi="Arial" w:cs="Arial"/>
          <w:sz w:val="22"/>
          <w:szCs w:val="22"/>
        </w:rPr>
        <w:t>SDG3 can only be realised through collaborations that connect global directives with national strategies and local initiatives.  Models of social determinants and primary health care justify multisectoral initiatives; current reviews indicate improvement but emphasise the necessity for improved coordination, equitable finance, and enhanced local implementation to achieve the 2030 targets</w:t>
      </w:r>
      <w:r w:rsidR="00A06A81">
        <w:rPr>
          <w:rFonts w:ascii="Arial" w:hAnsi="Arial" w:cs="Arial"/>
          <w:sz w:val="22"/>
          <w:szCs w:val="22"/>
        </w:rPr>
        <w:t xml:space="preserve"> (Alderwick, Hutchings and Mays, 2024).</w:t>
      </w:r>
    </w:p>
    <w:p w14:paraId="780D1FB0" w14:textId="0F093FE1" w:rsidR="00F75AE0" w:rsidRDefault="00812C78" w:rsidP="00FE1C46">
      <w:pPr>
        <w:spacing w:line="360" w:lineRule="auto"/>
        <w:jc w:val="both"/>
        <w:rPr>
          <w:rFonts w:ascii="Arial" w:hAnsi="Arial" w:cs="Arial"/>
          <w:sz w:val="22"/>
          <w:szCs w:val="22"/>
        </w:rPr>
      </w:pPr>
      <w:r w:rsidRPr="00812C78">
        <w:rPr>
          <w:rFonts w:ascii="Arial" w:hAnsi="Arial" w:cs="Arial"/>
          <w:sz w:val="22"/>
          <w:szCs w:val="22"/>
        </w:rPr>
        <w:t>SDG 6 is essential for global sustainability, health, and climate resilience. Global frameworks like the Water Action Decade and SWA Partnership coordinate, but national leadership and local creativity drive progress. UK councils like Bristol and Oxfordshire show how community-led, ecosystem-based initiatives can achieve SDG 6. Water security and sanitation for all by 2030 require continued investment, integrated governance, and inclusive participation</w:t>
      </w:r>
      <w:r w:rsidR="00A06A81">
        <w:rPr>
          <w:rFonts w:ascii="Arial" w:hAnsi="Arial" w:cs="Arial"/>
          <w:sz w:val="22"/>
          <w:szCs w:val="22"/>
        </w:rPr>
        <w:t>.</w:t>
      </w:r>
    </w:p>
    <w:p w14:paraId="7E410653" w14:textId="77777777" w:rsidR="00812C78" w:rsidRDefault="00812C78" w:rsidP="00FE1C46">
      <w:pPr>
        <w:spacing w:line="360" w:lineRule="auto"/>
        <w:jc w:val="both"/>
        <w:rPr>
          <w:rFonts w:ascii="Arial" w:hAnsi="Arial" w:cs="Arial"/>
          <w:sz w:val="22"/>
          <w:szCs w:val="22"/>
        </w:rPr>
      </w:pPr>
    </w:p>
    <w:p w14:paraId="7EB5AFBC" w14:textId="77777777" w:rsidR="00FE1C46" w:rsidRDefault="00FE1C46" w:rsidP="005F5268">
      <w:pPr>
        <w:spacing w:line="360" w:lineRule="auto"/>
        <w:jc w:val="both"/>
        <w:rPr>
          <w:rFonts w:ascii="Arial" w:hAnsi="Arial" w:cs="Arial"/>
          <w:sz w:val="22"/>
          <w:szCs w:val="22"/>
        </w:rPr>
      </w:pPr>
    </w:p>
    <w:p w14:paraId="4B722B22" w14:textId="77777777" w:rsidR="006D317C" w:rsidRDefault="006D317C" w:rsidP="005F5268">
      <w:pPr>
        <w:spacing w:line="360" w:lineRule="auto"/>
        <w:jc w:val="both"/>
        <w:rPr>
          <w:rFonts w:ascii="Arial" w:hAnsi="Arial" w:cs="Arial"/>
          <w:b/>
          <w:bCs/>
          <w:sz w:val="22"/>
          <w:szCs w:val="22"/>
        </w:rPr>
      </w:pPr>
    </w:p>
    <w:p w14:paraId="3655118F" w14:textId="77777777" w:rsidR="006D317C" w:rsidRDefault="006D317C" w:rsidP="005F5268">
      <w:pPr>
        <w:spacing w:line="360" w:lineRule="auto"/>
        <w:jc w:val="both"/>
        <w:rPr>
          <w:rFonts w:ascii="Arial" w:hAnsi="Arial" w:cs="Arial"/>
          <w:b/>
          <w:bCs/>
          <w:sz w:val="22"/>
          <w:szCs w:val="22"/>
        </w:rPr>
      </w:pPr>
    </w:p>
    <w:p w14:paraId="31F64143" w14:textId="77777777" w:rsidR="006D317C" w:rsidRDefault="006D317C" w:rsidP="005F5268">
      <w:pPr>
        <w:spacing w:line="360" w:lineRule="auto"/>
        <w:jc w:val="both"/>
        <w:rPr>
          <w:rFonts w:ascii="Arial" w:hAnsi="Arial" w:cs="Arial"/>
          <w:b/>
          <w:bCs/>
          <w:sz w:val="22"/>
          <w:szCs w:val="22"/>
        </w:rPr>
      </w:pPr>
    </w:p>
    <w:p w14:paraId="606D098D" w14:textId="77777777" w:rsidR="006D317C" w:rsidRDefault="006D317C" w:rsidP="005F5268">
      <w:pPr>
        <w:spacing w:line="360" w:lineRule="auto"/>
        <w:jc w:val="both"/>
        <w:rPr>
          <w:rFonts w:ascii="Arial" w:hAnsi="Arial" w:cs="Arial"/>
          <w:b/>
          <w:bCs/>
          <w:sz w:val="22"/>
          <w:szCs w:val="22"/>
        </w:rPr>
      </w:pPr>
    </w:p>
    <w:p w14:paraId="72A780E8" w14:textId="77777777" w:rsidR="006D317C" w:rsidRDefault="006D317C" w:rsidP="005F5268">
      <w:pPr>
        <w:spacing w:line="360" w:lineRule="auto"/>
        <w:jc w:val="both"/>
        <w:rPr>
          <w:rFonts w:ascii="Arial" w:hAnsi="Arial" w:cs="Arial"/>
          <w:b/>
          <w:bCs/>
          <w:sz w:val="22"/>
          <w:szCs w:val="22"/>
        </w:rPr>
      </w:pPr>
    </w:p>
    <w:p w14:paraId="3F9B318E" w14:textId="77777777" w:rsidR="006D317C" w:rsidRDefault="006D317C" w:rsidP="005F5268">
      <w:pPr>
        <w:spacing w:line="360" w:lineRule="auto"/>
        <w:jc w:val="both"/>
        <w:rPr>
          <w:rFonts w:ascii="Arial" w:hAnsi="Arial" w:cs="Arial"/>
          <w:b/>
          <w:bCs/>
          <w:sz w:val="22"/>
          <w:szCs w:val="22"/>
        </w:rPr>
      </w:pPr>
    </w:p>
    <w:p w14:paraId="1ADFB83A" w14:textId="77777777" w:rsidR="006D317C" w:rsidRDefault="006D317C" w:rsidP="005F5268">
      <w:pPr>
        <w:spacing w:line="360" w:lineRule="auto"/>
        <w:jc w:val="both"/>
        <w:rPr>
          <w:rFonts w:ascii="Arial" w:hAnsi="Arial" w:cs="Arial"/>
          <w:b/>
          <w:bCs/>
          <w:sz w:val="22"/>
          <w:szCs w:val="22"/>
        </w:rPr>
      </w:pPr>
    </w:p>
    <w:p w14:paraId="2FD643A3" w14:textId="77777777" w:rsidR="006D317C" w:rsidRDefault="006D317C" w:rsidP="005F5268">
      <w:pPr>
        <w:spacing w:line="360" w:lineRule="auto"/>
        <w:jc w:val="both"/>
        <w:rPr>
          <w:rFonts w:ascii="Arial" w:hAnsi="Arial" w:cs="Arial"/>
          <w:b/>
          <w:bCs/>
          <w:sz w:val="22"/>
          <w:szCs w:val="22"/>
        </w:rPr>
      </w:pPr>
    </w:p>
    <w:p w14:paraId="3C22ED44" w14:textId="77777777" w:rsidR="006D317C" w:rsidRDefault="006D317C" w:rsidP="005F5268">
      <w:pPr>
        <w:spacing w:line="360" w:lineRule="auto"/>
        <w:jc w:val="both"/>
        <w:rPr>
          <w:rFonts w:ascii="Arial" w:hAnsi="Arial" w:cs="Arial"/>
          <w:b/>
          <w:bCs/>
          <w:sz w:val="22"/>
          <w:szCs w:val="22"/>
        </w:rPr>
      </w:pPr>
    </w:p>
    <w:p w14:paraId="58DC7A2F" w14:textId="49EDA014" w:rsidR="00077E58" w:rsidRPr="006D317C" w:rsidRDefault="00751BAF" w:rsidP="0040438E">
      <w:pPr>
        <w:spacing w:line="360" w:lineRule="auto"/>
        <w:jc w:val="both"/>
        <w:rPr>
          <w:rFonts w:ascii="Arial" w:hAnsi="Arial" w:cs="Arial"/>
          <w:b/>
          <w:bCs/>
          <w:sz w:val="22"/>
          <w:szCs w:val="22"/>
        </w:rPr>
      </w:pPr>
      <w:r w:rsidRPr="006D317C">
        <w:rPr>
          <w:rFonts w:ascii="Arial" w:hAnsi="Arial" w:cs="Arial"/>
          <w:b/>
          <w:bCs/>
          <w:sz w:val="22"/>
          <w:szCs w:val="22"/>
        </w:rPr>
        <w:lastRenderedPageBreak/>
        <w:t>References</w:t>
      </w:r>
    </w:p>
    <w:p w14:paraId="5043FC67"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Breadline Brief | Support Food Security Today — the </w:t>
      </w:r>
      <w:r w:rsidRPr="00801845">
        <w:rPr>
          <w:rFonts w:ascii="Arial" w:hAnsi="Arial" w:cs="Arial"/>
          <w:color w:val="000000" w:themeColor="text1"/>
          <w:sz w:val="22"/>
          <w:szCs w:val="22"/>
        </w:rPr>
        <w:t>bread-and-butter</w:t>
      </w:r>
      <w:r w:rsidRPr="00801845">
        <w:rPr>
          <w:rFonts w:ascii="Arial" w:hAnsi="Arial" w:cs="Arial"/>
          <w:color w:val="000000" w:themeColor="text1"/>
          <w:sz w:val="22"/>
          <w:szCs w:val="22"/>
        </w:rPr>
        <w:t xml:space="preserve"> thing (no date). </w:t>
      </w:r>
      <w:hyperlink r:id="rId6" w:history="1">
        <w:r w:rsidRPr="00801845">
          <w:rPr>
            <w:rStyle w:val="Hyperlink"/>
            <w:rFonts w:ascii="Arial" w:hAnsi="Arial" w:cs="Arial"/>
            <w:color w:val="000000" w:themeColor="text1"/>
            <w:sz w:val="22"/>
            <w:szCs w:val="22"/>
          </w:rPr>
          <w:t>https://www.breadandbutterthing.org/breadlinebrief</w:t>
        </w:r>
      </w:hyperlink>
      <w:r w:rsidRPr="00801845">
        <w:rPr>
          <w:rFonts w:ascii="Arial" w:hAnsi="Arial" w:cs="Arial"/>
          <w:color w:val="000000" w:themeColor="text1"/>
          <w:sz w:val="22"/>
          <w:szCs w:val="22"/>
        </w:rPr>
        <w:t>.</w:t>
      </w:r>
      <w:r w:rsidRPr="00801845">
        <w:rPr>
          <w:rFonts w:ascii="Arial" w:hAnsi="Arial" w:cs="Arial"/>
          <w:color w:val="000000" w:themeColor="text1"/>
          <w:sz w:val="22"/>
          <w:szCs w:val="22"/>
        </w:rPr>
        <w:t xml:space="preserve"> (Accessed 13 November 2025).</w:t>
      </w:r>
    </w:p>
    <w:p w14:paraId="5B36E571"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Bristol One City (2020) Bristol One City Climate Strategy A strategy for a carbon neutral, climate resilient Bristol by 2030 Climate One City Available at: </w:t>
      </w:r>
      <w:hyperlink r:id="rId7" w:history="1">
        <w:r w:rsidRPr="00801845">
          <w:rPr>
            <w:rStyle w:val="Hyperlink"/>
            <w:rFonts w:ascii="Arial" w:hAnsi="Arial" w:cs="Arial"/>
            <w:color w:val="000000" w:themeColor="text1"/>
            <w:sz w:val="22"/>
            <w:szCs w:val="22"/>
          </w:rPr>
          <w:t>https://www.bristolonecity.com/wp-content/uploads/2020/02/one-city-climate-strategy.pdf</w:t>
        </w:r>
      </w:hyperlink>
      <w:r w:rsidRPr="00801845">
        <w:rPr>
          <w:rFonts w:ascii="Arial" w:hAnsi="Arial" w:cs="Arial"/>
          <w:color w:val="000000" w:themeColor="text1"/>
          <w:sz w:val="22"/>
          <w:szCs w:val="22"/>
        </w:rPr>
        <w:t>. Accessed 9 November 2025).</w:t>
      </w:r>
    </w:p>
    <w:p w14:paraId="640CFAB6"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Charles, A., Ewbank, L., McKenna, H. and Wenzel, L. (2019). </w:t>
      </w:r>
      <w:r w:rsidRPr="00801845">
        <w:rPr>
          <w:rFonts w:ascii="Arial" w:hAnsi="Arial" w:cs="Arial"/>
          <w:i/>
          <w:iCs/>
          <w:color w:val="000000" w:themeColor="text1"/>
          <w:sz w:val="22"/>
          <w:szCs w:val="22"/>
        </w:rPr>
        <w:t>The NHS Long-term Plan Explained</w:t>
      </w:r>
      <w:r w:rsidRPr="00801845">
        <w:rPr>
          <w:rFonts w:ascii="Arial" w:hAnsi="Arial" w:cs="Arial"/>
          <w:color w:val="000000" w:themeColor="text1"/>
          <w:sz w:val="22"/>
          <w:szCs w:val="22"/>
        </w:rPr>
        <w:t xml:space="preserve">. [online] The King’s Fund. Available at: </w:t>
      </w:r>
      <w:hyperlink r:id="rId8" w:history="1">
        <w:r w:rsidRPr="00801845">
          <w:rPr>
            <w:rStyle w:val="Hyperlink"/>
            <w:rFonts w:ascii="Arial" w:hAnsi="Arial" w:cs="Arial"/>
            <w:color w:val="000000" w:themeColor="text1"/>
            <w:sz w:val="22"/>
            <w:szCs w:val="22"/>
          </w:rPr>
          <w:t>https://www.kingsfund.org.uk/insight-and-analysis/long-reads/nhs-long-term-plan-explained</w:t>
        </w:r>
      </w:hyperlink>
      <w:r w:rsidRPr="00801845">
        <w:rPr>
          <w:rFonts w:ascii="Arial" w:hAnsi="Arial" w:cs="Arial"/>
          <w:color w:val="000000" w:themeColor="text1"/>
          <w:sz w:val="22"/>
          <w:szCs w:val="22"/>
        </w:rPr>
        <w:t>. (Accessed 12 November 2025).</w:t>
      </w:r>
    </w:p>
    <w:p w14:paraId="60FB1013"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Dahlgren, G and Whitehead, M. (2021) 'The Dahlgren-Whitehead model of health determinants: 30 years on and still chasing rainbows,' Public Health, 199, pp. 20–24. </w:t>
      </w:r>
      <w:hyperlink r:id="rId9" w:history="1">
        <w:r w:rsidRPr="00801845">
          <w:rPr>
            <w:rStyle w:val="Hyperlink"/>
            <w:rFonts w:ascii="Arial" w:hAnsi="Arial" w:cs="Arial"/>
            <w:color w:val="000000" w:themeColor="text1"/>
            <w:sz w:val="22"/>
            <w:szCs w:val="22"/>
          </w:rPr>
          <w:t>https://doi.org/10.1016/j.puhe.2021.08.009</w:t>
        </w:r>
      </w:hyperlink>
      <w:r w:rsidRPr="00801845">
        <w:rPr>
          <w:rFonts w:ascii="Arial" w:hAnsi="Arial" w:cs="Arial"/>
          <w:color w:val="000000" w:themeColor="text1"/>
          <w:sz w:val="22"/>
          <w:szCs w:val="22"/>
        </w:rPr>
        <w:t xml:space="preserve">. (Accessed 5 November 2025). </w:t>
      </w:r>
    </w:p>
    <w:p w14:paraId="1AA4A1B0"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Department for Environment, Food and Rural Affairs (DEFRA) (2018) Agreen Future: Our 25 Year Plan to Improve the Environment. London: HM Government</w:t>
      </w:r>
    </w:p>
    <w:p w14:paraId="38DBAF49"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East Staffordshire Borough Council (2024) Corporate Plan 2024-2025. Burton upon Trent: East Staffordshire Borough Council. Available at </w:t>
      </w:r>
      <w:r w:rsidRPr="00801845">
        <w:rPr>
          <w:rFonts w:ascii="Arial" w:hAnsi="Arial" w:cs="Arial"/>
          <w:color w:val="000000" w:themeColor="text1"/>
          <w:sz w:val="22"/>
          <w:szCs w:val="22"/>
        </w:rPr>
        <w:fldChar w:fldCharType="begin"/>
      </w:r>
      <w:r w:rsidRPr="00801845">
        <w:rPr>
          <w:rFonts w:ascii="Arial" w:hAnsi="Arial" w:cs="Arial"/>
          <w:color w:val="000000" w:themeColor="text1"/>
          <w:sz w:val="22"/>
          <w:szCs w:val="22"/>
        </w:rPr>
        <w:instrText>HYPERLINK "</w:instrText>
      </w:r>
      <w:r w:rsidRPr="00801845">
        <w:rPr>
          <w:rFonts w:ascii="Arial" w:hAnsi="Arial" w:cs="Arial"/>
          <w:color w:val="000000" w:themeColor="text1"/>
          <w:sz w:val="22"/>
          <w:szCs w:val="22"/>
        </w:rPr>
        <w:instrText>https://www.eaststaffsbc.gov.uk/</w:instrText>
      </w:r>
      <w:r w:rsidRPr="00801845">
        <w:rPr>
          <w:rFonts w:ascii="Arial" w:hAnsi="Arial" w:cs="Arial"/>
          <w:color w:val="000000" w:themeColor="text1"/>
          <w:sz w:val="22"/>
          <w:szCs w:val="22"/>
        </w:rPr>
        <w:instrText>"</w:instrText>
      </w:r>
      <w:r w:rsidRPr="00801845">
        <w:rPr>
          <w:rFonts w:ascii="Arial" w:hAnsi="Arial" w:cs="Arial"/>
          <w:color w:val="000000" w:themeColor="text1"/>
          <w:sz w:val="22"/>
          <w:szCs w:val="22"/>
        </w:rPr>
        <w:fldChar w:fldCharType="separate"/>
      </w:r>
      <w:r w:rsidRPr="00801845">
        <w:rPr>
          <w:rStyle w:val="Hyperlink"/>
          <w:rFonts w:ascii="Arial" w:hAnsi="Arial" w:cs="Arial"/>
          <w:color w:val="000000" w:themeColor="text1"/>
          <w:sz w:val="22"/>
          <w:szCs w:val="22"/>
        </w:rPr>
        <w:t>https://www.eaststaffsbc.gov.uk/</w:t>
      </w:r>
      <w:r w:rsidRPr="00801845">
        <w:rPr>
          <w:rFonts w:ascii="Arial" w:hAnsi="Arial" w:cs="Arial"/>
          <w:color w:val="000000" w:themeColor="text1"/>
          <w:sz w:val="22"/>
          <w:szCs w:val="22"/>
        </w:rPr>
        <w:fldChar w:fldCharType="end"/>
      </w:r>
      <w:r w:rsidRPr="00801845">
        <w:rPr>
          <w:rFonts w:ascii="Arial" w:hAnsi="Arial" w:cs="Arial"/>
          <w:color w:val="000000" w:themeColor="text1"/>
          <w:sz w:val="22"/>
          <w:szCs w:val="22"/>
        </w:rPr>
        <w:t xml:space="preserve"> </w:t>
      </w:r>
      <w:r w:rsidRPr="00801845">
        <w:rPr>
          <w:rFonts w:ascii="Arial" w:hAnsi="Arial" w:cs="Arial"/>
          <w:color w:val="000000" w:themeColor="text1"/>
          <w:sz w:val="22"/>
          <w:szCs w:val="22"/>
        </w:rPr>
        <w:t>(Accessed 7 November 2025).</w:t>
      </w:r>
    </w:p>
    <w:p w14:paraId="5EE04EE5"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Environment Agency (2023). Oxford Flood Scheme. [online] GOV.UK. Available at: </w:t>
      </w:r>
      <w:hyperlink r:id="rId10" w:history="1">
        <w:r w:rsidRPr="00801845">
          <w:rPr>
            <w:rStyle w:val="Hyperlink"/>
            <w:rFonts w:ascii="Arial" w:hAnsi="Arial" w:cs="Arial"/>
            <w:color w:val="000000" w:themeColor="text1"/>
            <w:sz w:val="22"/>
            <w:szCs w:val="22"/>
          </w:rPr>
          <w:t>https://www.gov.uk/government/publications/oxford-flood-scheme/oxford-flood-scheme</w:t>
        </w:r>
      </w:hyperlink>
      <w:r w:rsidRPr="00801845">
        <w:rPr>
          <w:rFonts w:ascii="Arial" w:hAnsi="Arial" w:cs="Arial"/>
          <w:color w:val="000000" w:themeColor="text1"/>
          <w:sz w:val="22"/>
          <w:szCs w:val="22"/>
        </w:rPr>
        <w:t>. Accessed (10 November 2025).</w:t>
      </w:r>
    </w:p>
    <w:p w14:paraId="5E3F9D0D"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Game, M. (2024) The Bread-and-Butter Thing launches five affordable food clubs with East Staffordshire Borough Council — The Bread-and-Butter Thing. </w:t>
      </w:r>
      <w:r w:rsidRPr="00801845">
        <w:rPr>
          <w:rFonts w:ascii="Arial" w:hAnsi="Arial" w:cs="Arial"/>
          <w:color w:val="000000" w:themeColor="text1"/>
          <w:sz w:val="22"/>
          <w:szCs w:val="22"/>
        </w:rPr>
        <w:fldChar w:fldCharType="begin"/>
      </w:r>
      <w:r w:rsidRPr="00801845">
        <w:rPr>
          <w:rFonts w:ascii="Arial" w:hAnsi="Arial" w:cs="Arial"/>
          <w:color w:val="000000" w:themeColor="text1"/>
          <w:sz w:val="22"/>
          <w:szCs w:val="22"/>
        </w:rPr>
        <w:instrText>HYPERLINK "https://www.breadandbutterthing.org/news/five-new-hubs-in-east-staffordshire"</w:instrText>
      </w:r>
      <w:r w:rsidRPr="00801845">
        <w:rPr>
          <w:rFonts w:ascii="Arial" w:hAnsi="Arial" w:cs="Arial"/>
          <w:color w:val="000000" w:themeColor="text1"/>
          <w:sz w:val="22"/>
          <w:szCs w:val="22"/>
        </w:rPr>
      </w:r>
      <w:r w:rsidRPr="00801845">
        <w:rPr>
          <w:rFonts w:ascii="Arial" w:hAnsi="Arial" w:cs="Arial"/>
          <w:color w:val="000000" w:themeColor="text1"/>
          <w:sz w:val="22"/>
          <w:szCs w:val="22"/>
        </w:rPr>
        <w:fldChar w:fldCharType="separate"/>
      </w:r>
      <w:r w:rsidRPr="00801845">
        <w:rPr>
          <w:rStyle w:val="Hyperlink"/>
          <w:rFonts w:ascii="Arial" w:hAnsi="Arial" w:cs="Arial"/>
          <w:color w:val="000000" w:themeColor="text1"/>
          <w:sz w:val="22"/>
          <w:szCs w:val="22"/>
        </w:rPr>
        <w:t>https://www.breadandbutterthing.org/news/five-new-hubs-in-east-staffordshire</w:t>
      </w:r>
      <w:r w:rsidRPr="00801845">
        <w:rPr>
          <w:rFonts w:ascii="Arial" w:hAnsi="Arial" w:cs="Arial"/>
          <w:color w:val="000000" w:themeColor="text1"/>
          <w:sz w:val="22"/>
          <w:szCs w:val="22"/>
        </w:rPr>
        <w:fldChar w:fldCharType="end"/>
      </w:r>
      <w:r w:rsidRPr="00801845">
        <w:rPr>
          <w:rFonts w:ascii="Arial" w:hAnsi="Arial" w:cs="Arial"/>
          <w:color w:val="000000" w:themeColor="text1"/>
          <w:sz w:val="22"/>
          <w:szCs w:val="22"/>
        </w:rPr>
        <w:t>.</w:t>
      </w:r>
      <w:r w:rsidRPr="00801845">
        <w:rPr>
          <w:rFonts w:ascii="Arial" w:hAnsi="Arial" w:cs="Arial"/>
          <w:color w:val="000000" w:themeColor="text1"/>
          <w:sz w:val="22"/>
          <w:szCs w:val="22"/>
        </w:rPr>
        <w:t xml:space="preserve"> (Accessed 4 November 2025).</w:t>
      </w:r>
    </w:p>
    <w:p w14:paraId="4978F136"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Global water partnership (2017). The Need for an Integrated Approach. [online] Global Water Partnership. Available at: </w:t>
      </w:r>
      <w:hyperlink r:id="rId11" w:history="1">
        <w:r w:rsidRPr="00801845">
          <w:rPr>
            <w:rStyle w:val="Hyperlink"/>
            <w:rFonts w:ascii="Arial" w:hAnsi="Arial" w:cs="Arial"/>
            <w:color w:val="000000" w:themeColor="text1"/>
            <w:sz w:val="22"/>
            <w:szCs w:val="22"/>
          </w:rPr>
          <w:t>https://www.gwp.org/en/About/why/the-need-for-an-integrated-approach/</w:t>
        </w:r>
      </w:hyperlink>
      <w:r w:rsidRPr="00801845">
        <w:rPr>
          <w:rFonts w:ascii="Arial" w:hAnsi="Arial" w:cs="Arial"/>
          <w:color w:val="000000" w:themeColor="text1"/>
          <w:sz w:val="22"/>
          <w:szCs w:val="22"/>
        </w:rPr>
        <w:t>. (Accessed 9 November 2025).</w:t>
      </w:r>
    </w:p>
    <w:p w14:paraId="3FCA7743"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lastRenderedPageBreak/>
        <w:t xml:space="preserve">Greater Manchester Combined Authority (2022). Five-Year Environment Plan. [online] Greater Manchester Combined Authority. Available at: </w:t>
      </w:r>
      <w:hyperlink r:id="rId12" w:history="1">
        <w:r w:rsidRPr="00801845">
          <w:rPr>
            <w:rStyle w:val="Hyperlink"/>
            <w:rFonts w:ascii="Arial" w:hAnsi="Arial" w:cs="Arial"/>
            <w:color w:val="000000" w:themeColor="text1"/>
            <w:sz w:val="22"/>
            <w:szCs w:val="22"/>
          </w:rPr>
          <w:t>https://www.greatermanchester-ca.gov.uk/what-we-do/environment/five-year-environment-plan/</w:t>
        </w:r>
      </w:hyperlink>
      <w:r w:rsidRPr="00801845">
        <w:rPr>
          <w:rFonts w:ascii="Arial" w:hAnsi="Arial" w:cs="Arial"/>
          <w:color w:val="000000" w:themeColor="text1"/>
          <w:sz w:val="22"/>
          <w:szCs w:val="22"/>
        </w:rPr>
        <w:t>. (Accessed 9 November 2025).</w:t>
      </w:r>
    </w:p>
    <w:p w14:paraId="554E2C97"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lang w:val="nl-NL"/>
        </w:rPr>
        <w:t xml:space="preserve">Hosseinpoor, A.R. et al. </w:t>
      </w:r>
      <w:r w:rsidRPr="00801845">
        <w:rPr>
          <w:rFonts w:ascii="Arial" w:hAnsi="Arial" w:cs="Arial"/>
          <w:color w:val="000000" w:themeColor="text1"/>
          <w:sz w:val="22"/>
          <w:szCs w:val="22"/>
        </w:rPr>
        <w:t xml:space="preserve">(2023) ‘Strengthening and expanding health inequality monitoring for the advancement of health equity: a review of WHO resources and contributions’, International Journal for Equity in Health, 22(1). Available at: </w:t>
      </w:r>
      <w:hyperlink r:id="rId13" w:history="1">
        <w:r w:rsidRPr="00801845">
          <w:rPr>
            <w:rStyle w:val="Hyperlink"/>
            <w:rFonts w:ascii="Arial" w:hAnsi="Arial" w:cs="Arial"/>
            <w:color w:val="000000" w:themeColor="text1"/>
            <w:sz w:val="22"/>
            <w:szCs w:val="22"/>
          </w:rPr>
          <w:t>https://doi.org/10.1186/s12939-022-01811-4</w:t>
        </w:r>
      </w:hyperlink>
      <w:r w:rsidRPr="00801845">
        <w:rPr>
          <w:rFonts w:ascii="Arial" w:hAnsi="Arial" w:cs="Arial"/>
          <w:color w:val="000000" w:themeColor="text1"/>
          <w:sz w:val="22"/>
          <w:szCs w:val="22"/>
        </w:rPr>
        <w:t>.</w:t>
      </w:r>
    </w:p>
    <w:p w14:paraId="3311823C" w14:textId="43CFA575"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IWRM Action Planning Framework </w:t>
      </w:r>
      <w:proofErr w:type="spellStart"/>
      <w:r w:rsidRPr="00801845">
        <w:rPr>
          <w:rFonts w:ascii="Arial" w:hAnsi="Arial" w:cs="Arial"/>
          <w:color w:val="000000" w:themeColor="text1"/>
          <w:sz w:val="22"/>
          <w:szCs w:val="22"/>
        </w:rPr>
        <w:t>i</w:t>
      </w:r>
      <w:proofErr w:type="spellEnd"/>
      <w:r w:rsidRPr="00801845">
        <w:rPr>
          <w:rFonts w:ascii="Arial" w:hAnsi="Arial" w:cs="Arial"/>
          <w:color w:val="000000" w:themeColor="text1"/>
          <w:sz w:val="22"/>
          <w:szCs w:val="22"/>
        </w:rPr>
        <w:t xml:space="preserve"> IWRM Action Planning Framework Step-by-step guide for integrated water and climate planning. (2017). Available at: </w:t>
      </w:r>
      <w:hyperlink r:id="rId14" w:history="1">
        <w:r w:rsidR="00801845" w:rsidRPr="00801845">
          <w:rPr>
            <w:rStyle w:val="Hyperlink"/>
            <w:rFonts w:ascii="Arial" w:hAnsi="Arial" w:cs="Arial"/>
            <w:color w:val="000000" w:themeColor="text1"/>
            <w:sz w:val="22"/>
            <w:szCs w:val="22"/>
          </w:rPr>
          <w:t>https://www.gwp.org/contentassets/dade753d814a441192b42bc0f4b4ae25/iwrm-action-planning-framework_v2.pdf</w:t>
        </w:r>
      </w:hyperlink>
      <w:r w:rsidR="00801845" w:rsidRPr="00801845">
        <w:rPr>
          <w:rFonts w:ascii="Arial" w:hAnsi="Arial" w:cs="Arial"/>
          <w:color w:val="000000" w:themeColor="text1"/>
          <w:sz w:val="22"/>
          <w:szCs w:val="22"/>
        </w:rPr>
        <w:t xml:space="preserve"> </w:t>
      </w:r>
      <w:r w:rsidRPr="00801845">
        <w:rPr>
          <w:rFonts w:ascii="Arial" w:hAnsi="Arial" w:cs="Arial"/>
          <w:color w:val="000000" w:themeColor="text1"/>
          <w:sz w:val="22"/>
          <w:szCs w:val="22"/>
        </w:rPr>
        <w:t xml:space="preserve"> [Accessed 9 Nov. 2025].</w:t>
      </w:r>
    </w:p>
    <w:p w14:paraId="41BE086C"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Marmot, M. (2020) ‘Health Equity in England: </w:t>
      </w:r>
      <w:proofErr w:type="gramStart"/>
      <w:r w:rsidRPr="00801845">
        <w:rPr>
          <w:rFonts w:ascii="Arial" w:hAnsi="Arial" w:cs="Arial"/>
          <w:color w:val="000000" w:themeColor="text1"/>
          <w:sz w:val="22"/>
          <w:szCs w:val="22"/>
        </w:rPr>
        <w:t>the</w:t>
      </w:r>
      <w:proofErr w:type="gramEnd"/>
      <w:r w:rsidRPr="00801845">
        <w:rPr>
          <w:rFonts w:ascii="Arial" w:hAnsi="Arial" w:cs="Arial"/>
          <w:color w:val="000000" w:themeColor="text1"/>
          <w:sz w:val="22"/>
          <w:szCs w:val="22"/>
        </w:rPr>
        <w:t xml:space="preserve"> Marmot Review 10 Years on’, British Medical Journal, 368(1). Available at: </w:t>
      </w:r>
      <w:hyperlink r:id="rId15" w:history="1">
        <w:r w:rsidRPr="00801845">
          <w:rPr>
            <w:rStyle w:val="Hyperlink"/>
            <w:rFonts w:ascii="Arial" w:hAnsi="Arial" w:cs="Arial"/>
            <w:color w:val="000000" w:themeColor="text1"/>
            <w:sz w:val="22"/>
            <w:szCs w:val="22"/>
          </w:rPr>
          <w:t>https://doi.org/10.1136/bmj.m693</w:t>
        </w:r>
      </w:hyperlink>
      <w:r w:rsidRPr="00801845">
        <w:rPr>
          <w:rFonts w:ascii="Arial" w:hAnsi="Arial" w:cs="Arial"/>
          <w:color w:val="000000" w:themeColor="text1"/>
          <w:sz w:val="22"/>
          <w:szCs w:val="22"/>
        </w:rPr>
        <w:t>.</w:t>
      </w:r>
      <w:r w:rsidRPr="00801845">
        <w:rPr>
          <w:rFonts w:ascii="Arial" w:hAnsi="Arial" w:cs="Arial"/>
          <w:color w:val="000000" w:themeColor="text1"/>
          <w:sz w:val="22"/>
          <w:szCs w:val="22"/>
        </w:rPr>
        <w:t xml:space="preserve"> (Accessed 14 November 2025).</w:t>
      </w:r>
    </w:p>
    <w:p w14:paraId="3255DBCC" w14:textId="77777777" w:rsidR="006D317C" w:rsidRPr="00801845" w:rsidRDefault="006D317C" w:rsidP="0040438E">
      <w:pPr>
        <w:spacing w:after="0" w:line="360" w:lineRule="auto"/>
        <w:jc w:val="both"/>
        <w:rPr>
          <w:rFonts w:ascii="Arial" w:eastAsia="Times New Roman" w:hAnsi="Arial" w:cs="Arial"/>
          <w:color w:val="000000" w:themeColor="text1"/>
          <w:kern w:val="0"/>
          <w:sz w:val="22"/>
          <w:szCs w:val="22"/>
          <w:lang w:eastAsia="en-GB"/>
          <w14:ligatures w14:val="none"/>
        </w:rPr>
      </w:pPr>
      <w:r w:rsidRPr="00D3753F">
        <w:rPr>
          <w:rFonts w:ascii="Arial" w:eastAsia="Times New Roman" w:hAnsi="Arial" w:cs="Arial"/>
          <w:color w:val="000000" w:themeColor="text1"/>
          <w:kern w:val="0"/>
          <w:sz w:val="22"/>
          <w:szCs w:val="22"/>
          <w:lang w:eastAsia="en-GB"/>
          <w14:ligatures w14:val="none"/>
        </w:rPr>
        <w:t xml:space="preserve">Maslow, A. H. (1943). A theory of human motivation. </w:t>
      </w:r>
      <w:r w:rsidRPr="00D3753F">
        <w:rPr>
          <w:rFonts w:ascii="Arial" w:eastAsia="Times New Roman" w:hAnsi="Arial" w:cs="Arial"/>
          <w:i/>
          <w:iCs/>
          <w:color w:val="000000" w:themeColor="text1"/>
          <w:kern w:val="0"/>
          <w:sz w:val="22"/>
          <w:szCs w:val="22"/>
          <w:lang w:eastAsia="en-GB"/>
          <w14:ligatures w14:val="none"/>
        </w:rPr>
        <w:t>Psychological Review</w:t>
      </w:r>
      <w:r w:rsidRPr="00D3753F">
        <w:rPr>
          <w:rFonts w:ascii="Arial" w:eastAsia="Times New Roman" w:hAnsi="Arial" w:cs="Arial"/>
          <w:color w:val="000000" w:themeColor="text1"/>
          <w:kern w:val="0"/>
          <w:sz w:val="22"/>
          <w:szCs w:val="22"/>
          <w:lang w:eastAsia="en-GB"/>
          <w14:ligatures w14:val="none"/>
        </w:rPr>
        <w:t xml:space="preserve">, </w:t>
      </w:r>
      <w:r w:rsidRPr="00D3753F">
        <w:rPr>
          <w:rFonts w:ascii="Arial" w:eastAsia="Times New Roman" w:hAnsi="Arial" w:cs="Arial"/>
          <w:i/>
          <w:iCs/>
          <w:color w:val="000000" w:themeColor="text1"/>
          <w:kern w:val="0"/>
          <w:sz w:val="22"/>
          <w:szCs w:val="22"/>
          <w:lang w:eastAsia="en-GB"/>
          <w14:ligatures w14:val="none"/>
        </w:rPr>
        <w:t>50</w:t>
      </w:r>
      <w:r w:rsidRPr="00D3753F">
        <w:rPr>
          <w:rFonts w:ascii="Arial" w:eastAsia="Times New Roman" w:hAnsi="Arial" w:cs="Arial"/>
          <w:color w:val="000000" w:themeColor="text1"/>
          <w:kern w:val="0"/>
          <w:sz w:val="22"/>
          <w:szCs w:val="22"/>
          <w:lang w:eastAsia="en-GB"/>
          <w14:ligatures w14:val="none"/>
        </w:rPr>
        <w:t xml:space="preserve">(4), 370–396. </w:t>
      </w:r>
      <w:hyperlink r:id="rId16" w:history="1">
        <w:r w:rsidRPr="00D3753F">
          <w:rPr>
            <w:rStyle w:val="Hyperlink"/>
            <w:rFonts w:ascii="Arial" w:eastAsia="Times New Roman" w:hAnsi="Arial" w:cs="Arial"/>
            <w:color w:val="000000" w:themeColor="text1"/>
            <w:kern w:val="0"/>
            <w:sz w:val="22"/>
            <w:szCs w:val="22"/>
            <w:lang w:eastAsia="en-GB"/>
            <w14:ligatures w14:val="none"/>
          </w:rPr>
          <w:t>https://doi.org/10.1037/h0054346</w:t>
        </w:r>
      </w:hyperlink>
    </w:p>
    <w:p w14:paraId="22DDDC4E"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McLeroy, K.R., Bibeau, D., Steckler, A., and Glanz, K. (1988). "An Ecological Perspective on Health Promotion Programs." Health Education Quarterly, 15(4), pp. 351–377.</w:t>
      </w:r>
    </w:p>
    <w:p w14:paraId="345962D8"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NHS England (2019). NHS Long Term Plan. [online] NHS England. Available at: </w:t>
      </w:r>
      <w:hyperlink r:id="rId17" w:history="1">
        <w:r w:rsidRPr="00801845">
          <w:rPr>
            <w:rStyle w:val="Hyperlink"/>
            <w:rFonts w:ascii="Arial" w:hAnsi="Arial" w:cs="Arial"/>
            <w:color w:val="000000" w:themeColor="text1"/>
            <w:sz w:val="22"/>
            <w:szCs w:val="22"/>
          </w:rPr>
          <w:t>https://www.longtermplan.nhs.uk/</w:t>
        </w:r>
      </w:hyperlink>
      <w:r w:rsidRPr="00801845">
        <w:rPr>
          <w:rFonts w:ascii="Arial" w:hAnsi="Arial" w:cs="Arial"/>
          <w:color w:val="000000" w:themeColor="text1"/>
          <w:sz w:val="22"/>
          <w:szCs w:val="22"/>
        </w:rPr>
        <w:t>. (Accessed 6 November 2025).</w:t>
      </w:r>
    </w:p>
    <w:p w14:paraId="6431CF62"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NHS, England (2025). </w:t>
      </w:r>
      <w:r w:rsidRPr="00801845">
        <w:rPr>
          <w:rFonts w:ascii="Arial" w:hAnsi="Arial" w:cs="Arial"/>
          <w:i/>
          <w:iCs/>
          <w:color w:val="000000" w:themeColor="text1"/>
          <w:sz w:val="22"/>
          <w:szCs w:val="22"/>
        </w:rPr>
        <w:t>NHS England» Medium Term Planning Framework – delivering change together 2026/27 to 2028/29</w:t>
      </w:r>
      <w:r w:rsidRPr="00801845">
        <w:rPr>
          <w:rFonts w:ascii="Arial" w:hAnsi="Arial" w:cs="Arial"/>
          <w:color w:val="000000" w:themeColor="text1"/>
          <w:sz w:val="22"/>
          <w:szCs w:val="22"/>
        </w:rPr>
        <w:t xml:space="preserve">. [online] England.nhs.uk. Available at: </w:t>
      </w:r>
      <w:hyperlink r:id="rId18" w:history="1">
        <w:r w:rsidRPr="00801845">
          <w:rPr>
            <w:rStyle w:val="Hyperlink"/>
            <w:rFonts w:ascii="Arial" w:hAnsi="Arial" w:cs="Arial"/>
            <w:color w:val="000000" w:themeColor="text1"/>
            <w:sz w:val="22"/>
            <w:szCs w:val="22"/>
          </w:rPr>
          <w:t>https://www.england.nhs.uk/publication/medium-term-planning-framework-delivering-change-together-2026-27-to-2028-29/</w:t>
        </w:r>
      </w:hyperlink>
      <w:r w:rsidRPr="00801845">
        <w:rPr>
          <w:rFonts w:ascii="Arial" w:hAnsi="Arial" w:cs="Arial"/>
          <w:color w:val="000000" w:themeColor="text1"/>
          <w:sz w:val="22"/>
          <w:szCs w:val="22"/>
        </w:rPr>
        <w:t>. (Accessed 12 November 2025).</w:t>
      </w:r>
    </w:p>
    <w:p w14:paraId="65EDD76A" w14:textId="26F6DE10"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Oxford West End. (2023). Oxford Flood Alleviation Scheme - Oxford West End. [online] Available at: </w:t>
      </w:r>
      <w:hyperlink r:id="rId19" w:history="1">
        <w:r w:rsidR="00801845" w:rsidRPr="00801845">
          <w:rPr>
            <w:rStyle w:val="Hyperlink"/>
            <w:rFonts w:ascii="Arial" w:hAnsi="Arial" w:cs="Arial"/>
            <w:color w:val="000000" w:themeColor="text1"/>
            <w:sz w:val="22"/>
            <w:szCs w:val="22"/>
          </w:rPr>
          <w:t>https://oxfordwestend.co.uk/infrastructure/oxford-flood-alleviation-scheme/</w:t>
        </w:r>
      </w:hyperlink>
      <w:r w:rsidR="00801845" w:rsidRPr="00801845">
        <w:rPr>
          <w:rFonts w:ascii="Arial" w:hAnsi="Arial" w:cs="Arial"/>
          <w:color w:val="000000" w:themeColor="text1"/>
          <w:sz w:val="22"/>
          <w:szCs w:val="22"/>
        </w:rPr>
        <w:t xml:space="preserve"> </w:t>
      </w:r>
      <w:r w:rsidRPr="00801845">
        <w:rPr>
          <w:rFonts w:ascii="Arial" w:hAnsi="Arial" w:cs="Arial"/>
          <w:color w:val="000000" w:themeColor="text1"/>
          <w:sz w:val="22"/>
          <w:szCs w:val="22"/>
        </w:rPr>
        <w:t>[Accessed 10 Nov. 2025].</w:t>
      </w:r>
    </w:p>
    <w:p w14:paraId="706DDE2A"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w:t>
      </w:r>
      <w:r w:rsidRPr="00801845">
        <w:rPr>
          <w:rFonts w:ascii="Arial" w:hAnsi="Arial" w:cs="Arial"/>
          <w:color w:val="000000" w:themeColor="text1"/>
          <w:sz w:val="22"/>
          <w:szCs w:val="22"/>
        </w:rPr>
        <w:t xml:space="preserve">Results, reports and presentations | Investors | Severn Trent Plc www.severntrent.com. Available at: </w:t>
      </w:r>
      <w:hyperlink r:id="rId20" w:history="1">
        <w:r w:rsidRPr="00801845">
          <w:rPr>
            <w:rStyle w:val="Hyperlink"/>
            <w:rFonts w:ascii="Arial" w:hAnsi="Arial" w:cs="Arial"/>
            <w:color w:val="000000" w:themeColor="text1"/>
            <w:sz w:val="22"/>
            <w:szCs w:val="22"/>
          </w:rPr>
          <w:t>https://www.severntrent.com/investors/results-reports-and-presentations/</w:t>
        </w:r>
      </w:hyperlink>
      <w:r w:rsidRPr="00801845">
        <w:rPr>
          <w:rFonts w:ascii="Arial" w:hAnsi="Arial" w:cs="Arial"/>
          <w:color w:val="000000" w:themeColor="text1"/>
          <w:sz w:val="22"/>
          <w:szCs w:val="22"/>
        </w:rPr>
        <w:t>.</w:t>
      </w:r>
      <w:r w:rsidRPr="00801845">
        <w:rPr>
          <w:rFonts w:ascii="Arial" w:hAnsi="Arial" w:cs="Arial"/>
          <w:color w:val="000000" w:themeColor="text1"/>
          <w:sz w:val="22"/>
          <w:szCs w:val="22"/>
        </w:rPr>
        <w:t xml:space="preserve"> (Accessed 14 November 2025).</w:t>
      </w:r>
    </w:p>
    <w:p w14:paraId="41F0D73C" w14:textId="77777777" w:rsidR="006D317C" w:rsidRPr="00801845" w:rsidRDefault="006D317C" w:rsidP="0040438E">
      <w:pPr>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lastRenderedPageBreak/>
        <w:t>SEVERN TRENT VULNERABILITY STRATEGY (</w:t>
      </w:r>
      <w:r w:rsidRPr="00801845">
        <w:rPr>
          <w:rFonts w:ascii="Arial" w:hAnsi="Arial" w:cs="Arial"/>
          <w:color w:val="000000" w:themeColor="text1"/>
          <w:sz w:val="22"/>
          <w:szCs w:val="22"/>
        </w:rPr>
        <w:t>2025</w:t>
      </w:r>
      <w:r w:rsidRPr="00801845">
        <w:rPr>
          <w:rFonts w:ascii="Arial" w:hAnsi="Arial" w:cs="Arial"/>
          <w:color w:val="000000" w:themeColor="text1"/>
          <w:sz w:val="22"/>
          <w:szCs w:val="22"/>
        </w:rPr>
        <w:t xml:space="preserve">). Available at: </w:t>
      </w:r>
      <w:hyperlink r:id="rId21" w:history="1">
        <w:r w:rsidRPr="00801845">
          <w:rPr>
            <w:rStyle w:val="Hyperlink"/>
            <w:rFonts w:ascii="Arial" w:hAnsi="Arial" w:cs="Arial"/>
            <w:color w:val="000000" w:themeColor="text1"/>
            <w:sz w:val="22"/>
            <w:szCs w:val="22"/>
          </w:rPr>
          <w:t>https://www.stwater.co.uk/content/dam/stw/regulatory-library/severn-trent-vulnerable-customer-strategy-2025.pdf</w:t>
        </w:r>
      </w:hyperlink>
      <w:r w:rsidRPr="00801845">
        <w:rPr>
          <w:rFonts w:ascii="Arial" w:hAnsi="Arial" w:cs="Arial"/>
          <w:color w:val="000000" w:themeColor="text1"/>
          <w:sz w:val="22"/>
          <w:szCs w:val="22"/>
        </w:rPr>
        <w:t xml:space="preserve"> </w:t>
      </w:r>
      <w:r w:rsidRPr="00801845">
        <w:rPr>
          <w:rFonts w:ascii="Arial" w:hAnsi="Arial" w:cs="Arial"/>
          <w:color w:val="000000" w:themeColor="text1"/>
          <w:sz w:val="22"/>
          <w:szCs w:val="22"/>
        </w:rPr>
        <w:t xml:space="preserve"> (Accessed: 14 November 2025).</w:t>
      </w:r>
    </w:p>
    <w:p w14:paraId="4F7DFAE1" w14:textId="77777777" w:rsidR="006D317C" w:rsidRPr="00801845" w:rsidRDefault="006D317C" w:rsidP="0040438E">
      <w:pPr>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Severn</w:t>
      </w:r>
      <w:r w:rsidRPr="00801845">
        <w:rPr>
          <w:rFonts w:ascii="Arial" w:hAnsi="Arial" w:cs="Arial"/>
          <w:color w:val="000000" w:themeColor="text1"/>
          <w:sz w:val="22"/>
          <w:szCs w:val="22"/>
        </w:rPr>
        <w:t xml:space="preserve"> Trent </w:t>
      </w:r>
      <w:r w:rsidRPr="00801845">
        <w:rPr>
          <w:rFonts w:ascii="Arial" w:hAnsi="Arial" w:cs="Arial"/>
          <w:color w:val="000000" w:themeColor="text1"/>
          <w:sz w:val="22"/>
          <w:szCs w:val="22"/>
        </w:rPr>
        <w:t>Water (</w:t>
      </w:r>
      <w:r w:rsidRPr="00801845">
        <w:rPr>
          <w:rFonts w:ascii="Arial" w:hAnsi="Arial" w:cs="Arial"/>
          <w:color w:val="000000" w:themeColor="text1"/>
          <w:sz w:val="22"/>
          <w:szCs w:val="22"/>
        </w:rPr>
        <w:t>2024/2025</w:t>
      </w:r>
      <w:r w:rsidRPr="00801845">
        <w:rPr>
          <w:rFonts w:ascii="Arial" w:hAnsi="Arial" w:cs="Arial"/>
          <w:color w:val="000000" w:themeColor="text1"/>
          <w:sz w:val="22"/>
          <w:szCs w:val="22"/>
        </w:rPr>
        <w:t xml:space="preserve">) ANNUAL PERFORMANCE REPORT. Available at: </w:t>
      </w:r>
      <w:hyperlink r:id="rId22" w:history="1">
        <w:r w:rsidRPr="00801845">
          <w:rPr>
            <w:rStyle w:val="Hyperlink"/>
            <w:rFonts w:ascii="Arial" w:hAnsi="Arial" w:cs="Arial"/>
            <w:color w:val="000000" w:themeColor="text1"/>
            <w:sz w:val="22"/>
            <w:szCs w:val="22"/>
          </w:rPr>
          <w:t>https://www.stwater.co.uk/content/dam/stw/regulatory-library/stw-apr-2025.pdf</w:t>
        </w:r>
      </w:hyperlink>
      <w:r w:rsidRPr="00801845">
        <w:rPr>
          <w:rFonts w:ascii="Arial" w:hAnsi="Arial" w:cs="Arial"/>
          <w:color w:val="000000" w:themeColor="text1"/>
          <w:sz w:val="22"/>
          <w:szCs w:val="22"/>
        </w:rPr>
        <w:t>.</w:t>
      </w:r>
      <w:r w:rsidRPr="00801845">
        <w:rPr>
          <w:rFonts w:ascii="Arial" w:hAnsi="Arial" w:cs="Arial"/>
          <w:color w:val="000000" w:themeColor="text1"/>
          <w:sz w:val="22"/>
          <w:szCs w:val="22"/>
        </w:rPr>
        <w:t xml:space="preserve"> Accessed 14 November 2025).</w:t>
      </w:r>
    </w:p>
    <w:p w14:paraId="2F0E5AAA"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Support S</w:t>
      </w:r>
      <w:r w:rsidRPr="00801845">
        <w:rPr>
          <w:rFonts w:ascii="Arial" w:hAnsi="Arial" w:cs="Arial"/>
          <w:color w:val="000000" w:themeColor="text1"/>
          <w:sz w:val="22"/>
          <w:szCs w:val="22"/>
        </w:rPr>
        <w:t xml:space="preserve">taffordshire (2023) Volunteers needed for The Bread-and-Butter Thing. Available at: </w:t>
      </w:r>
      <w:hyperlink r:id="rId23" w:history="1">
        <w:r w:rsidRPr="00801845">
          <w:rPr>
            <w:rStyle w:val="Hyperlink"/>
            <w:rFonts w:ascii="Arial" w:hAnsi="Arial" w:cs="Arial"/>
            <w:color w:val="000000" w:themeColor="text1"/>
            <w:sz w:val="22"/>
            <w:szCs w:val="22"/>
          </w:rPr>
          <w:t>https://supportstaffordshire.org.uk/</w:t>
        </w:r>
      </w:hyperlink>
      <w:r w:rsidRPr="00801845">
        <w:rPr>
          <w:rFonts w:ascii="Arial" w:hAnsi="Arial" w:cs="Arial"/>
          <w:color w:val="000000" w:themeColor="text1"/>
          <w:sz w:val="22"/>
          <w:szCs w:val="22"/>
        </w:rPr>
        <w:t>.</w:t>
      </w:r>
      <w:r w:rsidRPr="00801845">
        <w:rPr>
          <w:rFonts w:ascii="Arial" w:hAnsi="Arial" w:cs="Arial"/>
          <w:color w:val="000000" w:themeColor="text1"/>
          <w:sz w:val="22"/>
          <w:szCs w:val="22"/>
        </w:rPr>
        <w:t xml:space="preserve"> (Accessed 13 November 2025).</w:t>
      </w:r>
    </w:p>
    <w:p w14:paraId="54B8E5D4"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The Health Foundation (2024). Health inequalities in 2040. [online] The Health Foundation. Available at: </w:t>
      </w:r>
      <w:hyperlink r:id="rId24" w:history="1">
        <w:r w:rsidRPr="00801845">
          <w:rPr>
            <w:rStyle w:val="Hyperlink"/>
            <w:rFonts w:ascii="Arial" w:hAnsi="Arial" w:cs="Arial"/>
            <w:color w:val="000000" w:themeColor="text1"/>
            <w:sz w:val="22"/>
            <w:szCs w:val="22"/>
          </w:rPr>
          <w:t>https://www.health.org.uk/reports-and-analysis/reports/health-inequalities-in-2040.(Accessed</w:t>
        </w:r>
      </w:hyperlink>
      <w:r w:rsidRPr="00801845">
        <w:rPr>
          <w:rFonts w:ascii="Arial" w:hAnsi="Arial" w:cs="Arial"/>
          <w:color w:val="000000" w:themeColor="text1"/>
          <w:sz w:val="22"/>
          <w:szCs w:val="22"/>
        </w:rPr>
        <w:t xml:space="preserve"> 12 November 2025).</w:t>
      </w:r>
    </w:p>
    <w:p w14:paraId="5455C716"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The SWA Framework | Sanitation and Water for All (SWA). Available at: </w:t>
      </w:r>
      <w:hyperlink r:id="rId25" w:history="1">
        <w:r w:rsidRPr="00801845">
          <w:rPr>
            <w:rStyle w:val="Hyperlink"/>
            <w:rFonts w:ascii="Arial" w:hAnsi="Arial" w:cs="Arial"/>
            <w:color w:val="000000" w:themeColor="text1"/>
            <w:sz w:val="22"/>
            <w:szCs w:val="22"/>
          </w:rPr>
          <w:t>https://www.sanitationandwaterforall.org/about/our-work/priority-areas</w:t>
        </w:r>
      </w:hyperlink>
      <w:r w:rsidRPr="00801845">
        <w:rPr>
          <w:rFonts w:ascii="Arial" w:hAnsi="Arial" w:cs="Arial"/>
          <w:color w:val="000000" w:themeColor="text1"/>
          <w:sz w:val="22"/>
          <w:szCs w:val="22"/>
        </w:rPr>
        <w:t>. (Accessed 7 November 2025).</w:t>
      </w:r>
    </w:p>
    <w:p w14:paraId="79C3855C"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The U.N Environment Programme, U.N. (2023). Integrated water resources management. [online] UNEP - UN Environment Programme. Available at: </w:t>
      </w:r>
      <w:hyperlink r:id="rId26" w:history="1">
        <w:r w:rsidRPr="00801845">
          <w:rPr>
            <w:rStyle w:val="Hyperlink"/>
            <w:rFonts w:ascii="Arial" w:hAnsi="Arial" w:cs="Arial"/>
            <w:color w:val="000000" w:themeColor="text1"/>
            <w:sz w:val="22"/>
            <w:szCs w:val="22"/>
          </w:rPr>
          <w:t>https://www.unep.org/topics/fresh-water/water-resources-management/integrated-water-resources-management</w:t>
        </w:r>
      </w:hyperlink>
      <w:r w:rsidRPr="00801845">
        <w:rPr>
          <w:rFonts w:ascii="Arial" w:hAnsi="Arial" w:cs="Arial"/>
          <w:color w:val="000000" w:themeColor="text1"/>
          <w:sz w:val="22"/>
          <w:szCs w:val="22"/>
        </w:rPr>
        <w:t>. (Accessed 9 November 2025).</w:t>
      </w:r>
    </w:p>
    <w:p w14:paraId="5CE0099D"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Transformation Partners in Health and Care. Transformation Partners in Health and Care. Available at: </w:t>
      </w:r>
      <w:hyperlink r:id="rId27" w:history="1">
        <w:r w:rsidRPr="00801845">
          <w:rPr>
            <w:rStyle w:val="Hyperlink"/>
            <w:rFonts w:ascii="Arial" w:hAnsi="Arial" w:cs="Arial"/>
            <w:color w:val="000000" w:themeColor="text1"/>
            <w:sz w:val="22"/>
            <w:szCs w:val="22"/>
          </w:rPr>
          <w:t>https://www.transformationpartners.nhs.uk/</w:t>
        </w:r>
      </w:hyperlink>
      <w:r w:rsidRPr="00801845">
        <w:rPr>
          <w:rFonts w:ascii="Arial" w:hAnsi="Arial" w:cs="Arial"/>
          <w:color w:val="000000" w:themeColor="text1"/>
          <w:sz w:val="22"/>
          <w:szCs w:val="22"/>
        </w:rPr>
        <w:t>. (Accessed 6 November 2025).</w:t>
      </w:r>
    </w:p>
    <w:p w14:paraId="19DDBB28"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UNESCO (2023) Home | UN World Water Development Report 2023, www.unesco.org. Available at: </w:t>
      </w:r>
      <w:hyperlink r:id="rId28" w:history="1">
        <w:r w:rsidRPr="00801845">
          <w:rPr>
            <w:rStyle w:val="Hyperlink"/>
            <w:rFonts w:ascii="Arial" w:hAnsi="Arial" w:cs="Arial"/>
            <w:color w:val="000000" w:themeColor="text1"/>
            <w:sz w:val="22"/>
            <w:szCs w:val="22"/>
          </w:rPr>
          <w:t>https://www.unesco.org/reports/wwdr/2023/en</w:t>
        </w:r>
      </w:hyperlink>
      <w:r w:rsidRPr="00801845">
        <w:rPr>
          <w:rFonts w:ascii="Arial" w:hAnsi="Arial" w:cs="Arial"/>
          <w:color w:val="000000" w:themeColor="text1"/>
          <w:sz w:val="22"/>
          <w:szCs w:val="22"/>
        </w:rPr>
        <w:t>. (Accessed 7 November 2025)</w:t>
      </w:r>
    </w:p>
    <w:p w14:paraId="6A61AF51"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United Nations (2023) Sustainable Development Goals (SDG 6), United Nations Western Europe. Available at: </w:t>
      </w:r>
      <w:hyperlink r:id="rId29" w:history="1">
        <w:r w:rsidRPr="00801845">
          <w:rPr>
            <w:rStyle w:val="Hyperlink"/>
            <w:rFonts w:ascii="Arial" w:hAnsi="Arial" w:cs="Arial"/>
            <w:color w:val="000000" w:themeColor="text1"/>
            <w:sz w:val="22"/>
            <w:szCs w:val="22"/>
          </w:rPr>
          <w:t>https://unric.org/en/sdg-6/</w:t>
        </w:r>
      </w:hyperlink>
      <w:r w:rsidRPr="00801845">
        <w:rPr>
          <w:rFonts w:ascii="Arial" w:hAnsi="Arial" w:cs="Arial"/>
          <w:color w:val="000000" w:themeColor="text1"/>
          <w:sz w:val="22"/>
          <w:szCs w:val="22"/>
        </w:rPr>
        <w:t>. (Accessed 7 November 2025)</w:t>
      </w:r>
    </w:p>
    <w:p w14:paraId="408FA2B3" w14:textId="77777777" w:rsidR="006D317C" w:rsidRPr="00801845" w:rsidRDefault="006D317C" w:rsidP="0040438E">
      <w:pPr>
        <w:pStyle w:val="NormalWeb"/>
        <w:spacing w:before="0" w:beforeAutospacing="0" w:after="240" w:afterAutospacing="0"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w:t>
      </w:r>
      <w:r w:rsidRPr="00801845">
        <w:rPr>
          <w:rFonts w:ascii="Arial" w:hAnsi="Arial" w:cs="Arial"/>
          <w:color w:val="000000" w:themeColor="text1"/>
          <w:sz w:val="22"/>
          <w:szCs w:val="22"/>
        </w:rPr>
        <w:t xml:space="preserve">United Nations (2023) WHO/UNICEF Joint Monitoring Program for Water Supply, Sanitation and Hygiene (JMP) – Progress on household drinking water, sanitation and hygiene 2000-2022: Special focus on gender, UN-Water. Available at: </w:t>
      </w:r>
      <w:hyperlink r:id="rId30" w:history="1">
        <w:r w:rsidRPr="00801845">
          <w:rPr>
            <w:rStyle w:val="Hyperlink"/>
            <w:rFonts w:ascii="Arial" w:hAnsi="Arial" w:cs="Arial"/>
            <w:color w:val="000000" w:themeColor="text1"/>
            <w:sz w:val="22"/>
            <w:szCs w:val="22"/>
            <w:u w:val="none"/>
          </w:rPr>
          <w:t>https://www.unwater.org/publications/who/unicef-joint-monitoring-program-update-report-2023</w:t>
        </w:r>
      </w:hyperlink>
      <w:r w:rsidRPr="00801845">
        <w:rPr>
          <w:rFonts w:ascii="Arial" w:hAnsi="Arial" w:cs="Arial"/>
          <w:color w:val="000000" w:themeColor="text1"/>
          <w:sz w:val="22"/>
          <w:szCs w:val="22"/>
        </w:rPr>
        <w:t>.</w:t>
      </w:r>
      <w:r w:rsidRPr="00801845">
        <w:rPr>
          <w:rFonts w:ascii="Arial" w:hAnsi="Arial" w:cs="Arial"/>
          <w:color w:val="000000" w:themeColor="text1"/>
          <w:sz w:val="22"/>
          <w:szCs w:val="22"/>
        </w:rPr>
        <w:t xml:space="preserve"> (Accessed 14 November 2025)</w:t>
      </w:r>
    </w:p>
    <w:p w14:paraId="6161728F" w14:textId="77777777" w:rsidR="006D317C" w:rsidRPr="00801845" w:rsidRDefault="006D317C" w:rsidP="0040438E">
      <w:pPr>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lastRenderedPageBreak/>
        <w:t xml:space="preserve">United Nations (2023). The Sustainable Development Goals Report Special edition 2023. [online] Available at: </w:t>
      </w:r>
      <w:hyperlink r:id="rId31" w:history="1">
        <w:r w:rsidRPr="00801845">
          <w:rPr>
            <w:rStyle w:val="Hyperlink"/>
            <w:rFonts w:ascii="Arial" w:hAnsi="Arial" w:cs="Arial"/>
            <w:color w:val="000000" w:themeColor="text1"/>
            <w:sz w:val="22"/>
            <w:szCs w:val="22"/>
          </w:rPr>
          <w:t>https://sdgs.un.org/sites/default/files/2023-07/The-Sustainable-Development-Goals-Report-2023_0.pdf</w:t>
        </w:r>
      </w:hyperlink>
      <w:r w:rsidRPr="00801845">
        <w:rPr>
          <w:rFonts w:ascii="Arial" w:hAnsi="Arial" w:cs="Arial"/>
          <w:color w:val="000000" w:themeColor="text1"/>
          <w:sz w:val="22"/>
          <w:szCs w:val="22"/>
        </w:rPr>
        <w:t>. (Accessed 5 November 2025).</w:t>
      </w:r>
    </w:p>
    <w:p w14:paraId="7274C75D" w14:textId="77777777" w:rsidR="006D317C" w:rsidRPr="00801845" w:rsidRDefault="006D317C" w:rsidP="0040438E">
      <w:pPr>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United Nations (2024) Goal 6: Ensure Access to Water and Sanitation for All, United Nations Sustainable Development. United Nations. Available at: </w:t>
      </w:r>
      <w:hyperlink r:id="rId32" w:history="1">
        <w:r w:rsidRPr="00801845">
          <w:rPr>
            <w:rStyle w:val="Hyperlink"/>
            <w:rFonts w:ascii="Arial" w:hAnsi="Arial" w:cs="Arial"/>
            <w:color w:val="000000" w:themeColor="text1"/>
            <w:sz w:val="22"/>
            <w:szCs w:val="22"/>
          </w:rPr>
          <w:t>https://www.un.org/sustainabledevelopment/water-and-sanitation/</w:t>
        </w:r>
      </w:hyperlink>
      <w:r w:rsidRPr="00801845">
        <w:rPr>
          <w:rFonts w:ascii="Arial" w:hAnsi="Arial" w:cs="Arial"/>
          <w:color w:val="000000" w:themeColor="text1"/>
          <w:sz w:val="22"/>
          <w:szCs w:val="22"/>
        </w:rPr>
        <w:t>.</w:t>
      </w:r>
      <w:r w:rsidRPr="00801845">
        <w:rPr>
          <w:rFonts w:ascii="Arial" w:hAnsi="Arial" w:cs="Arial"/>
          <w:color w:val="000000" w:themeColor="text1"/>
          <w:sz w:val="22"/>
          <w:szCs w:val="22"/>
        </w:rPr>
        <w:t xml:space="preserve"> (Accessed 14 November 2025).</w:t>
      </w:r>
    </w:p>
    <w:p w14:paraId="05113ED0" w14:textId="77777777" w:rsidR="006D317C" w:rsidRPr="00801845" w:rsidRDefault="006D317C" w:rsidP="0040438E">
      <w:pPr>
        <w:pStyle w:val="NormalWeb"/>
        <w:spacing w:before="0" w:beforeAutospacing="0" w:after="0" w:afterAutospacing="0"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United Nations Department of Economic and Social Affairs (UN DESA) | Department of Economic and Social Affairs (2024) Un.org. Available at: </w:t>
      </w:r>
      <w:hyperlink r:id="rId33" w:history="1">
        <w:r w:rsidRPr="00801845">
          <w:rPr>
            <w:rStyle w:val="Hyperlink"/>
            <w:rFonts w:ascii="Arial" w:hAnsi="Arial" w:cs="Arial"/>
            <w:color w:val="000000" w:themeColor="text1"/>
            <w:sz w:val="22"/>
            <w:szCs w:val="22"/>
          </w:rPr>
          <w:t>https://sdgs.un.org/un-system-sdg-implementation/united-nations-department-economic-and-social-affairs-undesa-56916</w:t>
        </w:r>
      </w:hyperlink>
      <w:r w:rsidRPr="00801845">
        <w:rPr>
          <w:rFonts w:ascii="Arial" w:hAnsi="Arial" w:cs="Arial"/>
          <w:color w:val="000000" w:themeColor="text1"/>
          <w:sz w:val="22"/>
          <w:szCs w:val="22"/>
        </w:rPr>
        <w:t xml:space="preserve"> (Accessed: 6 November 2025). </w:t>
      </w:r>
    </w:p>
    <w:p w14:paraId="01A36724"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UN-Water. (2018). UN-Water Annual Report 2018. [online] Available at: </w:t>
      </w:r>
      <w:hyperlink r:id="rId34" w:history="1">
        <w:r w:rsidRPr="00801845">
          <w:rPr>
            <w:rStyle w:val="Hyperlink"/>
            <w:rFonts w:ascii="Arial" w:hAnsi="Arial" w:cs="Arial"/>
            <w:color w:val="000000" w:themeColor="text1"/>
            <w:sz w:val="22"/>
            <w:szCs w:val="22"/>
          </w:rPr>
          <w:t>https://www.unwater.org/publications/un-water-annual-report-2018</w:t>
        </w:r>
      </w:hyperlink>
      <w:r w:rsidRPr="00801845">
        <w:rPr>
          <w:rFonts w:ascii="Arial" w:hAnsi="Arial" w:cs="Arial"/>
          <w:color w:val="000000" w:themeColor="text1"/>
          <w:sz w:val="22"/>
          <w:szCs w:val="22"/>
        </w:rPr>
        <w:t>. (Accessed 7 November 2025).</w:t>
      </w:r>
    </w:p>
    <w:p w14:paraId="74B87EAE" w14:textId="38E08B7D"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UN-Water. (2022). Integrated Monitoring Initiative for SDG 6. [online] Available at: </w:t>
      </w:r>
      <w:hyperlink r:id="rId35" w:history="1">
        <w:r w:rsidRPr="00801845">
          <w:rPr>
            <w:rStyle w:val="Hyperlink"/>
            <w:rFonts w:ascii="Arial" w:hAnsi="Arial" w:cs="Arial"/>
            <w:color w:val="000000" w:themeColor="text1"/>
            <w:sz w:val="22"/>
            <w:szCs w:val="22"/>
          </w:rPr>
          <w:t>https://www.unwater.org/our-work/integrated-monitoring-initiative-sdg-6</w:t>
        </w:r>
      </w:hyperlink>
      <w:r w:rsidRPr="00801845">
        <w:rPr>
          <w:rFonts w:ascii="Arial" w:hAnsi="Arial" w:cs="Arial"/>
          <w:color w:val="000000" w:themeColor="text1"/>
          <w:sz w:val="22"/>
          <w:szCs w:val="22"/>
        </w:rPr>
        <w:t>. (Accessed 7</w:t>
      </w:r>
      <w:r w:rsidR="00801845" w:rsidRPr="00801845">
        <w:rPr>
          <w:rFonts w:ascii="Arial" w:hAnsi="Arial" w:cs="Arial"/>
          <w:color w:val="000000" w:themeColor="text1"/>
          <w:sz w:val="22"/>
          <w:szCs w:val="22"/>
        </w:rPr>
        <w:t xml:space="preserve"> </w:t>
      </w:r>
      <w:r w:rsidRPr="00801845">
        <w:rPr>
          <w:rFonts w:ascii="Arial" w:hAnsi="Arial" w:cs="Arial"/>
          <w:color w:val="000000" w:themeColor="text1"/>
          <w:sz w:val="22"/>
          <w:szCs w:val="22"/>
        </w:rPr>
        <w:t>November 2025).</w:t>
      </w:r>
    </w:p>
    <w:p w14:paraId="64E0D8AA" w14:textId="77777777" w:rsidR="006D317C" w:rsidRPr="00801845" w:rsidRDefault="006D317C" w:rsidP="0040438E">
      <w:pPr>
        <w:pStyle w:val="NormalWeb"/>
        <w:spacing w:line="360" w:lineRule="auto"/>
        <w:jc w:val="both"/>
        <w:rPr>
          <w:rFonts w:ascii="Arial" w:hAnsi="Arial" w:cs="Arial"/>
          <w:color w:val="000000" w:themeColor="text1"/>
          <w:sz w:val="22"/>
          <w:szCs w:val="22"/>
        </w:rPr>
      </w:pPr>
      <w:proofErr w:type="spellStart"/>
      <w:r w:rsidRPr="00801845">
        <w:rPr>
          <w:rFonts w:ascii="Arial" w:hAnsi="Arial" w:cs="Arial"/>
          <w:color w:val="000000" w:themeColor="text1"/>
          <w:sz w:val="22"/>
          <w:szCs w:val="22"/>
        </w:rPr>
        <w:t>WaterSure</w:t>
      </w:r>
      <w:proofErr w:type="spellEnd"/>
      <w:r w:rsidRPr="00801845">
        <w:rPr>
          <w:rFonts w:ascii="Arial" w:hAnsi="Arial" w:cs="Arial"/>
          <w:color w:val="000000" w:themeColor="text1"/>
          <w:sz w:val="22"/>
          <w:szCs w:val="22"/>
        </w:rPr>
        <w:t xml:space="preserve"> scheme | Help with paying your bill | Help when you need it | My Account | Severn Trent Water www.stwater.co.uk. Available at: </w:t>
      </w:r>
      <w:hyperlink r:id="rId36" w:history="1">
        <w:r w:rsidRPr="00801845">
          <w:rPr>
            <w:rStyle w:val="Hyperlink"/>
            <w:rFonts w:ascii="Arial" w:hAnsi="Arial" w:cs="Arial"/>
            <w:color w:val="000000" w:themeColor="text1"/>
            <w:sz w:val="22"/>
            <w:szCs w:val="22"/>
          </w:rPr>
          <w:t>https://www.stwater.co.uk/my-account/help-when-you-need-it/help-with-paying-your-bill/watersure-scheme/</w:t>
        </w:r>
      </w:hyperlink>
      <w:r w:rsidRPr="00801845">
        <w:rPr>
          <w:rFonts w:ascii="Arial" w:hAnsi="Arial" w:cs="Arial"/>
          <w:color w:val="000000" w:themeColor="text1"/>
          <w:sz w:val="22"/>
          <w:szCs w:val="22"/>
        </w:rPr>
        <w:t>.</w:t>
      </w:r>
      <w:r w:rsidRPr="00801845">
        <w:rPr>
          <w:rFonts w:ascii="Arial" w:hAnsi="Arial" w:cs="Arial"/>
          <w:color w:val="000000" w:themeColor="text1"/>
          <w:sz w:val="22"/>
          <w:szCs w:val="22"/>
        </w:rPr>
        <w:t xml:space="preserve"> (Accessed 14 November 2025).</w:t>
      </w:r>
    </w:p>
    <w:p w14:paraId="20E4D617" w14:textId="77777777" w:rsidR="006D317C" w:rsidRPr="00801845" w:rsidRDefault="006D317C" w:rsidP="0040438E">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Welcome To Zscaler Directory Authentication (2025) Stwater.co.uk. Available at: </w:t>
      </w:r>
      <w:hyperlink r:id="rId37" w:history="1">
        <w:r w:rsidRPr="00801845">
          <w:rPr>
            <w:rStyle w:val="Hyperlink"/>
            <w:rFonts w:ascii="Arial" w:hAnsi="Arial" w:cs="Arial"/>
            <w:color w:val="000000" w:themeColor="text1"/>
            <w:sz w:val="22"/>
            <w:szCs w:val="22"/>
          </w:rPr>
          <w:t>https://www.stwater.co.uk/my-account/help-when-you-need-it/help-with-paying-your-bill/big-difference-scheme/?cmpid=email:councillor_newsletter:jan25:e40610</w:t>
        </w:r>
      </w:hyperlink>
      <w:r w:rsidRPr="00801845">
        <w:rPr>
          <w:rFonts w:ascii="Arial" w:hAnsi="Arial" w:cs="Arial"/>
          <w:color w:val="000000" w:themeColor="text1"/>
          <w:sz w:val="22"/>
          <w:szCs w:val="22"/>
        </w:rPr>
        <w:t xml:space="preserve"> </w:t>
      </w:r>
      <w:r w:rsidRPr="00801845">
        <w:rPr>
          <w:rFonts w:ascii="Arial" w:hAnsi="Arial" w:cs="Arial"/>
          <w:color w:val="000000" w:themeColor="text1"/>
          <w:sz w:val="22"/>
          <w:szCs w:val="22"/>
        </w:rPr>
        <w:t xml:space="preserve"> (Accessed: 14 November 2025).</w:t>
      </w:r>
    </w:p>
    <w:p w14:paraId="05F5EC27" w14:textId="77777777" w:rsidR="006D317C" w:rsidRPr="00801845" w:rsidRDefault="006D317C" w:rsidP="0040438E">
      <w:pPr>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WHO (2022) Sustainable Development Goals, www.who.int. Available at: </w:t>
      </w:r>
      <w:hyperlink r:id="rId38" w:history="1">
        <w:r w:rsidRPr="00801845">
          <w:rPr>
            <w:rStyle w:val="Hyperlink"/>
            <w:rFonts w:ascii="Arial" w:hAnsi="Arial" w:cs="Arial"/>
            <w:color w:val="000000" w:themeColor="text1"/>
            <w:sz w:val="22"/>
            <w:szCs w:val="22"/>
          </w:rPr>
          <w:t>https://www.who.int/data/gho/data/themes/sustainable-development-goals</w:t>
        </w:r>
      </w:hyperlink>
      <w:r w:rsidRPr="00801845">
        <w:rPr>
          <w:rFonts w:ascii="Arial" w:hAnsi="Arial" w:cs="Arial"/>
          <w:color w:val="000000" w:themeColor="text1"/>
          <w:sz w:val="22"/>
          <w:szCs w:val="22"/>
        </w:rPr>
        <w:t xml:space="preserve">. (Accessed 5 November 2025). </w:t>
      </w:r>
    </w:p>
    <w:p w14:paraId="467145B2" w14:textId="77777777" w:rsidR="006D317C" w:rsidRPr="00801845" w:rsidRDefault="006D317C" w:rsidP="006D317C">
      <w:pPr>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WHO (2022) Targets of sustainable development goal 3, World Health Organisation. Available at: </w:t>
      </w:r>
      <w:hyperlink r:id="rId39" w:history="1">
        <w:r w:rsidRPr="00801845">
          <w:rPr>
            <w:rStyle w:val="Hyperlink"/>
            <w:rFonts w:ascii="Arial" w:hAnsi="Arial" w:cs="Arial"/>
            <w:color w:val="000000" w:themeColor="text1"/>
            <w:sz w:val="22"/>
            <w:szCs w:val="22"/>
          </w:rPr>
          <w:t>https://www.who.int/europe/about-us/our-work/sustainable-development-goals/targets-of-sustainable-development-goal-3</w:t>
        </w:r>
      </w:hyperlink>
      <w:r w:rsidRPr="00801845">
        <w:rPr>
          <w:rFonts w:ascii="Arial" w:hAnsi="Arial" w:cs="Arial"/>
          <w:color w:val="000000" w:themeColor="text1"/>
          <w:sz w:val="22"/>
          <w:szCs w:val="22"/>
        </w:rPr>
        <w:t>. (Accessed 5 November 2025).</w:t>
      </w:r>
    </w:p>
    <w:p w14:paraId="028B99FB" w14:textId="77777777" w:rsidR="006D317C" w:rsidRPr="00801845" w:rsidRDefault="006D317C" w:rsidP="006D317C">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lastRenderedPageBreak/>
        <w:t xml:space="preserve">WHO Evaluation Office (2025) Management response. </w:t>
      </w:r>
      <w:hyperlink r:id="rId40" w:history="1">
        <w:r w:rsidRPr="00801845">
          <w:rPr>
            <w:rStyle w:val="Hyperlink"/>
            <w:rFonts w:ascii="Arial" w:hAnsi="Arial" w:cs="Arial"/>
            <w:color w:val="000000" w:themeColor="text1"/>
            <w:sz w:val="22"/>
            <w:szCs w:val="22"/>
          </w:rPr>
          <w:t>https://cdn.who.int/media/docs/default-source/evaluation-office/sdg3_gap_joint_eval_mgmt_response_final.pdf?sfvrsn=8f0bbdd8_5&amp;download=true</w:t>
        </w:r>
      </w:hyperlink>
      <w:r w:rsidRPr="00801845">
        <w:rPr>
          <w:rFonts w:ascii="Arial" w:hAnsi="Arial" w:cs="Arial"/>
          <w:color w:val="000000" w:themeColor="text1"/>
          <w:sz w:val="22"/>
          <w:szCs w:val="22"/>
        </w:rPr>
        <w:t xml:space="preserve">. (Accessed 6 November 2025). </w:t>
      </w:r>
    </w:p>
    <w:p w14:paraId="409EDD45" w14:textId="77777777" w:rsidR="006D317C" w:rsidRPr="00801845" w:rsidRDefault="006D317C" w:rsidP="006D317C">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WHO/UNICEF Joint Monitoring Programme (JMP) (2023) Progress on household drinking water, sanitation and hygiene 2023 update. Geneva: WHO and UNICEF.</w:t>
      </w:r>
    </w:p>
    <w:p w14:paraId="299B648E" w14:textId="77777777" w:rsidR="006D317C" w:rsidRPr="00801845" w:rsidRDefault="006D317C" w:rsidP="006D317C">
      <w:pPr>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World Health Organization (2022) Drinking-water, World Health Organization. Available at: </w:t>
      </w:r>
      <w:hyperlink r:id="rId41" w:history="1">
        <w:r w:rsidRPr="00801845">
          <w:rPr>
            <w:rStyle w:val="Hyperlink"/>
            <w:rFonts w:ascii="Arial" w:hAnsi="Arial" w:cs="Arial"/>
            <w:color w:val="000000" w:themeColor="text1"/>
            <w:sz w:val="22"/>
            <w:szCs w:val="22"/>
          </w:rPr>
          <w:t>https://www.who.int/news-room/fact-sheets/detail/drinking-water</w:t>
        </w:r>
      </w:hyperlink>
      <w:r w:rsidRPr="00801845">
        <w:rPr>
          <w:rFonts w:ascii="Arial" w:hAnsi="Arial" w:cs="Arial"/>
          <w:color w:val="000000" w:themeColor="text1"/>
          <w:sz w:val="22"/>
          <w:szCs w:val="22"/>
        </w:rPr>
        <w:t>.</w:t>
      </w:r>
      <w:r w:rsidRPr="00801845">
        <w:rPr>
          <w:rFonts w:ascii="Arial" w:hAnsi="Arial" w:cs="Arial"/>
          <w:color w:val="000000" w:themeColor="text1"/>
          <w:sz w:val="22"/>
          <w:szCs w:val="22"/>
        </w:rPr>
        <w:t xml:space="preserve"> (Accessed 14 November 2025).</w:t>
      </w:r>
    </w:p>
    <w:p w14:paraId="496D66D0" w14:textId="77777777" w:rsidR="006D317C" w:rsidRPr="00801845" w:rsidRDefault="006D317C" w:rsidP="006D317C">
      <w:pPr>
        <w:pStyle w:val="NormalWeb"/>
        <w:spacing w:line="360" w:lineRule="auto"/>
        <w:jc w:val="both"/>
        <w:rPr>
          <w:rFonts w:ascii="Arial" w:hAnsi="Arial" w:cs="Arial"/>
          <w:i/>
          <w:iCs/>
          <w:color w:val="000000" w:themeColor="text1"/>
          <w:sz w:val="22"/>
          <w:szCs w:val="22"/>
        </w:rPr>
      </w:pPr>
      <w:r w:rsidRPr="00801845">
        <w:rPr>
          <w:rFonts w:ascii="Arial" w:hAnsi="Arial" w:cs="Arial"/>
          <w:color w:val="000000" w:themeColor="text1"/>
          <w:sz w:val="22"/>
          <w:szCs w:val="22"/>
        </w:rPr>
        <w:t xml:space="preserve">World Health Organization (2023). </w:t>
      </w:r>
      <w:r w:rsidRPr="00801845">
        <w:rPr>
          <w:rFonts w:ascii="Arial" w:hAnsi="Arial" w:cs="Arial"/>
          <w:i/>
          <w:iCs/>
          <w:color w:val="000000" w:themeColor="text1"/>
          <w:sz w:val="22"/>
          <w:szCs w:val="22"/>
        </w:rPr>
        <w:t xml:space="preserve">World health statistics 2023. [online] World Health Organization. Available at: </w:t>
      </w:r>
      <w:hyperlink r:id="rId42" w:history="1">
        <w:r w:rsidRPr="00801845">
          <w:rPr>
            <w:rStyle w:val="Hyperlink"/>
            <w:rFonts w:ascii="Arial" w:hAnsi="Arial" w:cs="Arial"/>
            <w:i/>
            <w:iCs/>
            <w:color w:val="000000" w:themeColor="text1"/>
            <w:sz w:val="22"/>
            <w:szCs w:val="22"/>
          </w:rPr>
          <w:t>https://www.who.int/publications/i/item/9789240074323</w:t>
        </w:r>
      </w:hyperlink>
      <w:r w:rsidRPr="00801845">
        <w:rPr>
          <w:rFonts w:ascii="Arial" w:hAnsi="Arial" w:cs="Arial"/>
          <w:i/>
          <w:iCs/>
          <w:color w:val="000000" w:themeColor="text1"/>
          <w:sz w:val="22"/>
          <w:szCs w:val="22"/>
        </w:rPr>
        <w:t>. (Accessed 12 November 2025).</w:t>
      </w:r>
    </w:p>
    <w:p w14:paraId="050E217E" w14:textId="77777777" w:rsidR="006D317C" w:rsidRPr="00801845" w:rsidRDefault="006D317C" w:rsidP="006D317C">
      <w:pPr>
        <w:pStyle w:val="NormalWeb"/>
        <w:spacing w:before="0" w:beforeAutospacing="0" w:after="0" w:afterAutospacing="0"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World Health Organization (2024) </w:t>
      </w:r>
      <w:r w:rsidRPr="00801845">
        <w:rPr>
          <w:rFonts w:ascii="Arial" w:hAnsi="Arial" w:cs="Arial"/>
          <w:i/>
          <w:iCs/>
          <w:color w:val="000000" w:themeColor="text1"/>
          <w:sz w:val="22"/>
          <w:szCs w:val="22"/>
        </w:rPr>
        <w:t>Sustainable Development Goals 3 - The Global Action Plan for Healthy Lives and Well-being for All</w:t>
      </w:r>
      <w:r w:rsidRPr="00801845">
        <w:rPr>
          <w:rFonts w:ascii="Arial" w:hAnsi="Arial" w:cs="Arial"/>
          <w:color w:val="000000" w:themeColor="text1"/>
          <w:sz w:val="22"/>
          <w:szCs w:val="22"/>
        </w:rPr>
        <w:t>, </w:t>
      </w:r>
      <w:r w:rsidRPr="00801845">
        <w:rPr>
          <w:rFonts w:ascii="Arial" w:hAnsi="Arial" w:cs="Arial"/>
          <w:i/>
          <w:iCs/>
          <w:color w:val="000000" w:themeColor="text1"/>
          <w:sz w:val="22"/>
          <w:szCs w:val="22"/>
        </w:rPr>
        <w:t>www.who.int</w:t>
      </w:r>
      <w:r w:rsidRPr="00801845">
        <w:rPr>
          <w:rFonts w:ascii="Arial" w:hAnsi="Arial" w:cs="Arial"/>
          <w:color w:val="000000" w:themeColor="text1"/>
          <w:sz w:val="22"/>
          <w:szCs w:val="22"/>
        </w:rPr>
        <w:t xml:space="preserve">. Available at: </w:t>
      </w:r>
      <w:hyperlink r:id="rId43" w:history="1">
        <w:r w:rsidRPr="00801845">
          <w:rPr>
            <w:rStyle w:val="Hyperlink"/>
            <w:rFonts w:ascii="Arial" w:hAnsi="Arial" w:cs="Arial"/>
            <w:color w:val="000000" w:themeColor="text1"/>
            <w:sz w:val="22"/>
            <w:szCs w:val="22"/>
          </w:rPr>
          <w:t>https://www.who.int/initiatives/sdg3-global-action-plan</w:t>
        </w:r>
      </w:hyperlink>
      <w:r w:rsidRPr="00801845">
        <w:rPr>
          <w:rFonts w:ascii="Arial" w:hAnsi="Arial" w:cs="Arial"/>
          <w:color w:val="000000" w:themeColor="text1"/>
          <w:sz w:val="22"/>
          <w:szCs w:val="22"/>
        </w:rPr>
        <w:t>. (Accessed 6 November 2025).</w:t>
      </w:r>
    </w:p>
    <w:p w14:paraId="2AC39731" w14:textId="54AC94DE" w:rsidR="006D317C" w:rsidRPr="00801845" w:rsidRDefault="006D317C" w:rsidP="006D317C">
      <w:pPr>
        <w:pStyle w:val="NormalWeb"/>
        <w:spacing w:line="360" w:lineRule="auto"/>
        <w:jc w:val="both"/>
        <w:rPr>
          <w:rFonts w:ascii="Arial" w:hAnsi="Arial" w:cs="Arial"/>
          <w:color w:val="000000" w:themeColor="text1"/>
          <w:sz w:val="22"/>
          <w:szCs w:val="22"/>
        </w:rPr>
      </w:pPr>
      <w:r w:rsidRPr="00801845">
        <w:rPr>
          <w:rFonts w:ascii="Arial" w:hAnsi="Arial" w:cs="Arial"/>
          <w:color w:val="000000" w:themeColor="text1"/>
          <w:sz w:val="22"/>
          <w:szCs w:val="22"/>
        </w:rPr>
        <w:t xml:space="preserve">World Health Organization (2024). Countdown to 2030: Stronger Alignment for Country Impact. [online] Who.int. Available at: </w:t>
      </w:r>
      <w:hyperlink r:id="rId44" w:history="1">
        <w:r w:rsidRPr="00801845">
          <w:rPr>
            <w:rStyle w:val="Hyperlink"/>
            <w:rFonts w:ascii="Arial" w:hAnsi="Arial" w:cs="Arial"/>
            <w:color w:val="000000" w:themeColor="text1"/>
            <w:sz w:val="22"/>
            <w:szCs w:val="22"/>
          </w:rPr>
          <w:t>https://www.who.int/news/item/23-05-2024-countdown-to-2030--stronger-alignment-for-country-impact</w:t>
        </w:r>
      </w:hyperlink>
      <w:r w:rsidRPr="00801845">
        <w:rPr>
          <w:rFonts w:ascii="Arial" w:hAnsi="Arial" w:cs="Arial"/>
          <w:color w:val="000000" w:themeColor="text1"/>
          <w:sz w:val="22"/>
          <w:szCs w:val="22"/>
        </w:rPr>
        <w:t>. (Accessed 6 November 2025).</w:t>
      </w:r>
    </w:p>
    <w:sectPr w:rsidR="006D317C" w:rsidRPr="00801845">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8740A" w14:textId="77777777" w:rsidR="00B0495C" w:rsidRDefault="00B0495C" w:rsidP="00801845">
      <w:pPr>
        <w:spacing w:after="0" w:line="240" w:lineRule="auto"/>
      </w:pPr>
      <w:r>
        <w:separator/>
      </w:r>
    </w:p>
  </w:endnote>
  <w:endnote w:type="continuationSeparator" w:id="0">
    <w:p w14:paraId="233B2DE7" w14:textId="77777777" w:rsidR="00B0495C" w:rsidRDefault="00B0495C" w:rsidP="00801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615462"/>
      <w:docPartObj>
        <w:docPartGallery w:val="Page Numbers (Bottom of Page)"/>
        <w:docPartUnique/>
      </w:docPartObj>
    </w:sdtPr>
    <w:sdtContent>
      <w:p w14:paraId="2B4686B9" w14:textId="0241CE2D" w:rsidR="00801845" w:rsidRDefault="00801845">
        <w:pPr>
          <w:pStyle w:val="Footer"/>
          <w:jc w:val="right"/>
        </w:pPr>
        <w:r>
          <w:fldChar w:fldCharType="begin"/>
        </w:r>
        <w:r>
          <w:instrText>PAGE   \* MERGEFORMAT</w:instrText>
        </w:r>
        <w:r>
          <w:fldChar w:fldCharType="separate"/>
        </w:r>
        <w:r>
          <w:t>2</w:t>
        </w:r>
        <w:r>
          <w:fldChar w:fldCharType="end"/>
        </w:r>
      </w:p>
    </w:sdtContent>
  </w:sdt>
  <w:p w14:paraId="7BFC4A4D" w14:textId="77777777" w:rsidR="00801845" w:rsidRDefault="008018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F46B0" w14:textId="77777777" w:rsidR="00B0495C" w:rsidRDefault="00B0495C" w:rsidP="00801845">
      <w:pPr>
        <w:spacing w:after="0" w:line="240" w:lineRule="auto"/>
      </w:pPr>
      <w:r>
        <w:separator/>
      </w:r>
    </w:p>
  </w:footnote>
  <w:footnote w:type="continuationSeparator" w:id="0">
    <w:p w14:paraId="788A2789" w14:textId="77777777" w:rsidR="00B0495C" w:rsidRDefault="00B0495C" w:rsidP="008018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A7B"/>
    <w:rsid w:val="0002283A"/>
    <w:rsid w:val="0003316B"/>
    <w:rsid w:val="00033F1C"/>
    <w:rsid w:val="00045AE5"/>
    <w:rsid w:val="00055FE5"/>
    <w:rsid w:val="000570F3"/>
    <w:rsid w:val="000737B3"/>
    <w:rsid w:val="00077E58"/>
    <w:rsid w:val="00097F5E"/>
    <w:rsid w:val="000A3A15"/>
    <w:rsid w:val="000A3F52"/>
    <w:rsid w:val="000D0228"/>
    <w:rsid w:val="000D14C4"/>
    <w:rsid w:val="00104D7B"/>
    <w:rsid w:val="00116DBC"/>
    <w:rsid w:val="00120052"/>
    <w:rsid w:val="00133D4D"/>
    <w:rsid w:val="00142952"/>
    <w:rsid w:val="00154974"/>
    <w:rsid w:val="001E09BC"/>
    <w:rsid w:val="001F7A62"/>
    <w:rsid w:val="0020704D"/>
    <w:rsid w:val="00220C52"/>
    <w:rsid w:val="00232CFE"/>
    <w:rsid w:val="00254067"/>
    <w:rsid w:val="00255245"/>
    <w:rsid w:val="0026443C"/>
    <w:rsid w:val="0027323D"/>
    <w:rsid w:val="00273D6F"/>
    <w:rsid w:val="00274BE8"/>
    <w:rsid w:val="00274DE5"/>
    <w:rsid w:val="00276B62"/>
    <w:rsid w:val="00281B8C"/>
    <w:rsid w:val="00286564"/>
    <w:rsid w:val="002958E0"/>
    <w:rsid w:val="002A2384"/>
    <w:rsid w:val="002C15D0"/>
    <w:rsid w:val="002C3D6B"/>
    <w:rsid w:val="002D1549"/>
    <w:rsid w:val="00301966"/>
    <w:rsid w:val="00301CDC"/>
    <w:rsid w:val="00313A74"/>
    <w:rsid w:val="00367DC6"/>
    <w:rsid w:val="003A2C5F"/>
    <w:rsid w:val="003A6705"/>
    <w:rsid w:val="003D3E00"/>
    <w:rsid w:val="003E1984"/>
    <w:rsid w:val="003E5527"/>
    <w:rsid w:val="003F30E1"/>
    <w:rsid w:val="0040438E"/>
    <w:rsid w:val="004116C3"/>
    <w:rsid w:val="004120C9"/>
    <w:rsid w:val="00432CD1"/>
    <w:rsid w:val="00432F19"/>
    <w:rsid w:val="00437994"/>
    <w:rsid w:val="00495B64"/>
    <w:rsid w:val="0049682E"/>
    <w:rsid w:val="004A3A09"/>
    <w:rsid w:val="004C0852"/>
    <w:rsid w:val="004D5D02"/>
    <w:rsid w:val="004F5F8A"/>
    <w:rsid w:val="005453A5"/>
    <w:rsid w:val="00573D71"/>
    <w:rsid w:val="0058783C"/>
    <w:rsid w:val="00596F5A"/>
    <w:rsid w:val="005B1F9A"/>
    <w:rsid w:val="005C3C1E"/>
    <w:rsid w:val="005F5268"/>
    <w:rsid w:val="00605BFC"/>
    <w:rsid w:val="006122A1"/>
    <w:rsid w:val="00616B00"/>
    <w:rsid w:val="00623BC2"/>
    <w:rsid w:val="0063465A"/>
    <w:rsid w:val="00645C4A"/>
    <w:rsid w:val="00685390"/>
    <w:rsid w:val="006B7B7C"/>
    <w:rsid w:val="006D24FB"/>
    <w:rsid w:val="006D317C"/>
    <w:rsid w:val="006F6D3C"/>
    <w:rsid w:val="00725FC2"/>
    <w:rsid w:val="00735833"/>
    <w:rsid w:val="00751BAF"/>
    <w:rsid w:val="00753AE5"/>
    <w:rsid w:val="00757B97"/>
    <w:rsid w:val="007F0B20"/>
    <w:rsid w:val="007F38E1"/>
    <w:rsid w:val="00801845"/>
    <w:rsid w:val="00812C78"/>
    <w:rsid w:val="00816FBB"/>
    <w:rsid w:val="00855EBC"/>
    <w:rsid w:val="00864A7B"/>
    <w:rsid w:val="008824BB"/>
    <w:rsid w:val="0088288C"/>
    <w:rsid w:val="008B7FA5"/>
    <w:rsid w:val="008F0B85"/>
    <w:rsid w:val="0090093D"/>
    <w:rsid w:val="00927597"/>
    <w:rsid w:val="00950761"/>
    <w:rsid w:val="0095794B"/>
    <w:rsid w:val="00961F31"/>
    <w:rsid w:val="00966C6C"/>
    <w:rsid w:val="00970050"/>
    <w:rsid w:val="00990EAF"/>
    <w:rsid w:val="009B4671"/>
    <w:rsid w:val="009B5416"/>
    <w:rsid w:val="00A02F0C"/>
    <w:rsid w:val="00A06A81"/>
    <w:rsid w:val="00A31928"/>
    <w:rsid w:val="00A34667"/>
    <w:rsid w:val="00A4336B"/>
    <w:rsid w:val="00A47923"/>
    <w:rsid w:val="00A512C0"/>
    <w:rsid w:val="00AA141A"/>
    <w:rsid w:val="00AA3E7E"/>
    <w:rsid w:val="00AF3DB2"/>
    <w:rsid w:val="00AF5020"/>
    <w:rsid w:val="00B0495C"/>
    <w:rsid w:val="00B07665"/>
    <w:rsid w:val="00B1383D"/>
    <w:rsid w:val="00B311B0"/>
    <w:rsid w:val="00B578F1"/>
    <w:rsid w:val="00B73900"/>
    <w:rsid w:val="00B81794"/>
    <w:rsid w:val="00BC39E4"/>
    <w:rsid w:val="00BC4305"/>
    <w:rsid w:val="00BD2079"/>
    <w:rsid w:val="00BD3374"/>
    <w:rsid w:val="00BD5E02"/>
    <w:rsid w:val="00BF5361"/>
    <w:rsid w:val="00C060A9"/>
    <w:rsid w:val="00C27865"/>
    <w:rsid w:val="00C4455A"/>
    <w:rsid w:val="00C67D4A"/>
    <w:rsid w:val="00C95DA1"/>
    <w:rsid w:val="00CA176A"/>
    <w:rsid w:val="00CA69F3"/>
    <w:rsid w:val="00CB2B22"/>
    <w:rsid w:val="00CC46B2"/>
    <w:rsid w:val="00CD224F"/>
    <w:rsid w:val="00CE798D"/>
    <w:rsid w:val="00CF6A19"/>
    <w:rsid w:val="00D15C37"/>
    <w:rsid w:val="00D21B25"/>
    <w:rsid w:val="00D22199"/>
    <w:rsid w:val="00D36118"/>
    <w:rsid w:val="00D3753F"/>
    <w:rsid w:val="00D40F13"/>
    <w:rsid w:val="00D415A6"/>
    <w:rsid w:val="00D42AF6"/>
    <w:rsid w:val="00D43255"/>
    <w:rsid w:val="00D5173F"/>
    <w:rsid w:val="00DA342D"/>
    <w:rsid w:val="00E00209"/>
    <w:rsid w:val="00E079F9"/>
    <w:rsid w:val="00E12617"/>
    <w:rsid w:val="00E21C45"/>
    <w:rsid w:val="00E300B6"/>
    <w:rsid w:val="00E42883"/>
    <w:rsid w:val="00E45D0B"/>
    <w:rsid w:val="00E73A51"/>
    <w:rsid w:val="00E969FB"/>
    <w:rsid w:val="00EE1695"/>
    <w:rsid w:val="00EE609E"/>
    <w:rsid w:val="00F0509A"/>
    <w:rsid w:val="00F25929"/>
    <w:rsid w:val="00F511A8"/>
    <w:rsid w:val="00F72119"/>
    <w:rsid w:val="00F75AE0"/>
    <w:rsid w:val="00F826E6"/>
    <w:rsid w:val="00FB5995"/>
    <w:rsid w:val="00FB70FD"/>
    <w:rsid w:val="00FE1C46"/>
    <w:rsid w:val="00FE4F1A"/>
    <w:rsid w:val="00FF7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A198E"/>
  <w15:chartTrackingRefBased/>
  <w15:docId w15:val="{CA446A43-FF3C-4BA6-9C76-34D05B312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AE0"/>
  </w:style>
  <w:style w:type="paragraph" w:styleId="Heading1">
    <w:name w:val="heading 1"/>
    <w:basedOn w:val="Normal"/>
    <w:next w:val="Normal"/>
    <w:link w:val="Heading1Char"/>
    <w:uiPriority w:val="9"/>
    <w:qFormat/>
    <w:rsid w:val="00864A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4A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4A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4A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4A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4A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4A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4A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4A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A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4A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4A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4A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4A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4A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4A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4A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4A7B"/>
    <w:rPr>
      <w:rFonts w:eastAsiaTheme="majorEastAsia" w:cstheme="majorBidi"/>
      <w:color w:val="272727" w:themeColor="text1" w:themeTint="D8"/>
    </w:rPr>
  </w:style>
  <w:style w:type="paragraph" w:styleId="Title">
    <w:name w:val="Title"/>
    <w:basedOn w:val="Normal"/>
    <w:next w:val="Normal"/>
    <w:link w:val="TitleChar"/>
    <w:uiPriority w:val="10"/>
    <w:qFormat/>
    <w:rsid w:val="00864A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4A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4A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4A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4A7B"/>
    <w:pPr>
      <w:spacing w:before="160"/>
      <w:jc w:val="center"/>
    </w:pPr>
    <w:rPr>
      <w:i/>
      <w:iCs/>
      <w:color w:val="404040" w:themeColor="text1" w:themeTint="BF"/>
    </w:rPr>
  </w:style>
  <w:style w:type="character" w:customStyle="1" w:styleId="QuoteChar">
    <w:name w:val="Quote Char"/>
    <w:basedOn w:val="DefaultParagraphFont"/>
    <w:link w:val="Quote"/>
    <w:uiPriority w:val="29"/>
    <w:rsid w:val="00864A7B"/>
    <w:rPr>
      <w:i/>
      <w:iCs/>
      <w:color w:val="404040" w:themeColor="text1" w:themeTint="BF"/>
    </w:rPr>
  </w:style>
  <w:style w:type="paragraph" w:styleId="ListParagraph">
    <w:name w:val="List Paragraph"/>
    <w:basedOn w:val="Normal"/>
    <w:uiPriority w:val="34"/>
    <w:qFormat/>
    <w:rsid w:val="00864A7B"/>
    <w:pPr>
      <w:ind w:left="720"/>
      <w:contextualSpacing/>
    </w:pPr>
  </w:style>
  <w:style w:type="character" w:styleId="IntenseEmphasis">
    <w:name w:val="Intense Emphasis"/>
    <w:basedOn w:val="DefaultParagraphFont"/>
    <w:uiPriority w:val="21"/>
    <w:qFormat/>
    <w:rsid w:val="00864A7B"/>
    <w:rPr>
      <w:i/>
      <w:iCs/>
      <w:color w:val="0F4761" w:themeColor="accent1" w:themeShade="BF"/>
    </w:rPr>
  </w:style>
  <w:style w:type="paragraph" w:styleId="IntenseQuote">
    <w:name w:val="Intense Quote"/>
    <w:basedOn w:val="Normal"/>
    <w:next w:val="Normal"/>
    <w:link w:val="IntenseQuoteChar"/>
    <w:uiPriority w:val="30"/>
    <w:qFormat/>
    <w:rsid w:val="00864A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4A7B"/>
    <w:rPr>
      <w:i/>
      <w:iCs/>
      <w:color w:val="0F4761" w:themeColor="accent1" w:themeShade="BF"/>
    </w:rPr>
  </w:style>
  <w:style w:type="character" w:styleId="IntenseReference">
    <w:name w:val="Intense Reference"/>
    <w:basedOn w:val="DefaultParagraphFont"/>
    <w:uiPriority w:val="32"/>
    <w:qFormat/>
    <w:rsid w:val="00864A7B"/>
    <w:rPr>
      <w:b/>
      <w:bCs/>
      <w:smallCaps/>
      <w:color w:val="0F4761" w:themeColor="accent1" w:themeShade="BF"/>
      <w:spacing w:val="5"/>
    </w:rPr>
  </w:style>
  <w:style w:type="character" w:styleId="Hyperlink">
    <w:name w:val="Hyperlink"/>
    <w:basedOn w:val="DefaultParagraphFont"/>
    <w:uiPriority w:val="99"/>
    <w:unhideWhenUsed/>
    <w:rsid w:val="00D22199"/>
    <w:rPr>
      <w:color w:val="467886" w:themeColor="hyperlink"/>
      <w:u w:val="single"/>
    </w:rPr>
  </w:style>
  <w:style w:type="character" w:styleId="UnresolvedMention">
    <w:name w:val="Unresolved Mention"/>
    <w:basedOn w:val="DefaultParagraphFont"/>
    <w:uiPriority w:val="99"/>
    <w:semiHidden/>
    <w:unhideWhenUsed/>
    <w:rsid w:val="00D22199"/>
    <w:rPr>
      <w:color w:val="605E5C"/>
      <w:shd w:val="clear" w:color="auto" w:fill="E1DFDD"/>
    </w:rPr>
  </w:style>
  <w:style w:type="character" w:styleId="FollowedHyperlink">
    <w:name w:val="FollowedHyperlink"/>
    <w:basedOn w:val="DefaultParagraphFont"/>
    <w:uiPriority w:val="99"/>
    <w:semiHidden/>
    <w:unhideWhenUsed/>
    <w:rsid w:val="00A47923"/>
    <w:rPr>
      <w:color w:val="96607D" w:themeColor="followedHyperlink"/>
      <w:u w:val="single"/>
    </w:rPr>
  </w:style>
  <w:style w:type="paragraph" w:styleId="NormalWeb">
    <w:name w:val="Normal (Web)"/>
    <w:basedOn w:val="Normal"/>
    <w:uiPriority w:val="99"/>
    <w:semiHidden/>
    <w:unhideWhenUsed/>
    <w:rsid w:val="00B0766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8018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845"/>
  </w:style>
  <w:style w:type="paragraph" w:styleId="Footer">
    <w:name w:val="footer"/>
    <w:basedOn w:val="Normal"/>
    <w:link w:val="FooterChar"/>
    <w:uiPriority w:val="99"/>
    <w:unhideWhenUsed/>
    <w:rsid w:val="008018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8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86/s12939-022-01811-4" TargetMode="External"/><Relationship Id="rId18" Type="http://schemas.openxmlformats.org/officeDocument/2006/relationships/hyperlink" Target="https://www.england.nhs.uk/publication/medium-term-planning-framework-delivering-change-together-2026-27-to-2028-29/" TargetMode="External"/><Relationship Id="rId26" Type="http://schemas.openxmlformats.org/officeDocument/2006/relationships/hyperlink" Target="https://www.unep.org/topics/fresh-water/water-resources-management/integrated-water-resources-management" TargetMode="External"/><Relationship Id="rId39" Type="http://schemas.openxmlformats.org/officeDocument/2006/relationships/hyperlink" Target="https://www.who.int/europe/about-us/our-work/sustainable-development-goals/targets-of-sustainable-development-goal-3" TargetMode="External"/><Relationship Id="rId21" Type="http://schemas.openxmlformats.org/officeDocument/2006/relationships/hyperlink" Target="https://www.stwater.co.uk/content/dam/stw/regulatory-library/severn-trent-vulnerable-customer-strategy-2025.pdf" TargetMode="External"/><Relationship Id="rId34" Type="http://schemas.openxmlformats.org/officeDocument/2006/relationships/hyperlink" Target="https://www.unwater.org/publications/un-water-annual-report-2018" TargetMode="External"/><Relationship Id="rId42" Type="http://schemas.openxmlformats.org/officeDocument/2006/relationships/hyperlink" Target="https://www.who.int/publications/i/item/9789240074323" TargetMode="External"/><Relationship Id="rId47" Type="http://schemas.openxmlformats.org/officeDocument/2006/relationships/theme" Target="theme/theme1.xml"/><Relationship Id="rId7" Type="http://schemas.openxmlformats.org/officeDocument/2006/relationships/hyperlink" Target="https://www.bristolonecity.com/wp-content/uploads/2020/02/one-city-climate-strategy.pdf" TargetMode="External"/><Relationship Id="rId2" Type="http://schemas.openxmlformats.org/officeDocument/2006/relationships/settings" Target="settings.xml"/><Relationship Id="rId16" Type="http://schemas.openxmlformats.org/officeDocument/2006/relationships/hyperlink" Target="https://doi.org/10.1037/h0054346" TargetMode="External"/><Relationship Id="rId29" Type="http://schemas.openxmlformats.org/officeDocument/2006/relationships/hyperlink" Target="https://unric.org/en/sdg-6/" TargetMode="External"/><Relationship Id="rId1" Type="http://schemas.openxmlformats.org/officeDocument/2006/relationships/styles" Target="styles.xml"/><Relationship Id="rId6" Type="http://schemas.openxmlformats.org/officeDocument/2006/relationships/hyperlink" Target="https://www.breadandbutterthing.org/breadlinebrief" TargetMode="External"/><Relationship Id="rId11" Type="http://schemas.openxmlformats.org/officeDocument/2006/relationships/hyperlink" Target="https://www.gwp.org/en/About/why/the-need-for-an-integrated-approach/" TargetMode="External"/><Relationship Id="rId24" Type="http://schemas.openxmlformats.org/officeDocument/2006/relationships/hyperlink" Target="https://www.health.org.uk/reports-and-analysis/reports/health-inequalities-in-2040.(Accessed" TargetMode="External"/><Relationship Id="rId32" Type="http://schemas.openxmlformats.org/officeDocument/2006/relationships/hyperlink" Target="https://www.un.org/sustainabledevelopment/water-and-sanitation/" TargetMode="External"/><Relationship Id="rId37" Type="http://schemas.openxmlformats.org/officeDocument/2006/relationships/hyperlink" Target="https://www.stwater.co.uk/my-account/help-when-you-need-it/help-with-paying-your-bill/big-difference-scheme/?cmpid=email:councillor_newsletter:jan25:e40610" TargetMode="External"/><Relationship Id="rId40" Type="http://schemas.openxmlformats.org/officeDocument/2006/relationships/hyperlink" Target="https://cdn.who.int/media/docs/default-source/evaluation-office/sdg3_gap_joint_eval_mgmt_response_final.pdf?sfvrsn=8f0bbdd8_5&amp;download=true" TargetMode="External"/><Relationship Id="rId45"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doi.org/10.1136/bmj.m693" TargetMode="External"/><Relationship Id="rId23" Type="http://schemas.openxmlformats.org/officeDocument/2006/relationships/hyperlink" Target="https://supportstaffordshire.org.uk/" TargetMode="External"/><Relationship Id="rId28" Type="http://schemas.openxmlformats.org/officeDocument/2006/relationships/hyperlink" Target="https://www.unesco.org/reports/wwdr/2023/en" TargetMode="External"/><Relationship Id="rId36" Type="http://schemas.openxmlformats.org/officeDocument/2006/relationships/hyperlink" Target="https://www.stwater.co.uk/my-account/help-when-you-need-it/help-with-paying-your-bill/watersure-scheme/" TargetMode="External"/><Relationship Id="rId10" Type="http://schemas.openxmlformats.org/officeDocument/2006/relationships/hyperlink" Target="https://www.gov.uk/government/publications/oxford-flood-scheme/oxford-flood-scheme" TargetMode="External"/><Relationship Id="rId19" Type="http://schemas.openxmlformats.org/officeDocument/2006/relationships/hyperlink" Target="https://oxfordwestend.co.uk/infrastructure/oxford-flood-alleviation-scheme/" TargetMode="External"/><Relationship Id="rId31" Type="http://schemas.openxmlformats.org/officeDocument/2006/relationships/hyperlink" Target="https://sdgs.un.org/sites/default/files/2023-07/The-Sustainable-Development-Goals-Report-2023_0.pdf" TargetMode="External"/><Relationship Id="rId44" Type="http://schemas.openxmlformats.org/officeDocument/2006/relationships/hyperlink" Target="https://www.who.int/news/item/23-05-2024-countdown-to-2030--stronger-alignment-for-country-impact" TargetMode="External"/><Relationship Id="rId4" Type="http://schemas.openxmlformats.org/officeDocument/2006/relationships/footnotes" Target="footnotes.xml"/><Relationship Id="rId9" Type="http://schemas.openxmlformats.org/officeDocument/2006/relationships/hyperlink" Target="https://doi.org/10.1016/j.puhe.2021.08.009" TargetMode="External"/><Relationship Id="rId14" Type="http://schemas.openxmlformats.org/officeDocument/2006/relationships/hyperlink" Target="https://www.gwp.org/contentassets/dade753d814a441192b42bc0f4b4ae25/iwrm-action-planning-framework_v2.pdf" TargetMode="External"/><Relationship Id="rId22" Type="http://schemas.openxmlformats.org/officeDocument/2006/relationships/hyperlink" Target="https://www.stwater.co.uk/content/dam/stw/regulatory-library/stw-apr-2025.pdf" TargetMode="External"/><Relationship Id="rId27" Type="http://schemas.openxmlformats.org/officeDocument/2006/relationships/hyperlink" Target="https://www.transformationpartners.nhs.uk/" TargetMode="External"/><Relationship Id="rId30" Type="http://schemas.openxmlformats.org/officeDocument/2006/relationships/hyperlink" Target="https://www.unwater.org/publications/who/unicef-joint-monitoring-program-update-report-2023" TargetMode="External"/><Relationship Id="rId35" Type="http://schemas.openxmlformats.org/officeDocument/2006/relationships/hyperlink" Target="https://www.unwater.org/our-work/integrated-monitoring-initiative-sdg-6" TargetMode="External"/><Relationship Id="rId43" Type="http://schemas.openxmlformats.org/officeDocument/2006/relationships/hyperlink" Target="https://www.who.int/initiatives/sdg3-global-action-plan" TargetMode="External"/><Relationship Id="rId8" Type="http://schemas.openxmlformats.org/officeDocument/2006/relationships/hyperlink" Target="https://www.kingsfund.org.uk/insight-and-analysis/long-reads/nhs-long-term-plan-explained" TargetMode="External"/><Relationship Id="rId3" Type="http://schemas.openxmlformats.org/officeDocument/2006/relationships/webSettings" Target="webSettings.xml"/><Relationship Id="rId12" Type="http://schemas.openxmlformats.org/officeDocument/2006/relationships/hyperlink" Target="https://www.greatermanchester-ca.gov.uk/what-we-do/environment/five-year-environment-plan/" TargetMode="External"/><Relationship Id="rId17" Type="http://schemas.openxmlformats.org/officeDocument/2006/relationships/hyperlink" Target="https://www.longtermplan.nhs.uk/" TargetMode="External"/><Relationship Id="rId25" Type="http://schemas.openxmlformats.org/officeDocument/2006/relationships/hyperlink" Target="https://www.sanitationandwaterforall.org/about/our-work/priority-areas" TargetMode="External"/><Relationship Id="rId33" Type="http://schemas.openxmlformats.org/officeDocument/2006/relationships/hyperlink" Target="https://sdgs.un.org/un-system-sdg-implementation/united-nations-department-economic-and-social-affairs-undesa-56916" TargetMode="External"/><Relationship Id="rId38" Type="http://schemas.openxmlformats.org/officeDocument/2006/relationships/hyperlink" Target="https://www.who.int/data/gho/data/themes/sustainable-development-goals" TargetMode="External"/><Relationship Id="rId46" Type="http://schemas.openxmlformats.org/officeDocument/2006/relationships/fontTable" Target="fontTable.xml"/><Relationship Id="rId20" Type="http://schemas.openxmlformats.org/officeDocument/2006/relationships/hyperlink" Target="https://www.severntrent.com/investors/results-reports-and-presentations/" TargetMode="External"/><Relationship Id="rId41" Type="http://schemas.openxmlformats.org/officeDocument/2006/relationships/hyperlink" Target="https://www.who.int/news-room/fact-sheets/detail/drinking-wa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4649</Words>
  <Characters>26501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Ekos Adamu (2016551)</dc:creator>
  <cp:keywords/>
  <dc:description/>
  <cp:lastModifiedBy>Ekos Adamu (2016551)</cp:lastModifiedBy>
  <cp:revision>2</cp:revision>
  <dcterms:created xsi:type="dcterms:W3CDTF">2025-11-14T15:43:00Z</dcterms:created>
  <dcterms:modified xsi:type="dcterms:W3CDTF">2025-11-14T15:43:00Z</dcterms:modified>
</cp:coreProperties>
</file>