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5BD" w:rsidRPr="009A35BD" w:rsidRDefault="009A35BD" w:rsidP="009A35BD">
      <w:pPr>
        <w:spacing w:after="0" w:line="360" w:lineRule="auto"/>
        <w:jc w:val="center"/>
        <w:rPr>
          <w:rFonts w:ascii="Arial" w:hAnsi="Arial" w:cs="Arial"/>
          <w:b/>
          <w:sz w:val="24"/>
          <w:szCs w:val="24"/>
        </w:rPr>
      </w:pPr>
      <w:r w:rsidRPr="009A35BD">
        <w:rPr>
          <w:rFonts w:ascii="Arial" w:hAnsi="Arial" w:cs="Arial"/>
          <w:b/>
          <w:sz w:val="24"/>
          <w:szCs w:val="24"/>
        </w:rPr>
        <w:t>LCBB 5004 – MANAGING PEOPLE</w:t>
      </w:r>
    </w:p>
    <w:p w:rsidR="00000000" w:rsidRDefault="009A35BD" w:rsidP="009A35BD">
      <w:pPr>
        <w:spacing w:after="0" w:line="360" w:lineRule="auto"/>
        <w:jc w:val="center"/>
        <w:rPr>
          <w:rFonts w:ascii="Arial" w:hAnsi="Arial" w:cs="Arial"/>
          <w:b/>
          <w:sz w:val="24"/>
          <w:szCs w:val="24"/>
        </w:rPr>
      </w:pPr>
      <w:r>
        <w:rPr>
          <w:rFonts w:ascii="Arial" w:hAnsi="Arial" w:cs="Arial"/>
          <w:b/>
          <w:sz w:val="24"/>
          <w:szCs w:val="24"/>
        </w:rPr>
        <w:t>ASSIGNMENT COMPONENT 2: FLEXIBLE WORKING</w:t>
      </w: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r w:rsidRPr="009A35BD">
        <w:rPr>
          <w:rFonts w:ascii="Arial" w:hAnsi="Arial" w:cs="Arial"/>
          <w:b/>
          <w:sz w:val="24"/>
          <w:szCs w:val="24"/>
        </w:rPr>
        <w:t>Module tutor: Samuel Ofori</w:t>
      </w:r>
      <w:r w:rsidRPr="009A35BD">
        <w:rPr>
          <w:rFonts w:ascii="Arial" w:hAnsi="Arial" w:cs="Arial"/>
          <w:b/>
          <w:sz w:val="24"/>
          <w:szCs w:val="24"/>
        </w:rPr>
        <w:br/>
        <w:t>Student: Cosmina Dragomir</w:t>
      </w:r>
      <w:r w:rsidRPr="009A35BD">
        <w:rPr>
          <w:rFonts w:ascii="Arial" w:hAnsi="Arial" w:cs="Arial"/>
          <w:b/>
          <w:sz w:val="24"/>
          <w:szCs w:val="24"/>
        </w:rPr>
        <w:br/>
        <w:t xml:space="preserve">Student ID: 2130906 </w:t>
      </w: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p w:rsidR="009A35BD" w:rsidRDefault="009A35BD" w:rsidP="009A35BD">
      <w:pPr>
        <w:spacing w:after="0" w:line="360" w:lineRule="auto"/>
        <w:jc w:val="center"/>
        <w:rPr>
          <w:rFonts w:ascii="Arial" w:hAnsi="Arial" w:cs="Arial"/>
          <w:b/>
          <w:sz w:val="24"/>
          <w:szCs w:val="24"/>
        </w:rPr>
      </w:pPr>
    </w:p>
    <w:sdt>
      <w:sdtPr>
        <w:id w:val="-1278394795"/>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96008F" w:rsidRDefault="0096008F" w:rsidP="0096008F">
          <w:pPr>
            <w:pStyle w:val="TOCHeading"/>
            <w:spacing w:before="0" w:line="360" w:lineRule="auto"/>
            <w:jc w:val="center"/>
          </w:pPr>
          <w:r w:rsidRPr="0096008F">
            <w:rPr>
              <w:rFonts w:ascii="Arial" w:hAnsi="Arial" w:cs="Arial"/>
              <w:color w:val="auto"/>
              <w:sz w:val="24"/>
              <w:szCs w:val="24"/>
            </w:rPr>
            <w:t xml:space="preserve">Table of </w:t>
          </w:r>
          <w:r>
            <w:rPr>
              <w:rFonts w:ascii="Arial" w:hAnsi="Arial" w:cs="Arial"/>
              <w:color w:val="auto"/>
              <w:sz w:val="24"/>
              <w:szCs w:val="24"/>
            </w:rPr>
            <w:t>c</w:t>
          </w:r>
          <w:r w:rsidRPr="0096008F">
            <w:rPr>
              <w:rFonts w:ascii="Arial" w:hAnsi="Arial" w:cs="Arial"/>
              <w:color w:val="auto"/>
              <w:sz w:val="24"/>
              <w:szCs w:val="24"/>
            </w:rPr>
            <w:t>ontents</w:t>
          </w:r>
        </w:p>
        <w:p w:rsidR="0096008F" w:rsidRPr="0096008F" w:rsidRDefault="0096008F">
          <w:pPr>
            <w:pStyle w:val="TOC1"/>
            <w:tabs>
              <w:tab w:val="right" w:leader="dot" w:pos="9350"/>
            </w:tabs>
            <w:rPr>
              <w:b/>
              <w:noProof/>
            </w:rPr>
          </w:pPr>
          <w:r>
            <w:fldChar w:fldCharType="begin"/>
          </w:r>
          <w:r>
            <w:instrText xml:space="preserve"> TOC \o "1-3" \h \z \u </w:instrText>
          </w:r>
          <w:r>
            <w:fldChar w:fldCharType="separate"/>
          </w:r>
          <w:hyperlink w:anchor="_Toc140952251" w:history="1">
            <w:r w:rsidRPr="0096008F">
              <w:rPr>
                <w:rStyle w:val="Hyperlink"/>
                <w:rFonts w:ascii="Arial" w:hAnsi="Arial" w:cs="Arial"/>
                <w:b/>
                <w:noProof/>
              </w:rPr>
              <w:t>Introduction</w:t>
            </w:r>
            <w:r w:rsidRPr="0096008F">
              <w:rPr>
                <w:b/>
                <w:noProof/>
                <w:webHidden/>
              </w:rPr>
              <w:tab/>
            </w:r>
            <w:r w:rsidRPr="0096008F">
              <w:rPr>
                <w:b/>
                <w:noProof/>
                <w:webHidden/>
              </w:rPr>
              <w:fldChar w:fldCharType="begin"/>
            </w:r>
            <w:r w:rsidRPr="0096008F">
              <w:rPr>
                <w:b/>
                <w:noProof/>
                <w:webHidden/>
              </w:rPr>
              <w:instrText xml:space="preserve"> PAGEREF _Toc140952251 \h </w:instrText>
            </w:r>
            <w:r w:rsidRPr="0096008F">
              <w:rPr>
                <w:b/>
                <w:noProof/>
                <w:webHidden/>
              </w:rPr>
            </w:r>
            <w:r w:rsidRPr="0096008F">
              <w:rPr>
                <w:b/>
                <w:noProof/>
                <w:webHidden/>
              </w:rPr>
              <w:fldChar w:fldCharType="separate"/>
            </w:r>
            <w:r>
              <w:rPr>
                <w:b/>
                <w:noProof/>
                <w:webHidden/>
              </w:rPr>
              <w:t>3</w:t>
            </w:r>
            <w:r w:rsidRPr="0096008F">
              <w:rPr>
                <w:b/>
                <w:noProof/>
                <w:webHidden/>
              </w:rPr>
              <w:fldChar w:fldCharType="end"/>
            </w:r>
          </w:hyperlink>
        </w:p>
        <w:p w:rsidR="0096008F" w:rsidRPr="0096008F" w:rsidRDefault="0096008F">
          <w:pPr>
            <w:pStyle w:val="TOC1"/>
            <w:tabs>
              <w:tab w:val="right" w:leader="dot" w:pos="9350"/>
            </w:tabs>
            <w:rPr>
              <w:b/>
              <w:noProof/>
            </w:rPr>
          </w:pPr>
          <w:hyperlink w:anchor="_Toc140952254" w:history="1">
            <w:r w:rsidRPr="0096008F">
              <w:rPr>
                <w:rStyle w:val="Hyperlink"/>
                <w:rFonts w:ascii="Arial" w:hAnsi="Arial" w:cs="Arial"/>
                <w:b/>
                <w:noProof/>
              </w:rPr>
              <w:t>Benefits of implementing flexible working strategies</w:t>
            </w:r>
            <w:r w:rsidRPr="0096008F">
              <w:rPr>
                <w:b/>
                <w:noProof/>
                <w:webHidden/>
              </w:rPr>
              <w:tab/>
            </w:r>
            <w:r w:rsidRPr="0096008F">
              <w:rPr>
                <w:b/>
                <w:noProof/>
                <w:webHidden/>
              </w:rPr>
              <w:fldChar w:fldCharType="begin"/>
            </w:r>
            <w:r w:rsidRPr="0096008F">
              <w:rPr>
                <w:b/>
                <w:noProof/>
                <w:webHidden/>
              </w:rPr>
              <w:instrText xml:space="preserve"> PAGEREF _Toc140952254 \h </w:instrText>
            </w:r>
            <w:r w:rsidRPr="0096008F">
              <w:rPr>
                <w:b/>
                <w:noProof/>
                <w:webHidden/>
              </w:rPr>
            </w:r>
            <w:r w:rsidRPr="0096008F">
              <w:rPr>
                <w:b/>
                <w:noProof/>
                <w:webHidden/>
              </w:rPr>
              <w:fldChar w:fldCharType="separate"/>
            </w:r>
            <w:r>
              <w:rPr>
                <w:b/>
                <w:noProof/>
                <w:webHidden/>
              </w:rPr>
              <w:t>3</w:t>
            </w:r>
            <w:r w:rsidRPr="0096008F">
              <w:rPr>
                <w:b/>
                <w:noProof/>
                <w:webHidden/>
              </w:rPr>
              <w:fldChar w:fldCharType="end"/>
            </w:r>
          </w:hyperlink>
        </w:p>
        <w:p w:rsidR="0096008F" w:rsidRPr="0096008F" w:rsidRDefault="0096008F">
          <w:pPr>
            <w:pStyle w:val="TOC1"/>
            <w:tabs>
              <w:tab w:val="right" w:leader="dot" w:pos="9350"/>
            </w:tabs>
            <w:rPr>
              <w:b/>
              <w:noProof/>
            </w:rPr>
          </w:pPr>
          <w:hyperlink w:anchor="_Toc140952255" w:history="1">
            <w:r w:rsidRPr="0096008F">
              <w:rPr>
                <w:rStyle w:val="Hyperlink"/>
                <w:rFonts w:ascii="Arial" w:hAnsi="Arial" w:cs="Arial"/>
                <w:b/>
                <w:noProof/>
              </w:rPr>
              <w:t>Considerations prior to implementing flexible working</w:t>
            </w:r>
            <w:r w:rsidRPr="0096008F">
              <w:rPr>
                <w:b/>
                <w:noProof/>
                <w:webHidden/>
              </w:rPr>
              <w:tab/>
            </w:r>
            <w:r w:rsidRPr="0096008F">
              <w:rPr>
                <w:b/>
                <w:noProof/>
                <w:webHidden/>
              </w:rPr>
              <w:fldChar w:fldCharType="begin"/>
            </w:r>
            <w:r w:rsidRPr="0096008F">
              <w:rPr>
                <w:b/>
                <w:noProof/>
                <w:webHidden/>
              </w:rPr>
              <w:instrText xml:space="preserve"> PAGEREF _Toc140952255 \h </w:instrText>
            </w:r>
            <w:r w:rsidRPr="0096008F">
              <w:rPr>
                <w:b/>
                <w:noProof/>
                <w:webHidden/>
              </w:rPr>
            </w:r>
            <w:r w:rsidRPr="0096008F">
              <w:rPr>
                <w:b/>
                <w:noProof/>
                <w:webHidden/>
              </w:rPr>
              <w:fldChar w:fldCharType="separate"/>
            </w:r>
            <w:r>
              <w:rPr>
                <w:b/>
                <w:noProof/>
                <w:webHidden/>
              </w:rPr>
              <w:t>4</w:t>
            </w:r>
            <w:r w:rsidRPr="0096008F">
              <w:rPr>
                <w:b/>
                <w:noProof/>
                <w:webHidden/>
              </w:rPr>
              <w:fldChar w:fldCharType="end"/>
            </w:r>
          </w:hyperlink>
        </w:p>
        <w:p w:rsidR="0096008F" w:rsidRPr="0096008F" w:rsidRDefault="0096008F">
          <w:pPr>
            <w:pStyle w:val="TOC1"/>
            <w:tabs>
              <w:tab w:val="right" w:leader="dot" w:pos="9350"/>
            </w:tabs>
            <w:rPr>
              <w:b/>
              <w:noProof/>
            </w:rPr>
          </w:pPr>
          <w:hyperlink w:anchor="_Toc140952256" w:history="1">
            <w:r w:rsidRPr="0096008F">
              <w:rPr>
                <w:rStyle w:val="Hyperlink"/>
                <w:rFonts w:ascii="Arial" w:hAnsi="Arial" w:cs="Arial"/>
                <w:b/>
                <w:noProof/>
              </w:rPr>
              <w:t>Reconfiguration of the pay structure</w:t>
            </w:r>
            <w:r w:rsidRPr="0096008F">
              <w:rPr>
                <w:b/>
                <w:noProof/>
                <w:webHidden/>
              </w:rPr>
              <w:tab/>
            </w:r>
            <w:r w:rsidRPr="0096008F">
              <w:rPr>
                <w:b/>
                <w:noProof/>
                <w:webHidden/>
              </w:rPr>
              <w:fldChar w:fldCharType="begin"/>
            </w:r>
            <w:r w:rsidRPr="0096008F">
              <w:rPr>
                <w:b/>
                <w:noProof/>
                <w:webHidden/>
              </w:rPr>
              <w:instrText xml:space="preserve"> PAGEREF _Toc140952256 \h </w:instrText>
            </w:r>
            <w:r w:rsidRPr="0096008F">
              <w:rPr>
                <w:b/>
                <w:noProof/>
                <w:webHidden/>
              </w:rPr>
            </w:r>
            <w:r w:rsidRPr="0096008F">
              <w:rPr>
                <w:b/>
                <w:noProof/>
                <w:webHidden/>
              </w:rPr>
              <w:fldChar w:fldCharType="separate"/>
            </w:r>
            <w:r>
              <w:rPr>
                <w:b/>
                <w:noProof/>
                <w:webHidden/>
              </w:rPr>
              <w:t>6</w:t>
            </w:r>
            <w:r w:rsidRPr="0096008F">
              <w:rPr>
                <w:b/>
                <w:noProof/>
                <w:webHidden/>
              </w:rPr>
              <w:fldChar w:fldCharType="end"/>
            </w:r>
          </w:hyperlink>
        </w:p>
        <w:p w:rsidR="0096008F" w:rsidRPr="0096008F" w:rsidRDefault="0096008F">
          <w:pPr>
            <w:pStyle w:val="TOC1"/>
            <w:tabs>
              <w:tab w:val="right" w:leader="dot" w:pos="9350"/>
            </w:tabs>
            <w:rPr>
              <w:b/>
              <w:noProof/>
            </w:rPr>
          </w:pPr>
          <w:hyperlink w:anchor="_Toc140952257" w:history="1">
            <w:r w:rsidRPr="0096008F">
              <w:rPr>
                <w:rStyle w:val="Hyperlink"/>
                <w:rFonts w:ascii="Arial" w:hAnsi="Arial" w:cs="Arial"/>
                <w:b/>
                <w:noProof/>
              </w:rPr>
              <w:t>Strategies to promote employee engagement through flexible working</w:t>
            </w:r>
            <w:r w:rsidRPr="0096008F">
              <w:rPr>
                <w:b/>
                <w:noProof/>
                <w:webHidden/>
              </w:rPr>
              <w:tab/>
            </w:r>
            <w:r w:rsidRPr="0096008F">
              <w:rPr>
                <w:b/>
                <w:noProof/>
                <w:webHidden/>
              </w:rPr>
              <w:fldChar w:fldCharType="begin"/>
            </w:r>
            <w:r w:rsidRPr="0096008F">
              <w:rPr>
                <w:b/>
                <w:noProof/>
                <w:webHidden/>
              </w:rPr>
              <w:instrText xml:space="preserve"> PAGEREF _Toc140952257 \h </w:instrText>
            </w:r>
            <w:r w:rsidRPr="0096008F">
              <w:rPr>
                <w:b/>
                <w:noProof/>
                <w:webHidden/>
              </w:rPr>
            </w:r>
            <w:r w:rsidRPr="0096008F">
              <w:rPr>
                <w:b/>
                <w:noProof/>
                <w:webHidden/>
              </w:rPr>
              <w:fldChar w:fldCharType="separate"/>
            </w:r>
            <w:r>
              <w:rPr>
                <w:b/>
                <w:noProof/>
                <w:webHidden/>
              </w:rPr>
              <w:t>7</w:t>
            </w:r>
            <w:r w:rsidRPr="0096008F">
              <w:rPr>
                <w:b/>
                <w:noProof/>
                <w:webHidden/>
              </w:rPr>
              <w:fldChar w:fldCharType="end"/>
            </w:r>
          </w:hyperlink>
        </w:p>
        <w:p w:rsidR="0096008F" w:rsidRPr="0096008F" w:rsidRDefault="0096008F">
          <w:pPr>
            <w:pStyle w:val="TOC1"/>
            <w:tabs>
              <w:tab w:val="right" w:leader="dot" w:pos="9350"/>
            </w:tabs>
            <w:rPr>
              <w:b/>
              <w:noProof/>
            </w:rPr>
          </w:pPr>
          <w:hyperlink w:anchor="_Toc140952258" w:history="1">
            <w:r w:rsidRPr="0096008F">
              <w:rPr>
                <w:rStyle w:val="Hyperlink"/>
                <w:rFonts w:ascii="Arial" w:hAnsi="Arial" w:cs="Arial"/>
                <w:b/>
                <w:noProof/>
              </w:rPr>
              <w:t>Conclusion</w:t>
            </w:r>
            <w:r w:rsidRPr="0096008F">
              <w:rPr>
                <w:b/>
                <w:noProof/>
                <w:webHidden/>
              </w:rPr>
              <w:tab/>
            </w:r>
            <w:r w:rsidRPr="0096008F">
              <w:rPr>
                <w:b/>
                <w:noProof/>
                <w:webHidden/>
              </w:rPr>
              <w:fldChar w:fldCharType="begin"/>
            </w:r>
            <w:r w:rsidRPr="0096008F">
              <w:rPr>
                <w:b/>
                <w:noProof/>
                <w:webHidden/>
              </w:rPr>
              <w:instrText xml:space="preserve"> PAGEREF _Toc140952258 \h </w:instrText>
            </w:r>
            <w:r w:rsidRPr="0096008F">
              <w:rPr>
                <w:b/>
                <w:noProof/>
                <w:webHidden/>
              </w:rPr>
            </w:r>
            <w:r w:rsidRPr="0096008F">
              <w:rPr>
                <w:b/>
                <w:noProof/>
                <w:webHidden/>
              </w:rPr>
              <w:fldChar w:fldCharType="separate"/>
            </w:r>
            <w:r>
              <w:rPr>
                <w:b/>
                <w:noProof/>
                <w:webHidden/>
              </w:rPr>
              <w:t>8</w:t>
            </w:r>
            <w:r w:rsidRPr="0096008F">
              <w:rPr>
                <w:b/>
                <w:noProof/>
                <w:webHidden/>
              </w:rPr>
              <w:fldChar w:fldCharType="end"/>
            </w:r>
          </w:hyperlink>
        </w:p>
        <w:p w:rsidR="0096008F" w:rsidRDefault="0096008F">
          <w:pPr>
            <w:pStyle w:val="TOC1"/>
            <w:tabs>
              <w:tab w:val="right" w:leader="dot" w:pos="9350"/>
            </w:tabs>
            <w:rPr>
              <w:noProof/>
            </w:rPr>
          </w:pPr>
          <w:hyperlink w:anchor="_Toc140952259" w:history="1">
            <w:r w:rsidRPr="0096008F">
              <w:rPr>
                <w:rStyle w:val="Hyperlink"/>
                <w:rFonts w:ascii="Arial" w:hAnsi="Arial" w:cs="Arial"/>
                <w:b/>
                <w:noProof/>
              </w:rPr>
              <w:t>References</w:t>
            </w:r>
            <w:r w:rsidRPr="0096008F">
              <w:rPr>
                <w:b/>
                <w:noProof/>
                <w:webHidden/>
              </w:rPr>
              <w:tab/>
            </w:r>
            <w:r w:rsidRPr="0096008F">
              <w:rPr>
                <w:b/>
                <w:noProof/>
                <w:webHidden/>
              </w:rPr>
              <w:fldChar w:fldCharType="begin"/>
            </w:r>
            <w:r w:rsidRPr="0096008F">
              <w:rPr>
                <w:b/>
                <w:noProof/>
                <w:webHidden/>
              </w:rPr>
              <w:instrText xml:space="preserve"> PAGEREF _Toc140952259 \h </w:instrText>
            </w:r>
            <w:r w:rsidRPr="0096008F">
              <w:rPr>
                <w:b/>
                <w:noProof/>
                <w:webHidden/>
              </w:rPr>
            </w:r>
            <w:r w:rsidRPr="0096008F">
              <w:rPr>
                <w:b/>
                <w:noProof/>
                <w:webHidden/>
              </w:rPr>
              <w:fldChar w:fldCharType="separate"/>
            </w:r>
            <w:r>
              <w:rPr>
                <w:b/>
                <w:noProof/>
                <w:webHidden/>
              </w:rPr>
              <w:t>9</w:t>
            </w:r>
            <w:r w:rsidRPr="0096008F">
              <w:rPr>
                <w:b/>
                <w:noProof/>
                <w:webHidden/>
              </w:rPr>
              <w:fldChar w:fldCharType="end"/>
            </w:r>
          </w:hyperlink>
        </w:p>
        <w:p w:rsidR="0096008F" w:rsidRDefault="0096008F">
          <w:r>
            <w:fldChar w:fldCharType="end"/>
          </w:r>
        </w:p>
      </w:sdtContent>
    </w:sdt>
    <w:p w:rsidR="0096008F" w:rsidRDefault="0096008F" w:rsidP="009A35BD">
      <w:pPr>
        <w:pStyle w:val="Heading1"/>
        <w:spacing w:before="0" w:line="360" w:lineRule="auto"/>
        <w:jc w:val="center"/>
        <w:rPr>
          <w:rFonts w:ascii="Arial" w:hAnsi="Arial" w:cs="Arial"/>
          <w:color w:val="auto"/>
          <w:sz w:val="24"/>
          <w:szCs w:val="24"/>
        </w:rPr>
      </w:pPr>
    </w:p>
    <w:p w:rsidR="0096008F" w:rsidRDefault="0096008F" w:rsidP="009A35BD">
      <w:pPr>
        <w:pStyle w:val="Heading1"/>
        <w:spacing w:before="0" w:line="360" w:lineRule="auto"/>
        <w:jc w:val="center"/>
        <w:rPr>
          <w:rFonts w:ascii="Arial" w:hAnsi="Arial" w:cs="Arial"/>
          <w:color w:val="auto"/>
          <w:sz w:val="24"/>
          <w:szCs w:val="24"/>
        </w:rPr>
      </w:pPr>
    </w:p>
    <w:p w:rsidR="0096008F" w:rsidRDefault="0096008F" w:rsidP="0096008F"/>
    <w:p w:rsidR="0096008F" w:rsidRDefault="0096008F" w:rsidP="0096008F"/>
    <w:p w:rsidR="0096008F" w:rsidRDefault="0096008F" w:rsidP="0096008F"/>
    <w:p w:rsidR="0096008F" w:rsidRDefault="0096008F" w:rsidP="0096008F"/>
    <w:p w:rsidR="0096008F" w:rsidRDefault="0096008F" w:rsidP="0096008F"/>
    <w:p w:rsidR="0096008F" w:rsidRDefault="0096008F" w:rsidP="0096008F"/>
    <w:p w:rsidR="0096008F" w:rsidRDefault="0096008F" w:rsidP="0096008F"/>
    <w:p w:rsidR="0096008F" w:rsidRDefault="0096008F" w:rsidP="0096008F"/>
    <w:p w:rsidR="0096008F" w:rsidRPr="0096008F" w:rsidRDefault="0096008F" w:rsidP="0096008F"/>
    <w:p w:rsidR="0096008F" w:rsidRDefault="0096008F" w:rsidP="009A35BD">
      <w:pPr>
        <w:pStyle w:val="Heading1"/>
        <w:spacing w:before="0" w:line="360" w:lineRule="auto"/>
        <w:jc w:val="center"/>
        <w:rPr>
          <w:rFonts w:ascii="Arial" w:hAnsi="Arial" w:cs="Arial"/>
          <w:color w:val="auto"/>
          <w:sz w:val="24"/>
          <w:szCs w:val="24"/>
        </w:rPr>
        <w:sectPr w:rsidR="0096008F">
          <w:footerReference w:type="default" r:id="rId8"/>
          <w:pgSz w:w="12240" w:h="15840"/>
          <w:pgMar w:top="1440" w:right="1440" w:bottom="1440" w:left="1440" w:header="708" w:footer="708" w:gutter="0"/>
          <w:cols w:space="708"/>
          <w:docGrid w:linePitch="360"/>
        </w:sectPr>
      </w:pPr>
      <w:bookmarkStart w:id="0" w:name="_Toc140952251"/>
    </w:p>
    <w:p w:rsidR="009A35BD" w:rsidRPr="009A35BD" w:rsidRDefault="009A35BD" w:rsidP="009A35BD">
      <w:pPr>
        <w:pStyle w:val="Heading1"/>
        <w:spacing w:before="0" w:line="360" w:lineRule="auto"/>
        <w:jc w:val="center"/>
        <w:rPr>
          <w:rFonts w:ascii="Arial" w:hAnsi="Arial" w:cs="Arial"/>
          <w:color w:val="auto"/>
          <w:sz w:val="24"/>
          <w:szCs w:val="24"/>
        </w:rPr>
      </w:pPr>
      <w:r w:rsidRPr="009A35BD">
        <w:rPr>
          <w:rFonts w:ascii="Arial" w:hAnsi="Arial" w:cs="Arial"/>
          <w:color w:val="auto"/>
          <w:sz w:val="24"/>
          <w:szCs w:val="24"/>
        </w:rPr>
        <w:lastRenderedPageBreak/>
        <w:t>Introduction</w:t>
      </w:r>
      <w:bookmarkEnd w:id="0"/>
    </w:p>
    <w:p w:rsidR="009A35BD" w:rsidRPr="009A35BD" w:rsidRDefault="009A35BD" w:rsidP="009A35BD">
      <w:pPr>
        <w:pStyle w:val="Heading1"/>
        <w:spacing w:before="0" w:line="360" w:lineRule="auto"/>
        <w:jc w:val="center"/>
        <w:rPr>
          <w:rFonts w:ascii="Arial" w:hAnsi="Arial" w:cs="Arial"/>
          <w:color w:val="auto"/>
          <w:sz w:val="24"/>
          <w:szCs w:val="24"/>
        </w:rPr>
      </w:pPr>
    </w:p>
    <w:p w:rsidR="006561A3" w:rsidRDefault="006561A3" w:rsidP="006561A3">
      <w:pPr>
        <w:pStyle w:val="Heading1"/>
        <w:spacing w:before="0" w:line="360" w:lineRule="auto"/>
        <w:ind w:firstLine="720"/>
        <w:jc w:val="both"/>
        <w:rPr>
          <w:rFonts w:ascii="Arial" w:hAnsi="Arial" w:cs="Arial"/>
          <w:b w:val="0"/>
          <w:color w:val="000000"/>
          <w:spacing w:val="2"/>
          <w:sz w:val="22"/>
          <w:szCs w:val="22"/>
        </w:rPr>
      </w:pPr>
      <w:bookmarkStart w:id="1" w:name="_Toc140952252"/>
      <w:r w:rsidRPr="006561A3">
        <w:rPr>
          <w:rFonts w:ascii="Arial" w:hAnsi="Arial" w:cs="Arial"/>
          <w:b w:val="0"/>
          <w:color w:val="000000"/>
          <w:spacing w:val="2"/>
          <w:sz w:val="22"/>
          <w:szCs w:val="22"/>
        </w:rPr>
        <w:t>In the twenty-first century, workplaces recognize the importance and significance of flexible working arrangements (FWAs). Organizations face the challenge of balancing their employees' work-life equilibrium to mitigate associated issues, all while ensuring optimal performance. Consequently, many organizations provide FWAs to their employees due to the advantages they offer to both parties involved. One of the most notable benefits is the significant improvement in employee and organizational performance. Additionally, FWAs facilitate a harmonious work-life balance, resulting in reduced stress and enhanced well-being for employees, as well as reduced absenteeism and employee</w:t>
      </w:r>
      <w:r>
        <w:rPr>
          <w:rFonts w:ascii="Arial" w:hAnsi="Arial" w:cs="Arial"/>
          <w:b w:val="0"/>
          <w:color w:val="000000"/>
          <w:spacing w:val="2"/>
          <w:sz w:val="22"/>
          <w:szCs w:val="22"/>
        </w:rPr>
        <w:t xml:space="preserve"> turnover for the organization.</w:t>
      </w:r>
      <w:bookmarkEnd w:id="1"/>
    </w:p>
    <w:p w:rsidR="009A35BD" w:rsidRDefault="006561A3" w:rsidP="006561A3">
      <w:pPr>
        <w:pStyle w:val="Heading1"/>
        <w:spacing w:before="0" w:line="360" w:lineRule="auto"/>
        <w:ind w:firstLine="720"/>
        <w:jc w:val="both"/>
        <w:rPr>
          <w:rFonts w:ascii="Arial" w:hAnsi="Arial" w:cs="Arial"/>
          <w:b w:val="0"/>
          <w:color w:val="000000"/>
          <w:spacing w:val="2"/>
          <w:sz w:val="22"/>
          <w:szCs w:val="22"/>
        </w:rPr>
      </w:pPr>
      <w:bookmarkStart w:id="2" w:name="_Toc140952253"/>
      <w:r w:rsidRPr="006561A3">
        <w:rPr>
          <w:rFonts w:ascii="Arial" w:hAnsi="Arial" w:cs="Arial"/>
          <w:b w:val="0"/>
          <w:color w:val="000000"/>
          <w:spacing w:val="2"/>
          <w:sz w:val="22"/>
          <w:szCs w:val="22"/>
        </w:rPr>
        <w:t>This paper aims to highlight the various forms and general principles of FWAs and their impact on employee performance. The methodology employed is library research, which involves an analytical discussion of secondary data. Furthermore, it is recommended that further research be conducted to investigate the effects of employee-driven and employer-driven flexible work arrangements on organizational performance, in order to provide substantial evidence supporting the claim that the effects of FWAs differ depending on the primary beneficiary.</w:t>
      </w:r>
      <w:bookmarkEnd w:id="2"/>
    </w:p>
    <w:p w:rsidR="006561A3" w:rsidRPr="006561A3" w:rsidRDefault="006561A3" w:rsidP="006561A3"/>
    <w:p w:rsidR="009A35BD" w:rsidRPr="009A35BD" w:rsidRDefault="009A35BD" w:rsidP="009A35BD">
      <w:pPr>
        <w:pStyle w:val="Heading1"/>
        <w:spacing w:before="0" w:line="360" w:lineRule="auto"/>
        <w:jc w:val="center"/>
        <w:rPr>
          <w:rFonts w:ascii="Arial" w:hAnsi="Arial" w:cs="Arial"/>
          <w:color w:val="auto"/>
          <w:sz w:val="24"/>
          <w:szCs w:val="24"/>
        </w:rPr>
      </w:pPr>
      <w:bookmarkStart w:id="3" w:name="_Toc140952254"/>
      <w:r w:rsidRPr="009A35BD">
        <w:rPr>
          <w:rFonts w:ascii="Arial" w:hAnsi="Arial" w:cs="Arial"/>
          <w:color w:val="auto"/>
          <w:sz w:val="24"/>
          <w:szCs w:val="24"/>
        </w:rPr>
        <w:t>Benefits of implementing flexible working strategies</w:t>
      </w:r>
      <w:bookmarkEnd w:id="3"/>
    </w:p>
    <w:p w:rsidR="009A35BD" w:rsidRDefault="009A35BD" w:rsidP="009A35BD">
      <w:pPr>
        <w:pStyle w:val="Heading1"/>
        <w:spacing w:before="0" w:line="360" w:lineRule="auto"/>
        <w:jc w:val="center"/>
        <w:rPr>
          <w:rFonts w:ascii="Arial" w:hAnsi="Arial" w:cs="Arial"/>
          <w:color w:val="auto"/>
          <w:sz w:val="24"/>
          <w:szCs w:val="24"/>
        </w:rPr>
      </w:pPr>
    </w:p>
    <w:p w:rsidR="00712768" w:rsidRDefault="00712768" w:rsidP="00712768">
      <w:pPr>
        <w:shd w:val="clear" w:color="auto" w:fill="FFFFFF"/>
        <w:spacing w:after="24" w:line="360" w:lineRule="auto"/>
        <w:ind w:firstLine="720"/>
        <w:jc w:val="both"/>
        <w:rPr>
          <w:rFonts w:ascii="Arial" w:eastAsia="Times New Roman" w:hAnsi="Arial" w:cs="Arial"/>
          <w:color w:val="000000"/>
          <w:spacing w:val="2"/>
        </w:rPr>
      </w:pPr>
      <w:r w:rsidRPr="00712768">
        <w:rPr>
          <w:rFonts w:ascii="Arial" w:eastAsia="Times New Roman" w:hAnsi="Arial" w:cs="Arial"/>
          <w:color w:val="000000"/>
          <w:spacing w:val="2"/>
        </w:rPr>
        <w:t>When individuals engage in flexible work arrangements, research consistently demonstrates that they experience elevated levels of job satisfaction. In contrast to individuals who do not engage in flexible work arrangements, those who do experience notable differences</w:t>
      </w:r>
      <w:r w:rsidR="00734651">
        <w:rPr>
          <w:rFonts w:ascii="Arial" w:eastAsia="Times New Roman" w:hAnsi="Arial" w:cs="Arial"/>
          <w:color w:val="000000"/>
          <w:spacing w:val="2"/>
        </w:rPr>
        <w:t xml:space="preserve"> (</w:t>
      </w:r>
      <w:r w:rsidR="00734651">
        <w:rPr>
          <w:rFonts w:ascii="Arial" w:hAnsi="Arial" w:cs="Arial"/>
        </w:rPr>
        <w:t xml:space="preserve">Avery </w:t>
      </w:r>
      <w:r w:rsidR="00734651" w:rsidRPr="00964F0F">
        <w:rPr>
          <w:rFonts w:ascii="Arial" w:hAnsi="Arial" w:cs="Arial"/>
        </w:rPr>
        <w:t>&amp;</w:t>
      </w:r>
      <w:r w:rsidR="00734651">
        <w:rPr>
          <w:rFonts w:ascii="Arial" w:hAnsi="Arial" w:cs="Arial"/>
        </w:rPr>
        <w:t xml:space="preserve"> </w:t>
      </w:r>
      <w:r w:rsidR="00734651" w:rsidRPr="00964F0F">
        <w:rPr>
          <w:rFonts w:ascii="Arial" w:hAnsi="Arial" w:cs="Arial"/>
        </w:rPr>
        <w:t>Zabel</w:t>
      </w:r>
      <w:r w:rsidR="00734651">
        <w:rPr>
          <w:rFonts w:ascii="Arial" w:hAnsi="Arial" w:cs="Arial"/>
        </w:rPr>
        <w:t>, 2001)</w:t>
      </w:r>
      <w:r w:rsidRPr="00712768">
        <w:rPr>
          <w:rFonts w:ascii="Arial" w:eastAsia="Times New Roman" w:hAnsi="Arial" w:cs="Arial"/>
          <w:color w:val="000000"/>
          <w:spacing w:val="2"/>
        </w:rPr>
        <w:t xml:space="preserve">. The implementation of flexible working arrangements provides employees with the opportunity to effectively navigate their disability and long-term health conditions. Additionally, it serves as a means to promote mental well-being and alleviate stress levels. Flexible working arrangements have the potential to mitigate the impact of work on personal life, especially for individuals in early career positions. </w:t>
      </w:r>
    </w:p>
    <w:p w:rsidR="00712768" w:rsidRDefault="00712768" w:rsidP="00712768">
      <w:pPr>
        <w:shd w:val="clear" w:color="auto" w:fill="FFFFFF"/>
        <w:spacing w:after="24" w:line="360" w:lineRule="auto"/>
        <w:ind w:firstLine="720"/>
        <w:jc w:val="both"/>
        <w:rPr>
          <w:rFonts w:ascii="Arial" w:eastAsia="Times New Roman" w:hAnsi="Arial" w:cs="Arial"/>
          <w:color w:val="000000"/>
          <w:spacing w:val="2"/>
        </w:rPr>
      </w:pPr>
      <w:r w:rsidRPr="00712768">
        <w:rPr>
          <w:rFonts w:ascii="Arial" w:eastAsia="Times New Roman" w:hAnsi="Arial" w:cs="Arial"/>
          <w:color w:val="000000"/>
          <w:spacing w:val="2"/>
        </w:rPr>
        <w:t xml:space="preserve">The implementation of flexible working arrangements can be instrumental in assisting individuals in achieving a harmonious equilibrium between their professional obligations and other aspects of their personal lives. No matter the circumstance, individuals are often faced with various priorities in life, such as relocating, beginning a family, or assuming caring duties. Employees at GreenCo who are provided with flexible working options often discover </w:t>
      </w:r>
      <w:r w:rsidRPr="00712768">
        <w:rPr>
          <w:rFonts w:ascii="Arial" w:eastAsia="Times New Roman" w:hAnsi="Arial" w:cs="Arial"/>
          <w:color w:val="000000"/>
          <w:spacing w:val="2"/>
        </w:rPr>
        <w:lastRenderedPageBreak/>
        <w:t>Individuals can enhance their adaptability and receptiveness by immersing themselves in a culture that values agility and is receptive to novel ideas and concepts</w:t>
      </w:r>
      <w:r w:rsidR="00734651">
        <w:rPr>
          <w:rFonts w:ascii="Arial" w:eastAsia="Times New Roman" w:hAnsi="Arial" w:cs="Arial"/>
          <w:color w:val="000000"/>
          <w:spacing w:val="2"/>
        </w:rPr>
        <w:t xml:space="preserve"> (</w:t>
      </w:r>
      <w:r w:rsidR="00734651" w:rsidRPr="00964F0F">
        <w:rPr>
          <w:rFonts w:ascii="Arial" w:hAnsi="Arial" w:cs="Arial"/>
        </w:rPr>
        <w:t>Bat</w:t>
      </w:r>
      <w:r w:rsidR="00734651">
        <w:rPr>
          <w:rFonts w:ascii="Arial" w:hAnsi="Arial" w:cs="Arial"/>
        </w:rPr>
        <w:t>tisti &amp; Vallanti, 2013)</w:t>
      </w:r>
      <w:r w:rsidRPr="00712768">
        <w:rPr>
          <w:rFonts w:ascii="Arial" w:eastAsia="Times New Roman" w:hAnsi="Arial" w:cs="Arial"/>
          <w:color w:val="000000"/>
          <w:spacing w:val="2"/>
        </w:rPr>
        <w:t>. Because individuals often have multiple obligations to manage, certain individuals who are searching for employment may encounter challenges in obtaining job opportunities. Flexible working arrangements have the potential to provide individuals with new possibilities and prospects that were previously inaccessible due to the challenges they presented</w:t>
      </w:r>
      <w:r w:rsidR="0096008F">
        <w:rPr>
          <w:rFonts w:ascii="Arial" w:eastAsia="Times New Roman" w:hAnsi="Arial" w:cs="Arial"/>
          <w:color w:val="000000"/>
          <w:spacing w:val="2"/>
        </w:rPr>
        <w:t xml:space="preserve"> (</w:t>
      </w:r>
      <w:r w:rsidR="0096008F">
        <w:rPr>
          <w:rFonts w:ascii="Arial" w:hAnsi="Arial" w:cs="Arial"/>
        </w:rPr>
        <w:t>Robbins, Judge and Vohra, 2012)</w:t>
      </w:r>
      <w:r w:rsidRPr="00712768">
        <w:rPr>
          <w:rFonts w:ascii="Arial" w:eastAsia="Times New Roman" w:hAnsi="Arial" w:cs="Arial"/>
          <w:color w:val="000000"/>
          <w:spacing w:val="2"/>
        </w:rPr>
        <w:t xml:space="preserve">. </w:t>
      </w:r>
    </w:p>
    <w:p w:rsidR="00712768" w:rsidRPr="00712768" w:rsidRDefault="00712768" w:rsidP="00712768">
      <w:pPr>
        <w:shd w:val="clear" w:color="auto" w:fill="FFFFFF"/>
        <w:spacing w:after="24" w:line="360" w:lineRule="auto"/>
        <w:ind w:firstLine="720"/>
        <w:jc w:val="both"/>
        <w:rPr>
          <w:rFonts w:ascii="Arial" w:eastAsia="Times New Roman" w:hAnsi="Arial" w:cs="Arial"/>
          <w:color w:val="000000"/>
          <w:spacing w:val="2"/>
        </w:rPr>
      </w:pPr>
      <w:r w:rsidRPr="00712768">
        <w:rPr>
          <w:rFonts w:ascii="Arial" w:eastAsia="Times New Roman" w:hAnsi="Arial" w:cs="Arial"/>
          <w:color w:val="000000"/>
          <w:spacing w:val="2"/>
        </w:rPr>
        <w:t>Various alternative work arrangements, such as the practice of sharing job responsibilities or the exchange of shifts, can effectively foster inclusivity by bringing together individuals from diverse backgrounds and facilitating collaborative endeavors. Improved management over their schedules and methods of work is achieved by implementing flexible working arrangements. In addition to the advantages for employee well-being, flexible work arrangements can also provide a boost in motivation. Certain arrangements enable employees to synchronize their work with the times and locations where they can be most productive</w:t>
      </w:r>
      <w:r w:rsidR="0096008F">
        <w:rPr>
          <w:rFonts w:ascii="Arial" w:eastAsia="Times New Roman" w:hAnsi="Arial" w:cs="Arial"/>
          <w:color w:val="000000"/>
          <w:spacing w:val="2"/>
        </w:rPr>
        <w:t xml:space="preserve"> (</w:t>
      </w:r>
      <w:r w:rsidR="0096008F">
        <w:rPr>
          <w:rFonts w:ascii="Arial" w:hAnsi="Arial" w:cs="Arial"/>
        </w:rPr>
        <w:t>Stavrou</w:t>
      </w:r>
      <w:r w:rsidR="0096008F" w:rsidRPr="00964F0F">
        <w:rPr>
          <w:rFonts w:ascii="Arial" w:hAnsi="Arial" w:cs="Arial"/>
        </w:rPr>
        <w:t xml:space="preserve"> &amp;</w:t>
      </w:r>
      <w:r w:rsidR="0096008F">
        <w:rPr>
          <w:rFonts w:ascii="Arial" w:hAnsi="Arial" w:cs="Arial"/>
        </w:rPr>
        <w:t xml:space="preserve"> Kilaniotis, 2010)</w:t>
      </w:r>
      <w:r w:rsidRPr="00712768">
        <w:rPr>
          <w:rFonts w:ascii="Arial" w:eastAsia="Times New Roman" w:hAnsi="Arial" w:cs="Arial"/>
          <w:color w:val="000000"/>
          <w:spacing w:val="2"/>
        </w:rPr>
        <w:t>.</w:t>
      </w:r>
    </w:p>
    <w:p w:rsidR="006561A3" w:rsidRPr="006561A3" w:rsidRDefault="006561A3" w:rsidP="006561A3"/>
    <w:p w:rsidR="009A35BD" w:rsidRPr="009A35BD" w:rsidRDefault="009A35BD" w:rsidP="009A35BD">
      <w:pPr>
        <w:pStyle w:val="Heading1"/>
        <w:spacing w:before="0" w:line="360" w:lineRule="auto"/>
        <w:jc w:val="center"/>
        <w:rPr>
          <w:rFonts w:ascii="Arial" w:hAnsi="Arial" w:cs="Arial"/>
          <w:color w:val="auto"/>
          <w:sz w:val="24"/>
          <w:szCs w:val="24"/>
        </w:rPr>
      </w:pPr>
      <w:bookmarkStart w:id="4" w:name="_Toc140952255"/>
      <w:r w:rsidRPr="009A35BD">
        <w:rPr>
          <w:rFonts w:ascii="Arial" w:hAnsi="Arial" w:cs="Arial"/>
          <w:color w:val="auto"/>
          <w:sz w:val="24"/>
          <w:szCs w:val="24"/>
        </w:rPr>
        <w:t>Considerations prior to implementing flexible working</w:t>
      </w:r>
      <w:bookmarkEnd w:id="4"/>
    </w:p>
    <w:p w:rsidR="009A35BD" w:rsidRDefault="009A35BD" w:rsidP="009A35BD">
      <w:pPr>
        <w:pStyle w:val="Heading1"/>
        <w:spacing w:before="0" w:line="360" w:lineRule="auto"/>
        <w:jc w:val="center"/>
        <w:rPr>
          <w:rFonts w:ascii="Arial" w:hAnsi="Arial" w:cs="Arial"/>
          <w:color w:val="auto"/>
          <w:sz w:val="24"/>
          <w:szCs w:val="24"/>
        </w:rPr>
      </w:pPr>
    </w:p>
    <w:p w:rsidR="0022020F" w:rsidRDefault="0022020F" w:rsidP="0022020F">
      <w:pPr>
        <w:shd w:val="clear" w:color="auto" w:fill="FFFFFF"/>
        <w:spacing w:after="0" w:line="360" w:lineRule="auto"/>
        <w:ind w:firstLine="720"/>
        <w:jc w:val="both"/>
        <w:rPr>
          <w:rFonts w:ascii="Arial" w:eastAsia="Times New Roman" w:hAnsi="Arial" w:cs="Arial"/>
          <w:color w:val="000000"/>
          <w:spacing w:val="2"/>
        </w:rPr>
      </w:pPr>
      <w:r w:rsidRPr="0022020F">
        <w:rPr>
          <w:rFonts w:ascii="Arial" w:eastAsia="Times New Roman" w:hAnsi="Arial" w:cs="Arial"/>
          <w:color w:val="000000"/>
          <w:spacing w:val="2"/>
        </w:rPr>
        <w:t>Inadequate execution of Flexible Work Arrangements can yield unsatisfactory results. The detrimental consequences of counteractive measures have been observed to adversely impact both the productivity of employees and the overall functioning of a business. In order to achieve success, organizations must take into account a comprehensive review of the available literature on Flexible Work Arrangements (FWAs). This review of literature highlights the importance of organizations ensuring that they implement FWAs effectively and efficiently. By doing so, organizations can create a work environment that promotes productivity and satisfaction among employees</w:t>
      </w:r>
      <w:r w:rsidR="0096008F">
        <w:rPr>
          <w:rFonts w:ascii="Arial" w:eastAsia="Times New Roman" w:hAnsi="Arial" w:cs="Arial"/>
          <w:color w:val="000000"/>
          <w:spacing w:val="2"/>
        </w:rPr>
        <w:t xml:space="preserve"> (</w:t>
      </w:r>
      <w:r w:rsidR="0096008F">
        <w:rPr>
          <w:rFonts w:ascii="Arial" w:hAnsi="Arial" w:cs="Arial"/>
        </w:rPr>
        <w:t xml:space="preserve">Yeh </w:t>
      </w:r>
      <w:r w:rsidR="0096008F" w:rsidRPr="00964F0F">
        <w:rPr>
          <w:rFonts w:ascii="Arial" w:hAnsi="Arial" w:cs="Arial"/>
        </w:rPr>
        <w:t>&amp; Ho</w:t>
      </w:r>
      <w:r w:rsidR="0096008F">
        <w:rPr>
          <w:rFonts w:ascii="Arial" w:hAnsi="Arial" w:cs="Arial"/>
        </w:rPr>
        <w:t>ng, 2012)</w:t>
      </w:r>
      <w:r w:rsidRPr="0022020F">
        <w:rPr>
          <w:rFonts w:ascii="Arial" w:eastAsia="Times New Roman" w:hAnsi="Arial" w:cs="Arial"/>
          <w:color w:val="000000"/>
          <w:spacing w:val="2"/>
        </w:rPr>
        <w:t xml:space="preserve">. </w:t>
      </w:r>
    </w:p>
    <w:p w:rsidR="00512329" w:rsidRDefault="0022020F" w:rsidP="0022020F">
      <w:pPr>
        <w:shd w:val="clear" w:color="auto" w:fill="FFFFFF"/>
        <w:spacing w:after="0" w:line="360" w:lineRule="auto"/>
        <w:ind w:firstLine="720"/>
        <w:jc w:val="both"/>
        <w:rPr>
          <w:rFonts w:ascii="Arial" w:eastAsia="Times New Roman" w:hAnsi="Arial" w:cs="Arial"/>
          <w:color w:val="000000"/>
          <w:spacing w:val="2"/>
        </w:rPr>
      </w:pPr>
      <w:r w:rsidRPr="0022020F">
        <w:rPr>
          <w:rFonts w:ascii="Arial" w:eastAsia="Times New Roman" w:hAnsi="Arial" w:cs="Arial"/>
          <w:color w:val="000000"/>
          <w:spacing w:val="2"/>
        </w:rPr>
        <w:t xml:space="preserve">Before incorporating Flex work into their organizational culture, companies should carefully consider the following factors. Proper planning is crucial when implementing Flexible Work Arrangements. It is imperative to thoroughly evaluate and assess both the operations and procedures of the company. This includes a comprehensive examination of the business system and processes in place. To ensure that candidates are appropriate for the flex program, it is important to identify individuals who possess certain qualities. Suitable candidates for the flex program are those who exhibit a strong sense of self and have the </w:t>
      </w:r>
      <w:r w:rsidRPr="0022020F">
        <w:rPr>
          <w:rFonts w:ascii="Arial" w:eastAsia="Times New Roman" w:hAnsi="Arial" w:cs="Arial"/>
          <w:color w:val="000000"/>
          <w:spacing w:val="2"/>
        </w:rPr>
        <w:lastRenderedPageBreak/>
        <w:t>ability to Individuals who demonstrate high levels of motivation and consistently meet or surpass performance expectations are not only reliable but also exhibit excellent teamwork skills. Individuals who work autonomously possess exceptional organizational abilities and demonstrate effective time management skills</w:t>
      </w:r>
      <w:r w:rsidR="0096008F">
        <w:rPr>
          <w:rFonts w:ascii="Arial" w:eastAsia="Times New Roman" w:hAnsi="Arial" w:cs="Arial"/>
          <w:color w:val="000000"/>
          <w:spacing w:val="2"/>
        </w:rPr>
        <w:t xml:space="preserve"> (</w:t>
      </w:r>
      <w:r w:rsidR="0096008F">
        <w:rPr>
          <w:rFonts w:ascii="Arial" w:hAnsi="Arial" w:cs="Arial"/>
        </w:rPr>
        <w:t>Kattenbach, Demerouti</w:t>
      </w:r>
      <w:r w:rsidR="0096008F" w:rsidRPr="00964F0F">
        <w:rPr>
          <w:rFonts w:ascii="Arial" w:hAnsi="Arial" w:cs="Arial"/>
        </w:rPr>
        <w:t xml:space="preserve"> &amp;</w:t>
      </w:r>
      <w:r w:rsidR="0096008F">
        <w:rPr>
          <w:rFonts w:ascii="Arial" w:hAnsi="Arial" w:cs="Arial"/>
        </w:rPr>
        <w:t xml:space="preserve"> Nachreiner, 2010)</w:t>
      </w:r>
      <w:r w:rsidRPr="0022020F">
        <w:rPr>
          <w:rFonts w:ascii="Arial" w:eastAsia="Times New Roman" w:hAnsi="Arial" w:cs="Arial"/>
          <w:color w:val="000000"/>
          <w:spacing w:val="2"/>
        </w:rPr>
        <w:t xml:space="preserve">. </w:t>
      </w:r>
    </w:p>
    <w:p w:rsidR="00512329" w:rsidRDefault="0022020F" w:rsidP="0022020F">
      <w:pPr>
        <w:shd w:val="clear" w:color="auto" w:fill="FFFFFF"/>
        <w:spacing w:after="0" w:line="360" w:lineRule="auto"/>
        <w:ind w:firstLine="720"/>
        <w:jc w:val="both"/>
        <w:rPr>
          <w:rFonts w:ascii="Arial" w:eastAsia="Times New Roman" w:hAnsi="Arial" w:cs="Arial"/>
          <w:color w:val="000000"/>
          <w:spacing w:val="2"/>
        </w:rPr>
      </w:pPr>
      <w:r w:rsidRPr="0022020F">
        <w:rPr>
          <w:rFonts w:ascii="Arial" w:eastAsia="Times New Roman" w:hAnsi="Arial" w:cs="Arial"/>
          <w:color w:val="000000"/>
          <w:spacing w:val="2"/>
        </w:rPr>
        <w:t>For Flexible Work Arrangements to be effective, it is imperative that there is ongoing and regular communication between the employee and their supervisor. Establishing clear expectations for communication and providing training for managers in this area will Improving the likelihood of achieving success can be a multifaceted endeavor. There are several strategies and approaches that can be employed to enhance the probability of achieving desired outcomes. One effective approach is to set clear and specific goals that align with one's aspirations and ambitions. By defining what success means to oneself and establishing measurable objectives, individuals can create a roadmap for</w:t>
      </w:r>
      <w:r w:rsidR="00512329">
        <w:rPr>
          <w:rFonts w:ascii="Arial" w:eastAsia="Times New Roman" w:hAnsi="Arial" w:cs="Arial"/>
          <w:color w:val="000000"/>
          <w:spacing w:val="2"/>
        </w:rPr>
        <w:t xml:space="preserve"> their journey towards success</w:t>
      </w:r>
      <w:r w:rsidR="0096008F">
        <w:rPr>
          <w:rFonts w:ascii="Arial" w:eastAsia="Times New Roman" w:hAnsi="Arial" w:cs="Arial"/>
          <w:color w:val="000000"/>
          <w:spacing w:val="2"/>
        </w:rPr>
        <w:t xml:space="preserve"> (</w:t>
      </w:r>
      <w:r w:rsidR="0096008F">
        <w:rPr>
          <w:rFonts w:ascii="Arial" w:hAnsi="Arial" w:cs="Arial"/>
        </w:rPr>
        <w:t>Kottey &amp; Sharma, 2016)</w:t>
      </w:r>
      <w:r w:rsidR="00512329">
        <w:rPr>
          <w:rFonts w:ascii="Arial" w:eastAsia="Times New Roman" w:hAnsi="Arial" w:cs="Arial"/>
          <w:color w:val="000000"/>
          <w:spacing w:val="2"/>
        </w:rPr>
        <w:t>.</w:t>
      </w:r>
    </w:p>
    <w:p w:rsidR="00512329" w:rsidRDefault="0022020F" w:rsidP="0022020F">
      <w:pPr>
        <w:shd w:val="clear" w:color="auto" w:fill="FFFFFF"/>
        <w:spacing w:after="0" w:line="360" w:lineRule="auto"/>
        <w:ind w:firstLine="720"/>
        <w:jc w:val="both"/>
        <w:rPr>
          <w:rFonts w:ascii="Arial" w:eastAsia="Times New Roman" w:hAnsi="Arial" w:cs="Arial"/>
          <w:color w:val="000000"/>
          <w:spacing w:val="2"/>
        </w:rPr>
      </w:pPr>
      <w:r w:rsidRPr="0022020F">
        <w:rPr>
          <w:rFonts w:ascii="Arial" w:eastAsia="Times New Roman" w:hAnsi="Arial" w:cs="Arial"/>
          <w:color w:val="000000"/>
          <w:spacing w:val="2"/>
        </w:rPr>
        <w:t>Additionally, cultivating a growth mindset and maintaining a positive attitude can greatly contribute to increasing the chances of success. Embracing challenges, seeking opportunities for personal and professional development, and continuously learning from setbacks and failures are all essential components of this mindset. Furthermore, building a strong support network and surrounding oneself with like-minded individuals who share similar goals and values can provide invaluable encouragement, guidance, and motivation along the path to success</w:t>
      </w:r>
      <w:r w:rsidR="0096008F">
        <w:rPr>
          <w:rFonts w:ascii="Arial" w:eastAsia="Times New Roman" w:hAnsi="Arial" w:cs="Arial"/>
          <w:color w:val="000000"/>
          <w:spacing w:val="2"/>
        </w:rPr>
        <w:t xml:space="preserve"> (</w:t>
      </w:r>
      <w:r w:rsidR="0096008F">
        <w:rPr>
          <w:rFonts w:ascii="Arial" w:hAnsi="Arial" w:cs="Arial"/>
        </w:rPr>
        <w:t>Pérez, Sánchez &amp; de-Luis, 2003)</w:t>
      </w:r>
      <w:r w:rsidRPr="0022020F">
        <w:rPr>
          <w:rFonts w:ascii="Arial" w:eastAsia="Times New Roman" w:hAnsi="Arial" w:cs="Arial"/>
          <w:color w:val="000000"/>
          <w:spacing w:val="2"/>
        </w:rPr>
        <w:t xml:space="preserve">. Lastly, adopting effective time management skills and prioritizing tasks and responsibilities can optimize productivity and ensure that efforts are focused on activities that directly contribute to the desired outcomes. </w:t>
      </w:r>
    </w:p>
    <w:p w:rsidR="0022020F" w:rsidRPr="0022020F" w:rsidRDefault="0022020F" w:rsidP="0022020F">
      <w:pPr>
        <w:shd w:val="clear" w:color="auto" w:fill="FFFFFF"/>
        <w:spacing w:after="0" w:line="360" w:lineRule="auto"/>
        <w:ind w:firstLine="720"/>
        <w:jc w:val="both"/>
        <w:rPr>
          <w:rFonts w:ascii="Arial" w:eastAsia="Times New Roman" w:hAnsi="Arial" w:cs="Arial"/>
          <w:color w:val="000000"/>
          <w:spacing w:val="2"/>
        </w:rPr>
      </w:pPr>
      <w:r w:rsidRPr="0022020F">
        <w:rPr>
          <w:rFonts w:ascii="Arial" w:eastAsia="Times New Roman" w:hAnsi="Arial" w:cs="Arial"/>
          <w:color w:val="000000"/>
          <w:spacing w:val="2"/>
        </w:rPr>
        <w:t>By implementing these strategies and approaches, individuals can significantly increase their chances of achieving success in various aspects of life. In order to ensure clear understanding of the agreement's requirements, it is important for all involved parties to be on the same page. It is imperative to establish and reach a written agreement that is crafted and mutually agreed upon by all parties involved. To initiate the program, begin with a pilot phase that involves select departments. During this phase, it is crucial for employees and managers to collaborate sincerely in order to effectively implement the proposal and resolve any challenges that may arise. It is important to periodically evaluate and discontinue any Flexible Work Arrangements if they no longer align with the organization's operational requirements</w:t>
      </w:r>
      <w:r w:rsidR="0096008F">
        <w:rPr>
          <w:rFonts w:ascii="Arial" w:eastAsia="Times New Roman" w:hAnsi="Arial" w:cs="Arial"/>
          <w:color w:val="000000"/>
          <w:spacing w:val="2"/>
        </w:rPr>
        <w:t xml:space="preserve"> (</w:t>
      </w:r>
      <w:r w:rsidR="0096008F">
        <w:rPr>
          <w:rFonts w:ascii="Arial" w:hAnsi="Arial" w:cs="Arial"/>
        </w:rPr>
        <w:t>Mwebi &amp; Kadaga, 2015)</w:t>
      </w:r>
      <w:r w:rsidRPr="0022020F">
        <w:rPr>
          <w:rFonts w:ascii="Arial" w:eastAsia="Times New Roman" w:hAnsi="Arial" w:cs="Arial"/>
          <w:color w:val="000000"/>
          <w:spacing w:val="2"/>
        </w:rPr>
        <w:t>.</w:t>
      </w:r>
    </w:p>
    <w:p w:rsidR="0022020F" w:rsidRPr="0022020F" w:rsidRDefault="0022020F" w:rsidP="0022020F">
      <w:pPr>
        <w:spacing w:after="0"/>
      </w:pPr>
    </w:p>
    <w:p w:rsidR="009A35BD" w:rsidRPr="009A35BD" w:rsidRDefault="009A35BD" w:rsidP="009A35BD">
      <w:pPr>
        <w:pStyle w:val="Heading1"/>
        <w:spacing w:before="0" w:line="360" w:lineRule="auto"/>
        <w:jc w:val="center"/>
        <w:rPr>
          <w:rFonts w:ascii="Arial" w:hAnsi="Arial" w:cs="Arial"/>
          <w:color w:val="auto"/>
          <w:sz w:val="24"/>
          <w:szCs w:val="24"/>
        </w:rPr>
      </w:pPr>
      <w:bookmarkStart w:id="5" w:name="_Toc140952256"/>
      <w:r w:rsidRPr="009A35BD">
        <w:rPr>
          <w:rFonts w:ascii="Arial" w:hAnsi="Arial" w:cs="Arial"/>
          <w:color w:val="auto"/>
          <w:sz w:val="24"/>
          <w:szCs w:val="24"/>
        </w:rPr>
        <w:lastRenderedPageBreak/>
        <w:t>Reconfiguration of the pay structure</w:t>
      </w:r>
      <w:bookmarkEnd w:id="5"/>
    </w:p>
    <w:p w:rsidR="009A35BD" w:rsidRDefault="009A35BD" w:rsidP="009A35BD">
      <w:pPr>
        <w:pStyle w:val="Heading1"/>
        <w:spacing w:before="0" w:line="360" w:lineRule="auto"/>
        <w:jc w:val="center"/>
        <w:rPr>
          <w:rFonts w:ascii="Arial" w:hAnsi="Arial" w:cs="Arial"/>
          <w:color w:val="auto"/>
          <w:sz w:val="24"/>
          <w:szCs w:val="24"/>
        </w:rPr>
      </w:pPr>
    </w:p>
    <w:p w:rsidR="00512329" w:rsidRDefault="00512329" w:rsidP="004640C1">
      <w:pPr>
        <w:shd w:val="clear" w:color="auto" w:fill="FFFFFF"/>
        <w:spacing w:after="0" w:line="360" w:lineRule="auto"/>
        <w:ind w:firstLine="720"/>
        <w:jc w:val="both"/>
        <w:rPr>
          <w:rFonts w:ascii="Arial" w:eastAsia="Times New Roman" w:hAnsi="Arial" w:cs="Arial"/>
          <w:color w:val="000000"/>
          <w:spacing w:val="2"/>
        </w:rPr>
      </w:pPr>
      <w:r w:rsidRPr="00512329">
        <w:rPr>
          <w:rFonts w:ascii="Arial" w:eastAsia="Times New Roman" w:hAnsi="Arial" w:cs="Arial"/>
          <w:color w:val="000000"/>
          <w:spacing w:val="2"/>
        </w:rPr>
        <w:t>A pay structure encompasses a range of wage grades, levels, or bands that connect interconnected positions within a hierarchy or sequence. Its purpose is to establish a framework for the implementation of strategies and policies related to employee compensation. Typically, they are crafted with the intention of aligning the reward strategy with an employer's mission, vision, purpose, culture, and business strategy. This is achieved by promoting the necessary behaviors and performance</w:t>
      </w:r>
      <w:r w:rsidR="00734651">
        <w:rPr>
          <w:rFonts w:ascii="Arial" w:eastAsia="Times New Roman" w:hAnsi="Arial" w:cs="Arial"/>
          <w:color w:val="000000"/>
          <w:spacing w:val="2"/>
        </w:rPr>
        <w:t xml:space="preserve"> (</w:t>
      </w:r>
      <w:r w:rsidR="00734651">
        <w:rPr>
          <w:rFonts w:ascii="Arial" w:hAnsi="Arial" w:cs="Arial"/>
        </w:rPr>
        <w:t>Chung, 2009)</w:t>
      </w:r>
      <w:r w:rsidRPr="00512329">
        <w:rPr>
          <w:rFonts w:ascii="Arial" w:eastAsia="Times New Roman" w:hAnsi="Arial" w:cs="Arial"/>
          <w:color w:val="000000"/>
          <w:spacing w:val="2"/>
        </w:rPr>
        <w:t>. Additionally, they serve to establish structure and transparency in handling salary increases and career advancement. Moreover, they contribute to maintaining fairness and compliance, specifically by preventing instances of pay discrimination. In order to establish a new or updated pay structure, it is crucial to have a clear understanding of the foundation for any grading or categorization system being implemented</w:t>
      </w:r>
      <w:r w:rsidR="0096008F">
        <w:rPr>
          <w:rFonts w:ascii="Arial" w:eastAsia="Times New Roman" w:hAnsi="Arial" w:cs="Arial"/>
          <w:color w:val="000000"/>
          <w:spacing w:val="2"/>
        </w:rPr>
        <w:t xml:space="preserve"> (</w:t>
      </w:r>
      <w:r w:rsidR="0096008F">
        <w:rPr>
          <w:rFonts w:ascii="Arial" w:hAnsi="Arial" w:cs="Arial"/>
        </w:rPr>
        <w:t xml:space="preserve">Thomas-Wandera, </w:t>
      </w:r>
      <w:r w:rsidR="0096008F" w:rsidRPr="00964F0F">
        <w:rPr>
          <w:rFonts w:ascii="Arial" w:hAnsi="Arial" w:cs="Arial"/>
        </w:rPr>
        <w:t>2011)</w:t>
      </w:r>
      <w:r w:rsidRPr="00512329">
        <w:rPr>
          <w:rFonts w:ascii="Arial" w:eastAsia="Times New Roman" w:hAnsi="Arial" w:cs="Arial"/>
          <w:color w:val="000000"/>
          <w:spacing w:val="2"/>
        </w:rPr>
        <w:t xml:space="preserve">. </w:t>
      </w:r>
    </w:p>
    <w:p w:rsidR="00512329" w:rsidRDefault="00512329" w:rsidP="00512329">
      <w:pPr>
        <w:shd w:val="clear" w:color="auto" w:fill="FFFFFF"/>
        <w:spacing w:after="0" w:line="360" w:lineRule="auto"/>
        <w:ind w:firstLine="720"/>
        <w:jc w:val="both"/>
        <w:rPr>
          <w:rFonts w:ascii="Arial" w:eastAsia="Times New Roman" w:hAnsi="Arial" w:cs="Arial"/>
          <w:color w:val="000000"/>
          <w:spacing w:val="2"/>
        </w:rPr>
      </w:pPr>
      <w:r w:rsidRPr="00512329">
        <w:rPr>
          <w:rFonts w:ascii="Arial" w:eastAsia="Times New Roman" w:hAnsi="Arial" w:cs="Arial"/>
          <w:color w:val="000000"/>
          <w:spacing w:val="2"/>
        </w:rPr>
        <w:t>When defining and categorizing jobs within a band, the decision to prioritize either an external or internal perspective is crucial. One option is to adopt a market pricing approach, which aligns rates with those prevalent in the external labor market. Alternatively, an analytical job evaluation scheme can be implemented, placing greater emphasis on the internal dynamics and connections between jobs within the organization. Even though contemporary compensation systems strive to acknowledge and incentivize superior performance or valuable contributions, employers must still exercise restraint in managing their payroll expenses</w:t>
      </w:r>
      <w:r w:rsidR="00734651">
        <w:rPr>
          <w:rFonts w:ascii="Arial" w:eastAsia="Times New Roman" w:hAnsi="Arial" w:cs="Arial"/>
          <w:color w:val="000000"/>
          <w:spacing w:val="2"/>
        </w:rPr>
        <w:t xml:space="preserve"> (</w:t>
      </w:r>
      <w:r w:rsidR="00734651">
        <w:rPr>
          <w:rFonts w:ascii="Arial" w:hAnsi="Arial" w:cs="Arial"/>
        </w:rPr>
        <w:t>Deci &amp; Ryan, 2002)</w:t>
      </w:r>
      <w:r w:rsidRPr="00512329">
        <w:rPr>
          <w:rFonts w:ascii="Arial" w:eastAsia="Times New Roman" w:hAnsi="Arial" w:cs="Arial"/>
          <w:color w:val="000000"/>
          <w:spacing w:val="2"/>
        </w:rPr>
        <w:t>. Progression within the service is structured so that each individual can only advance by one level per year, up to a predetermined threshold. However, this system of advancement poses a potential challenge for employers when turnover rates are low and employees tend to accumulate at the highest level of each pay grade. This, in turn, can result in significant wage expenditures for the employer</w:t>
      </w:r>
      <w:r w:rsidR="0096008F">
        <w:rPr>
          <w:rFonts w:ascii="Arial" w:eastAsia="Times New Roman" w:hAnsi="Arial" w:cs="Arial"/>
          <w:color w:val="000000"/>
          <w:spacing w:val="2"/>
        </w:rPr>
        <w:t xml:space="preserve"> (</w:t>
      </w:r>
      <w:r w:rsidR="0096008F">
        <w:rPr>
          <w:rFonts w:ascii="Arial" w:hAnsi="Arial" w:cs="Arial"/>
        </w:rPr>
        <w:t>Kerin &amp; Aguirre, 2005)</w:t>
      </w:r>
      <w:r w:rsidRPr="00512329">
        <w:rPr>
          <w:rFonts w:ascii="Arial" w:eastAsia="Times New Roman" w:hAnsi="Arial" w:cs="Arial"/>
          <w:color w:val="000000"/>
          <w:spacing w:val="2"/>
        </w:rPr>
        <w:t xml:space="preserve">. </w:t>
      </w:r>
    </w:p>
    <w:p w:rsidR="00512329" w:rsidRPr="00512329" w:rsidRDefault="00512329" w:rsidP="00512329">
      <w:pPr>
        <w:shd w:val="clear" w:color="auto" w:fill="FFFFFF"/>
        <w:spacing w:after="0" w:line="360" w:lineRule="auto"/>
        <w:ind w:firstLine="720"/>
        <w:jc w:val="both"/>
        <w:rPr>
          <w:rFonts w:ascii="Arial" w:eastAsia="Times New Roman" w:hAnsi="Arial" w:cs="Arial"/>
          <w:color w:val="000000"/>
          <w:spacing w:val="2"/>
        </w:rPr>
      </w:pPr>
      <w:r w:rsidRPr="00512329">
        <w:rPr>
          <w:rFonts w:ascii="Arial" w:eastAsia="Times New Roman" w:hAnsi="Arial" w:cs="Arial"/>
          <w:color w:val="000000"/>
          <w:spacing w:val="2"/>
        </w:rPr>
        <w:t>Effective management of pay progression is of utmost significance in pay structures that offer flexibility, such as broadbanding. Numerous strategies can be employed to achieve this, some of which include: In many instances of individual performance pay systems, it is typical for employees who are deemed 'satisfactory' to advance to a designated point within their pay scale. Once they reach this point, the rate at which their pay increases diminishes. Zones are an effective method for employers utilizing a broadband system to organize their pay bands</w:t>
      </w:r>
      <w:r w:rsidR="0096008F">
        <w:rPr>
          <w:rFonts w:ascii="Arial" w:eastAsia="Times New Roman" w:hAnsi="Arial" w:cs="Arial"/>
          <w:color w:val="000000"/>
          <w:spacing w:val="2"/>
        </w:rPr>
        <w:t xml:space="preserve"> (</w:t>
      </w:r>
      <w:r w:rsidR="0096008F">
        <w:rPr>
          <w:rFonts w:ascii="Arial" w:hAnsi="Arial" w:cs="Arial"/>
        </w:rPr>
        <w:t>Lewis, 2003)</w:t>
      </w:r>
      <w:r w:rsidRPr="00512329">
        <w:rPr>
          <w:rFonts w:ascii="Arial" w:eastAsia="Times New Roman" w:hAnsi="Arial" w:cs="Arial"/>
          <w:color w:val="000000"/>
          <w:spacing w:val="2"/>
        </w:rPr>
        <w:t xml:space="preserve">. This approach involves dividing each pay band into three distinct zones. It is specified that individuals can only advance to the next zone under exceptional circumstances. Instead of consolidating pay increases, it may be beneficial to establish a </w:t>
      </w:r>
      <w:r w:rsidRPr="00512329">
        <w:rPr>
          <w:rFonts w:ascii="Arial" w:eastAsia="Times New Roman" w:hAnsi="Arial" w:cs="Arial"/>
          <w:color w:val="000000"/>
          <w:spacing w:val="2"/>
        </w:rPr>
        <w:lastRenderedPageBreak/>
        <w:t>benchmark within the salary range where cash bonuses could be awarded. This would provide an alternative approach to incentivizing employees.</w:t>
      </w:r>
    </w:p>
    <w:p w:rsidR="00512329" w:rsidRPr="00512329" w:rsidRDefault="00512329" w:rsidP="00512329">
      <w:pPr>
        <w:spacing w:after="0"/>
      </w:pPr>
    </w:p>
    <w:p w:rsidR="009A35BD" w:rsidRPr="009A35BD" w:rsidRDefault="009A35BD" w:rsidP="009A35BD">
      <w:pPr>
        <w:pStyle w:val="Heading1"/>
        <w:spacing w:before="0" w:line="360" w:lineRule="auto"/>
        <w:jc w:val="center"/>
        <w:rPr>
          <w:rFonts w:ascii="Arial" w:hAnsi="Arial" w:cs="Arial"/>
          <w:color w:val="auto"/>
          <w:sz w:val="24"/>
          <w:szCs w:val="24"/>
        </w:rPr>
      </w:pPr>
      <w:bookmarkStart w:id="6" w:name="_Toc140952257"/>
      <w:r w:rsidRPr="009A35BD">
        <w:rPr>
          <w:rFonts w:ascii="Arial" w:hAnsi="Arial" w:cs="Arial"/>
          <w:color w:val="auto"/>
          <w:sz w:val="24"/>
          <w:szCs w:val="24"/>
        </w:rPr>
        <w:t>Strategies to promote employee engagement through flexible working</w:t>
      </w:r>
      <w:bookmarkEnd w:id="6"/>
    </w:p>
    <w:p w:rsidR="009A35BD" w:rsidRDefault="009A35BD" w:rsidP="009A35BD">
      <w:pPr>
        <w:pStyle w:val="Heading1"/>
        <w:spacing w:before="0" w:line="360" w:lineRule="auto"/>
        <w:jc w:val="center"/>
        <w:rPr>
          <w:rFonts w:ascii="Arial" w:hAnsi="Arial" w:cs="Arial"/>
          <w:color w:val="auto"/>
          <w:sz w:val="24"/>
          <w:szCs w:val="24"/>
        </w:rPr>
      </w:pPr>
    </w:p>
    <w:p w:rsidR="00E61953" w:rsidRDefault="00E61953" w:rsidP="00E61953">
      <w:pPr>
        <w:shd w:val="clear" w:color="auto" w:fill="FFFFFF"/>
        <w:spacing w:after="0" w:line="360" w:lineRule="auto"/>
        <w:ind w:firstLine="720"/>
        <w:jc w:val="both"/>
        <w:rPr>
          <w:rFonts w:ascii="Arial" w:eastAsia="Times New Roman" w:hAnsi="Arial" w:cs="Arial"/>
          <w:color w:val="000000"/>
          <w:spacing w:val="2"/>
        </w:rPr>
      </w:pPr>
      <w:r w:rsidRPr="00E61953">
        <w:rPr>
          <w:rFonts w:ascii="Arial" w:eastAsia="Times New Roman" w:hAnsi="Arial" w:cs="Arial"/>
          <w:color w:val="000000"/>
          <w:spacing w:val="2"/>
        </w:rPr>
        <w:t>Leaders who successfully navigated the challenges of managing remote teams during the pandemic will now face another adjustment in their approach to enhance employee engagement. With teams spread across different locations, working on varied schedules, and in unique work arrangements, leaders must adapt once again. Given the significance of communication both prior to and during the pandemic, it comes as no shock that a robust communication strategy ranks as one of the most vital practices in the current work landscape</w:t>
      </w:r>
      <w:r w:rsidR="0096008F">
        <w:rPr>
          <w:rFonts w:ascii="Arial" w:eastAsia="Times New Roman" w:hAnsi="Arial" w:cs="Arial"/>
          <w:color w:val="000000"/>
          <w:spacing w:val="2"/>
        </w:rPr>
        <w:t xml:space="preserve">, according to </w:t>
      </w:r>
      <w:r w:rsidR="0096008F">
        <w:rPr>
          <w:rFonts w:ascii="Arial" w:hAnsi="Arial" w:cs="Arial"/>
        </w:rPr>
        <w:t>Spreitzer,</w:t>
      </w:r>
      <w:r w:rsidR="0096008F" w:rsidRPr="00964F0F">
        <w:rPr>
          <w:rFonts w:ascii="Arial" w:hAnsi="Arial" w:cs="Arial"/>
        </w:rPr>
        <w:t xml:space="preserve"> Ca</w:t>
      </w:r>
      <w:r w:rsidR="0096008F">
        <w:rPr>
          <w:rFonts w:ascii="Arial" w:hAnsi="Arial" w:cs="Arial"/>
        </w:rPr>
        <w:t>meron &amp; Garrett (2017)</w:t>
      </w:r>
      <w:r w:rsidRPr="00E61953">
        <w:rPr>
          <w:rFonts w:ascii="Arial" w:eastAsia="Times New Roman" w:hAnsi="Arial" w:cs="Arial"/>
          <w:color w:val="000000"/>
          <w:spacing w:val="2"/>
        </w:rPr>
        <w:t xml:space="preserve">. </w:t>
      </w:r>
    </w:p>
    <w:p w:rsidR="00E61953" w:rsidRDefault="00712768" w:rsidP="00E61953">
      <w:pPr>
        <w:shd w:val="clear" w:color="auto" w:fill="FFFFFF"/>
        <w:spacing w:after="0" w:line="360" w:lineRule="auto"/>
        <w:ind w:firstLine="720"/>
        <w:jc w:val="both"/>
        <w:rPr>
          <w:rFonts w:ascii="Arial" w:eastAsia="Times New Roman" w:hAnsi="Arial" w:cs="Arial"/>
          <w:color w:val="000000"/>
          <w:spacing w:val="2"/>
        </w:rPr>
      </w:pPr>
      <w:r>
        <w:rPr>
          <w:rFonts w:ascii="Arial" w:eastAsia="Times New Roman" w:hAnsi="Arial" w:cs="Arial"/>
          <w:color w:val="000000"/>
          <w:spacing w:val="2"/>
        </w:rPr>
        <w:t>O</w:t>
      </w:r>
      <w:r w:rsidR="00E61953" w:rsidRPr="00E61953">
        <w:rPr>
          <w:rFonts w:ascii="Arial" w:eastAsia="Times New Roman" w:hAnsi="Arial" w:cs="Arial"/>
          <w:color w:val="000000"/>
          <w:spacing w:val="2"/>
        </w:rPr>
        <w:t>ne-on-one meetings between managers and employees hold significant importance, particularly when individuals are working remotely or in diverse locations. These meetings enable both parties to provide feedback, ensure alignment, and remain on the same wavelength. It is important to note that due to the novelty of many flexible work arrangements, finding the optimal frequency for these meetings may require some experimentation and adjustment</w:t>
      </w:r>
      <w:r w:rsidR="0096008F">
        <w:rPr>
          <w:rFonts w:ascii="Arial" w:eastAsia="Times New Roman" w:hAnsi="Arial" w:cs="Arial"/>
          <w:color w:val="000000"/>
          <w:spacing w:val="2"/>
        </w:rPr>
        <w:t xml:space="preserve"> (</w:t>
      </w:r>
      <w:r w:rsidR="0096008F">
        <w:rPr>
          <w:rFonts w:ascii="Arial" w:hAnsi="Arial" w:cs="Arial"/>
        </w:rPr>
        <w:t>Stavrou, 2005)</w:t>
      </w:r>
      <w:r w:rsidR="00E61953" w:rsidRPr="00E61953">
        <w:rPr>
          <w:rFonts w:ascii="Arial" w:eastAsia="Times New Roman" w:hAnsi="Arial" w:cs="Arial"/>
          <w:color w:val="000000"/>
          <w:spacing w:val="2"/>
        </w:rPr>
        <w:t>. Given that employees may be situated in diverse locations and have varying work schedules or job-sharing arrangements, it is not uncommon for them to experience a sense of detachment from one another</w:t>
      </w:r>
      <w:r w:rsidR="0096008F">
        <w:rPr>
          <w:rFonts w:ascii="Arial" w:eastAsia="Times New Roman" w:hAnsi="Arial" w:cs="Arial"/>
          <w:color w:val="000000"/>
          <w:spacing w:val="2"/>
        </w:rPr>
        <w:t xml:space="preserve"> (</w:t>
      </w:r>
      <w:r w:rsidR="0096008F" w:rsidRPr="00964F0F">
        <w:rPr>
          <w:rFonts w:ascii="Arial" w:hAnsi="Arial" w:cs="Arial"/>
        </w:rPr>
        <w:t>Van Dyne,</w:t>
      </w:r>
      <w:r w:rsidR="0096008F">
        <w:rPr>
          <w:rFonts w:ascii="Arial" w:hAnsi="Arial" w:cs="Arial"/>
        </w:rPr>
        <w:t xml:space="preserve"> Kossek &amp; Lobel, 2007)</w:t>
      </w:r>
      <w:r w:rsidR="00E61953" w:rsidRPr="00E61953">
        <w:rPr>
          <w:rFonts w:ascii="Arial" w:eastAsia="Times New Roman" w:hAnsi="Arial" w:cs="Arial"/>
          <w:color w:val="000000"/>
          <w:spacing w:val="2"/>
        </w:rPr>
        <w:t xml:space="preserve">. </w:t>
      </w:r>
    </w:p>
    <w:p w:rsidR="00E61953" w:rsidRDefault="00E61953" w:rsidP="00E61953">
      <w:pPr>
        <w:shd w:val="clear" w:color="auto" w:fill="FFFFFF"/>
        <w:spacing w:after="0" w:line="360" w:lineRule="auto"/>
        <w:ind w:firstLine="720"/>
        <w:jc w:val="both"/>
        <w:rPr>
          <w:rFonts w:ascii="Arial" w:eastAsia="Times New Roman" w:hAnsi="Arial" w:cs="Arial"/>
          <w:color w:val="000000"/>
          <w:spacing w:val="2"/>
        </w:rPr>
      </w:pPr>
      <w:r w:rsidRPr="00E61953">
        <w:rPr>
          <w:rFonts w:ascii="Arial" w:eastAsia="Times New Roman" w:hAnsi="Arial" w:cs="Arial"/>
          <w:color w:val="000000"/>
          <w:spacing w:val="2"/>
        </w:rPr>
        <w:t>This is particularly true for individuals who do not routinely commute to the office. Thankfully, leaders have the capacity to address this issue by utilizing specific techniques and resources that promote teamwork and a sense of unity among teams. Maintaining alignment on goals and work progress can be challenging in a diverse workforce with varying schedules and locations</w:t>
      </w:r>
      <w:r w:rsidR="00734651">
        <w:rPr>
          <w:rFonts w:ascii="Arial" w:eastAsia="Times New Roman" w:hAnsi="Arial" w:cs="Arial"/>
          <w:color w:val="000000"/>
          <w:spacing w:val="2"/>
        </w:rPr>
        <w:t xml:space="preserve"> (</w:t>
      </w:r>
      <w:r w:rsidR="00734651">
        <w:rPr>
          <w:rFonts w:ascii="Arial" w:hAnsi="Arial" w:cs="Arial"/>
        </w:rPr>
        <w:t>Dessler, 2008)</w:t>
      </w:r>
      <w:r w:rsidRPr="00E61953">
        <w:rPr>
          <w:rFonts w:ascii="Arial" w:eastAsia="Times New Roman" w:hAnsi="Arial" w:cs="Arial"/>
          <w:color w:val="000000"/>
          <w:spacing w:val="2"/>
        </w:rPr>
        <w:t>. Nevertheless, by utilizing the existing technology, it is possible to establish team dashboards that provide visibility on ongoing projects and team members' assignments. This allows the entire team to have a comprehensive understanding of each individual's contributions and the progress made towards achieving objectives, regardless of their work time or location</w:t>
      </w:r>
      <w:r w:rsidR="00734651">
        <w:rPr>
          <w:rFonts w:ascii="Arial" w:eastAsia="Times New Roman" w:hAnsi="Arial" w:cs="Arial"/>
          <w:color w:val="000000"/>
          <w:spacing w:val="2"/>
        </w:rPr>
        <w:t xml:space="preserve"> (</w:t>
      </w:r>
      <w:r w:rsidR="0096008F">
        <w:rPr>
          <w:rFonts w:ascii="Arial" w:hAnsi="Arial" w:cs="Arial"/>
        </w:rPr>
        <w:t xml:space="preserve">Hashim, Ullah &amp; Khan, </w:t>
      </w:r>
      <w:r w:rsidR="00734651">
        <w:rPr>
          <w:rFonts w:ascii="Arial" w:hAnsi="Arial" w:cs="Arial"/>
        </w:rPr>
        <w:t>2017)</w:t>
      </w:r>
      <w:r w:rsidRPr="00E61953">
        <w:rPr>
          <w:rFonts w:ascii="Arial" w:eastAsia="Times New Roman" w:hAnsi="Arial" w:cs="Arial"/>
          <w:color w:val="000000"/>
          <w:spacing w:val="2"/>
        </w:rPr>
        <w:t xml:space="preserve">. </w:t>
      </w:r>
    </w:p>
    <w:p w:rsidR="00E61953" w:rsidRPr="00E61953" w:rsidRDefault="00E61953" w:rsidP="00E61953">
      <w:pPr>
        <w:shd w:val="clear" w:color="auto" w:fill="FFFFFF"/>
        <w:spacing w:after="0" w:line="360" w:lineRule="auto"/>
        <w:ind w:firstLine="720"/>
        <w:jc w:val="both"/>
        <w:rPr>
          <w:rFonts w:ascii="Arial" w:eastAsia="Times New Roman" w:hAnsi="Arial" w:cs="Arial"/>
          <w:color w:val="000000"/>
          <w:spacing w:val="2"/>
        </w:rPr>
      </w:pPr>
      <w:r w:rsidRPr="00E61953">
        <w:rPr>
          <w:rFonts w:ascii="Arial" w:eastAsia="Times New Roman" w:hAnsi="Arial" w:cs="Arial"/>
          <w:color w:val="000000"/>
          <w:spacing w:val="2"/>
        </w:rPr>
        <w:t xml:space="preserve">Digital project management dashboards also serve as an effective tool for task allocation, target tracking, and idea sharing. The current global health crisis has accelerated the adoption of flexible work models, which are now becoming the standard and an essential component </w:t>
      </w:r>
      <w:r w:rsidR="0096008F">
        <w:rPr>
          <w:rFonts w:ascii="Arial" w:eastAsia="Times New Roman" w:hAnsi="Arial" w:cs="Arial"/>
          <w:color w:val="000000"/>
          <w:spacing w:val="2"/>
        </w:rPr>
        <w:t>of</w:t>
      </w:r>
      <w:r w:rsidRPr="00E61953">
        <w:rPr>
          <w:rFonts w:ascii="Arial" w:eastAsia="Times New Roman" w:hAnsi="Arial" w:cs="Arial"/>
          <w:color w:val="000000"/>
          <w:spacing w:val="2"/>
        </w:rPr>
        <w:t xml:space="preserve"> work</w:t>
      </w:r>
      <w:r w:rsidR="0096008F">
        <w:rPr>
          <w:rFonts w:ascii="Arial" w:eastAsia="Times New Roman" w:hAnsi="Arial" w:cs="Arial"/>
          <w:color w:val="000000"/>
          <w:spacing w:val="2"/>
        </w:rPr>
        <w:t xml:space="preserve"> (</w:t>
      </w:r>
      <w:r w:rsidR="0096008F">
        <w:rPr>
          <w:rFonts w:ascii="Arial" w:hAnsi="Arial" w:cs="Arial"/>
        </w:rPr>
        <w:t>Zeytinoglu,</w:t>
      </w:r>
      <w:r w:rsidR="0096008F" w:rsidRPr="00964F0F">
        <w:rPr>
          <w:rFonts w:ascii="Arial" w:hAnsi="Arial" w:cs="Arial"/>
        </w:rPr>
        <w:t xml:space="preserve"> Coo</w:t>
      </w:r>
      <w:r w:rsidR="0096008F">
        <w:rPr>
          <w:rFonts w:ascii="Arial" w:hAnsi="Arial" w:cs="Arial"/>
        </w:rPr>
        <w:t>ke &amp; Mann, 2009)</w:t>
      </w:r>
      <w:r w:rsidRPr="00E61953">
        <w:rPr>
          <w:rFonts w:ascii="Arial" w:eastAsia="Times New Roman" w:hAnsi="Arial" w:cs="Arial"/>
          <w:color w:val="000000"/>
          <w:spacing w:val="2"/>
        </w:rPr>
        <w:t xml:space="preserve">. The work practices that have been established during these crucial months will shape the future of flexible work beyond the </w:t>
      </w:r>
      <w:r w:rsidRPr="00E61953">
        <w:rPr>
          <w:rFonts w:ascii="Arial" w:eastAsia="Times New Roman" w:hAnsi="Arial" w:cs="Arial"/>
          <w:color w:val="000000"/>
          <w:spacing w:val="2"/>
        </w:rPr>
        <w:lastRenderedPageBreak/>
        <w:t>pandemic. In this future, effective leaders will recognize the significance of communication, collaboration, and connectivity in fostering sustainable team engagement, productivity, and a positive work culture.</w:t>
      </w:r>
    </w:p>
    <w:p w:rsidR="00E61953" w:rsidRPr="00E61953" w:rsidRDefault="00E61953" w:rsidP="00E61953">
      <w:pPr>
        <w:spacing w:after="0"/>
      </w:pPr>
    </w:p>
    <w:p w:rsidR="009A35BD" w:rsidRPr="009A35BD" w:rsidRDefault="009A35BD" w:rsidP="009A35BD">
      <w:pPr>
        <w:pStyle w:val="Heading1"/>
        <w:spacing w:before="0" w:line="360" w:lineRule="auto"/>
        <w:jc w:val="center"/>
        <w:rPr>
          <w:rFonts w:ascii="Arial" w:hAnsi="Arial" w:cs="Arial"/>
          <w:color w:val="auto"/>
          <w:sz w:val="24"/>
          <w:szCs w:val="24"/>
        </w:rPr>
      </w:pPr>
      <w:bookmarkStart w:id="7" w:name="_Toc140952258"/>
      <w:r w:rsidRPr="009A35BD">
        <w:rPr>
          <w:rFonts w:ascii="Arial" w:hAnsi="Arial" w:cs="Arial"/>
          <w:color w:val="auto"/>
          <w:sz w:val="24"/>
          <w:szCs w:val="24"/>
        </w:rPr>
        <w:t>Conclusion</w:t>
      </w:r>
      <w:bookmarkEnd w:id="7"/>
    </w:p>
    <w:p w:rsidR="009A35BD" w:rsidRDefault="009A35BD" w:rsidP="009A35BD">
      <w:pPr>
        <w:pStyle w:val="Heading1"/>
        <w:spacing w:before="0" w:line="360" w:lineRule="auto"/>
        <w:jc w:val="center"/>
        <w:rPr>
          <w:rFonts w:ascii="Arial" w:hAnsi="Arial" w:cs="Arial"/>
          <w:color w:val="auto"/>
          <w:sz w:val="24"/>
          <w:szCs w:val="24"/>
        </w:rPr>
      </w:pPr>
    </w:p>
    <w:p w:rsidR="0022020F" w:rsidRDefault="006561A3" w:rsidP="006561A3">
      <w:pPr>
        <w:shd w:val="clear" w:color="auto" w:fill="FFFFFF"/>
        <w:spacing w:after="0" w:line="360" w:lineRule="auto"/>
        <w:ind w:firstLine="720"/>
        <w:jc w:val="both"/>
        <w:rPr>
          <w:rFonts w:ascii="Arial" w:eastAsia="Times New Roman" w:hAnsi="Arial" w:cs="Arial"/>
          <w:color w:val="000000"/>
          <w:spacing w:val="2"/>
        </w:rPr>
      </w:pPr>
      <w:r w:rsidRPr="006561A3">
        <w:rPr>
          <w:rFonts w:ascii="Arial" w:eastAsia="Times New Roman" w:hAnsi="Arial" w:cs="Arial"/>
          <w:color w:val="000000"/>
          <w:spacing w:val="2"/>
        </w:rPr>
        <w:t xml:space="preserve">GreenCo must actively seek out ways to implement Flexible Work Arrangements (FWA) that yield positive outcomes for the organization. These outcomes include reducing absenteeism, turnover, and employee misconduct, while also striving to enhance performance. </w:t>
      </w:r>
    </w:p>
    <w:p w:rsidR="0022020F" w:rsidRDefault="006561A3" w:rsidP="006561A3">
      <w:pPr>
        <w:shd w:val="clear" w:color="auto" w:fill="FFFFFF"/>
        <w:spacing w:after="0" w:line="360" w:lineRule="auto"/>
        <w:ind w:firstLine="720"/>
        <w:jc w:val="both"/>
        <w:rPr>
          <w:rFonts w:ascii="Arial" w:eastAsia="Times New Roman" w:hAnsi="Arial" w:cs="Arial"/>
          <w:color w:val="000000"/>
          <w:spacing w:val="2"/>
        </w:rPr>
      </w:pPr>
      <w:r w:rsidRPr="006561A3">
        <w:rPr>
          <w:rFonts w:ascii="Arial" w:eastAsia="Times New Roman" w:hAnsi="Arial" w:cs="Arial"/>
          <w:color w:val="000000"/>
          <w:spacing w:val="2"/>
        </w:rPr>
        <w:t xml:space="preserve">Therefore, it is imperative to create and develop FWA options that align with the needs of both employers and employees, thus improving both employee quality of life and organizational performance. This importance cannot be overstated. In order to promote a healthy work-life balance and foster employee satisfaction, GreenCo should adopt employee-driven flexible work arrangements. These arrangements have been proven to have a positive impact on employee abilities, interests, and enthusiasm towards their jobs within the organization. As a result, this leads to improved performance. Considering the transformative effects of information and communications technology (ICT) and associated devices on traditional work practices, it is crucial for GreenCo to heed this important call. Enhancing both performances and productivity. </w:t>
      </w:r>
    </w:p>
    <w:p w:rsidR="006561A3" w:rsidRPr="006561A3" w:rsidRDefault="006561A3" w:rsidP="006561A3">
      <w:pPr>
        <w:shd w:val="clear" w:color="auto" w:fill="FFFFFF"/>
        <w:spacing w:after="0" w:line="360" w:lineRule="auto"/>
        <w:ind w:firstLine="720"/>
        <w:jc w:val="both"/>
        <w:rPr>
          <w:rFonts w:ascii="Arial" w:eastAsia="Times New Roman" w:hAnsi="Arial" w:cs="Arial"/>
          <w:color w:val="000000"/>
          <w:spacing w:val="2"/>
        </w:rPr>
      </w:pPr>
      <w:r w:rsidRPr="006561A3">
        <w:rPr>
          <w:rFonts w:ascii="Arial" w:eastAsia="Times New Roman" w:hAnsi="Arial" w:cs="Arial"/>
          <w:color w:val="000000"/>
          <w:spacing w:val="2"/>
        </w:rPr>
        <w:t xml:space="preserve">To establish the veracity of the claim that the impact of flexible work arrangements (FWA) on organizational performance is contingent upon the primary beneficiary, further investigation into the ramifications of both employee-driven and employer-driven FWAs is imperative. Additional research is required to ascertain the varying effects of these arrangements on overall organizational effectiveness. </w:t>
      </w:r>
    </w:p>
    <w:p w:rsidR="00712768" w:rsidRDefault="00712768" w:rsidP="009A35BD">
      <w:pPr>
        <w:pStyle w:val="Heading1"/>
        <w:spacing w:before="0" w:line="360" w:lineRule="auto"/>
        <w:jc w:val="center"/>
        <w:rPr>
          <w:rFonts w:ascii="Arial" w:hAnsi="Arial" w:cs="Arial"/>
          <w:color w:val="auto"/>
          <w:sz w:val="24"/>
          <w:szCs w:val="24"/>
        </w:rPr>
      </w:pPr>
    </w:p>
    <w:p w:rsidR="00712768" w:rsidRDefault="00712768" w:rsidP="00712768"/>
    <w:p w:rsidR="00712768" w:rsidRDefault="00712768" w:rsidP="00712768"/>
    <w:p w:rsidR="00712768" w:rsidRDefault="00712768" w:rsidP="00712768"/>
    <w:p w:rsidR="00712768" w:rsidRDefault="00712768" w:rsidP="00712768"/>
    <w:p w:rsidR="00712768" w:rsidRDefault="00712768" w:rsidP="00712768"/>
    <w:p w:rsidR="00712768" w:rsidRPr="00712768" w:rsidRDefault="00712768" w:rsidP="00712768"/>
    <w:p w:rsidR="009A35BD" w:rsidRDefault="009A35BD" w:rsidP="009A35BD">
      <w:pPr>
        <w:pStyle w:val="Heading1"/>
        <w:spacing w:before="0" w:line="360" w:lineRule="auto"/>
        <w:jc w:val="center"/>
        <w:rPr>
          <w:rFonts w:ascii="Arial" w:hAnsi="Arial" w:cs="Arial"/>
          <w:color w:val="auto"/>
          <w:sz w:val="24"/>
          <w:szCs w:val="24"/>
        </w:rPr>
      </w:pPr>
      <w:bookmarkStart w:id="8" w:name="_Toc140952259"/>
      <w:r w:rsidRPr="009A35BD">
        <w:rPr>
          <w:rFonts w:ascii="Arial" w:hAnsi="Arial" w:cs="Arial"/>
          <w:color w:val="auto"/>
          <w:sz w:val="24"/>
          <w:szCs w:val="24"/>
        </w:rPr>
        <w:lastRenderedPageBreak/>
        <w:t>References</w:t>
      </w:r>
      <w:bookmarkEnd w:id="8"/>
    </w:p>
    <w:p w:rsidR="004640C1" w:rsidRDefault="004640C1" w:rsidP="004640C1"/>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t>Avery, C.</w:t>
      </w:r>
      <w:r w:rsidR="00712768">
        <w:rPr>
          <w:rFonts w:ascii="Arial" w:hAnsi="Arial" w:cs="Arial"/>
        </w:rPr>
        <w:t xml:space="preserve"> </w:t>
      </w:r>
      <w:r w:rsidRPr="00964F0F">
        <w:rPr>
          <w:rFonts w:ascii="Arial" w:hAnsi="Arial" w:cs="Arial"/>
        </w:rPr>
        <w:t>&amp;</w:t>
      </w:r>
      <w:r w:rsidR="00712768">
        <w:rPr>
          <w:rFonts w:ascii="Arial" w:hAnsi="Arial" w:cs="Arial"/>
        </w:rPr>
        <w:t xml:space="preserve"> </w:t>
      </w:r>
      <w:r w:rsidRPr="00964F0F">
        <w:rPr>
          <w:rFonts w:ascii="Arial" w:hAnsi="Arial" w:cs="Arial"/>
        </w:rPr>
        <w:t>Zabel</w:t>
      </w:r>
      <w:r w:rsidR="00964F0F">
        <w:rPr>
          <w:rFonts w:ascii="Arial" w:hAnsi="Arial" w:cs="Arial"/>
        </w:rPr>
        <w:t>, D. (2001)</w:t>
      </w:r>
      <w:r w:rsidRPr="00964F0F">
        <w:rPr>
          <w:rFonts w:ascii="Arial" w:hAnsi="Arial" w:cs="Arial"/>
        </w:rPr>
        <w:t xml:space="preserve"> </w:t>
      </w:r>
      <w:r w:rsidRPr="00964F0F">
        <w:rPr>
          <w:rFonts w:ascii="Arial" w:hAnsi="Arial" w:cs="Arial"/>
          <w:i/>
        </w:rPr>
        <w:t>The flexible workplace: A sourcebook of information and research</w:t>
      </w:r>
      <w:r w:rsidRPr="00964F0F">
        <w:rPr>
          <w:rFonts w:ascii="Arial" w:hAnsi="Arial" w:cs="Arial"/>
        </w:rPr>
        <w:t>. Westport, CT: Quorum</w:t>
      </w:r>
    </w:p>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t>Bat</w:t>
      </w:r>
      <w:r w:rsidR="00964F0F">
        <w:rPr>
          <w:rFonts w:ascii="Arial" w:hAnsi="Arial" w:cs="Arial"/>
        </w:rPr>
        <w:t>tisti, M., &amp;</w:t>
      </w:r>
      <w:r w:rsidR="00712768">
        <w:rPr>
          <w:rFonts w:ascii="Arial" w:hAnsi="Arial" w:cs="Arial"/>
        </w:rPr>
        <w:t xml:space="preserve"> </w:t>
      </w:r>
      <w:r w:rsidR="00964F0F">
        <w:rPr>
          <w:rFonts w:ascii="Arial" w:hAnsi="Arial" w:cs="Arial"/>
        </w:rPr>
        <w:t>Vallanti, G. (2013)</w:t>
      </w:r>
      <w:r w:rsidRPr="00964F0F">
        <w:rPr>
          <w:rFonts w:ascii="Arial" w:hAnsi="Arial" w:cs="Arial"/>
        </w:rPr>
        <w:t xml:space="preserve"> Flexible wage contracts, temporary jobs, and firm performance: Evidence from Italian firms. </w:t>
      </w:r>
      <w:r w:rsidRPr="00964F0F">
        <w:rPr>
          <w:rFonts w:ascii="Arial" w:hAnsi="Arial" w:cs="Arial"/>
          <w:i/>
        </w:rPr>
        <w:t>Industrial Relations</w:t>
      </w:r>
      <w:r w:rsidRPr="00964F0F">
        <w:rPr>
          <w:rFonts w:ascii="Arial" w:hAnsi="Arial" w:cs="Arial"/>
        </w:rPr>
        <w:t>, 52(3): 737–764</w:t>
      </w:r>
    </w:p>
    <w:p w:rsidR="004640C1" w:rsidRPr="00964F0F" w:rsidRDefault="00964F0F" w:rsidP="00964F0F">
      <w:pPr>
        <w:pStyle w:val="ListParagraph"/>
        <w:numPr>
          <w:ilvl w:val="0"/>
          <w:numId w:val="1"/>
        </w:numPr>
        <w:spacing w:after="0" w:line="360" w:lineRule="auto"/>
        <w:jc w:val="both"/>
        <w:rPr>
          <w:rFonts w:ascii="Arial" w:hAnsi="Arial" w:cs="Arial"/>
        </w:rPr>
      </w:pPr>
      <w:r>
        <w:rPr>
          <w:rFonts w:ascii="Arial" w:hAnsi="Arial" w:cs="Arial"/>
        </w:rPr>
        <w:t>Chung, H. (2009)</w:t>
      </w:r>
      <w:r w:rsidR="004640C1" w:rsidRPr="00964F0F">
        <w:rPr>
          <w:rFonts w:ascii="Arial" w:hAnsi="Arial" w:cs="Arial"/>
        </w:rPr>
        <w:t xml:space="preserve"> </w:t>
      </w:r>
      <w:r w:rsidR="004640C1" w:rsidRPr="00964F0F">
        <w:rPr>
          <w:rFonts w:ascii="Arial" w:hAnsi="Arial" w:cs="Arial"/>
          <w:i/>
        </w:rPr>
        <w:t>Flexibility for whom? Working time flexibility practices of European companies</w:t>
      </w:r>
      <w:r w:rsidR="004640C1" w:rsidRPr="00964F0F">
        <w:rPr>
          <w:rFonts w:ascii="Arial" w:hAnsi="Arial" w:cs="Arial"/>
        </w:rPr>
        <w:t>, Tilburg University, Tilburg</w:t>
      </w:r>
    </w:p>
    <w:p w:rsidR="004640C1" w:rsidRPr="00964F0F" w:rsidRDefault="00964F0F" w:rsidP="00964F0F">
      <w:pPr>
        <w:pStyle w:val="ListParagraph"/>
        <w:numPr>
          <w:ilvl w:val="0"/>
          <w:numId w:val="1"/>
        </w:numPr>
        <w:spacing w:after="0" w:line="360" w:lineRule="auto"/>
        <w:jc w:val="both"/>
        <w:rPr>
          <w:rFonts w:ascii="Arial" w:hAnsi="Arial" w:cs="Arial"/>
        </w:rPr>
      </w:pPr>
      <w:r>
        <w:rPr>
          <w:rFonts w:ascii="Arial" w:hAnsi="Arial" w:cs="Arial"/>
        </w:rPr>
        <w:t>Deci, E &amp; Ryan, R (2002)</w:t>
      </w:r>
      <w:r w:rsidR="004640C1" w:rsidRPr="00964F0F">
        <w:rPr>
          <w:rFonts w:ascii="Arial" w:hAnsi="Arial" w:cs="Arial"/>
        </w:rPr>
        <w:t xml:space="preserve"> (eds) </w:t>
      </w:r>
      <w:r w:rsidR="004640C1" w:rsidRPr="00964F0F">
        <w:rPr>
          <w:rFonts w:ascii="Arial" w:hAnsi="Arial" w:cs="Arial"/>
          <w:i/>
        </w:rPr>
        <w:t>Handbook of self-determination research</w:t>
      </w:r>
      <w:r w:rsidR="004640C1" w:rsidRPr="00964F0F">
        <w:rPr>
          <w:rFonts w:ascii="Arial" w:hAnsi="Arial" w:cs="Arial"/>
        </w:rPr>
        <w:t>. Rochester, NY: University of Rochester Press</w:t>
      </w:r>
    </w:p>
    <w:p w:rsidR="004640C1" w:rsidRPr="00964F0F" w:rsidRDefault="00964F0F" w:rsidP="00964F0F">
      <w:pPr>
        <w:pStyle w:val="ListParagraph"/>
        <w:numPr>
          <w:ilvl w:val="0"/>
          <w:numId w:val="1"/>
        </w:numPr>
        <w:spacing w:after="0" w:line="360" w:lineRule="auto"/>
        <w:jc w:val="both"/>
        <w:rPr>
          <w:rFonts w:ascii="Arial" w:hAnsi="Arial" w:cs="Arial"/>
        </w:rPr>
      </w:pPr>
      <w:r>
        <w:rPr>
          <w:rFonts w:ascii="Arial" w:hAnsi="Arial" w:cs="Arial"/>
        </w:rPr>
        <w:t>Dessler, G. (2008)</w:t>
      </w:r>
      <w:r w:rsidR="004640C1" w:rsidRPr="00964F0F">
        <w:rPr>
          <w:rFonts w:ascii="Arial" w:hAnsi="Arial" w:cs="Arial"/>
        </w:rPr>
        <w:t xml:space="preserve"> </w:t>
      </w:r>
      <w:r w:rsidR="004640C1" w:rsidRPr="00964F0F">
        <w:rPr>
          <w:rFonts w:ascii="Arial" w:hAnsi="Arial" w:cs="Arial"/>
          <w:i/>
        </w:rPr>
        <w:t>Human resource management</w:t>
      </w:r>
      <w:r w:rsidR="004640C1" w:rsidRPr="00964F0F">
        <w:rPr>
          <w:rFonts w:ascii="Arial" w:hAnsi="Arial" w:cs="Arial"/>
        </w:rPr>
        <w:t>. New Jersey: Pearson Education Limited</w:t>
      </w:r>
    </w:p>
    <w:p w:rsidR="004640C1" w:rsidRPr="00964F0F" w:rsidRDefault="0096008F" w:rsidP="00964F0F">
      <w:pPr>
        <w:pStyle w:val="ListParagraph"/>
        <w:numPr>
          <w:ilvl w:val="0"/>
          <w:numId w:val="1"/>
        </w:numPr>
        <w:spacing w:after="0" w:line="360" w:lineRule="auto"/>
        <w:jc w:val="both"/>
        <w:rPr>
          <w:rFonts w:ascii="Arial" w:hAnsi="Arial" w:cs="Arial"/>
        </w:rPr>
      </w:pPr>
      <w:r>
        <w:rPr>
          <w:rFonts w:ascii="Arial" w:hAnsi="Arial" w:cs="Arial"/>
        </w:rPr>
        <w:t>Hashim,</w:t>
      </w:r>
      <w:r w:rsidR="00DB4280">
        <w:rPr>
          <w:rFonts w:ascii="Arial" w:hAnsi="Arial" w:cs="Arial"/>
        </w:rPr>
        <w:t xml:space="preserve"> M, Ullah. M</w:t>
      </w:r>
      <w:r>
        <w:rPr>
          <w:rFonts w:ascii="Arial" w:hAnsi="Arial" w:cs="Arial"/>
        </w:rPr>
        <w:t>. &amp; Khan,</w:t>
      </w:r>
      <w:r w:rsidR="00DB4280">
        <w:rPr>
          <w:rFonts w:ascii="Arial" w:hAnsi="Arial" w:cs="Arial"/>
        </w:rPr>
        <w:t xml:space="preserve"> M.</w:t>
      </w:r>
      <w:r>
        <w:rPr>
          <w:rFonts w:ascii="Arial" w:hAnsi="Arial" w:cs="Arial"/>
        </w:rPr>
        <w:t xml:space="preserve"> </w:t>
      </w:r>
      <w:r w:rsidR="00DB4280">
        <w:rPr>
          <w:rFonts w:ascii="Arial" w:hAnsi="Arial" w:cs="Arial"/>
        </w:rPr>
        <w:t>A</w:t>
      </w:r>
      <w:r>
        <w:rPr>
          <w:rFonts w:ascii="Arial" w:hAnsi="Arial" w:cs="Arial"/>
        </w:rPr>
        <w:t>.</w:t>
      </w:r>
      <w:r w:rsidR="00DB4280">
        <w:rPr>
          <w:rFonts w:ascii="Arial" w:hAnsi="Arial" w:cs="Arial"/>
        </w:rPr>
        <w:t xml:space="preserve"> (2017)</w:t>
      </w:r>
      <w:r w:rsidR="004640C1" w:rsidRPr="00964F0F">
        <w:rPr>
          <w:rFonts w:ascii="Arial" w:hAnsi="Arial" w:cs="Arial"/>
        </w:rPr>
        <w:t xml:space="preserve"> Impact of Time Flexibility on Employees’ Performance: A study of Teaching Faculty in Government Colleges of Management Sciences, </w:t>
      </w:r>
      <w:r w:rsidR="00DB4280">
        <w:rPr>
          <w:rFonts w:ascii="Arial" w:hAnsi="Arial" w:cs="Arial"/>
        </w:rPr>
        <w:t xml:space="preserve">Peshawa. </w:t>
      </w:r>
      <w:r w:rsidR="004640C1" w:rsidRPr="00DB4280">
        <w:rPr>
          <w:rFonts w:ascii="Arial" w:hAnsi="Arial" w:cs="Arial"/>
          <w:i/>
        </w:rPr>
        <w:t>City University Research Journal</w:t>
      </w:r>
      <w:r w:rsidR="004640C1" w:rsidRPr="00964F0F">
        <w:rPr>
          <w:rFonts w:ascii="Arial" w:hAnsi="Arial" w:cs="Arial"/>
        </w:rPr>
        <w:t>. 206-207</w:t>
      </w:r>
    </w:p>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t>Kattenbach, R., Demerouti, E., &amp;</w:t>
      </w:r>
      <w:r w:rsidR="00DB4280">
        <w:rPr>
          <w:rFonts w:ascii="Arial" w:hAnsi="Arial" w:cs="Arial"/>
        </w:rPr>
        <w:t xml:space="preserve"> Nachreiner, F. (2010)</w:t>
      </w:r>
      <w:r w:rsidRPr="00964F0F">
        <w:rPr>
          <w:rFonts w:ascii="Arial" w:hAnsi="Arial" w:cs="Arial"/>
        </w:rPr>
        <w:t xml:space="preserve"> Flexible working times: Effects on employees' exhaustion, work-non-work conflict and job performance. </w:t>
      </w:r>
      <w:r w:rsidRPr="00DB4280">
        <w:rPr>
          <w:rFonts w:ascii="Arial" w:hAnsi="Arial" w:cs="Arial"/>
          <w:i/>
        </w:rPr>
        <w:t>Career Development International</w:t>
      </w:r>
      <w:r w:rsidRPr="00964F0F">
        <w:rPr>
          <w:rFonts w:ascii="Arial" w:hAnsi="Arial" w:cs="Arial"/>
        </w:rPr>
        <w:t>, 15(3): 279–295</w:t>
      </w:r>
    </w:p>
    <w:p w:rsidR="004640C1" w:rsidRPr="00964F0F" w:rsidRDefault="00DB4280" w:rsidP="00964F0F">
      <w:pPr>
        <w:pStyle w:val="ListParagraph"/>
        <w:numPr>
          <w:ilvl w:val="0"/>
          <w:numId w:val="1"/>
        </w:numPr>
        <w:spacing w:after="0" w:line="360" w:lineRule="auto"/>
        <w:jc w:val="both"/>
        <w:rPr>
          <w:rFonts w:ascii="Arial" w:hAnsi="Arial" w:cs="Arial"/>
        </w:rPr>
      </w:pPr>
      <w:r>
        <w:rPr>
          <w:rFonts w:ascii="Arial" w:hAnsi="Arial" w:cs="Arial"/>
        </w:rPr>
        <w:t xml:space="preserve">Kerin, A. &amp; Aguirre,A. (2005) </w:t>
      </w:r>
      <w:r w:rsidR="004640C1" w:rsidRPr="00964F0F">
        <w:rPr>
          <w:rFonts w:ascii="Arial" w:hAnsi="Arial" w:cs="Arial"/>
        </w:rPr>
        <w:t xml:space="preserve">Improving health, safety and profits in extended hours’ operations (shiftwork). </w:t>
      </w:r>
      <w:r w:rsidR="004640C1" w:rsidRPr="00DB4280">
        <w:rPr>
          <w:rFonts w:ascii="Arial" w:hAnsi="Arial" w:cs="Arial"/>
          <w:i/>
        </w:rPr>
        <w:t>Industrial Health</w:t>
      </w:r>
      <w:r w:rsidR="004640C1" w:rsidRPr="00964F0F">
        <w:rPr>
          <w:rFonts w:ascii="Arial" w:hAnsi="Arial" w:cs="Arial"/>
        </w:rPr>
        <w:t>, 43(1): 201–208</w:t>
      </w:r>
    </w:p>
    <w:p w:rsidR="004640C1" w:rsidRPr="00964F0F" w:rsidRDefault="00DB4280" w:rsidP="00964F0F">
      <w:pPr>
        <w:pStyle w:val="ListParagraph"/>
        <w:numPr>
          <w:ilvl w:val="0"/>
          <w:numId w:val="1"/>
        </w:numPr>
        <w:spacing w:after="0" w:line="360" w:lineRule="auto"/>
        <w:jc w:val="both"/>
        <w:rPr>
          <w:rFonts w:ascii="Arial" w:hAnsi="Arial" w:cs="Arial"/>
        </w:rPr>
      </w:pPr>
      <w:r>
        <w:rPr>
          <w:rFonts w:ascii="Arial" w:hAnsi="Arial" w:cs="Arial"/>
        </w:rPr>
        <w:t>Kottey, B. &amp; Sharma, B. (2016)</w:t>
      </w:r>
      <w:r w:rsidR="004640C1" w:rsidRPr="00964F0F">
        <w:rPr>
          <w:rFonts w:ascii="Arial" w:hAnsi="Arial" w:cs="Arial"/>
        </w:rPr>
        <w:t xml:space="preserve"> Predictors of flexible working arrangement, provision in small and medium en</w:t>
      </w:r>
      <w:r>
        <w:rPr>
          <w:rFonts w:ascii="Arial" w:hAnsi="Arial" w:cs="Arial"/>
        </w:rPr>
        <w:t xml:space="preserve">terprises (SMEs). </w:t>
      </w:r>
      <w:r w:rsidR="004640C1" w:rsidRPr="00DB4280">
        <w:rPr>
          <w:rFonts w:ascii="Arial" w:hAnsi="Arial" w:cs="Arial"/>
          <w:i/>
        </w:rPr>
        <w:t>The International Journal of Human Resource Management</w:t>
      </w:r>
      <w:r w:rsidR="004640C1" w:rsidRPr="00964F0F">
        <w:rPr>
          <w:rFonts w:ascii="Arial" w:hAnsi="Arial" w:cs="Arial"/>
        </w:rPr>
        <w:t>, 27(22): 2753– 2770</w:t>
      </w:r>
    </w:p>
    <w:p w:rsidR="004640C1" w:rsidRPr="00964F0F" w:rsidRDefault="00DB4280" w:rsidP="00964F0F">
      <w:pPr>
        <w:pStyle w:val="ListParagraph"/>
        <w:numPr>
          <w:ilvl w:val="0"/>
          <w:numId w:val="1"/>
        </w:numPr>
        <w:spacing w:after="0" w:line="360" w:lineRule="auto"/>
        <w:jc w:val="both"/>
        <w:rPr>
          <w:rFonts w:ascii="Arial" w:hAnsi="Arial" w:cs="Arial"/>
        </w:rPr>
      </w:pPr>
      <w:r>
        <w:rPr>
          <w:rFonts w:ascii="Arial" w:hAnsi="Arial" w:cs="Arial"/>
        </w:rPr>
        <w:t>Lewis, S. (2003)</w:t>
      </w:r>
      <w:r w:rsidR="004640C1" w:rsidRPr="00964F0F">
        <w:rPr>
          <w:rFonts w:ascii="Arial" w:hAnsi="Arial" w:cs="Arial"/>
        </w:rPr>
        <w:t xml:space="preserve"> Flexible Working arrangements: Implementation, outcomes, and management. In C</w:t>
      </w:r>
      <w:r>
        <w:rPr>
          <w:rFonts w:ascii="Arial" w:hAnsi="Arial" w:cs="Arial"/>
        </w:rPr>
        <w:t>. Cooper, &amp; I. Robertson (Eds.).</w:t>
      </w:r>
      <w:r w:rsidR="004640C1" w:rsidRPr="00964F0F">
        <w:rPr>
          <w:rFonts w:ascii="Arial" w:hAnsi="Arial" w:cs="Arial"/>
        </w:rPr>
        <w:t xml:space="preserve"> </w:t>
      </w:r>
      <w:r w:rsidR="004640C1" w:rsidRPr="00DB4280">
        <w:rPr>
          <w:rFonts w:ascii="Arial" w:hAnsi="Arial" w:cs="Arial"/>
          <w:i/>
        </w:rPr>
        <w:t>International Review of Industrial and Organizational Psychology</w:t>
      </w:r>
      <w:r w:rsidR="004640C1" w:rsidRPr="00964F0F">
        <w:rPr>
          <w:rFonts w:ascii="Arial" w:hAnsi="Arial" w:cs="Arial"/>
        </w:rPr>
        <w:t>, 18: 1– 28</w:t>
      </w:r>
    </w:p>
    <w:p w:rsidR="004640C1" w:rsidRPr="00964F0F" w:rsidRDefault="00DB4280" w:rsidP="00964F0F">
      <w:pPr>
        <w:pStyle w:val="ListParagraph"/>
        <w:numPr>
          <w:ilvl w:val="0"/>
          <w:numId w:val="1"/>
        </w:numPr>
        <w:spacing w:after="0" w:line="360" w:lineRule="auto"/>
        <w:jc w:val="both"/>
        <w:rPr>
          <w:rFonts w:ascii="Arial" w:hAnsi="Arial" w:cs="Arial"/>
        </w:rPr>
      </w:pPr>
      <w:r>
        <w:rPr>
          <w:rFonts w:ascii="Arial" w:hAnsi="Arial" w:cs="Arial"/>
        </w:rPr>
        <w:t>Mwebi, M.</w:t>
      </w:r>
      <w:r w:rsidR="0096008F">
        <w:rPr>
          <w:rFonts w:ascii="Arial" w:hAnsi="Arial" w:cs="Arial"/>
        </w:rPr>
        <w:t xml:space="preserve"> </w:t>
      </w:r>
      <w:r>
        <w:rPr>
          <w:rFonts w:ascii="Arial" w:hAnsi="Arial" w:cs="Arial"/>
        </w:rPr>
        <w:t>B</w:t>
      </w:r>
      <w:r w:rsidR="0096008F">
        <w:rPr>
          <w:rFonts w:ascii="Arial" w:hAnsi="Arial" w:cs="Arial"/>
        </w:rPr>
        <w:t>.</w:t>
      </w:r>
      <w:r>
        <w:rPr>
          <w:rFonts w:ascii="Arial" w:hAnsi="Arial" w:cs="Arial"/>
        </w:rPr>
        <w:t xml:space="preserve"> &amp;</w:t>
      </w:r>
      <w:r w:rsidR="0096008F">
        <w:rPr>
          <w:rFonts w:ascii="Arial" w:hAnsi="Arial" w:cs="Arial"/>
        </w:rPr>
        <w:t xml:space="preserve"> </w:t>
      </w:r>
      <w:r>
        <w:rPr>
          <w:rFonts w:ascii="Arial" w:hAnsi="Arial" w:cs="Arial"/>
        </w:rPr>
        <w:t>Kadaga, M.</w:t>
      </w:r>
      <w:r w:rsidR="0096008F">
        <w:rPr>
          <w:rFonts w:ascii="Arial" w:hAnsi="Arial" w:cs="Arial"/>
        </w:rPr>
        <w:t xml:space="preserve"> </w:t>
      </w:r>
      <w:r>
        <w:rPr>
          <w:rFonts w:ascii="Arial" w:hAnsi="Arial" w:cs="Arial"/>
        </w:rPr>
        <w:t>N</w:t>
      </w:r>
      <w:r w:rsidR="0096008F">
        <w:rPr>
          <w:rFonts w:ascii="Arial" w:hAnsi="Arial" w:cs="Arial"/>
        </w:rPr>
        <w:t>.</w:t>
      </w:r>
      <w:r>
        <w:rPr>
          <w:rFonts w:ascii="Arial" w:hAnsi="Arial" w:cs="Arial"/>
        </w:rPr>
        <w:t xml:space="preserve"> (2015)</w:t>
      </w:r>
      <w:r w:rsidR="004640C1" w:rsidRPr="00964F0F">
        <w:rPr>
          <w:rFonts w:ascii="Arial" w:hAnsi="Arial" w:cs="Arial"/>
        </w:rPr>
        <w:t xml:space="preserve"> Effects of flex-time work arrangement on employee performance </w:t>
      </w:r>
      <w:r>
        <w:rPr>
          <w:rFonts w:ascii="Arial" w:hAnsi="Arial" w:cs="Arial"/>
        </w:rPr>
        <w:t>in Nairobi CBD Commercial Banks.</w:t>
      </w:r>
      <w:r w:rsidR="004640C1" w:rsidRPr="00964F0F">
        <w:rPr>
          <w:rFonts w:ascii="Arial" w:hAnsi="Arial" w:cs="Arial"/>
        </w:rPr>
        <w:t xml:space="preserve"> </w:t>
      </w:r>
      <w:r w:rsidR="004640C1" w:rsidRPr="00DB4280">
        <w:rPr>
          <w:rFonts w:ascii="Arial" w:hAnsi="Arial" w:cs="Arial"/>
          <w:i/>
        </w:rPr>
        <w:t>International Journal of Novel Research in Marketing Management and Economics</w:t>
      </w:r>
      <w:r w:rsidR="004640C1" w:rsidRPr="00964F0F">
        <w:rPr>
          <w:rFonts w:ascii="Arial" w:hAnsi="Arial" w:cs="Arial"/>
        </w:rPr>
        <w:t>, 2(3): 111-121</w:t>
      </w:r>
    </w:p>
    <w:p w:rsidR="004640C1" w:rsidRPr="00964F0F" w:rsidRDefault="0096008F" w:rsidP="00964F0F">
      <w:pPr>
        <w:pStyle w:val="ListParagraph"/>
        <w:numPr>
          <w:ilvl w:val="0"/>
          <w:numId w:val="1"/>
        </w:numPr>
        <w:spacing w:after="0" w:line="360" w:lineRule="auto"/>
        <w:jc w:val="both"/>
        <w:rPr>
          <w:rFonts w:ascii="Arial" w:hAnsi="Arial" w:cs="Arial"/>
        </w:rPr>
      </w:pPr>
      <w:r>
        <w:rPr>
          <w:rFonts w:ascii="Arial" w:hAnsi="Arial" w:cs="Arial"/>
        </w:rPr>
        <w:t>Pérez, M.,</w:t>
      </w:r>
      <w:r w:rsidR="004640C1" w:rsidRPr="00964F0F">
        <w:rPr>
          <w:rFonts w:ascii="Arial" w:hAnsi="Arial" w:cs="Arial"/>
        </w:rPr>
        <w:t xml:space="preserve"> </w:t>
      </w:r>
      <w:r w:rsidR="00DB4280">
        <w:rPr>
          <w:rFonts w:ascii="Arial" w:hAnsi="Arial" w:cs="Arial"/>
        </w:rPr>
        <w:t>Sánchez, A.</w:t>
      </w:r>
      <w:r>
        <w:rPr>
          <w:rFonts w:ascii="Arial" w:hAnsi="Arial" w:cs="Arial"/>
        </w:rPr>
        <w:t xml:space="preserve"> </w:t>
      </w:r>
      <w:r w:rsidR="00DB4280">
        <w:rPr>
          <w:rFonts w:ascii="Arial" w:hAnsi="Arial" w:cs="Arial"/>
        </w:rPr>
        <w:t>&amp; de-Luis, P. (2003)</w:t>
      </w:r>
      <w:r w:rsidR="004640C1" w:rsidRPr="00964F0F">
        <w:rPr>
          <w:rFonts w:ascii="Arial" w:hAnsi="Arial" w:cs="Arial"/>
        </w:rPr>
        <w:t xml:space="preserve"> The organizational implications of human resources managers' perception of teleworking. </w:t>
      </w:r>
      <w:r w:rsidR="004640C1" w:rsidRPr="00DB4280">
        <w:rPr>
          <w:rFonts w:ascii="Arial" w:hAnsi="Arial" w:cs="Arial"/>
          <w:i/>
        </w:rPr>
        <w:t>Personnel Review</w:t>
      </w:r>
      <w:r w:rsidR="004640C1" w:rsidRPr="00964F0F">
        <w:rPr>
          <w:rFonts w:ascii="Arial" w:hAnsi="Arial" w:cs="Arial"/>
        </w:rPr>
        <w:t>. 32(6): 733-755</w:t>
      </w:r>
    </w:p>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t>Robbins, S.</w:t>
      </w:r>
      <w:r w:rsidR="0096008F">
        <w:rPr>
          <w:rFonts w:ascii="Arial" w:hAnsi="Arial" w:cs="Arial"/>
        </w:rPr>
        <w:t xml:space="preserve"> </w:t>
      </w:r>
      <w:r w:rsidRPr="00964F0F">
        <w:rPr>
          <w:rFonts w:ascii="Arial" w:hAnsi="Arial" w:cs="Arial"/>
        </w:rPr>
        <w:t>P</w:t>
      </w:r>
      <w:r w:rsidR="0096008F">
        <w:rPr>
          <w:rFonts w:ascii="Arial" w:hAnsi="Arial" w:cs="Arial"/>
        </w:rPr>
        <w:t>.</w:t>
      </w:r>
      <w:r w:rsidRPr="00964F0F">
        <w:rPr>
          <w:rFonts w:ascii="Arial" w:hAnsi="Arial" w:cs="Arial"/>
        </w:rPr>
        <w:t>,</w:t>
      </w:r>
      <w:r w:rsidR="00DB4280">
        <w:rPr>
          <w:rFonts w:ascii="Arial" w:hAnsi="Arial" w:cs="Arial"/>
        </w:rPr>
        <w:t xml:space="preserve"> Judge</w:t>
      </w:r>
      <w:r w:rsidR="0096008F">
        <w:rPr>
          <w:rFonts w:ascii="Arial" w:hAnsi="Arial" w:cs="Arial"/>
        </w:rPr>
        <w:t>,</w:t>
      </w:r>
      <w:r w:rsidR="00DB4280">
        <w:rPr>
          <w:rFonts w:ascii="Arial" w:hAnsi="Arial" w:cs="Arial"/>
        </w:rPr>
        <w:t xml:space="preserve"> T.</w:t>
      </w:r>
      <w:r w:rsidR="0096008F">
        <w:rPr>
          <w:rFonts w:ascii="Arial" w:hAnsi="Arial" w:cs="Arial"/>
        </w:rPr>
        <w:t xml:space="preserve"> </w:t>
      </w:r>
      <w:r w:rsidR="00DB4280">
        <w:rPr>
          <w:rFonts w:ascii="Arial" w:hAnsi="Arial" w:cs="Arial"/>
        </w:rPr>
        <w:t>A</w:t>
      </w:r>
      <w:r w:rsidR="0096008F">
        <w:rPr>
          <w:rFonts w:ascii="Arial" w:hAnsi="Arial" w:cs="Arial"/>
        </w:rPr>
        <w:t>.</w:t>
      </w:r>
      <w:r w:rsidR="00DB4280">
        <w:rPr>
          <w:rFonts w:ascii="Arial" w:hAnsi="Arial" w:cs="Arial"/>
        </w:rPr>
        <w:t xml:space="preserve"> and Vohra, N. (2012)</w:t>
      </w:r>
      <w:r w:rsidRPr="00964F0F">
        <w:rPr>
          <w:rFonts w:ascii="Arial" w:hAnsi="Arial" w:cs="Arial"/>
        </w:rPr>
        <w:t xml:space="preserve"> </w:t>
      </w:r>
      <w:r w:rsidRPr="00DB4280">
        <w:rPr>
          <w:rFonts w:ascii="Arial" w:hAnsi="Arial" w:cs="Arial"/>
          <w:i/>
        </w:rPr>
        <w:t>Organisational behaviour</w:t>
      </w:r>
      <w:r w:rsidR="00DB4280">
        <w:rPr>
          <w:rFonts w:ascii="Arial" w:hAnsi="Arial" w:cs="Arial"/>
        </w:rPr>
        <w:t>.</w:t>
      </w:r>
      <w:r w:rsidRPr="00964F0F">
        <w:rPr>
          <w:rFonts w:ascii="Arial" w:hAnsi="Arial" w:cs="Arial"/>
        </w:rPr>
        <w:t xml:space="preserve"> 14th Edition; India: Pearson Prentice Hall</w:t>
      </w:r>
    </w:p>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lastRenderedPageBreak/>
        <w:t>Spreitzer, G. M., Ca</w:t>
      </w:r>
      <w:r w:rsidR="00DB4280">
        <w:rPr>
          <w:rFonts w:ascii="Arial" w:hAnsi="Arial" w:cs="Arial"/>
        </w:rPr>
        <w:t>meron, L., &amp; Garrett, L. (2017)</w:t>
      </w:r>
      <w:r w:rsidRPr="00964F0F">
        <w:rPr>
          <w:rFonts w:ascii="Arial" w:hAnsi="Arial" w:cs="Arial"/>
        </w:rPr>
        <w:t xml:space="preserve"> Alternative work arrangements: Two images of the new world of work. </w:t>
      </w:r>
      <w:r w:rsidRPr="00DB4280">
        <w:rPr>
          <w:rFonts w:ascii="Arial" w:hAnsi="Arial" w:cs="Arial"/>
          <w:i/>
        </w:rPr>
        <w:t>The Annual Review of Organizational Psychology and Organizational Behaviour</w:t>
      </w:r>
      <w:r w:rsidRPr="00964F0F">
        <w:rPr>
          <w:rFonts w:ascii="Arial" w:hAnsi="Arial" w:cs="Arial"/>
        </w:rPr>
        <w:t>, 4(1): 473–499</w:t>
      </w:r>
    </w:p>
    <w:p w:rsidR="004640C1" w:rsidRPr="00964F0F" w:rsidRDefault="004640C1" w:rsidP="00964F0F">
      <w:pPr>
        <w:pStyle w:val="ListParagraph"/>
        <w:numPr>
          <w:ilvl w:val="0"/>
          <w:numId w:val="1"/>
        </w:numPr>
        <w:spacing w:after="0" w:line="360" w:lineRule="auto"/>
        <w:jc w:val="both"/>
        <w:rPr>
          <w:rFonts w:ascii="Arial" w:hAnsi="Arial" w:cs="Arial"/>
        </w:rPr>
      </w:pPr>
      <w:r w:rsidRPr="00964F0F">
        <w:rPr>
          <w:rFonts w:ascii="Arial" w:hAnsi="Arial" w:cs="Arial"/>
        </w:rPr>
        <w:t>Stavrou, E.</w:t>
      </w:r>
      <w:r w:rsidR="00DB4280">
        <w:rPr>
          <w:rFonts w:ascii="Arial" w:hAnsi="Arial" w:cs="Arial"/>
        </w:rPr>
        <w:t xml:space="preserve"> T. (2005)</w:t>
      </w:r>
      <w:r w:rsidRPr="00964F0F">
        <w:rPr>
          <w:rFonts w:ascii="Arial" w:hAnsi="Arial" w:cs="Arial"/>
        </w:rPr>
        <w:t xml:space="preserve"> Flexible work bundles and organizational competitiveness: A cross-national study of the European work context. </w:t>
      </w:r>
      <w:r w:rsidRPr="00DB4280">
        <w:rPr>
          <w:rFonts w:ascii="Arial" w:hAnsi="Arial" w:cs="Arial"/>
          <w:i/>
        </w:rPr>
        <w:t>Journal of Organizational Behaviour</w:t>
      </w:r>
      <w:r w:rsidRPr="00964F0F">
        <w:rPr>
          <w:rFonts w:ascii="Arial" w:hAnsi="Arial" w:cs="Arial"/>
        </w:rPr>
        <w:t>, 26(8): 923–947</w:t>
      </w:r>
    </w:p>
    <w:p w:rsidR="00964F0F" w:rsidRPr="00964F0F" w:rsidRDefault="00964F0F" w:rsidP="00964F0F">
      <w:pPr>
        <w:pStyle w:val="ListParagraph"/>
        <w:numPr>
          <w:ilvl w:val="0"/>
          <w:numId w:val="1"/>
        </w:numPr>
        <w:spacing w:after="0" w:line="360" w:lineRule="auto"/>
        <w:jc w:val="both"/>
        <w:rPr>
          <w:rFonts w:ascii="Arial" w:hAnsi="Arial" w:cs="Arial"/>
        </w:rPr>
      </w:pPr>
      <w:r w:rsidRPr="00964F0F">
        <w:rPr>
          <w:rFonts w:ascii="Arial" w:hAnsi="Arial" w:cs="Arial"/>
        </w:rPr>
        <w:t>Stavrou, E. T., &amp;</w:t>
      </w:r>
      <w:r w:rsidR="00DB4280">
        <w:rPr>
          <w:rFonts w:ascii="Arial" w:hAnsi="Arial" w:cs="Arial"/>
        </w:rPr>
        <w:t xml:space="preserve"> Kilaniotis, C. (2010)</w:t>
      </w:r>
      <w:r w:rsidRPr="00964F0F">
        <w:rPr>
          <w:rFonts w:ascii="Arial" w:hAnsi="Arial" w:cs="Arial"/>
        </w:rPr>
        <w:t xml:space="preserve"> Flexible work and turnover: An empirical investigation across cultures. </w:t>
      </w:r>
      <w:r w:rsidRPr="00DB4280">
        <w:rPr>
          <w:rFonts w:ascii="Arial" w:hAnsi="Arial" w:cs="Arial"/>
          <w:i/>
        </w:rPr>
        <w:t>British Journal of Management</w:t>
      </w:r>
      <w:r w:rsidRPr="00964F0F">
        <w:rPr>
          <w:rFonts w:ascii="Arial" w:hAnsi="Arial" w:cs="Arial"/>
        </w:rPr>
        <w:t>, 21(2): 541–554</w:t>
      </w:r>
    </w:p>
    <w:p w:rsidR="00964F0F" w:rsidRPr="00964F0F" w:rsidRDefault="00964F0F" w:rsidP="00964F0F">
      <w:pPr>
        <w:pStyle w:val="ListParagraph"/>
        <w:numPr>
          <w:ilvl w:val="0"/>
          <w:numId w:val="1"/>
        </w:numPr>
        <w:spacing w:after="0" w:line="360" w:lineRule="auto"/>
        <w:jc w:val="both"/>
        <w:rPr>
          <w:rFonts w:ascii="Arial" w:hAnsi="Arial" w:cs="Arial"/>
        </w:rPr>
      </w:pPr>
      <w:r w:rsidRPr="00964F0F">
        <w:rPr>
          <w:rFonts w:ascii="Arial" w:hAnsi="Arial" w:cs="Arial"/>
        </w:rPr>
        <w:t xml:space="preserve">Thomas-Wandera, H. (2011). The effects of short-term employment contracts on an organization: A case of Kenya Forrest Service. </w:t>
      </w:r>
      <w:r w:rsidRPr="00DB4280">
        <w:rPr>
          <w:rFonts w:ascii="Arial" w:hAnsi="Arial" w:cs="Arial"/>
          <w:i/>
        </w:rPr>
        <w:t>International Journal of Humanities and Social Science</w:t>
      </w:r>
      <w:r w:rsidRPr="00964F0F">
        <w:rPr>
          <w:rFonts w:ascii="Arial" w:hAnsi="Arial" w:cs="Arial"/>
        </w:rPr>
        <w:t>, 1(21): 184–204</w:t>
      </w:r>
    </w:p>
    <w:p w:rsidR="00964F0F" w:rsidRPr="00964F0F" w:rsidRDefault="00964F0F" w:rsidP="00964F0F">
      <w:pPr>
        <w:pStyle w:val="ListParagraph"/>
        <w:numPr>
          <w:ilvl w:val="0"/>
          <w:numId w:val="1"/>
        </w:numPr>
        <w:spacing w:after="0" w:line="360" w:lineRule="auto"/>
        <w:jc w:val="both"/>
        <w:rPr>
          <w:rFonts w:ascii="Arial" w:hAnsi="Arial" w:cs="Arial"/>
        </w:rPr>
      </w:pPr>
      <w:r w:rsidRPr="00964F0F">
        <w:rPr>
          <w:rFonts w:ascii="Arial" w:hAnsi="Arial" w:cs="Arial"/>
        </w:rPr>
        <w:t>Van Dyne,</w:t>
      </w:r>
      <w:r w:rsidR="00DB4280">
        <w:rPr>
          <w:rFonts w:ascii="Arial" w:hAnsi="Arial" w:cs="Arial"/>
        </w:rPr>
        <w:t xml:space="preserve"> L.,</w:t>
      </w:r>
      <w:r w:rsidR="0096008F">
        <w:rPr>
          <w:rFonts w:ascii="Arial" w:hAnsi="Arial" w:cs="Arial"/>
        </w:rPr>
        <w:t xml:space="preserve"> </w:t>
      </w:r>
      <w:r w:rsidR="00DB4280">
        <w:rPr>
          <w:rFonts w:ascii="Arial" w:hAnsi="Arial" w:cs="Arial"/>
        </w:rPr>
        <w:t>Kossek, E.</w:t>
      </w:r>
      <w:r w:rsidR="0096008F">
        <w:rPr>
          <w:rFonts w:ascii="Arial" w:hAnsi="Arial" w:cs="Arial"/>
        </w:rPr>
        <w:t xml:space="preserve"> </w:t>
      </w:r>
      <w:r w:rsidR="00DB4280">
        <w:rPr>
          <w:rFonts w:ascii="Arial" w:hAnsi="Arial" w:cs="Arial"/>
        </w:rPr>
        <w:t>&amp; Lobel, S. (2007)</w:t>
      </w:r>
      <w:r w:rsidRPr="00964F0F">
        <w:rPr>
          <w:rFonts w:ascii="Arial" w:hAnsi="Arial" w:cs="Arial"/>
        </w:rPr>
        <w:t xml:space="preserve"> Less need to be there: Cross-level effects of work practices that support work-life flexibility and enhance group processes and group-level OCB. </w:t>
      </w:r>
      <w:r w:rsidRPr="00DB4280">
        <w:rPr>
          <w:rFonts w:ascii="Arial" w:hAnsi="Arial" w:cs="Arial"/>
          <w:i/>
        </w:rPr>
        <w:t>Human Relations</w:t>
      </w:r>
      <w:r w:rsidRPr="00964F0F">
        <w:rPr>
          <w:rFonts w:ascii="Arial" w:hAnsi="Arial" w:cs="Arial"/>
        </w:rPr>
        <w:t>, 60(8): 1123-1154</w:t>
      </w:r>
    </w:p>
    <w:p w:rsidR="00964F0F" w:rsidRPr="00964F0F" w:rsidRDefault="00964F0F" w:rsidP="00964F0F">
      <w:pPr>
        <w:pStyle w:val="ListParagraph"/>
        <w:numPr>
          <w:ilvl w:val="0"/>
          <w:numId w:val="1"/>
        </w:numPr>
        <w:spacing w:after="0" w:line="360" w:lineRule="auto"/>
        <w:jc w:val="both"/>
        <w:rPr>
          <w:rFonts w:ascii="Arial" w:hAnsi="Arial" w:cs="Arial"/>
        </w:rPr>
      </w:pPr>
      <w:r w:rsidRPr="00964F0F">
        <w:rPr>
          <w:rFonts w:ascii="Arial" w:hAnsi="Arial" w:cs="Arial"/>
        </w:rPr>
        <w:t>Yeh, H &amp; Ho</w:t>
      </w:r>
      <w:r w:rsidR="00DB4280">
        <w:rPr>
          <w:rFonts w:ascii="Arial" w:hAnsi="Arial" w:cs="Arial"/>
        </w:rPr>
        <w:t>ng, D, (2012)</w:t>
      </w:r>
      <w:r w:rsidRPr="00964F0F">
        <w:rPr>
          <w:rFonts w:ascii="Arial" w:hAnsi="Arial" w:cs="Arial"/>
        </w:rPr>
        <w:t xml:space="preserve"> The mediating effect of organizational commitment on leadership type and job performance. </w:t>
      </w:r>
      <w:r w:rsidRPr="00DB4280">
        <w:rPr>
          <w:rFonts w:ascii="Arial" w:hAnsi="Arial" w:cs="Arial"/>
          <w:i/>
        </w:rPr>
        <w:t>The Journal of Human Resource and Adult Learning</w:t>
      </w:r>
      <w:r w:rsidRPr="00964F0F">
        <w:rPr>
          <w:rFonts w:ascii="Arial" w:hAnsi="Arial" w:cs="Arial"/>
        </w:rPr>
        <w:t>, 8(2):50-59</w:t>
      </w:r>
    </w:p>
    <w:p w:rsidR="00964F0F" w:rsidRPr="00964F0F" w:rsidRDefault="00964F0F" w:rsidP="00964F0F">
      <w:pPr>
        <w:pStyle w:val="ListParagraph"/>
        <w:numPr>
          <w:ilvl w:val="0"/>
          <w:numId w:val="1"/>
        </w:numPr>
        <w:spacing w:after="0" w:line="360" w:lineRule="auto"/>
        <w:jc w:val="both"/>
        <w:rPr>
          <w:rFonts w:ascii="Arial" w:hAnsi="Arial" w:cs="Arial"/>
        </w:rPr>
      </w:pPr>
      <w:r w:rsidRPr="00964F0F">
        <w:rPr>
          <w:rFonts w:ascii="Arial" w:hAnsi="Arial" w:cs="Arial"/>
        </w:rPr>
        <w:t>Zeytinoglu, I. U., Coo</w:t>
      </w:r>
      <w:r w:rsidR="00DB4280">
        <w:rPr>
          <w:rFonts w:ascii="Arial" w:hAnsi="Arial" w:cs="Arial"/>
        </w:rPr>
        <w:t>ke, G. B., &amp; Mann, S. L. (2009)</w:t>
      </w:r>
      <w:r w:rsidRPr="00964F0F">
        <w:rPr>
          <w:rFonts w:ascii="Arial" w:hAnsi="Arial" w:cs="Arial"/>
        </w:rPr>
        <w:t xml:space="preserve"> Flexibility: Whose choice is it anyway? </w:t>
      </w:r>
      <w:r w:rsidRPr="00DB4280">
        <w:rPr>
          <w:rFonts w:ascii="Arial" w:hAnsi="Arial" w:cs="Arial"/>
          <w:i/>
        </w:rPr>
        <w:t>Industrial Relations</w:t>
      </w:r>
      <w:r w:rsidRPr="00964F0F">
        <w:rPr>
          <w:rFonts w:ascii="Arial" w:hAnsi="Arial" w:cs="Arial"/>
        </w:rPr>
        <w:t>, 64(4): 555–574</w:t>
      </w:r>
    </w:p>
    <w:sectPr w:rsidR="00964F0F" w:rsidRPr="00964F0F" w:rsidSect="0096008F">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F07" w:rsidRDefault="00BA5F07" w:rsidP="0096008F">
      <w:pPr>
        <w:spacing w:after="0" w:line="240" w:lineRule="auto"/>
      </w:pPr>
      <w:r>
        <w:separator/>
      </w:r>
    </w:p>
  </w:endnote>
  <w:endnote w:type="continuationSeparator" w:id="1">
    <w:p w:rsidR="00BA5F07" w:rsidRDefault="00BA5F07" w:rsidP="009600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08F" w:rsidRDefault="0096008F">
    <w:pPr>
      <w:pStyle w:val="Footer"/>
      <w:jc w:val="center"/>
    </w:pPr>
  </w:p>
  <w:p w:rsidR="0096008F" w:rsidRDefault="009600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8394782"/>
      <w:docPartObj>
        <w:docPartGallery w:val="Page Numbers (Bottom of Page)"/>
        <w:docPartUnique/>
      </w:docPartObj>
    </w:sdtPr>
    <w:sdtContent>
      <w:p w:rsidR="0096008F" w:rsidRDefault="0096008F">
        <w:pPr>
          <w:pStyle w:val="Footer"/>
          <w:jc w:val="center"/>
        </w:pPr>
        <w:fldSimple w:instr=" PAGE   \* MERGEFORMAT ">
          <w:r>
            <w:rPr>
              <w:noProof/>
            </w:rPr>
            <w:t>3</w:t>
          </w:r>
        </w:fldSimple>
      </w:p>
    </w:sdtContent>
  </w:sdt>
  <w:p w:rsidR="0096008F" w:rsidRDefault="009600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F07" w:rsidRDefault="00BA5F07" w:rsidP="0096008F">
      <w:pPr>
        <w:spacing w:after="0" w:line="240" w:lineRule="auto"/>
      </w:pPr>
      <w:r>
        <w:separator/>
      </w:r>
    </w:p>
  </w:footnote>
  <w:footnote w:type="continuationSeparator" w:id="1">
    <w:p w:rsidR="00BA5F07" w:rsidRDefault="00BA5F07" w:rsidP="009600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9B5900"/>
    <w:multiLevelType w:val="hybridMultilevel"/>
    <w:tmpl w:val="16287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A35BD"/>
    <w:rsid w:val="0022020F"/>
    <w:rsid w:val="004640C1"/>
    <w:rsid w:val="00512329"/>
    <w:rsid w:val="006561A3"/>
    <w:rsid w:val="00712768"/>
    <w:rsid w:val="00734651"/>
    <w:rsid w:val="0096008F"/>
    <w:rsid w:val="00964F0F"/>
    <w:rsid w:val="009A35BD"/>
    <w:rsid w:val="00BA5F07"/>
    <w:rsid w:val="00DB4280"/>
    <w:rsid w:val="00E619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35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5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640C1"/>
    <w:pPr>
      <w:ind w:left="720"/>
      <w:contextualSpacing/>
    </w:pPr>
  </w:style>
  <w:style w:type="paragraph" w:styleId="TOCHeading">
    <w:name w:val="TOC Heading"/>
    <w:basedOn w:val="Heading1"/>
    <w:next w:val="Normal"/>
    <w:uiPriority w:val="39"/>
    <w:semiHidden/>
    <w:unhideWhenUsed/>
    <w:qFormat/>
    <w:rsid w:val="0096008F"/>
    <w:pPr>
      <w:outlineLvl w:val="9"/>
    </w:pPr>
  </w:style>
  <w:style w:type="paragraph" w:styleId="TOC1">
    <w:name w:val="toc 1"/>
    <w:basedOn w:val="Normal"/>
    <w:next w:val="Normal"/>
    <w:autoRedefine/>
    <w:uiPriority w:val="39"/>
    <w:unhideWhenUsed/>
    <w:rsid w:val="0096008F"/>
    <w:pPr>
      <w:spacing w:after="100"/>
    </w:pPr>
  </w:style>
  <w:style w:type="character" w:styleId="Hyperlink">
    <w:name w:val="Hyperlink"/>
    <w:basedOn w:val="DefaultParagraphFont"/>
    <w:uiPriority w:val="99"/>
    <w:unhideWhenUsed/>
    <w:rsid w:val="0096008F"/>
    <w:rPr>
      <w:color w:val="0000FF" w:themeColor="hyperlink"/>
      <w:u w:val="single"/>
    </w:rPr>
  </w:style>
  <w:style w:type="paragraph" w:styleId="BalloonText">
    <w:name w:val="Balloon Text"/>
    <w:basedOn w:val="Normal"/>
    <w:link w:val="BalloonTextChar"/>
    <w:uiPriority w:val="99"/>
    <w:semiHidden/>
    <w:unhideWhenUsed/>
    <w:rsid w:val="009600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08F"/>
    <w:rPr>
      <w:rFonts w:ascii="Tahoma" w:hAnsi="Tahoma" w:cs="Tahoma"/>
      <w:sz w:val="16"/>
      <w:szCs w:val="16"/>
    </w:rPr>
  </w:style>
  <w:style w:type="paragraph" w:styleId="Header">
    <w:name w:val="header"/>
    <w:basedOn w:val="Normal"/>
    <w:link w:val="HeaderChar"/>
    <w:uiPriority w:val="99"/>
    <w:semiHidden/>
    <w:unhideWhenUsed/>
    <w:rsid w:val="009600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008F"/>
  </w:style>
  <w:style w:type="paragraph" w:styleId="Footer">
    <w:name w:val="footer"/>
    <w:basedOn w:val="Normal"/>
    <w:link w:val="FooterChar"/>
    <w:uiPriority w:val="99"/>
    <w:unhideWhenUsed/>
    <w:rsid w:val="009600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08F"/>
  </w:style>
</w:styles>
</file>

<file path=word/webSettings.xml><?xml version="1.0" encoding="utf-8"?>
<w:webSettings xmlns:r="http://schemas.openxmlformats.org/officeDocument/2006/relationships" xmlns:w="http://schemas.openxmlformats.org/wordprocessingml/2006/main">
  <w:divs>
    <w:div w:id="234364416">
      <w:bodyDiv w:val="1"/>
      <w:marLeft w:val="0"/>
      <w:marRight w:val="0"/>
      <w:marTop w:val="0"/>
      <w:marBottom w:val="0"/>
      <w:divBdr>
        <w:top w:val="none" w:sz="0" w:space="0" w:color="auto"/>
        <w:left w:val="none" w:sz="0" w:space="0" w:color="auto"/>
        <w:bottom w:val="none" w:sz="0" w:space="0" w:color="auto"/>
        <w:right w:val="none" w:sz="0" w:space="0" w:color="auto"/>
      </w:divBdr>
      <w:divsChild>
        <w:div w:id="1446850135">
          <w:marLeft w:val="0"/>
          <w:marRight w:val="0"/>
          <w:marTop w:val="0"/>
          <w:marBottom w:val="0"/>
          <w:divBdr>
            <w:top w:val="none" w:sz="0" w:space="0" w:color="auto"/>
            <w:left w:val="none" w:sz="0" w:space="0" w:color="auto"/>
            <w:bottom w:val="none" w:sz="0" w:space="0" w:color="auto"/>
            <w:right w:val="none" w:sz="0" w:space="0" w:color="auto"/>
          </w:divBdr>
          <w:divsChild>
            <w:div w:id="2043363120">
              <w:marLeft w:val="0"/>
              <w:marRight w:val="0"/>
              <w:marTop w:val="0"/>
              <w:marBottom w:val="24"/>
              <w:divBdr>
                <w:top w:val="single" w:sz="4" w:space="3" w:color="2C71EB"/>
                <w:left w:val="single" w:sz="4" w:space="3" w:color="2C71EB"/>
                <w:bottom w:val="single" w:sz="4" w:space="24" w:color="2C71EB"/>
                <w:right w:val="single" w:sz="4" w:space="3" w:color="2C71EB"/>
              </w:divBdr>
            </w:div>
            <w:div w:id="626088111">
              <w:marLeft w:val="0"/>
              <w:marRight w:val="96"/>
              <w:marTop w:val="0"/>
              <w:marBottom w:val="120"/>
              <w:divBdr>
                <w:top w:val="none" w:sz="0" w:space="0" w:color="auto"/>
                <w:left w:val="none" w:sz="0" w:space="0" w:color="auto"/>
                <w:bottom w:val="none" w:sz="0" w:space="0" w:color="auto"/>
                <w:right w:val="none" w:sz="0" w:space="0" w:color="auto"/>
              </w:divBdr>
            </w:div>
          </w:divsChild>
        </w:div>
        <w:div w:id="1195121213">
          <w:marLeft w:val="0"/>
          <w:marRight w:val="0"/>
          <w:marTop w:val="0"/>
          <w:marBottom w:val="0"/>
          <w:divBdr>
            <w:top w:val="none" w:sz="0" w:space="0" w:color="auto"/>
            <w:left w:val="none" w:sz="0" w:space="0" w:color="auto"/>
            <w:bottom w:val="none" w:sz="0" w:space="0" w:color="auto"/>
            <w:right w:val="none" w:sz="0" w:space="0" w:color="auto"/>
          </w:divBdr>
          <w:divsChild>
            <w:div w:id="485630770">
              <w:marLeft w:val="0"/>
              <w:marRight w:val="0"/>
              <w:marTop w:val="0"/>
              <w:marBottom w:val="0"/>
              <w:divBdr>
                <w:top w:val="none" w:sz="0" w:space="0" w:color="auto"/>
                <w:left w:val="none" w:sz="0" w:space="0" w:color="auto"/>
                <w:bottom w:val="none" w:sz="0" w:space="0" w:color="auto"/>
                <w:right w:val="none" w:sz="0" w:space="0" w:color="auto"/>
              </w:divBdr>
              <w:divsChild>
                <w:div w:id="118505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5035">
      <w:bodyDiv w:val="1"/>
      <w:marLeft w:val="0"/>
      <w:marRight w:val="0"/>
      <w:marTop w:val="0"/>
      <w:marBottom w:val="0"/>
      <w:divBdr>
        <w:top w:val="none" w:sz="0" w:space="0" w:color="auto"/>
        <w:left w:val="none" w:sz="0" w:space="0" w:color="auto"/>
        <w:bottom w:val="none" w:sz="0" w:space="0" w:color="auto"/>
        <w:right w:val="none" w:sz="0" w:space="0" w:color="auto"/>
      </w:divBdr>
      <w:divsChild>
        <w:div w:id="1541748336">
          <w:marLeft w:val="0"/>
          <w:marRight w:val="0"/>
          <w:marTop w:val="0"/>
          <w:marBottom w:val="0"/>
          <w:divBdr>
            <w:top w:val="none" w:sz="0" w:space="0" w:color="auto"/>
            <w:left w:val="none" w:sz="0" w:space="0" w:color="auto"/>
            <w:bottom w:val="none" w:sz="0" w:space="0" w:color="auto"/>
            <w:right w:val="none" w:sz="0" w:space="0" w:color="auto"/>
          </w:divBdr>
          <w:divsChild>
            <w:div w:id="1442455877">
              <w:marLeft w:val="0"/>
              <w:marRight w:val="0"/>
              <w:marTop w:val="0"/>
              <w:marBottom w:val="24"/>
              <w:divBdr>
                <w:top w:val="single" w:sz="4" w:space="3" w:color="2C71EB"/>
                <w:left w:val="single" w:sz="4" w:space="3" w:color="2C71EB"/>
                <w:bottom w:val="single" w:sz="4" w:space="24" w:color="2C71EB"/>
                <w:right w:val="single" w:sz="4" w:space="3" w:color="2C71EB"/>
              </w:divBdr>
            </w:div>
            <w:div w:id="1588534123">
              <w:marLeft w:val="0"/>
              <w:marRight w:val="96"/>
              <w:marTop w:val="0"/>
              <w:marBottom w:val="120"/>
              <w:divBdr>
                <w:top w:val="none" w:sz="0" w:space="0" w:color="auto"/>
                <w:left w:val="none" w:sz="0" w:space="0" w:color="auto"/>
                <w:bottom w:val="none" w:sz="0" w:space="0" w:color="auto"/>
                <w:right w:val="none" w:sz="0" w:space="0" w:color="auto"/>
              </w:divBdr>
            </w:div>
          </w:divsChild>
        </w:div>
        <w:div w:id="1194342533">
          <w:marLeft w:val="0"/>
          <w:marRight w:val="0"/>
          <w:marTop w:val="0"/>
          <w:marBottom w:val="0"/>
          <w:divBdr>
            <w:top w:val="none" w:sz="0" w:space="0" w:color="auto"/>
            <w:left w:val="none" w:sz="0" w:space="0" w:color="auto"/>
            <w:bottom w:val="none" w:sz="0" w:space="0" w:color="auto"/>
            <w:right w:val="none" w:sz="0" w:space="0" w:color="auto"/>
          </w:divBdr>
          <w:divsChild>
            <w:div w:id="1624798865">
              <w:marLeft w:val="0"/>
              <w:marRight w:val="0"/>
              <w:marTop w:val="0"/>
              <w:marBottom w:val="0"/>
              <w:divBdr>
                <w:top w:val="none" w:sz="0" w:space="0" w:color="auto"/>
                <w:left w:val="none" w:sz="0" w:space="0" w:color="auto"/>
                <w:bottom w:val="none" w:sz="0" w:space="0" w:color="auto"/>
                <w:right w:val="none" w:sz="0" w:space="0" w:color="auto"/>
              </w:divBdr>
              <w:divsChild>
                <w:div w:id="181752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183257">
      <w:bodyDiv w:val="1"/>
      <w:marLeft w:val="0"/>
      <w:marRight w:val="0"/>
      <w:marTop w:val="0"/>
      <w:marBottom w:val="0"/>
      <w:divBdr>
        <w:top w:val="none" w:sz="0" w:space="0" w:color="auto"/>
        <w:left w:val="none" w:sz="0" w:space="0" w:color="auto"/>
        <w:bottom w:val="none" w:sz="0" w:space="0" w:color="auto"/>
        <w:right w:val="none" w:sz="0" w:space="0" w:color="auto"/>
      </w:divBdr>
    </w:div>
    <w:div w:id="1268469784">
      <w:bodyDiv w:val="1"/>
      <w:marLeft w:val="0"/>
      <w:marRight w:val="0"/>
      <w:marTop w:val="0"/>
      <w:marBottom w:val="0"/>
      <w:divBdr>
        <w:top w:val="none" w:sz="0" w:space="0" w:color="auto"/>
        <w:left w:val="none" w:sz="0" w:space="0" w:color="auto"/>
        <w:bottom w:val="none" w:sz="0" w:space="0" w:color="auto"/>
        <w:right w:val="none" w:sz="0" w:space="0" w:color="auto"/>
      </w:divBdr>
      <w:divsChild>
        <w:div w:id="1963226795">
          <w:marLeft w:val="0"/>
          <w:marRight w:val="0"/>
          <w:marTop w:val="0"/>
          <w:marBottom w:val="0"/>
          <w:divBdr>
            <w:top w:val="none" w:sz="0" w:space="0" w:color="auto"/>
            <w:left w:val="none" w:sz="0" w:space="0" w:color="auto"/>
            <w:bottom w:val="none" w:sz="0" w:space="0" w:color="auto"/>
            <w:right w:val="none" w:sz="0" w:space="0" w:color="auto"/>
          </w:divBdr>
          <w:divsChild>
            <w:div w:id="443770393">
              <w:marLeft w:val="0"/>
              <w:marRight w:val="0"/>
              <w:marTop w:val="0"/>
              <w:marBottom w:val="24"/>
              <w:divBdr>
                <w:top w:val="single" w:sz="4" w:space="3" w:color="2C71EB"/>
                <w:left w:val="single" w:sz="4" w:space="3" w:color="2C71EB"/>
                <w:bottom w:val="single" w:sz="4" w:space="24" w:color="2C71EB"/>
                <w:right w:val="single" w:sz="4" w:space="3" w:color="2C71EB"/>
              </w:divBdr>
            </w:div>
            <w:div w:id="2055037725">
              <w:marLeft w:val="0"/>
              <w:marRight w:val="96"/>
              <w:marTop w:val="0"/>
              <w:marBottom w:val="120"/>
              <w:divBdr>
                <w:top w:val="none" w:sz="0" w:space="0" w:color="auto"/>
                <w:left w:val="none" w:sz="0" w:space="0" w:color="auto"/>
                <w:bottom w:val="none" w:sz="0" w:space="0" w:color="auto"/>
                <w:right w:val="none" w:sz="0" w:space="0" w:color="auto"/>
              </w:divBdr>
            </w:div>
          </w:divsChild>
        </w:div>
        <w:div w:id="519394353">
          <w:marLeft w:val="0"/>
          <w:marRight w:val="0"/>
          <w:marTop w:val="0"/>
          <w:marBottom w:val="0"/>
          <w:divBdr>
            <w:top w:val="none" w:sz="0" w:space="0" w:color="auto"/>
            <w:left w:val="none" w:sz="0" w:space="0" w:color="auto"/>
            <w:bottom w:val="none" w:sz="0" w:space="0" w:color="auto"/>
            <w:right w:val="none" w:sz="0" w:space="0" w:color="auto"/>
          </w:divBdr>
          <w:divsChild>
            <w:div w:id="1726562433">
              <w:marLeft w:val="0"/>
              <w:marRight w:val="0"/>
              <w:marTop w:val="0"/>
              <w:marBottom w:val="0"/>
              <w:divBdr>
                <w:top w:val="none" w:sz="0" w:space="0" w:color="auto"/>
                <w:left w:val="none" w:sz="0" w:space="0" w:color="auto"/>
                <w:bottom w:val="none" w:sz="0" w:space="0" w:color="auto"/>
                <w:right w:val="none" w:sz="0" w:space="0" w:color="auto"/>
              </w:divBdr>
              <w:divsChild>
                <w:div w:id="92006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835800">
      <w:bodyDiv w:val="1"/>
      <w:marLeft w:val="0"/>
      <w:marRight w:val="0"/>
      <w:marTop w:val="0"/>
      <w:marBottom w:val="0"/>
      <w:divBdr>
        <w:top w:val="none" w:sz="0" w:space="0" w:color="auto"/>
        <w:left w:val="none" w:sz="0" w:space="0" w:color="auto"/>
        <w:bottom w:val="none" w:sz="0" w:space="0" w:color="auto"/>
        <w:right w:val="none" w:sz="0" w:space="0" w:color="auto"/>
      </w:divBdr>
    </w:div>
    <w:div w:id="1639989710">
      <w:bodyDiv w:val="1"/>
      <w:marLeft w:val="0"/>
      <w:marRight w:val="0"/>
      <w:marTop w:val="0"/>
      <w:marBottom w:val="0"/>
      <w:divBdr>
        <w:top w:val="none" w:sz="0" w:space="0" w:color="auto"/>
        <w:left w:val="none" w:sz="0" w:space="0" w:color="auto"/>
        <w:bottom w:val="none" w:sz="0" w:space="0" w:color="auto"/>
        <w:right w:val="none" w:sz="0" w:space="0" w:color="auto"/>
      </w:divBdr>
      <w:divsChild>
        <w:div w:id="1030884000">
          <w:marLeft w:val="0"/>
          <w:marRight w:val="0"/>
          <w:marTop w:val="0"/>
          <w:marBottom w:val="0"/>
          <w:divBdr>
            <w:top w:val="none" w:sz="0" w:space="0" w:color="auto"/>
            <w:left w:val="none" w:sz="0" w:space="0" w:color="auto"/>
            <w:bottom w:val="none" w:sz="0" w:space="0" w:color="auto"/>
            <w:right w:val="none" w:sz="0" w:space="0" w:color="auto"/>
          </w:divBdr>
          <w:divsChild>
            <w:div w:id="1353216663">
              <w:marLeft w:val="0"/>
              <w:marRight w:val="0"/>
              <w:marTop w:val="0"/>
              <w:marBottom w:val="24"/>
              <w:divBdr>
                <w:top w:val="single" w:sz="4" w:space="3" w:color="2C71EB"/>
                <w:left w:val="single" w:sz="4" w:space="3" w:color="2C71EB"/>
                <w:bottom w:val="single" w:sz="4" w:space="24" w:color="2C71EB"/>
                <w:right w:val="single" w:sz="4" w:space="3" w:color="2C71EB"/>
              </w:divBdr>
            </w:div>
            <w:div w:id="812915111">
              <w:marLeft w:val="0"/>
              <w:marRight w:val="96"/>
              <w:marTop w:val="0"/>
              <w:marBottom w:val="120"/>
              <w:divBdr>
                <w:top w:val="none" w:sz="0" w:space="0" w:color="auto"/>
                <w:left w:val="none" w:sz="0" w:space="0" w:color="auto"/>
                <w:bottom w:val="none" w:sz="0" w:space="0" w:color="auto"/>
                <w:right w:val="none" w:sz="0" w:space="0" w:color="auto"/>
              </w:divBdr>
            </w:div>
          </w:divsChild>
        </w:div>
        <w:div w:id="1987662213">
          <w:marLeft w:val="0"/>
          <w:marRight w:val="0"/>
          <w:marTop w:val="0"/>
          <w:marBottom w:val="0"/>
          <w:divBdr>
            <w:top w:val="none" w:sz="0" w:space="0" w:color="auto"/>
            <w:left w:val="none" w:sz="0" w:space="0" w:color="auto"/>
            <w:bottom w:val="none" w:sz="0" w:space="0" w:color="auto"/>
            <w:right w:val="none" w:sz="0" w:space="0" w:color="auto"/>
          </w:divBdr>
          <w:divsChild>
            <w:div w:id="981889242">
              <w:marLeft w:val="0"/>
              <w:marRight w:val="0"/>
              <w:marTop w:val="0"/>
              <w:marBottom w:val="0"/>
              <w:divBdr>
                <w:top w:val="none" w:sz="0" w:space="0" w:color="auto"/>
                <w:left w:val="none" w:sz="0" w:space="0" w:color="auto"/>
                <w:bottom w:val="none" w:sz="0" w:space="0" w:color="auto"/>
                <w:right w:val="none" w:sz="0" w:space="0" w:color="auto"/>
              </w:divBdr>
              <w:divsChild>
                <w:div w:id="35438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035988">
      <w:bodyDiv w:val="1"/>
      <w:marLeft w:val="0"/>
      <w:marRight w:val="0"/>
      <w:marTop w:val="0"/>
      <w:marBottom w:val="0"/>
      <w:divBdr>
        <w:top w:val="none" w:sz="0" w:space="0" w:color="auto"/>
        <w:left w:val="none" w:sz="0" w:space="0" w:color="auto"/>
        <w:bottom w:val="none" w:sz="0" w:space="0" w:color="auto"/>
        <w:right w:val="none" w:sz="0" w:space="0" w:color="auto"/>
      </w:divBdr>
      <w:divsChild>
        <w:div w:id="384641312">
          <w:marLeft w:val="0"/>
          <w:marRight w:val="0"/>
          <w:marTop w:val="0"/>
          <w:marBottom w:val="0"/>
          <w:divBdr>
            <w:top w:val="none" w:sz="0" w:space="0" w:color="auto"/>
            <w:left w:val="none" w:sz="0" w:space="0" w:color="auto"/>
            <w:bottom w:val="none" w:sz="0" w:space="0" w:color="auto"/>
            <w:right w:val="none" w:sz="0" w:space="0" w:color="auto"/>
          </w:divBdr>
          <w:divsChild>
            <w:div w:id="2010331607">
              <w:marLeft w:val="0"/>
              <w:marRight w:val="0"/>
              <w:marTop w:val="0"/>
              <w:marBottom w:val="24"/>
              <w:divBdr>
                <w:top w:val="single" w:sz="4" w:space="3" w:color="2C71EB"/>
                <w:left w:val="single" w:sz="4" w:space="3" w:color="2C71EB"/>
                <w:bottom w:val="single" w:sz="4" w:space="24" w:color="2C71EB"/>
                <w:right w:val="single" w:sz="4" w:space="3" w:color="2C71EB"/>
              </w:divBdr>
            </w:div>
            <w:div w:id="1979070802">
              <w:marLeft w:val="0"/>
              <w:marRight w:val="96"/>
              <w:marTop w:val="0"/>
              <w:marBottom w:val="120"/>
              <w:divBdr>
                <w:top w:val="none" w:sz="0" w:space="0" w:color="auto"/>
                <w:left w:val="none" w:sz="0" w:space="0" w:color="auto"/>
                <w:bottom w:val="none" w:sz="0" w:space="0" w:color="auto"/>
                <w:right w:val="none" w:sz="0" w:space="0" w:color="auto"/>
              </w:divBdr>
            </w:div>
          </w:divsChild>
        </w:div>
        <w:div w:id="1717044420">
          <w:marLeft w:val="0"/>
          <w:marRight w:val="0"/>
          <w:marTop w:val="0"/>
          <w:marBottom w:val="0"/>
          <w:divBdr>
            <w:top w:val="none" w:sz="0" w:space="0" w:color="auto"/>
            <w:left w:val="none" w:sz="0" w:space="0" w:color="auto"/>
            <w:bottom w:val="none" w:sz="0" w:space="0" w:color="auto"/>
            <w:right w:val="none" w:sz="0" w:space="0" w:color="auto"/>
          </w:divBdr>
          <w:divsChild>
            <w:div w:id="1357928630">
              <w:marLeft w:val="0"/>
              <w:marRight w:val="0"/>
              <w:marTop w:val="0"/>
              <w:marBottom w:val="0"/>
              <w:divBdr>
                <w:top w:val="none" w:sz="0" w:space="0" w:color="auto"/>
                <w:left w:val="none" w:sz="0" w:space="0" w:color="auto"/>
                <w:bottom w:val="none" w:sz="0" w:space="0" w:color="auto"/>
                <w:right w:val="none" w:sz="0" w:space="0" w:color="auto"/>
              </w:divBdr>
              <w:divsChild>
                <w:div w:id="105500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E16BC-A5E2-4CDD-AF58-F23CDCB3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2910</Words>
  <Characters>16592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5</cp:revision>
  <dcterms:created xsi:type="dcterms:W3CDTF">2023-07-22T18:26:00Z</dcterms:created>
  <dcterms:modified xsi:type="dcterms:W3CDTF">2023-07-22T20:05:00Z</dcterms:modified>
</cp:coreProperties>
</file>