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DC2827" w:rsidR="00DC2827" w:rsidP="00DC2827" w:rsidRDefault="00DC2827" w14:paraId="603B1918" w14:textId="77777777">
      <w:pPr>
        <w:spacing w:line="360" w:lineRule="auto"/>
        <w:jc w:val="center"/>
        <w:rPr>
          <w:rFonts w:asciiTheme="minorBidi" w:hAnsiTheme="minorBidi"/>
          <w:b/>
          <w:bCs/>
          <w:lang w:val="en-GB"/>
        </w:rPr>
      </w:pPr>
    </w:p>
    <w:p w:rsidRPr="00DC2827" w:rsidR="00DC2827" w:rsidP="00DC2827" w:rsidRDefault="00DC2827" w14:paraId="3930BB9F" w14:textId="77777777">
      <w:pPr>
        <w:spacing w:line="360" w:lineRule="auto"/>
        <w:jc w:val="center"/>
        <w:rPr>
          <w:rFonts w:asciiTheme="minorBidi" w:hAnsiTheme="minorBidi"/>
          <w:b/>
          <w:bCs/>
          <w:lang w:val="en-GB"/>
        </w:rPr>
      </w:pPr>
    </w:p>
    <w:p w:rsidRPr="00DC2827" w:rsidR="00DC2827" w:rsidP="00DC2827" w:rsidRDefault="00DC2827" w14:paraId="4CBEF0EA" w14:textId="77777777">
      <w:pPr>
        <w:spacing w:line="360" w:lineRule="auto"/>
        <w:jc w:val="center"/>
        <w:rPr>
          <w:rFonts w:asciiTheme="minorBidi" w:hAnsiTheme="minorBidi"/>
          <w:b/>
          <w:bCs/>
          <w:lang w:val="en-GB"/>
        </w:rPr>
      </w:pPr>
    </w:p>
    <w:p w:rsidRPr="00DC2827" w:rsidR="00DC2827" w:rsidP="00DC2827" w:rsidRDefault="00DC2827" w14:paraId="6154C989" w14:textId="77777777">
      <w:pPr>
        <w:spacing w:line="360" w:lineRule="auto"/>
        <w:jc w:val="center"/>
        <w:rPr>
          <w:rFonts w:asciiTheme="minorBidi" w:hAnsiTheme="minorBidi"/>
          <w:b/>
          <w:bCs/>
          <w:lang w:val="en-GB"/>
        </w:rPr>
      </w:pPr>
    </w:p>
    <w:p w:rsidRPr="00DC2827" w:rsidR="00DC2827" w:rsidP="00DC2827" w:rsidRDefault="00DC2827" w14:paraId="6A80C837" w14:textId="77777777">
      <w:pPr>
        <w:spacing w:line="360" w:lineRule="auto"/>
        <w:jc w:val="center"/>
        <w:rPr>
          <w:rFonts w:asciiTheme="minorBidi" w:hAnsiTheme="minorBidi"/>
          <w:b/>
          <w:bCs/>
          <w:lang w:val="en-GB"/>
        </w:rPr>
      </w:pPr>
    </w:p>
    <w:p w:rsidRPr="00DC2827" w:rsidR="00DC2827" w:rsidP="00DC2827" w:rsidRDefault="00DC2827" w14:paraId="002114A7" w14:textId="77777777">
      <w:pPr>
        <w:spacing w:line="360" w:lineRule="auto"/>
        <w:jc w:val="center"/>
        <w:rPr>
          <w:rFonts w:asciiTheme="minorBidi" w:hAnsiTheme="minorBidi"/>
          <w:b/>
          <w:bCs/>
          <w:lang w:val="en-GB"/>
        </w:rPr>
      </w:pPr>
    </w:p>
    <w:p w:rsidRPr="00DC2827" w:rsidR="00DC2827" w:rsidP="5198F998" w:rsidRDefault="00DC2827" w14:paraId="4B1E6FA3" w14:textId="3129B8D5">
      <w:pPr>
        <w:pStyle w:val="Normal"/>
        <w:spacing w:line="360" w:lineRule="auto"/>
        <w:jc w:val="center"/>
        <w:rPr>
          <w:rFonts w:ascii="Arial" w:hAnsi="Arial" w:asciiTheme="minorBidi" w:hAnsiTheme="minorBidi"/>
          <w:b w:val="1"/>
          <w:bCs w:val="1"/>
          <w:lang w:val="en-GB"/>
        </w:rPr>
      </w:pPr>
      <w:r w:rsidRPr="5198F998" w:rsidR="20DB967F">
        <w:rPr>
          <w:rFonts w:ascii="Arial" w:hAnsi="Arial" w:asciiTheme="minorBidi" w:hAnsiTheme="minorBidi"/>
          <w:b w:val="1"/>
          <w:bCs w:val="1"/>
          <w:lang w:val="en-GB"/>
        </w:rPr>
        <w:t>Ioan Surdu</w:t>
      </w:r>
    </w:p>
    <w:p w:rsidRPr="00DC2827" w:rsidR="00DC2827" w:rsidP="5198F998" w:rsidRDefault="00DC2827" w14:paraId="4233E77C" w14:textId="55DDC097">
      <w:pPr>
        <w:spacing w:line="360" w:lineRule="auto"/>
        <w:jc w:val="center"/>
        <w:rPr>
          <w:rFonts w:ascii="Arial" w:hAnsi="Arial" w:asciiTheme="minorBidi" w:hAnsiTheme="minorBidi"/>
          <w:b w:val="1"/>
          <w:bCs w:val="1"/>
          <w:lang w:val="en-GB"/>
        </w:rPr>
      </w:pPr>
      <w:r w:rsidRPr="5198F998" w:rsidR="20DB967F">
        <w:rPr>
          <w:rFonts w:ascii="Arial" w:hAnsi="Arial" w:asciiTheme="minorBidi" w:hAnsiTheme="minorBidi"/>
          <w:b w:val="1"/>
          <w:bCs w:val="1"/>
          <w:lang w:val="en-GB"/>
        </w:rPr>
        <w:t>233638</w:t>
      </w:r>
    </w:p>
    <w:p w:rsidRPr="00DC2827" w:rsidR="00DC2827" w:rsidP="5198F998" w:rsidRDefault="00DC2827" w14:paraId="0D578C0D" w14:textId="51648410">
      <w:pPr>
        <w:spacing w:line="360" w:lineRule="auto"/>
        <w:jc w:val="center"/>
        <w:rPr>
          <w:rFonts w:ascii="Arial" w:hAnsi="Arial" w:asciiTheme="minorBidi" w:hAnsiTheme="minorBidi"/>
          <w:b w:val="1"/>
          <w:bCs w:val="1"/>
          <w:lang w:val="en-GB"/>
        </w:rPr>
      </w:pPr>
      <w:r w:rsidRPr="5198F998" w:rsidR="20DB967F">
        <w:rPr>
          <w:rFonts w:ascii="Arial" w:hAnsi="Arial" w:asciiTheme="minorBidi" w:hAnsiTheme="minorBidi"/>
          <w:b w:val="1"/>
          <w:bCs w:val="1"/>
          <w:lang w:val="en-GB"/>
        </w:rPr>
        <w:t>Principles</w:t>
      </w:r>
      <w:r w:rsidRPr="5198F998" w:rsidR="20DB967F">
        <w:rPr>
          <w:rFonts w:ascii="Arial" w:hAnsi="Arial" w:asciiTheme="minorBidi" w:hAnsiTheme="minorBidi"/>
          <w:b w:val="1"/>
          <w:bCs w:val="1"/>
          <w:lang w:val="en-GB"/>
        </w:rPr>
        <w:t xml:space="preserve"> of health and social care </w:t>
      </w:r>
    </w:p>
    <w:p w:rsidRPr="00DC2827" w:rsidR="00DC2827" w:rsidP="5198F998" w:rsidRDefault="00DC2827" w14:paraId="4365CFA3" w14:textId="4323E976">
      <w:pPr>
        <w:spacing w:line="360" w:lineRule="auto"/>
        <w:jc w:val="center"/>
        <w:rPr>
          <w:rFonts w:ascii="Arial" w:hAnsi="Arial" w:asciiTheme="minorBidi" w:hAnsiTheme="minorBidi"/>
          <w:b w:val="1"/>
          <w:bCs w:val="1"/>
          <w:lang w:val="en-GB"/>
        </w:rPr>
      </w:pPr>
      <w:r w:rsidRPr="5198F998" w:rsidR="20DB967F">
        <w:rPr>
          <w:rFonts w:ascii="Arial" w:hAnsi="Arial" w:asciiTheme="minorBidi" w:hAnsiTheme="minorBidi"/>
          <w:b w:val="1"/>
          <w:bCs w:val="1"/>
          <w:lang w:val="en-GB"/>
        </w:rPr>
        <w:t>Lecturer: Junaid Shaikh</w:t>
      </w:r>
    </w:p>
    <w:p w:rsidRPr="00DC2827" w:rsidR="00DC2827" w:rsidP="5198F998" w:rsidRDefault="00DC2827" w14:paraId="35BE7671" w14:textId="5235FED6">
      <w:pPr>
        <w:spacing w:line="360" w:lineRule="auto"/>
        <w:jc w:val="center"/>
        <w:rPr>
          <w:rFonts w:ascii="Arial" w:hAnsi="Arial" w:asciiTheme="minorBidi" w:hAnsiTheme="minorBidi"/>
          <w:b w:val="1"/>
          <w:bCs w:val="1"/>
          <w:lang w:val="en-GB"/>
        </w:rPr>
      </w:pPr>
      <w:r w:rsidRPr="5198F998" w:rsidR="20DB967F">
        <w:rPr>
          <w:rFonts w:ascii="Arial" w:hAnsi="Arial" w:asciiTheme="minorBidi" w:hAnsiTheme="minorBidi"/>
          <w:b w:val="1"/>
          <w:bCs w:val="1"/>
          <w:lang w:val="en-GB"/>
        </w:rPr>
        <w:t>27/10/2025</w:t>
      </w:r>
    </w:p>
    <w:p w:rsidRPr="00DC2827" w:rsidR="00DC2827" w:rsidP="5198F998" w:rsidRDefault="00DC2827" w14:paraId="34092C8A" w14:textId="5DC26C22">
      <w:pPr>
        <w:spacing w:line="360" w:lineRule="auto"/>
        <w:jc w:val="center"/>
        <w:rPr>
          <w:rFonts w:ascii="Arial" w:hAnsi="Arial" w:asciiTheme="minorBidi" w:hAnsiTheme="minorBidi"/>
          <w:b w:val="1"/>
          <w:bCs w:val="1"/>
          <w:lang w:val="en-GB"/>
        </w:rPr>
      </w:pPr>
    </w:p>
    <w:p w:rsidRPr="00DC2827" w:rsidR="00DC2827" w:rsidP="5198F998" w:rsidRDefault="00DC2827" w14:paraId="0EB60753" w14:textId="26BEF2A4">
      <w:pPr>
        <w:spacing w:line="360" w:lineRule="auto"/>
        <w:jc w:val="center"/>
        <w:rPr>
          <w:rFonts w:ascii="Arial" w:hAnsi="Arial" w:asciiTheme="minorBidi" w:hAnsiTheme="minorBidi"/>
          <w:b w:val="1"/>
          <w:bCs w:val="1"/>
          <w:lang w:val="en-GB"/>
        </w:rPr>
      </w:pPr>
    </w:p>
    <w:p w:rsidRPr="00DC2827" w:rsidR="00DC2827" w:rsidP="00DC2827" w:rsidRDefault="00DC2827" w14:paraId="5A078BB5" w14:textId="77777777">
      <w:pPr>
        <w:jc w:val="center"/>
        <w:rPr>
          <w:rFonts w:asciiTheme="minorBidi" w:hAnsiTheme="minorBidi"/>
          <w:b/>
          <w:bCs/>
          <w:lang w:val="en-GB"/>
        </w:rPr>
      </w:pPr>
      <w:r w:rsidRPr="00DC2827">
        <w:rPr>
          <w:rFonts w:asciiTheme="minorBidi" w:hAnsiTheme="minorBidi"/>
          <w:b/>
          <w:bCs/>
          <w:lang w:val="en-GB"/>
        </w:rPr>
        <w:br w:type="page"/>
      </w:r>
    </w:p>
    <w:p w:rsidRPr="00DC2827" w:rsidR="00DC2827" w:rsidP="00DC2827" w:rsidRDefault="00DC2827" w14:paraId="75F2F738" w14:textId="7843BF1C">
      <w:pPr>
        <w:spacing w:line="360" w:lineRule="auto"/>
        <w:jc w:val="both"/>
        <w:rPr>
          <w:rFonts w:asciiTheme="minorBidi" w:hAnsiTheme="minorBidi"/>
          <w:b/>
          <w:bCs/>
          <w:lang w:val="en-GB"/>
        </w:rPr>
      </w:pPr>
      <w:r w:rsidRPr="00DC2827">
        <w:rPr>
          <w:rFonts w:asciiTheme="minorBidi" w:hAnsiTheme="minorBidi"/>
          <w:b/>
          <w:bCs/>
          <w:lang w:val="en-GB"/>
        </w:rPr>
        <w:lastRenderedPageBreak/>
        <w:t>Task 1</w:t>
      </w:r>
    </w:p>
    <w:p w:rsidRPr="00DC2827" w:rsidR="00DC2827" w:rsidP="00DC2827" w:rsidRDefault="00DC2827" w14:paraId="050306E6" w14:textId="77777777">
      <w:pPr>
        <w:spacing w:line="360" w:lineRule="auto"/>
        <w:jc w:val="both"/>
        <w:rPr>
          <w:rFonts w:asciiTheme="minorBidi" w:hAnsiTheme="minorBidi"/>
          <w:lang w:val="en-GB"/>
        </w:rPr>
      </w:pPr>
      <w:r w:rsidRPr="00DC2827">
        <w:rPr>
          <w:rFonts w:asciiTheme="minorBidi" w:hAnsiTheme="minorBidi"/>
          <w:lang w:val="en-GB"/>
        </w:rPr>
        <w:t>The UK health and social care is influenced by the key values that promote safe, effective and caring practise. Some of the most important ones are person-centred care, partnership working and ethical responsibility. The two of them outline the manner in which professionals interact with service users in a way that incorporates colleagues and the broader systems to achieve quality work.</w:t>
      </w:r>
    </w:p>
    <w:p w:rsidRPr="00DC2827" w:rsidR="00DC2827" w:rsidP="00DC2827" w:rsidRDefault="00DC2827" w14:paraId="602C5A3A" w14:textId="6E2B3440">
      <w:pPr>
        <w:spacing w:line="360" w:lineRule="auto"/>
        <w:jc w:val="both"/>
        <w:rPr>
          <w:rFonts w:asciiTheme="minorBidi" w:hAnsiTheme="minorBidi"/>
          <w:lang w:val="en-GB"/>
        </w:rPr>
      </w:pPr>
      <w:r w:rsidRPr="00DC2827">
        <w:rPr>
          <w:rFonts w:asciiTheme="minorBidi" w:hAnsiTheme="minorBidi"/>
          <w:lang w:val="en-GB"/>
        </w:rPr>
        <w:t xml:space="preserve">Person-centred care involves the focus on an individual as the centre of planning and delivery. </w:t>
      </w:r>
      <w:proofErr w:type="gramStart"/>
      <w:r w:rsidRPr="00DC2827">
        <w:rPr>
          <w:rFonts w:asciiTheme="minorBidi" w:hAnsiTheme="minorBidi"/>
          <w:lang w:val="en-GB"/>
        </w:rPr>
        <w:t>It</w:t>
      </w:r>
      <w:proofErr w:type="gramEnd"/>
      <w:r w:rsidRPr="00DC2827">
        <w:rPr>
          <w:rFonts w:asciiTheme="minorBidi" w:hAnsiTheme="minorBidi"/>
          <w:lang w:val="en-GB"/>
        </w:rPr>
        <w:t xml:space="preserve"> status of individual preferences, cultural settings and individual aspirations, and matches care to individual values that are important to the individual over what services find it simple to provide. According to Feldthusen et al. (2022) person-centredness has taken a central place in evaluative standards in a range of systems internationally. Association of this idea with Maslow’s hierarchy of needs demonstrates the way in which care needs to be provided to people not only in accordance to physiological wellness but also in respect to their sense of safety, belonging and respect, otherwise wellness cannot be maintained. Forsgren et al. (2025) go on to add that person-centred care is a developing field, and its evidence base demonstrates that it positively affects trust, satisfaction and clinical outcomes. This renders person-centred care as not only a moral responsibility, but also as an effective approach to enhance health services.</w:t>
      </w:r>
    </w:p>
    <w:p w:rsidRPr="00DC2827" w:rsidR="00DC2827" w:rsidP="00DC2827" w:rsidRDefault="00DC2827" w14:paraId="208E5783" w14:textId="77777777">
      <w:pPr>
        <w:spacing w:line="360" w:lineRule="auto"/>
        <w:jc w:val="both"/>
        <w:rPr>
          <w:rFonts w:asciiTheme="minorBidi" w:hAnsiTheme="minorBidi"/>
          <w:lang w:val="en-GB"/>
        </w:rPr>
      </w:pPr>
      <w:r w:rsidRPr="00DC2827">
        <w:rPr>
          <w:rFonts w:asciiTheme="minorBidi" w:hAnsiTheme="minorBidi"/>
          <w:lang w:val="en-GB"/>
        </w:rPr>
        <w:t xml:space="preserve">The other defining principle is partnership working. It involves proper cooperation between organisations and professions in providing coordinated care. Integrated Care Systems (ICSs) were formalised in the Health and Care Act 2022 as a means of partnership, that local authorities, NHS providers and voluntary bodies would, through ICSs, have to coordinate strategies. </w:t>
      </w:r>
      <w:proofErr w:type="spellStart"/>
      <w:r w:rsidRPr="00DC2827">
        <w:rPr>
          <w:rFonts w:asciiTheme="minorBidi" w:hAnsiTheme="minorBidi"/>
          <w:lang w:val="en-GB"/>
        </w:rPr>
        <w:t>Alderwick</w:t>
      </w:r>
      <w:proofErr w:type="spellEnd"/>
      <w:r w:rsidRPr="00DC2827">
        <w:rPr>
          <w:rFonts w:asciiTheme="minorBidi" w:hAnsiTheme="minorBidi"/>
          <w:lang w:val="en-GB"/>
        </w:rPr>
        <w:t xml:space="preserve"> et al. (2022) demonstrate that such partnerships are commonly regarded as one of the solutions to systemic pressures, and provide a chance to address social determinants of health in a collective manner. Partnering however is not just about structures but cultural as well. Burn et al. (2023) underscore the fact that the Care Act 2014 meant that services needed to have a sense of accountability on the personalisation area, and that shared working had to be enshrined in practise to facilitate policy accomplishing desirable outcomes.</w:t>
      </w:r>
    </w:p>
    <w:p w:rsidRPr="00DC2827" w:rsidR="00DC2827" w:rsidP="00DC2827" w:rsidRDefault="00DC2827" w14:paraId="0FBFFA69" w14:textId="77777777">
      <w:pPr>
        <w:spacing w:line="360" w:lineRule="auto"/>
        <w:jc w:val="both"/>
        <w:rPr>
          <w:rFonts w:asciiTheme="minorBidi" w:hAnsiTheme="minorBidi"/>
          <w:lang w:val="en-GB"/>
        </w:rPr>
      </w:pPr>
      <w:r w:rsidRPr="00DC2827">
        <w:rPr>
          <w:rFonts w:asciiTheme="minorBidi" w:hAnsiTheme="minorBidi"/>
          <w:lang w:val="en-GB"/>
        </w:rPr>
        <w:t xml:space="preserve">Person-centredness and partnership are both based on ethics. In the practise of ethics, there is respect of dignity, confidentiality, consent and fairness in decision making. In the case of patient autonomy in a situation that necessitates safeguarding obligations, it would be necessary to make a judgement of ethics at all times. Feldthusen et al. (2022) say that ethical reflection is not a choice but an important means of enhancing trust and engagement. The professional codes of conduct </w:t>
      </w:r>
      <w:r w:rsidRPr="00DC2827">
        <w:rPr>
          <w:rFonts w:asciiTheme="minorBidi" w:hAnsiTheme="minorBidi"/>
          <w:lang w:val="en-GB"/>
        </w:rPr>
        <w:lastRenderedPageBreak/>
        <w:t xml:space="preserve">and the NHS Constitution are policies that hold the practitioners accountable to their actions of being honest and transparent. This would practically entail balancing values, </w:t>
      </w:r>
      <w:proofErr w:type="gramStart"/>
      <w:r w:rsidRPr="00DC2827">
        <w:rPr>
          <w:rFonts w:asciiTheme="minorBidi" w:hAnsiTheme="minorBidi"/>
          <w:lang w:val="en-GB"/>
        </w:rPr>
        <w:t>e.g.</w:t>
      </w:r>
      <w:proofErr w:type="gramEnd"/>
      <w:r w:rsidRPr="00DC2827">
        <w:rPr>
          <w:rFonts w:asciiTheme="minorBidi" w:hAnsiTheme="minorBidi"/>
          <w:lang w:val="en-GB"/>
        </w:rPr>
        <w:t xml:space="preserve"> a patient has a wish not to be treated whereas non-maleficence must be observed. Forsgren et al. (2025) state that ethics is a concept that overlaps with person-centredness, as it makes sure that the decisions are made based on dialogue and respect.</w:t>
      </w:r>
    </w:p>
    <w:p w:rsidRPr="00DC2827" w:rsidR="00DC2827" w:rsidP="00DC2827" w:rsidRDefault="00DC2827" w14:paraId="52F63C00" w14:textId="77777777">
      <w:pPr>
        <w:spacing w:line="360" w:lineRule="auto"/>
        <w:jc w:val="both"/>
        <w:rPr>
          <w:rFonts w:asciiTheme="minorBidi" w:hAnsiTheme="minorBidi"/>
          <w:lang w:val="en-GB"/>
        </w:rPr>
      </w:pPr>
      <w:r w:rsidRPr="00DC2827">
        <w:rPr>
          <w:rFonts w:asciiTheme="minorBidi" w:hAnsiTheme="minorBidi"/>
          <w:lang w:val="en-GB"/>
        </w:rPr>
        <w:t>Combination of these principles is to make sure that health and social care in UK is quality-oriented. With people in the centre, collaboration to drive the response into action and ensuring that all the action is based on ethical considerations, professionals have offered care that is both safe, inclusive and sustainable. Their structural issues also fill the divide between health and social care structures. A reflection upon these principles reveals that they are at the core of not just providing better outcomes to service users but also defining who I am as a professional and how I become accountable regarding my actions.</w:t>
      </w:r>
    </w:p>
    <w:p w:rsidRPr="00DC2827" w:rsidR="00DC2827" w:rsidP="00DC2827" w:rsidRDefault="00DC2827" w14:paraId="4B68AC22" w14:textId="474B0E97">
      <w:pPr>
        <w:spacing w:line="360" w:lineRule="auto"/>
        <w:jc w:val="both"/>
        <w:rPr>
          <w:rFonts w:asciiTheme="minorBidi" w:hAnsiTheme="minorBidi"/>
          <w:b/>
          <w:bCs/>
          <w:lang w:val="en-GB"/>
        </w:rPr>
      </w:pPr>
      <w:r w:rsidRPr="00DC2827">
        <w:rPr>
          <w:rFonts w:asciiTheme="minorBidi" w:hAnsiTheme="minorBidi"/>
          <w:b/>
          <w:bCs/>
          <w:lang w:val="en-GB"/>
        </w:rPr>
        <w:t>Task 2</w:t>
      </w:r>
    </w:p>
    <w:p w:rsidRPr="00DC2827" w:rsidR="00DC2827" w:rsidP="00DC2827" w:rsidRDefault="00DC2827" w14:paraId="09A06FEB" w14:textId="77777777">
      <w:pPr>
        <w:spacing w:line="360" w:lineRule="auto"/>
        <w:jc w:val="both"/>
        <w:rPr>
          <w:rFonts w:asciiTheme="minorBidi" w:hAnsiTheme="minorBidi"/>
          <w:lang w:val="en-GB"/>
        </w:rPr>
      </w:pPr>
      <w:r w:rsidRPr="00DC2827">
        <w:rPr>
          <w:rFonts w:asciiTheme="minorBidi" w:hAnsiTheme="minorBidi"/>
          <w:lang w:val="en-GB"/>
        </w:rPr>
        <w:t>A good way to observe the impact of these principles in practise is to focus on a main area of reform in the NHS, the implementation of Integrated Care Systems (ICSs) which is an initiative to inculcate a focus on collaboration and person-centredness into daily service delivery.</w:t>
      </w:r>
    </w:p>
    <w:p w:rsidRPr="00DC2827" w:rsidR="00DC2827" w:rsidP="00DC2827" w:rsidRDefault="00DC2827" w14:paraId="6AF23C7F" w14:textId="6A0F4E3B">
      <w:pPr>
        <w:spacing w:line="360" w:lineRule="auto"/>
        <w:jc w:val="both"/>
        <w:rPr>
          <w:rFonts w:asciiTheme="minorBidi" w:hAnsiTheme="minorBidi"/>
          <w:lang w:val="en-GB"/>
        </w:rPr>
      </w:pPr>
      <w:r w:rsidRPr="00DC2827">
        <w:rPr>
          <w:rFonts w:asciiTheme="minorBidi" w:hAnsiTheme="minorBidi"/>
          <w:lang w:val="en-GB"/>
        </w:rPr>
        <w:t>The partnership in action is an example of partnership local ICS in London. This system involves collaboration between NHS providers, local councils, voluntary organisations and patient representatives in creating care pathways of chronically ill human beings. Tracy et al. (2025) characterises the three levels of personnel, such as frontline clinicians, middle managers and commissioners, who help in ability to shape priorities. As an example, community nurses liaise with social workers to assist older adults in communities and voluntary organisations provide culturally-based wellbeing programmes. Mills et al. (2024) demonstrate that trust and adherence to shared decision-making between patients and community nurses is better, which depicts how the concepts of partnership and person-centred care can be operationalised at the point of delivery. Ethics and collaboration intersect as the actors involved, including the policymakers, the frontline carers are equally responsible and demonstrate outcomes.</w:t>
      </w:r>
    </w:p>
    <w:p w:rsidRPr="00DC2827" w:rsidR="00DC2827" w:rsidP="00DC2827" w:rsidRDefault="00DC2827" w14:paraId="6A07C1D4" w14:textId="77777777">
      <w:pPr>
        <w:spacing w:line="360" w:lineRule="auto"/>
        <w:jc w:val="both"/>
        <w:rPr>
          <w:rFonts w:asciiTheme="minorBidi" w:hAnsiTheme="minorBidi"/>
          <w:lang w:val="en-GB"/>
        </w:rPr>
      </w:pPr>
      <w:r w:rsidRPr="00DC2827">
        <w:rPr>
          <w:rFonts w:asciiTheme="minorBidi" w:hAnsiTheme="minorBidi"/>
          <w:lang w:val="en-GB"/>
        </w:rPr>
        <w:t xml:space="preserve">Such practises are strongly connected with legislation and policy. The Care Act 2014 provided a responsibility on the local authorities to foster individual wellbeing and avoid the needs spiralling out of control. According to Burn et al. (2023), integrated local commissioning will make the Act successful, which explains why joint working should be used to provide personalisation. This was further applied in the Health and Care Act 2022 which incorporated ICSs with the aim of structural </w:t>
      </w:r>
      <w:r w:rsidRPr="00DC2827">
        <w:rPr>
          <w:rFonts w:asciiTheme="minorBidi" w:hAnsiTheme="minorBidi"/>
          <w:lang w:val="en-GB"/>
        </w:rPr>
        <w:lastRenderedPageBreak/>
        <w:t>alignment of NHS and social care services. Gongora-Salazar et al. (2022) study the process of integrated care commissioning, revealing that the process is influenced by such factors as financial constraints and governance demands. According to Page et al. (2024), some systems have thrived, and others have difficulties in managing various organisational interests. However, these reforms offer a policy framework which helps motivate professionals to inter-boundary work towards the interest of person-centred outcomes.</w:t>
      </w:r>
    </w:p>
    <w:p w:rsidRPr="00DC2827" w:rsidR="00DC2827" w:rsidP="00DC2827" w:rsidRDefault="00DC2827" w14:paraId="46A3DF39" w14:textId="77777777">
      <w:pPr>
        <w:spacing w:line="360" w:lineRule="auto"/>
        <w:jc w:val="both"/>
        <w:rPr>
          <w:rFonts w:asciiTheme="minorBidi" w:hAnsiTheme="minorBidi"/>
          <w:lang w:val="en-GB"/>
        </w:rPr>
      </w:pPr>
      <w:r w:rsidRPr="00DC2827">
        <w:rPr>
          <w:rFonts w:asciiTheme="minorBidi" w:hAnsiTheme="minorBidi"/>
          <w:lang w:val="en-GB"/>
        </w:rPr>
        <w:t>Challenges remain. According to Tracy et al. (2025), working partnerships are usually impaired by the differences in organisational culture and the lack of resources. According to Mills et al. (2024), even though shared decision-making is widely promoted, time pressure and lack of training may threaten to compromise shared decision-making in practise. According to Page et al. (2024), certain ICSs lose direction within the local priority conflict and the conflicting national expectations. According to Gongora-Salazar et al. (2022), the issue of financial constraint poses a conflict of efficiency and person-centredness. These results indicate that although the principles have found their way into policy, practise has real-life obstacles that can water them down.</w:t>
      </w:r>
    </w:p>
    <w:p w:rsidRPr="00DC2827" w:rsidR="00DC2827" w:rsidP="00DC2827" w:rsidRDefault="00DC2827" w14:paraId="5057DE95" w14:textId="77777777">
      <w:pPr>
        <w:spacing w:line="360" w:lineRule="auto"/>
        <w:jc w:val="both"/>
        <w:rPr>
          <w:rFonts w:asciiTheme="minorBidi" w:hAnsiTheme="minorBidi"/>
          <w:lang w:val="en-GB"/>
        </w:rPr>
      </w:pPr>
      <w:r w:rsidRPr="00DC2827">
        <w:rPr>
          <w:rFonts w:asciiTheme="minorBidi" w:hAnsiTheme="minorBidi"/>
          <w:lang w:val="en-GB"/>
        </w:rPr>
        <w:t>To deal with these, services must consider investing in staff education on shared decision-making and cultural competence so that frontline professionals can ensure that person-centred approaches are implemented properly. There should be policies that promote flexibility in funding that focuses on prevention and personalised care instead of cheaper quick fix. Leadership that is ethical is also necessary so as to bring various players on board in order to have similar objectives. ICSs can enhance their promise of integrated and person-centred care by enhancing collaboration, reinforcing ethical practise, and adequately staffing the system.</w:t>
      </w:r>
    </w:p>
    <w:p w:rsidRPr="00DC2827" w:rsidR="00DC2827" w:rsidP="00DC2827" w:rsidRDefault="00DC2827" w14:paraId="3EDE54A3" w14:textId="09AD557B">
      <w:pPr>
        <w:spacing w:line="360" w:lineRule="auto"/>
        <w:jc w:val="both"/>
        <w:rPr>
          <w:rFonts w:asciiTheme="minorBidi" w:hAnsiTheme="minorBidi"/>
          <w:b/>
          <w:bCs/>
          <w:lang w:val="en-GB"/>
        </w:rPr>
      </w:pPr>
      <w:r w:rsidRPr="00DC2827">
        <w:rPr>
          <w:rFonts w:asciiTheme="minorBidi" w:hAnsiTheme="minorBidi"/>
          <w:b/>
          <w:bCs/>
          <w:lang w:val="en-GB"/>
        </w:rPr>
        <w:t>Task 3</w:t>
      </w:r>
    </w:p>
    <w:p w:rsidRPr="00DC2827" w:rsidR="00DC2827" w:rsidP="00DC2827" w:rsidRDefault="00DC2827" w14:paraId="7261C641" w14:textId="77777777">
      <w:pPr>
        <w:spacing w:line="360" w:lineRule="auto"/>
        <w:jc w:val="both"/>
        <w:rPr>
          <w:rFonts w:asciiTheme="minorBidi" w:hAnsiTheme="minorBidi"/>
          <w:lang w:val="en-GB"/>
        </w:rPr>
      </w:pPr>
      <w:r w:rsidRPr="00DC2827">
        <w:rPr>
          <w:rFonts w:asciiTheme="minorBidi" w:hAnsiTheme="minorBidi"/>
          <w:lang w:val="en-GB"/>
        </w:rPr>
        <w:t>This reflection is based on the way these principles of person-centred care, partnership working and ethics can impact my practise as a health and social care professional. The idea is to find out how these principles are currently applied by me, the areas of strength and weakness, and how they are going to be developed. With the help of the reflective cycle introduced by Gibbs, I will make the analysis, compare actions and be able to develop strategies to improve it.</w:t>
      </w:r>
    </w:p>
    <w:p w:rsidRPr="00DC2827" w:rsidR="00DC2827" w:rsidP="00DC2827" w:rsidRDefault="00DC2827" w14:paraId="2BFFB209" w14:textId="77777777">
      <w:pPr>
        <w:spacing w:line="360" w:lineRule="auto"/>
        <w:jc w:val="both"/>
        <w:rPr>
          <w:rFonts w:asciiTheme="minorBidi" w:hAnsiTheme="minorBidi"/>
          <w:lang w:val="en-GB"/>
        </w:rPr>
      </w:pPr>
      <w:r w:rsidRPr="00DC2827">
        <w:rPr>
          <w:rFonts w:asciiTheme="minorBidi" w:hAnsiTheme="minorBidi"/>
          <w:lang w:val="en-GB"/>
        </w:rPr>
        <w:t xml:space="preserve">My everyday practise in direct contact with the service users is conditioned by person-centred care. To give an example, in my practise in assisting an older patient with numerous health-related issues, I personally discuss personal objectives and preferences. Rather than responding to their medical needs directly, I look at how interventions can make these people function independently and be socially active. This is consistent with the evidence that person-centred interventions help </w:t>
      </w:r>
      <w:r w:rsidRPr="00DC2827">
        <w:rPr>
          <w:rFonts w:asciiTheme="minorBidi" w:hAnsiTheme="minorBidi"/>
          <w:lang w:val="en-GB"/>
        </w:rPr>
        <w:lastRenderedPageBreak/>
        <w:t xml:space="preserve">enhance the quality of life and lower the costs of healthcare (Nkhoma et al., 2022). Practically, I apply open-ended questions and shared care planning then I rely on </w:t>
      </w:r>
      <w:proofErr w:type="spellStart"/>
      <w:r w:rsidRPr="00DC2827">
        <w:rPr>
          <w:rFonts w:asciiTheme="minorBidi" w:hAnsiTheme="minorBidi"/>
          <w:lang w:val="en-GB"/>
        </w:rPr>
        <w:t>Maslows</w:t>
      </w:r>
      <w:proofErr w:type="spellEnd"/>
      <w:r w:rsidRPr="00DC2827">
        <w:rPr>
          <w:rFonts w:asciiTheme="minorBidi" w:hAnsiTheme="minorBidi"/>
          <w:lang w:val="en-GB"/>
        </w:rPr>
        <w:t xml:space="preserve"> model and balance the health of modifications of safety and psychological wellbeing. Balancing professional priorities and personal desires is one of the issues that I experience. Sometimes patients refuse interventions in my view as being required. Thinking about Feldthusen et al. (2022), I realise that autonomy is an aspect of high-quality care by itself, which has greatly contributed even to professional discomfort.</w:t>
      </w:r>
    </w:p>
    <w:p w:rsidRPr="00DC2827" w:rsidR="00DC2827" w:rsidP="00DC2827" w:rsidRDefault="00DC2827" w14:paraId="0B5DD804" w14:textId="77777777">
      <w:pPr>
        <w:spacing w:line="360" w:lineRule="auto"/>
        <w:jc w:val="both"/>
        <w:rPr>
          <w:rFonts w:asciiTheme="minorBidi" w:hAnsiTheme="minorBidi"/>
          <w:lang w:val="en-GB"/>
        </w:rPr>
      </w:pPr>
      <w:r w:rsidRPr="00DC2827">
        <w:rPr>
          <w:rFonts w:asciiTheme="minorBidi" w:hAnsiTheme="minorBidi"/>
          <w:lang w:val="en-GB"/>
        </w:rPr>
        <w:t xml:space="preserve">The core of my work is partnership working as I have to regularly organise my collaboration with nurses, social workers and community organisations. An example of this is in a discharge planning meeting, where I collaborated with the hospital, a physiotherapist, and a social care assessor in order to make sure that one of the patients received physical rehabilitation and home adaptations. </w:t>
      </w:r>
      <w:proofErr w:type="spellStart"/>
      <w:r w:rsidRPr="00DC2827">
        <w:rPr>
          <w:rFonts w:asciiTheme="minorBidi" w:hAnsiTheme="minorBidi"/>
          <w:lang w:val="en-GB"/>
        </w:rPr>
        <w:t>Nyamapfene</w:t>
      </w:r>
      <w:proofErr w:type="spellEnd"/>
      <w:r w:rsidRPr="00DC2827">
        <w:rPr>
          <w:rFonts w:asciiTheme="minorBidi" w:hAnsiTheme="minorBidi"/>
          <w:lang w:val="en-GB"/>
        </w:rPr>
        <w:t xml:space="preserve"> and Merchant (2023) emphasise the benefit of training in shared decision-making, which is related to my experience: joint decision making eliminates redundancy and guarantees a unified message to the patients. Nonetheless, according to Thomson (2024), there are impediments to integrated working that include communication barriers and organisational silos. I have had instances where information unavailability created service gaps due to delays in information sharing. Such events demonstrate to me the necessity of being assertive and active in building relationships. Partnership working is not only a structural requirement, but a skill that I need to keep on building.</w:t>
      </w:r>
    </w:p>
    <w:p w:rsidRPr="00DC2827" w:rsidR="00DC2827" w:rsidP="00DC2827" w:rsidRDefault="00DC2827" w14:paraId="2A34D5A4" w14:textId="77777777">
      <w:pPr>
        <w:spacing w:line="360" w:lineRule="auto"/>
        <w:jc w:val="both"/>
        <w:rPr>
          <w:rFonts w:asciiTheme="minorBidi" w:hAnsiTheme="minorBidi"/>
          <w:lang w:val="en-GB"/>
        </w:rPr>
      </w:pPr>
      <w:r w:rsidRPr="00DC2827">
        <w:rPr>
          <w:rFonts w:asciiTheme="minorBidi" w:hAnsiTheme="minorBidi"/>
          <w:lang w:val="en-GB"/>
        </w:rPr>
        <w:t>My decisions are also framed in ethics. I recall this case when a patient with early dementia declined the assistance with medication administration even after being admitted in the hospital many times. I encountered an ethical dilemma of autonomy and safety. With the help of colleagues and use of professional codes, I maintained a balance between beneficence and respect to dignity. Bark (2024) brings to light the tension that personalisation policies can bring in between the professional responsibility and client choice, which is my experience. When I retrospectively reflected upon it, I realised that a closer involvement of the family could have helped with an ethical and sustainable solution. These kinds of dilemmas demonstrate the idea of that ethical practise is not that simple and it must always be judged.</w:t>
      </w:r>
    </w:p>
    <w:p w:rsidRPr="00DC2827" w:rsidR="00DC2827" w:rsidP="00DC2827" w:rsidRDefault="00DC2827" w14:paraId="47F4B34B" w14:textId="77777777">
      <w:pPr>
        <w:spacing w:line="360" w:lineRule="auto"/>
        <w:jc w:val="both"/>
        <w:rPr>
          <w:rFonts w:asciiTheme="minorBidi" w:hAnsiTheme="minorBidi"/>
          <w:lang w:val="en-GB"/>
        </w:rPr>
      </w:pPr>
      <w:r w:rsidRPr="00DC2827">
        <w:rPr>
          <w:rFonts w:asciiTheme="minorBidi" w:hAnsiTheme="minorBidi"/>
          <w:lang w:val="en-GB"/>
        </w:rPr>
        <w:t xml:space="preserve">The reflective cycle offered by Gibbs will be an effective guide in learning out of such experiences. Sherwood (2024) emphasises the importance of reflective practise in knowledge building providing the connexion between theory and practical experiences. I recounted the incident following </w:t>
      </w:r>
      <w:proofErr w:type="spellStart"/>
      <w:r w:rsidRPr="00DC2827">
        <w:rPr>
          <w:rFonts w:asciiTheme="minorBidi" w:hAnsiTheme="minorBidi"/>
          <w:lang w:val="en-GB"/>
        </w:rPr>
        <w:t>Geribbs</w:t>
      </w:r>
      <w:proofErr w:type="spellEnd"/>
      <w:r w:rsidRPr="00DC2827">
        <w:rPr>
          <w:rFonts w:asciiTheme="minorBidi" w:hAnsiTheme="minorBidi"/>
          <w:lang w:val="en-GB"/>
        </w:rPr>
        <w:t xml:space="preserve"> stages, reviewed contributory factors, appraised my response and reached a conclusion that more involvement of family members early would have helped to avoid harm. </w:t>
      </w:r>
      <w:r w:rsidRPr="00DC2827">
        <w:rPr>
          <w:rFonts w:asciiTheme="minorBidi" w:hAnsiTheme="minorBidi"/>
          <w:lang w:val="en-GB"/>
        </w:rPr>
        <w:lastRenderedPageBreak/>
        <w:t>Yang and Zou (2025) confirm empathy and compassion are built in reflective practise, which I feel improving in me as I undertake this cycle again and again. Gibbs can assist me with the experience and turn it into something practical, and it makes a cyclic process of learning and refinement.</w:t>
      </w:r>
    </w:p>
    <w:p w:rsidRPr="00DC2827" w:rsidR="00DC2827" w:rsidP="00DC2827" w:rsidRDefault="00DC2827" w14:paraId="118F1F5D" w14:textId="77777777">
      <w:pPr>
        <w:spacing w:line="360" w:lineRule="auto"/>
        <w:jc w:val="both"/>
        <w:rPr>
          <w:rFonts w:asciiTheme="minorBidi" w:hAnsiTheme="minorBidi"/>
          <w:lang w:val="en-GB"/>
        </w:rPr>
      </w:pPr>
      <w:r w:rsidRPr="00DC2827">
        <w:rPr>
          <w:rFonts w:asciiTheme="minorBidi" w:hAnsiTheme="minorBidi"/>
          <w:lang w:val="en-GB"/>
        </w:rPr>
        <w:t>My very strong points are a good ear, a sympathetic and readiness to adjust care to the personal requirements. I also believe I have the ability to work together with multidisciplinary colleagues and represent the will of patients. Nevertheless, there are still areas to be improved. I should practise my ability to make ethical decisions, particularly in complicated scenarios when the interests of autonomy and safety are in opposition. Thomson (2024) teaches me that the practise might be undercut by systemic barriers, and I need to become more resilient and hold leadership positions advocating the solution, as well.</w:t>
      </w:r>
    </w:p>
    <w:p w:rsidRPr="00DC2827" w:rsidR="00DC2827" w:rsidP="00DC2827" w:rsidRDefault="00DC2827" w14:paraId="3AB2E177" w14:textId="77777777">
      <w:pPr>
        <w:spacing w:line="360" w:lineRule="auto"/>
        <w:jc w:val="both"/>
        <w:rPr>
          <w:rFonts w:asciiTheme="minorBidi" w:hAnsiTheme="minorBidi"/>
          <w:lang w:val="en-GB"/>
        </w:rPr>
      </w:pPr>
      <w:r w:rsidRPr="00DC2827">
        <w:rPr>
          <w:rFonts w:asciiTheme="minorBidi" w:hAnsiTheme="minorBidi"/>
          <w:lang w:val="en-GB"/>
        </w:rPr>
        <w:t>In these gaps, I intend to develop an organised learning plan. The first SMART goal is that within a period of six months, I will participate in a training workshop about making ethical decisions in order to enrich my knowledge related to practical frameworks. The other is shadowing of senior colleagues during meetings of integrated care at least twice in the next term to enhance my skill of partnership working. Lastly, I am going to maintain a reflective journal and read it on a monthly basis and make sure that I incorporate learning into practise in a systematic manner.</w:t>
      </w:r>
    </w:p>
    <w:p w:rsidRPr="00DC2827" w:rsidR="00DC2827" w:rsidP="00DC2827" w:rsidRDefault="00DC2827" w14:paraId="3440EC19" w14:textId="01EF77BA">
      <w:pPr>
        <w:spacing w:line="360" w:lineRule="auto"/>
        <w:jc w:val="both"/>
        <w:rPr>
          <w:rFonts w:asciiTheme="minorBidi" w:hAnsiTheme="minorBidi"/>
          <w:lang w:val="en-GB"/>
        </w:rPr>
      </w:pPr>
      <w:r w:rsidRPr="00DC2827">
        <w:rPr>
          <w:rFonts w:asciiTheme="minorBidi" w:hAnsiTheme="minorBidi"/>
          <w:lang w:val="en-GB"/>
        </w:rPr>
        <w:t>Therefore, in consideration of person-centred care, partnership working and ethics, these concepts demonstrate the influence of these values on my professional identity and practise. Their effects on outcomes have been proven in literature, and my experiences demonstrate the areas of growth and strengths. Through organised learning and continuous reflection, I hope to be a better person to practise as a more competent, collaborative and morally sound professional in the UK and give back to high quality of health and social care.</w:t>
      </w:r>
    </w:p>
    <w:p w:rsidRPr="00DC2827" w:rsidR="00BB4DB3" w:rsidP="00DC2827" w:rsidRDefault="00000000" w14:paraId="1EAA8E99" w14:textId="689F090A">
      <w:pPr>
        <w:spacing w:line="360" w:lineRule="auto"/>
        <w:jc w:val="both"/>
        <w:rPr>
          <w:rFonts w:asciiTheme="minorBidi" w:hAnsiTheme="minorBidi"/>
          <w:lang w:val="en-GB"/>
        </w:rPr>
      </w:pPr>
    </w:p>
    <w:p w:rsidRPr="00DC2827" w:rsidR="00961688" w:rsidP="00DC2827" w:rsidRDefault="00961688" w14:paraId="382AB5C6" w14:textId="598C5168">
      <w:pPr>
        <w:spacing w:line="360" w:lineRule="auto"/>
        <w:jc w:val="both"/>
        <w:rPr>
          <w:rFonts w:asciiTheme="minorBidi" w:hAnsiTheme="minorBidi"/>
          <w:lang w:val="en-GB"/>
        </w:rPr>
      </w:pPr>
    </w:p>
    <w:p w:rsidRPr="00DC2827" w:rsidR="00961688" w:rsidP="00DC2827" w:rsidRDefault="00961688" w14:paraId="771BF2DF" w14:textId="06414B07">
      <w:pPr>
        <w:spacing w:line="360" w:lineRule="auto"/>
        <w:jc w:val="both"/>
        <w:rPr>
          <w:rFonts w:asciiTheme="minorBidi" w:hAnsiTheme="minorBidi"/>
          <w:lang w:val="en-GB"/>
        </w:rPr>
      </w:pPr>
    </w:p>
    <w:p w:rsidRPr="00DC2827" w:rsidR="00DC2827" w:rsidP="00DC2827" w:rsidRDefault="00DC2827" w14:paraId="5DDE1A04" w14:textId="77777777">
      <w:pPr>
        <w:spacing w:line="360" w:lineRule="auto"/>
        <w:jc w:val="both"/>
        <w:rPr>
          <w:rFonts w:asciiTheme="minorBidi" w:hAnsiTheme="minorBidi"/>
          <w:b/>
          <w:bCs/>
          <w:lang w:val="en-GB"/>
        </w:rPr>
      </w:pPr>
      <w:r w:rsidRPr="00DC2827">
        <w:rPr>
          <w:rFonts w:asciiTheme="minorBidi" w:hAnsiTheme="minorBidi"/>
          <w:b/>
          <w:bCs/>
          <w:lang w:val="en-GB"/>
        </w:rPr>
        <w:br w:type="page"/>
      </w:r>
    </w:p>
    <w:p w:rsidRPr="00961688" w:rsidR="00961688" w:rsidP="00DC2827" w:rsidRDefault="00961688" w14:paraId="0E8F860C" w14:textId="06BEB979">
      <w:pPr>
        <w:spacing w:line="360" w:lineRule="auto"/>
        <w:jc w:val="both"/>
        <w:rPr>
          <w:rFonts w:asciiTheme="minorBidi" w:hAnsiTheme="minorBidi"/>
          <w:b/>
          <w:bCs/>
          <w:lang w:val="en-GB"/>
        </w:rPr>
      </w:pPr>
      <w:r w:rsidRPr="00961688">
        <w:rPr>
          <w:rFonts w:asciiTheme="minorBidi" w:hAnsiTheme="minorBidi"/>
          <w:b/>
          <w:bCs/>
          <w:lang w:val="en-GB"/>
        </w:rPr>
        <w:lastRenderedPageBreak/>
        <w:t>Reference</w:t>
      </w:r>
      <w:r w:rsidRPr="00DC2827">
        <w:rPr>
          <w:rFonts w:asciiTheme="minorBidi" w:hAnsiTheme="minorBidi"/>
          <w:b/>
          <w:bCs/>
          <w:lang w:val="en-GB"/>
        </w:rPr>
        <w:t>s</w:t>
      </w:r>
    </w:p>
    <w:p w:rsidRPr="00961688" w:rsidR="00961688" w:rsidP="00DC2827" w:rsidRDefault="00961688" w14:paraId="33163421" w14:textId="5B67772B">
      <w:pPr>
        <w:spacing w:line="360" w:lineRule="auto"/>
        <w:jc w:val="both"/>
        <w:rPr>
          <w:rFonts w:asciiTheme="minorBidi" w:hAnsiTheme="minorBidi"/>
          <w:lang w:val="en-GB"/>
        </w:rPr>
      </w:pPr>
      <w:proofErr w:type="spellStart"/>
      <w:r w:rsidRPr="00961688">
        <w:rPr>
          <w:rFonts w:asciiTheme="minorBidi" w:hAnsiTheme="minorBidi"/>
          <w:lang w:val="en-GB"/>
        </w:rPr>
        <w:t>Alderwick</w:t>
      </w:r>
      <w:proofErr w:type="spellEnd"/>
      <w:r w:rsidRPr="00961688">
        <w:rPr>
          <w:rFonts w:asciiTheme="minorBidi" w:hAnsiTheme="minorBidi"/>
          <w:lang w:val="en-GB"/>
        </w:rPr>
        <w:t xml:space="preserve">, H., Hutchings, A. and Mays, N. (2022). A cure for everything and nothing? Local partnerships for improving health in England. </w:t>
      </w:r>
      <w:r w:rsidRPr="00961688">
        <w:rPr>
          <w:rFonts w:asciiTheme="minorBidi" w:hAnsiTheme="minorBidi"/>
          <w:i/>
          <w:iCs/>
          <w:lang w:val="en-GB"/>
        </w:rPr>
        <w:t>BMJ</w:t>
      </w:r>
      <w:r w:rsidRPr="00961688">
        <w:rPr>
          <w:rFonts w:asciiTheme="minorBidi" w:hAnsiTheme="minorBidi"/>
          <w:lang w:val="en-GB"/>
        </w:rPr>
        <w:t xml:space="preserve">, [online] 378(378), p.e070910. </w:t>
      </w:r>
      <w:proofErr w:type="spellStart"/>
      <w:r w:rsidR="009F017A">
        <w:rPr>
          <w:rFonts w:asciiTheme="minorBidi" w:hAnsiTheme="minorBidi"/>
          <w:lang w:val="en-GB"/>
        </w:rPr>
        <w:t>doi:</w:t>
      </w:r>
      <w:hyperlink w:history="1" r:id="rId4">
        <w:r w:rsidRPr="00961688">
          <w:rPr>
            <w:rStyle w:val="Hyperlink"/>
            <w:rFonts w:asciiTheme="minorBidi" w:hAnsiTheme="minorBidi"/>
            <w:color w:val="auto"/>
            <w:lang w:val="en-GB"/>
          </w:rPr>
          <w:t>https</w:t>
        </w:r>
        <w:proofErr w:type="spellEnd"/>
        <w:r w:rsidRPr="00961688">
          <w:rPr>
            <w:rStyle w:val="Hyperlink"/>
            <w:rFonts w:asciiTheme="minorBidi" w:hAnsiTheme="minorBidi"/>
            <w:color w:val="auto"/>
            <w:lang w:val="en-GB"/>
          </w:rPr>
          <w:t>://doi.org/10.1136/bmj-2022-070910</w:t>
        </w:r>
      </w:hyperlink>
      <w:r w:rsidRPr="00961688">
        <w:rPr>
          <w:rFonts w:asciiTheme="minorBidi" w:hAnsiTheme="minorBidi"/>
          <w:lang w:val="en-GB"/>
        </w:rPr>
        <w:t>.</w:t>
      </w:r>
      <w:r w:rsidRPr="00DC2827">
        <w:rPr>
          <w:rFonts w:asciiTheme="minorBidi" w:hAnsiTheme="minorBidi"/>
          <w:lang w:val="en-GB"/>
        </w:rPr>
        <w:t xml:space="preserve"> </w:t>
      </w:r>
    </w:p>
    <w:p w:rsidRPr="00961688" w:rsidR="00961688" w:rsidP="00DC2827" w:rsidRDefault="00961688" w14:paraId="75DAB18C" w14:textId="40F230AA">
      <w:pPr>
        <w:spacing w:line="360" w:lineRule="auto"/>
        <w:jc w:val="both"/>
        <w:rPr>
          <w:rFonts w:asciiTheme="minorBidi" w:hAnsiTheme="minorBidi"/>
          <w:lang w:val="en-GB"/>
        </w:rPr>
      </w:pPr>
      <w:r w:rsidRPr="00961688">
        <w:rPr>
          <w:rFonts w:asciiTheme="minorBidi" w:hAnsiTheme="minorBidi"/>
          <w:lang w:val="en-GB"/>
        </w:rPr>
        <w:t xml:space="preserve">Bark, H. (2024). Social work, personalisation, and </w:t>
      </w:r>
      <w:proofErr w:type="gramStart"/>
      <w:r w:rsidRPr="00961688">
        <w:rPr>
          <w:rFonts w:asciiTheme="minorBidi" w:hAnsiTheme="minorBidi"/>
          <w:lang w:val="en-GB"/>
        </w:rPr>
        <w:t>the :</w:t>
      </w:r>
      <w:proofErr w:type="gramEnd"/>
      <w:r w:rsidRPr="00961688">
        <w:rPr>
          <w:rFonts w:asciiTheme="minorBidi" w:hAnsiTheme="minorBidi"/>
          <w:lang w:val="en-GB"/>
        </w:rPr>
        <w:t xml:space="preserve"> A </w:t>
      </w:r>
      <w:proofErr w:type="spellStart"/>
      <w:r w:rsidRPr="00961688">
        <w:rPr>
          <w:rFonts w:asciiTheme="minorBidi" w:hAnsiTheme="minorBidi"/>
          <w:lang w:val="en-GB"/>
        </w:rPr>
        <w:t>Bourdieusian</w:t>
      </w:r>
      <w:proofErr w:type="spellEnd"/>
      <w:r w:rsidRPr="00961688">
        <w:rPr>
          <w:rFonts w:asciiTheme="minorBidi" w:hAnsiTheme="minorBidi"/>
          <w:lang w:val="en-GB"/>
        </w:rPr>
        <w:t xml:space="preserve"> analysis. </w:t>
      </w:r>
      <w:r w:rsidRPr="00961688">
        <w:rPr>
          <w:rFonts w:asciiTheme="minorBidi" w:hAnsiTheme="minorBidi"/>
          <w:i/>
          <w:iCs/>
          <w:lang w:val="en-GB"/>
        </w:rPr>
        <w:t>The British Journal of Social Work</w:t>
      </w:r>
      <w:r w:rsidRPr="00961688">
        <w:rPr>
          <w:rFonts w:asciiTheme="minorBidi" w:hAnsiTheme="minorBidi"/>
          <w:lang w:val="en-GB"/>
        </w:rPr>
        <w:t xml:space="preserve">, [online] 55(3), pp.1161–1177. </w:t>
      </w:r>
      <w:proofErr w:type="spellStart"/>
      <w:r w:rsidR="009F017A">
        <w:rPr>
          <w:rFonts w:asciiTheme="minorBidi" w:hAnsiTheme="minorBidi"/>
          <w:lang w:val="en-GB"/>
        </w:rPr>
        <w:t>doi:</w:t>
      </w:r>
      <w:hyperlink w:history="1" r:id="rId5">
        <w:r w:rsidRPr="00961688">
          <w:rPr>
            <w:rStyle w:val="Hyperlink"/>
            <w:rFonts w:asciiTheme="minorBidi" w:hAnsiTheme="minorBidi"/>
            <w:color w:val="auto"/>
            <w:lang w:val="en-GB"/>
          </w:rPr>
          <w:t>https</w:t>
        </w:r>
        <w:proofErr w:type="spellEnd"/>
        <w:r w:rsidRPr="00961688">
          <w:rPr>
            <w:rStyle w:val="Hyperlink"/>
            <w:rFonts w:asciiTheme="minorBidi" w:hAnsiTheme="minorBidi"/>
            <w:color w:val="auto"/>
            <w:lang w:val="en-GB"/>
          </w:rPr>
          <w:t>://doi.org/10.1093/</w:t>
        </w:r>
        <w:proofErr w:type="spellStart"/>
        <w:r w:rsidRPr="00961688">
          <w:rPr>
            <w:rStyle w:val="Hyperlink"/>
            <w:rFonts w:asciiTheme="minorBidi" w:hAnsiTheme="minorBidi"/>
            <w:color w:val="auto"/>
            <w:lang w:val="en-GB"/>
          </w:rPr>
          <w:t>bjsw</w:t>
        </w:r>
        <w:proofErr w:type="spellEnd"/>
        <w:r w:rsidRPr="00961688">
          <w:rPr>
            <w:rStyle w:val="Hyperlink"/>
            <w:rFonts w:asciiTheme="minorBidi" w:hAnsiTheme="minorBidi"/>
            <w:color w:val="auto"/>
            <w:lang w:val="en-GB"/>
          </w:rPr>
          <w:t>/bcae180</w:t>
        </w:r>
      </w:hyperlink>
      <w:r w:rsidRPr="00961688">
        <w:rPr>
          <w:rFonts w:asciiTheme="minorBidi" w:hAnsiTheme="minorBidi"/>
          <w:lang w:val="en-GB"/>
        </w:rPr>
        <w:t>.</w:t>
      </w:r>
      <w:r w:rsidRPr="00DC2827">
        <w:rPr>
          <w:rFonts w:asciiTheme="minorBidi" w:hAnsiTheme="minorBidi"/>
          <w:lang w:val="en-GB"/>
        </w:rPr>
        <w:t xml:space="preserve"> </w:t>
      </w:r>
    </w:p>
    <w:p w:rsidRPr="00961688" w:rsidR="00961688" w:rsidP="00DC2827" w:rsidRDefault="00961688" w14:paraId="61DA46B6" w14:textId="44F96ABE">
      <w:pPr>
        <w:spacing w:line="360" w:lineRule="auto"/>
        <w:jc w:val="both"/>
        <w:rPr>
          <w:rFonts w:asciiTheme="minorBidi" w:hAnsiTheme="minorBidi"/>
          <w:lang w:val="en-GB"/>
        </w:rPr>
      </w:pPr>
      <w:r w:rsidRPr="00961688">
        <w:rPr>
          <w:rFonts w:asciiTheme="minorBidi" w:hAnsiTheme="minorBidi"/>
          <w:lang w:val="en-GB"/>
        </w:rPr>
        <w:t xml:space="preserve">Burn, E., Redgate, S., Needham, C. and Peckham, S. (2023). Implementing England’s Care Act 2014: was the Act a success and when will we know? </w:t>
      </w:r>
      <w:r w:rsidRPr="00961688">
        <w:rPr>
          <w:rFonts w:asciiTheme="minorBidi" w:hAnsiTheme="minorBidi"/>
          <w:i/>
          <w:iCs/>
          <w:lang w:val="en-GB"/>
        </w:rPr>
        <w:t>International journal of care and caring</w:t>
      </w:r>
      <w:r w:rsidRPr="00961688">
        <w:rPr>
          <w:rFonts w:asciiTheme="minorBidi" w:hAnsiTheme="minorBidi"/>
          <w:lang w:val="en-GB"/>
        </w:rPr>
        <w:t xml:space="preserve">, 8(1), pp.1–17. </w:t>
      </w:r>
      <w:proofErr w:type="spellStart"/>
      <w:r w:rsidR="009F017A">
        <w:rPr>
          <w:rFonts w:asciiTheme="minorBidi" w:hAnsiTheme="minorBidi"/>
          <w:lang w:val="en-GB"/>
        </w:rPr>
        <w:t>doi:</w:t>
      </w:r>
      <w:hyperlink w:history="1" r:id="rId6">
        <w:r w:rsidRPr="00961688">
          <w:rPr>
            <w:rStyle w:val="Hyperlink"/>
            <w:rFonts w:asciiTheme="minorBidi" w:hAnsiTheme="minorBidi"/>
            <w:color w:val="auto"/>
            <w:lang w:val="en-GB"/>
          </w:rPr>
          <w:t>https</w:t>
        </w:r>
        <w:proofErr w:type="spellEnd"/>
        <w:r w:rsidRPr="00961688">
          <w:rPr>
            <w:rStyle w:val="Hyperlink"/>
            <w:rFonts w:asciiTheme="minorBidi" w:hAnsiTheme="minorBidi"/>
            <w:color w:val="auto"/>
            <w:lang w:val="en-GB"/>
          </w:rPr>
          <w:t>://doi.org/10.1332/239788221x16916503736939</w:t>
        </w:r>
      </w:hyperlink>
      <w:r w:rsidRPr="00961688">
        <w:rPr>
          <w:rFonts w:asciiTheme="minorBidi" w:hAnsiTheme="minorBidi"/>
          <w:lang w:val="en-GB"/>
        </w:rPr>
        <w:t>.</w:t>
      </w:r>
      <w:r w:rsidRPr="00DC2827">
        <w:rPr>
          <w:rFonts w:asciiTheme="minorBidi" w:hAnsiTheme="minorBidi"/>
          <w:lang w:val="en-GB"/>
        </w:rPr>
        <w:t xml:space="preserve"> </w:t>
      </w:r>
    </w:p>
    <w:p w:rsidRPr="00961688" w:rsidR="00961688" w:rsidP="00DC2827" w:rsidRDefault="00961688" w14:paraId="0DD7A1E4" w14:textId="7EE877A2">
      <w:pPr>
        <w:spacing w:line="360" w:lineRule="auto"/>
        <w:jc w:val="both"/>
        <w:rPr>
          <w:rFonts w:asciiTheme="minorBidi" w:hAnsiTheme="minorBidi"/>
          <w:lang w:val="en-GB"/>
        </w:rPr>
      </w:pPr>
      <w:r w:rsidRPr="00961688">
        <w:rPr>
          <w:rFonts w:asciiTheme="minorBidi" w:hAnsiTheme="minorBidi"/>
          <w:lang w:val="en-GB"/>
        </w:rPr>
        <w:t xml:space="preserve">Feldthusen, C., Forsgren, E., </w:t>
      </w:r>
      <w:proofErr w:type="spellStart"/>
      <w:r w:rsidRPr="00961688">
        <w:rPr>
          <w:rFonts w:asciiTheme="minorBidi" w:hAnsiTheme="minorBidi"/>
          <w:lang w:val="en-GB"/>
        </w:rPr>
        <w:t>Wallström</w:t>
      </w:r>
      <w:proofErr w:type="spellEnd"/>
      <w:r w:rsidRPr="00961688">
        <w:rPr>
          <w:rFonts w:asciiTheme="minorBidi" w:hAnsiTheme="minorBidi"/>
          <w:lang w:val="en-GB"/>
        </w:rPr>
        <w:t xml:space="preserve">, S., Andersson, V., </w:t>
      </w:r>
      <w:proofErr w:type="spellStart"/>
      <w:r w:rsidRPr="00961688">
        <w:rPr>
          <w:rFonts w:asciiTheme="minorBidi" w:hAnsiTheme="minorBidi"/>
          <w:lang w:val="en-GB"/>
        </w:rPr>
        <w:t>Löfqvist</w:t>
      </w:r>
      <w:proofErr w:type="spellEnd"/>
      <w:r w:rsidRPr="00961688">
        <w:rPr>
          <w:rFonts w:asciiTheme="minorBidi" w:hAnsiTheme="minorBidi"/>
          <w:lang w:val="en-GB"/>
        </w:rPr>
        <w:t xml:space="preserve">, N., Sawatzky, R., </w:t>
      </w:r>
      <w:proofErr w:type="spellStart"/>
      <w:r w:rsidRPr="00961688">
        <w:rPr>
          <w:rFonts w:asciiTheme="minorBidi" w:hAnsiTheme="minorBidi"/>
          <w:lang w:val="en-GB"/>
        </w:rPr>
        <w:t>Öhlén</w:t>
      </w:r>
      <w:proofErr w:type="spellEnd"/>
      <w:r w:rsidRPr="00961688">
        <w:rPr>
          <w:rFonts w:asciiTheme="minorBidi" w:hAnsiTheme="minorBidi"/>
          <w:lang w:val="en-GB"/>
        </w:rPr>
        <w:t xml:space="preserve">, J. and J. Ung, E. (2022). Centredness in health care: A systematic overview of reviews. </w:t>
      </w:r>
      <w:r w:rsidRPr="00961688">
        <w:rPr>
          <w:rFonts w:asciiTheme="minorBidi" w:hAnsiTheme="minorBidi"/>
          <w:i/>
          <w:iCs/>
          <w:lang w:val="en-GB"/>
        </w:rPr>
        <w:t>Health Expectations</w:t>
      </w:r>
      <w:r w:rsidRPr="00961688">
        <w:rPr>
          <w:rFonts w:asciiTheme="minorBidi" w:hAnsiTheme="minorBidi"/>
          <w:lang w:val="en-GB"/>
        </w:rPr>
        <w:t xml:space="preserve">, 25(3). </w:t>
      </w:r>
      <w:proofErr w:type="spellStart"/>
      <w:r w:rsidR="009F017A">
        <w:rPr>
          <w:rFonts w:asciiTheme="minorBidi" w:hAnsiTheme="minorBidi"/>
          <w:lang w:val="en-GB"/>
        </w:rPr>
        <w:t>doi:</w:t>
      </w:r>
      <w:hyperlink w:history="1" r:id="rId7">
        <w:r w:rsidRPr="00961688">
          <w:rPr>
            <w:rStyle w:val="Hyperlink"/>
            <w:rFonts w:asciiTheme="minorBidi" w:hAnsiTheme="minorBidi"/>
            <w:color w:val="auto"/>
            <w:lang w:val="en-GB"/>
          </w:rPr>
          <w:t>https</w:t>
        </w:r>
        <w:proofErr w:type="spellEnd"/>
        <w:r w:rsidRPr="00961688">
          <w:rPr>
            <w:rStyle w:val="Hyperlink"/>
            <w:rFonts w:asciiTheme="minorBidi" w:hAnsiTheme="minorBidi"/>
            <w:color w:val="auto"/>
            <w:lang w:val="en-GB"/>
          </w:rPr>
          <w:t>://doi.org/10.1111/hex.13461</w:t>
        </w:r>
      </w:hyperlink>
      <w:r w:rsidRPr="00961688">
        <w:rPr>
          <w:rFonts w:asciiTheme="minorBidi" w:hAnsiTheme="minorBidi"/>
          <w:lang w:val="en-GB"/>
        </w:rPr>
        <w:t>.</w:t>
      </w:r>
      <w:r w:rsidRPr="00DC2827">
        <w:rPr>
          <w:rFonts w:asciiTheme="minorBidi" w:hAnsiTheme="minorBidi"/>
          <w:lang w:val="en-GB"/>
        </w:rPr>
        <w:t xml:space="preserve"> </w:t>
      </w:r>
    </w:p>
    <w:p w:rsidRPr="00961688" w:rsidR="00961688" w:rsidP="00DC2827" w:rsidRDefault="00961688" w14:paraId="246A5F47" w14:textId="0A6DA853">
      <w:pPr>
        <w:spacing w:line="360" w:lineRule="auto"/>
        <w:jc w:val="both"/>
        <w:rPr>
          <w:rFonts w:asciiTheme="minorBidi" w:hAnsiTheme="minorBidi"/>
          <w:lang w:val="en-GB"/>
        </w:rPr>
      </w:pPr>
      <w:r w:rsidRPr="00961688">
        <w:rPr>
          <w:rFonts w:asciiTheme="minorBidi" w:hAnsiTheme="minorBidi"/>
          <w:lang w:val="en-GB"/>
        </w:rPr>
        <w:t xml:space="preserve">Forsgren, E., Feldthusen, C., </w:t>
      </w:r>
      <w:proofErr w:type="spellStart"/>
      <w:r w:rsidRPr="00961688">
        <w:rPr>
          <w:rFonts w:asciiTheme="minorBidi" w:hAnsiTheme="minorBidi"/>
          <w:lang w:val="en-GB"/>
        </w:rPr>
        <w:t>Wallström</w:t>
      </w:r>
      <w:proofErr w:type="spellEnd"/>
      <w:r w:rsidRPr="00961688">
        <w:rPr>
          <w:rFonts w:asciiTheme="minorBidi" w:hAnsiTheme="minorBidi"/>
          <w:lang w:val="en-GB"/>
        </w:rPr>
        <w:t xml:space="preserve">, S., </w:t>
      </w:r>
      <w:proofErr w:type="spellStart"/>
      <w:r w:rsidRPr="00961688">
        <w:rPr>
          <w:rFonts w:asciiTheme="minorBidi" w:hAnsiTheme="minorBidi"/>
          <w:lang w:val="en-GB"/>
        </w:rPr>
        <w:t>Thunström</w:t>
      </w:r>
      <w:proofErr w:type="spellEnd"/>
      <w:r w:rsidRPr="00961688">
        <w:rPr>
          <w:rFonts w:asciiTheme="minorBidi" w:hAnsiTheme="minorBidi"/>
          <w:lang w:val="en-GB"/>
        </w:rPr>
        <w:t xml:space="preserve">, L., Kullman, L., Sawatzky, R. and </w:t>
      </w:r>
      <w:proofErr w:type="spellStart"/>
      <w:r w:rsidRPr="00961688">
        <w:rPr>
          <w:rFonts w:asciiTheme="minorBidi" w:hAnsiTheme="minorBidi"/>
          <w:lang w:val="en-GB"/>
        </w:rPr>
        <w:t>Öhlén</w:t>
      </w:r>
      <w:proofErr w:type="spellEnd"/>
      <w:r w:rsidRPr="00961688">
        <w:rPr>
          <w:rFonts w:asciiTheme="minorBidi" w:hAnsiTheme="minorBidi"/>
          <w:lang w:val="en-GB"/>
        </w:rPr>
        <w:t xml:space="preserve">, J. (2025). Person-centred care as an evolving field of research: A scoping review. </w:t>
      </w:r>
      <w:r w:rsidRPr="00961688">
        <w:rPr>
          <w:rFonts w:asciiTheme="minorBidi" w:hAnsiTheme="minorBidi"/>
          <w:i/>
          <w:iCs/>
          <w:lang w:val="en-GB"/>
        </w:rPr>
        <w:t>Frontiers in Health Services</w:t>
      </w:r>
      <w:r w:rsidRPr="00961688">
        <w:rPr>
          <w:rFonts w:asciiTheme="minorBidi" w:hAnsiTheme="minorBidi"/>
          <w:lang w:val="en-GB"/>
        </w:rPr>
        <w:t xml:space="preserve">, [online] 5. </w:t>
      </w:r>
      <w:proofErr w:type="spellStart"/>
      <w:r w:rsidR="009F017A">
        <w:rPr>
          <w:rFonts w:asciiTheme="minorBidi" w:hAnsiTheme="minorBidi"/>
          <w:lang w:val="en-GB"/>
        </w:rPr>
        <w:t>doi:</w:t>
      </w:r>
      <w:hyperlink w:history="1" r:id="rId8">
        <w:r w:rsidRPr="00961688">
          <w:rPr>
            <w:rStyle w:val="Hyperlink"/>
            <w:rFonts w:asciiTheme="minorBidi" w:hAnsiTheme="minorBidi"/>
            <w:color w:val="auto"/>
            <w:lang w:val="en-GB"/>
          </w:rPr>
          <w:t>https</w:t>
        </w:r>
        <w:proofErr w:type="spellEnd"/>
        <w:r w:rsidRPr="00961688">
          <w:rPr>
            <w:rStyle w:val="Hyperlink"/>
            <w:rFonts w:asciiTheme="minorBidi" w:hAnsiTheme="minorBidi"/>
            <w:color w:val="auto"/>
            <w:lang w:val="en-GB"/>
          </w:rPr>
          <w:t>://doi.org/10.3389/frhs.2025.1534178</w:t>
        </w:r>
      </w:hyperlink>
      <w:r w:rsidRPr="00961688">
        <w:rPr>
          <w:rFonts w:asciiTheme="minorBidi" w:hAnsiTheme="minorBidi"/>
          <w:lang w:val="en-GB"/>
        </w:rPr>
        <w:t>.</w:t>
      </w:r>
      <w:r w:rsidRPr="00DC2827">
        <w:rPr>
          <w:rFonts w:asciiTheme="minorBidi" w:hAnsiTheme="minorBidi"/>
          <w:lang w:val="en-GB"/>
        </w:rPr>
        <w:t xml:space="preserve"> </w:t>
      </w:r>
    </w:p>
    <w:p w:rsidRPr="00961688" w:rsidR="00961688" w:rsidP="00DC2827" w:rsidRDefault="00961688" w14:paraId="1FD5EA28" w14:textId="2EA48E1D">
      <w:pPr>
        <w:spacing w:line="360" w:lineRule="auto"/>
        <w:jc w:val="both"/>
        <w:rPr>
          <w:rFonts w:asciiTheme="minorBidi" w:hAnsiTheme="minorBidi"/>
          <w:lang w:val="en-GB"/>
        </w:rPr>
      </w:pPr>
      <w:r w:rsidRPr="00961688">
        <w:rPr>
          <w:rFonts w:asciiTheme="minorBidi" w:hAnsiTheme="minorBidi"/>
          <w:lang w:val="en-GB"/>
        </w:rPr>
        <w:t xml:space="preserve">Gongora-Salazar, P., Glogowska, M., Fitzpatrick, R., Perera, R. and </w:t>
      </w:r>
      <w:proofErr w:type="spellStart"/>
      <w:r w:rsidRPr="00961688">
        <w:rPr>
          <w:rFonts w:asciiTheme="minorBidi" w:hAnsiTheme="minorBidi"/>
          <w:lang w:val="en-GB"/>
        </w:rPr>
        <w:t>Tsiachristas</w:t>
      </w:r>
      <w:proofErr w:type="spellEnd"/>
      <w:r w:rsidRPr="00961688">
        <w:rPr>
          <w:rFonts w:asciiTheme="minorBidi" w:hAnsiTheme="minorBidi"/>
          <w:lang w:val="en-GB"/>
        </w:rPr>
        <w:t xml:space="preserve">, A. (2022). Commissioning [Integrated] Care in England: </w:t>
      </w:r>
      <w:proofErr w:type="gramStart"/>
      <w:r w:rsidRPr="00961688">
        <w:rPr>
          <w:rFonts w:asciiTheme="minorBidi" w:hAnsiTheme="minorBidi"/>
          <w:lang w:val="en-GB"/>
        </w:rPr>
        <w:t>an</w:t>
      </w:r>
      <w:proofErr w:type="gramEnd"/>
      <w:r w:rsidRPr="00961688">
        <w:rPr>
          <w:rFonts w:asciiTheme="minorBidi" w:hAnsiTheme="minorBidi"/>
          <w:lang w:val="en-GB"/>
        </w:rPr>
        <w:t xml:space="preserve"> Analysis of the Current Decision Context. </w:t>
      </w:r>
      <w:r w:rsidRPr="00961688">
        <w:rPr>
          <w:rFonts w:asciiTheme="minorBidi" w:hAnsiTheme="minorBidi"/>
          <w:i/>
          <w:iCs/>
          <w:lang w:val="en-GB"/>
        </w:rPr>
        <w:t>International Journal of Integrated Care</w:t>
      </w:r>
      <w:r w:rsidRPr="00961688">
        <w:rPr>
          <w:rFonts w:asciiTheme="minorBidi" w:hAnsiTheme="minorBidi"/>
          <w:lang w:val="en-GB"/>
        </w:rPr>
        <w:t xml:space="preserve">, [online] 22(4), p.3. </w:t>
      </w:r>
      <w:proofErr w:type="spellStart"/>
      <w:r w:rsidR="009F017A">
        <w:rPr>
          <w:rFonts w:asciiTheme="minorBidi" w:hAnsiTheme="minorBidi"/>
          <w:lang w:val="en-GB"/>
        </w:rPr>
        <w:t>doi:</w:t>
      </w:r>
      <w:hyperlink w:history="1" r:id="rId9">
        <w:r w:rsidRPr="00961688">
          <w:rPr>
            <w:rStyle w:val="Hyperlink"/>
            <w:rFonts w:asciiTheme="minorBidi" w:hAnsiTheme="minorBidi"/>
            <w:color w:val="auto"/>
            <w:lang w:val="en-GB"/>
          </w:rPr>
          <w:t>https</w:t>
        </w:r>
        <w:proofErr w:type="spellEnd"/>
        <w:r w:rsidRPr="00961688">
          <w:rPr>
            <w:rStyle w:val="Hyperlink"/>
            <w:rFonts w:asciiTheme="minorBidi" w:hAnsiTheme="minorBidi"/>
            <w:color w:val="auto"/>
            <w:lang w:val="en-GB"/>
          </w:rPr>
          <w:t>://doi.org/10.5334/ijic.6693</w:t>
        </w:r>
      </w:hyperlink>
      <w:r w:rsidRPr="00961688">
        <w:rPr>
          <w:rFonts w:asciiTheme="minorBidi" w:hAnsiTheme="minorBidi"/>
          <w:lang w:val="en-GB"/>
        </w:rPr>
        <w:t>.</w:t>
      </w:r>
      <w:r w:rsidRPr="00DC2827">
        <w:rPr>
          <w:rFonts w:asciiTheme="minorBidi" w:hAnsiTheme="minorBidi"/>
          <w:lang w:val="en-GB"/>
        </w:rPr>
        <w:t xml:space="preserve"> </w:t>
      </w:r>
    </w:p>
    <w:p w:rsidRPr="00961688" w:rsidR="00961688" w:rsidP="00DC2827" w:rsidRDefault="00961688" w14:paraId="6C84BF52" w14:textId="0B1AC4B3">
      <w:pPr>
        <w:spacing w:line="360" w:lineRule="auto"/>
        <w:jc w:val="both"/>
        <w:rPr>
          <w:rFonts w:asciiTheme="minorBidi" w:hAnsiTheme="minorBidi"/>
          <w:lang w:val="en-GB"/>
        </w:rPr>
      </w:pPr>
      <w:r w:rsidRPr="00961688">
        <w:rPr>
          <w:rFonts w:asciiTheme="minorBidi" w:hAnsiTheme="minorBidi"/>
          <w:lang w:val="en-GB"/>
        </w:rPr>
        <w:t xml:space="preserve">Mills, K., </w:t>
      </w:r>
      <w:proofErr w:type="spellStart"/>
      <w:r w:rsidRPr="00961688">
        <w:rPr>
          <w:rFonts w:asciiTheme="minorBidi" w:hAnsiTheme="minorBidi"/>
          <w:lang w:val="en-GB"/>
        </w:rPr>
        <w:t>McGeagh</w:t>
      </w:r>
      <w:proofErr w:type="spellEnd"/>
      <w:r w:rsidRPr="00961688">
        <w:rPr>
          <w:rFonts w:asciiTheme="minorBidi" w:hAnsiTheme="minorBidi"/>
          <w:lang w:val="en-GB"/>
        </w:rPr>
        <w:t>, L., Waite, M. and Aveyard, H. (2024). The perceptions and experiences of community nurses and patients towards shared decision</w:t>
      </w:r>
      <w:r w:rsidRPr="00961688">
        <w:rPr>
          <w:rFonts w:ascii="Cambria Math" w:hAnsi="Cambria Math" w:cs="Cambria Math"/>
          <w:lang w:val="en-GB"/>
        </w:rPr>
        <w:t>‐</w:t>
      </w:r>
      <w:r w:rsidRPr="00961688">
        <w:rPr>
          <w:rFonts w:asciiTheme="minorBidi" w:hAnsiTheme="minorBidi"/>
          <w:lang w:val="en-GB"/>
        </w:rPr>
        <w:t xml:space="preserve">making in the home setting: An integrative review. </w:t>
      </w:r>
      <w:r w:rsidRPr="00961688">
        <w:rPr>
          <w:rFonts w:asciiTheme="minorBidi" w:hAnsiTheme="minorBidi"/>
          <w:i/>
          <w:iCs/>
          <w:lang w:val="en-GB"/>
        </w:rPr>
        <w:t>Journal of Advanced Nursing</w:t>
      </w:r>
      <w:r w:rsidRPr="00961688">
        <w:rPr>
          <w:rFonts w:asciiTheme="minorBidi" w:hAnsiTheme="minorBidi"/>
          <w:lang w:val="en-GB"/>
        </w:rPr>
        <w:t xml:space="preserve">, 81(2). </w:t>
      </w:r>
      <w:proofErr w:type="spellStart"/>
      <w:r w:rsidR="009F017A">
        <w:rPr>
          <w:rFonts w:asciiTheme="minorBidi" w:hAnsiTheme="minorBidi"/>
          <w:lang w:val="en-GB"/>
        </w:rPr>
        <w:t>doi:</w:t>
      </w:r>
      <w:hyperlink w:history="1" r:id="rId10">
        <w:r w:rsidRPr="00961688">
          <w:rPr>
            <w:rStyle w:val="Hyperlink"/>
            <w:rFonts w:asciiTheme="minorBidi" w:hAnsiTheme="minorBidi"/>
            <w:color w:val="auto"/>
            <w:lang w:val="en-GB"/>
          </w:rPr>
          <w:t>https</w:t>
        </w:r>
        <w:proofErr w:type="spellEnd"/>
        <w:r w:rsidRPr="00961688">
          <w:rPr>
            <w:rStyle w:val="Hyperlink"/>
            <w:rFonts w:asciiTheme="minorBidi" w:hAnsiTheme="minorBidi"/>
            <w:color w:val="auto"/>
            <w:lang w:val="en-GB"/>
          </w:rPr>
          <w:t>://doi.org/10.1111/jan.16345</w:t>
        </w:r>
      </w:hyperlink>
      <w:r w:rsidRPr="00961688">
        <w:rPr>
          <w:rFonts w:asciiTheme="minorBidi" w:hAnsiTheme="minorBidi"/>
          <w:lang w:val="en-GB"/>
        </w:rPr>
        <w:t>.</w:t>
      </w:r>
      <w:r w:rsidRPr="00DC2827">
        <w:rPr>
          <w:rFonts w:asciiTheme="minorBidi" w:hAnsiTheme="minorBidi"/>
          <w:lang w:val="en-GB"/>
        </w:rPr>
        <w:t xml:space="preserve"> </w:t>
      </w:r>
    </w:p>
    <w:p w:rsidRPr="00961688" w:rsidR="00961688" w:rsidP="00DC2827" w:rsidRDefault="00961688" w14:paraId="3BAC8EDF" w14:textId="0BB34893">
      <w:pPr>
        <w:spacing w:line="360" w:lineRule="auto"/>
        <w:jc w:val="both"/>
        <w:rPr>
          <w:rFonts w:asciiTheme="minorBidi" w:hAnsiTheme="minorBidi"/>
          <w:lang w:val="en-GB"/>
        </w:rPr>
      </w:pPr>
      <w:r w:rsidRPr="00961688">
        <w:rPr>
          <w:rFonts w:asciiTheme="minorBidi" w:hAnsiTheme="minorBidi"/>
          <w:lang w:val="en-GB"/>
        </w:rPr>
        <w:t xml:space="preserve">Nkhoma, K.B., Cook, A., Giusti, A., Farrant, L., Petrus, R., Petersen, I., Gwyther, L., </w:t>
      </w:r>
      <w:proofErr w:type="spellStart"/>
      <w:r w:rsidRPr="00961688">
        <w:rPr>
          <w:rFonts w:asciiTheme="minorBidi" w:hAnsiTheme="minorBidi"/>
          <w:lang w:val="en-GB"/>
        </w:rPr>
        <w:t>Venkatapuram</w:t>
      </w:r>
      <w:proofErr w:type="spellEnd"/>
      <w:r w:rsidRPr="00961688">
        <w:rPr>
          <w:rFonts w:asciiTheme="minorBidi" w:hAnsiTheme="minorBidi"/>
          <w:lang w:val="en-GB"/>
        </w:rPr>
        <w:t xml:space="preserve">, S. and Harding, R. (2022). A systematic review of impact of person-centred interventions for serious physical illness in terms of outcomes and costs. </w:t>
      </w:r>
      <w:r w:rsidRPr="00961688">
        <w:rPr>
          <w:rFonts w:asciiTheme="minorBidi" w:hAnsiTheme="minorBidi"/>
          <w:i/>
          <w:iCs/>
          <w:lang w:val="en-GB"/>
        </w:rPr>
        <w:t>BMJ Open</w:t>
      </w:r>
      <w:r w:rsidRPr="00961688">
        <w:rPr>
          <w:rFonts w:asciiTheme="minorBidi" w:hAnsiTheme="minorBidi"/>
          <w:lang w:val="en-GB"/>
        </w:rPr>
        <w:t xml:space="preserve">, [online] 12(7), p.e054386. </w:t>
      </w:r>
      <w:proofErr w:type="spellStart"/>
      <w:r w:rsidR="009F017A">
        <w:rPr>
          <w:rFonts w:asciiTheme="minorBidi" w:hAnsiTheme="minorBidi"/>
          <w:lang w:val="en-GB"/>
        </w:rPr>
        <w:t>doi:</w:t>
      </w:r>
      <w:hyperlink w:history="1" r:id="rId11">
        <w:r w:rsidRPr="00961688">
          <w:rPr>
            <w:rStyle w:val="Hyperlink"/>
            <w:rFonts w:asciiTheme="minorBidi" w:hAnsiTheme="minorBidi"/>
            <w:color w:val="auto"/>
            <w:lang w:val="en-GB"/>
          </w:rPr>
          <w:t>https</w:t>
        </w:r>
        <w:proofErr w:type="spellEnd"/>
        <w:r w:rsidRPr="00961688">
          <w:rPr>
            <w:rStyle w:val="Hyperlink"/>
            <w:rFonts w:asciiTheme="minorBidi" w:hAnsiTheme="minorBidi"/>
            <w:color w:val="auto"/>
            <w:lang w:val="en-GB"/>
          </w:rPr>
          <w:t>://doi.org/10.1136/bmjopen-2021-054386</w:t>
        </w:r>
      </w:hyperlink>
      <w:r w:rsidRPr="00961688">
        <w:rPr>
          <w:rFonts w:asciiTheme="minorBidi" w:hAnsiTheme="minorBidi"/>
          <w:lang w:val="en-GB"/>
        </w:rPr>
        <w:t>.</w:t>
      </w:r>
      <w:r w:rsidRPr="00DC2827">
        <w:rPr>
          <w:rFonts w:asciiTheme="minorBidi" w:hAnsiTheme="minorBidi"/>
          <w:lang w:val="en-GB"/>
        </w:rPr>
        <w:t xml:space="preserve"> </w:t>
      </w:r>
    </w:p>
    <w:p w:rsidRPr="00961688" w:rsidR="00961688" w:rsidP="00DC2827" w:rsidRDefault="00961688" w14:paraId="65F1D202" w14:textId="6419CEFA">
      <w:pPr>
        <w:spacing w:line="360" w:lineRule="auto"/>
        <w:jc w:val="both"/>
        <w:rPr>
          <w:rFonts w:asciiTheme="minorBidi" w:hAnsiTheme="minorBidi"/>
          <w:lang w:val="en-GB"/>
        </w:rPr>
      </w:pPr>
      <w:proofErr w:type="spellStart"/>
      <w:r w:rsidRPr="00961688">
        <w:rPr>
          <w:rFonts w:asciiTheme="minorBidi" w:hAnsiTheme="minorBidi"/>
          <w:lang w:val="en-GB"/>
        </w:rPr>
        <w:t>Nyamapfene</w:t>
      </w:r>
      <w:proofErr w:type="spellEnd"/>
      <w:r w:rsidRPr="00961688">
        <w:rPr>
          <w:rFonts w:asciiTheme="minorBidi" w:hAnsiTheme="minorBidi"/>
          <w:lang w:val="en-GB"/>
        </w:rPr>
        <w:t xml:space="preserve">, T. and Merchant, H. (2023). Shared decision-making training in general practice: a rapid review. </w:t>
      </w:r>
      <w:r w:rsidRPr="00961688">
        <w:rPr>
          <w:rFonts w:asciiTheme="minorBidi" w:hAnsiTheme="minorBidi"/>
          <w:i/>
          <w:iCs/>
          <w:lang w:val="en-GB"/>
        </w:rPr>
        <w:t xml:space="preserve">Future </w:t>
      </w:r>
      <w:proofErr w:type="spellStart"/>
      <w:r w:rsidRPr="00961688">
        <w:rPr>
          <w:rFonts w:asciiTheme="minorBidi" w:hAnsiTheme="minorBidi"/>
          <w:i/>
          <w:iCs/>
          <w:lang w:val="en-GB"/>
        </w:rPr>
        <w:t>Healthc</w:t>
      </w:r>
      <w:proofErr w:type="spellEnd"/>
      <w:r w:rsidRPr="00961688">
        <w:rPr>
          <w:rFonts w:asciiTheme="minorBidi" w:hAnsiTheme="minorBidi"/>
          <w:i/>
          <w:iCs/>
          <w:lang w:val="en-GB"/>
        </w:rPr>
        <w:t xml:space="preserve"> J</w:t>
      </w:r>
      <w:r w:rsidRPr="00961688">
        <w:rPr>
          <w:rFonts w:asciiTheme="minorBidi" w:hAnsiTheme="minorBidi"/>
          <w:lang w:val="en-GB"/>
        </w:rPr>
        <w:t xml:space="preserve">, [online] 10(2), pp.147–153. </w:t>
      </w:r>
      <w:proofErr w:type="spellStart"/>
      <w:r w:rsidR="009F017A">
        <w:rPr>
          <w:rFonts w:asciiTheme="minorBidi" w:hAnsiTheme="minorBidi"/>
          <w:lang w:val="en-GB"/>
        </w:rPr>
        <w:t>doi:</w:t>
      </w:r>
      <w:hyperlink w:history="1" r:id="rId12">
        <w:r w:rsidRPr="00961688">
          <w:rPr>
            <w:rStyle w:val="Hyperlink"/>
            <w:rFonts w:asciiTheme="minorBidi" w:hAnsiTheme="minorBidi"/>
            <w:color w:val="auto"/>
            <w:lang w:val="en-GB"/>
          </w:rPr>
          <w:t>https</w:t>
        </w:r>
        <w:proofErr w:type="spellEnd"/>
        <w:r w:rsidRPr="00961688">
          <w:rPr>
            <w:rStyle w:val="Hyperlink"/>
            <w:rFonts w:asciiTheme="minorBidi" w:hAnsiTheme="minorBidi"/>
            <w:color w:val="auto"/>
            <w:lang w:val="en-GB"/>
          </w:rPr>
          <w:t>://doi.org/10.7861/fhj.2022-0120</w:t>
        </w:r>
      </w:hyperlink>
      <w:r w:rsidRPr="00961688">
        <w:rPr>
          <w:rFonts w:asciiTheme="minorBidi" w:hAnsiTheme="minorBidi"/>
          <w:lang w:val="en-GB"/>
        </w:rPr>
        <w:t>.</w:t>
      </w:r>
      <w:r w:rsidRPr="00DC2827">
        <w:rPr>
          <w:rFonts w:asciiTheme="minorBidi" w:hAnsiTheme="minorBidi"/>
          <w:lang w:val="en-GB"/>
        </w:rPr>
        <w:t xml:space="preserve"> </w:t>
      </w:r>
    </w:p>
    <w:p w:rsidRPr="00961688" w:rsidR="00961688" w:rsidP="00DC2827" w:rsidRDefault="00961688" w14:paraId="09127E22" w14:textId="4BBCF208">
      <w:pPr>
        <w:spacing w:line="360" w:lineRule="auto"/>
        <w:jc w:val="both"/>
        <w:rPr>
          <w:rFonts w:asciiTheme="minorBidi" w:hAnsiTheme="minorBidi"/>
          <w:lang w:val="en-GB"/>
        </w:rPr>
      </w:pPr>
      <w:r w:rsidRPr="00961688">
        <w:rPr>
          <w:rFonts w:asciiTheme="minorBidi" w:hAnsiTheme="minorBidi"/>
          <w:lang w:val="en-GB"/>
        </w:rPr>
        <w:lastRenderedPageBreak/>
        <w:t xml:space="preserve">Page, B., Sugavanam, T., Fitzpatrick, R., Hogan, H. and Lalani, M. (2024). Floundering or Flourishing? Early Insights from the Inception of Integrated Care Systems in England. </w:t>
      </w:r>
      <w:r w:rsidRPr="00961688">
        <w:rPr>
          <w:rFonts w:asciiTheme="minorBidi" w:hAnsiTheme="minorBidi"/>
          <w:i/>
          <w:iCs/>
          <w:lang w:val="en-GB"/>
        </w:rPr>
        <w:t>International Journal of Integrated Care</w:t>
      </w:r>
      <w:r w:rsidRPr="00961688">
        <w:rPr>
          <w:rFonts w:asciiTheme="minorBidi" w:hAnsiTheme="minorBidi"/>
          <w:lang w:val="en-GB"/>
        </w:rPr>
        <w:t xml:space="preserve">, 24(3). </w:t>
      </w:r>
      <w:proofErr w:type="spellStart"/>
      <w:r w:rsidR="009F017A">
        <w:rPr>
          <w:rFonts w:asciiTheme="minorBidi" w:hAnsiTheme="minorBidi"/>
          <w:lang w:val="en-GB"/>
        </w:rPr>
        <w:t>doi:</w:t>
      </w:r>
      <w:hyperlink w:history="1" r:id="rId13">
        <w:r w:rsidRPr="00961688">
          <w:rPr>
            <w:rStyle w:val="Hyperlink"/>
            <w:rFonts w:asciiTheme="minorBidi" w:hAnsiTheme="minorBidi"/>
            <w:color w:val="auto"/>
            <w:lang w:val="en-GB"/>
          </w:rPr>
          <w:t>https</w:t>
        </w:r>
        <w:proofErr w:type="spellEnd"/>
        <w:r w:rsidRPr="00961688">
          <w:rPr>
            <w:rStyle w:val="Hyperlink"/>
            <w:rFonts w:asciiTheme="minorBidi" w:hAnsiTheme="minorBidi"/>
            <w:color w:val="auto"/>
            <w:lang w:val="en-GB"/>
          </w:rPr>
          <w:t>://doi.org/10.5334/ijic.7738</w:t>
        </w:r>
      </w:hyperlink>
      <w:r w:rsidRPr="00961688">
        <w:rPr>
          <w:rFonts w:asciiTheme="minorBidi" w:hAnsiTheme="minorBidi"/>
          <w:lang w:val="en-GB"/>
        </w:rPr>
        <w:t>.</w:t>
      </w:r>
      <w:r w:rsidRPr="00DC2827">
        <w:rPr>
          <w:rFonts w:asciiTheme="minorBidi" w:hAnsiTheme="minorBidi"/>
          <w:lang w:val="en-GB"/>
        </w:rPr>
        <w:t xml:space="preserve"> </w:t>
      </w:r>
    </w:p>
    <w:p w:rsidRPr="00961688" w:rsidR="00961688" w:rsidP="00DC2827" w:rsidRDefault="00961688" w14:paraId="257D84F1" w14:textId="09CD8687">
      <w:pPr>
        <w:spacing w:line="360" w:lineRule="auto"/>
        <w:jc w:val="both"/>
        <w:rPr>
          <w:rFonts w:asciiTheme="minorBidi" w:hAnsiTheme="minorBidi"/>
          <w:lang w:val="en-GB"/>
        </w:rPr>
      </w:pPr>
      <w:r w:rsidRPr="00961688">
        <w:rPr>
          <w:rFonts w:asciiTheme="minorBidi" w:hAnsiTheme="minorBidi"/>
          <w:lang w:val="en-GB"/>
        </w:rPr>
        <w:t xml:space="preserve">Sherwood, G. (2024). Reflective Practice and Knowledge Development: Transforming Research for a Practice-Based Discipline. </w:t>
      </w:r>
      <w:r w:rsidRPr="00961688">
        <w:rPr>
          <w:rFonts w:asciiTheme="minorBidi" w:hAnsiTheme="minorBidi"/>
          <w:i/>
          <w:iCs/>
          <w:lang w:val="en-GB"/>
        </w:rPr>
        <w:t>International Journal of Nursing Sciences</w:t>
      </w:r>
      <w:r w:rsidRPr="00961688">
        <w:rPr>
          <w:rFonts w:asciiTheme="minorBidi" w:hAnsiTheme="minorBidi"/>
          <w:lang w:val="en-GB"/>
        </w:rPr>
        <w:t xml:space="preserve">, [online] 11(4), pp.399–404. </w:t>
      </w:r>
      <w:proofErr w:type="spellStart"/>
      <w:r w:rsidR="009F017A">
        <w:rPr>
          <w:rFonts w:asciiTheme="minorBidi" w:hAnsiTheme="minorBidi"/>
          <w:lang w:val="en-GB"/>
        </w:rPr>
        <w:t>doi:</w:t>
      </w:r>
      <w:hyperlink w:history="1" r:id="rId14">
        <w:r w:rsidRPr="00961688">
          <w:rPr>
            <w:rStyle w:val="Hyperlink"/>
            <w:rFonts w:asciiTheme="minorBidi" w:hAnsiTheme="minorBidi"/>
            <w:color w:val="auto"/>
            <w:lang w:val="en-GB"/>
          </w:rPr>
          <w:t>https</w:t>
        </w:r>
        <w:proofErr w:type="spellEnd"/>
        <w:r w:rsidRPr="00961688">
          <w:rPr>
            <w:rStyle w:val="Hyperlink"/>
            <w:rFonts w:asciiTheme="minorBidi" w:hAnsiTheme="minorBidi"/>
            <w:color w:val="auto"/>
            <w:lang w:val="en-GB"/>
          </w:rPr>
          <w:t>://doi.org/10.1016/j.ijnss.2024.08.002</w:t>
        </w:r>
      </w:hyperlink>
      <w:r w:rsidRPr="00961688">
        <w:rPr>
          <w:rFonts w:asciiTheme="minorBidi" w:hAnsiTheme="minorBidi"/>
          <w:lang w:val="en-GB"/>
        </w:rPr>
        <w:t>.</w:t>
      </w:r>
      <w:r w:rsidRPr="00DC2827">
        <w:rPr>
          <w:rFonts w:asciiTheme="minorBidi" w:hAnsiTheme="minorBidi"/>
          <w:lang w:val="en-GB"/>
        </w:rPr>
        <w:t xml:space="preserve"> </w:t>
      </w:r>
    </w:p>
    <w:p w:rsidRPr="00961688" w:rsidR="00961688" w:rsidP="00DC2827" w:rsidRDefault="00961688" w14:paraId="5B61D9EE" w14:textId="4121F2B7">
      <w:pPr>
        <w:spacing w:line="360" w:lineRule="auto"/>
        <w:jc w:val="both"/>
        <w:rPr>
          <w:rFonts w:asciiTheme="minorBidi" w:hAnsiTheme="minorBidi"/>
          <w:lang w:val="en-GB"/>
        </w:rPr>
      </w:pPr>
      <w:r w:rsidRPr="00961688">
        <w:rPr>
          <w:rFonts w:asciiTheme="minorBidi" w:hAnsiTheme="minorBidi"/>
          <w:lang w:val="en-GB"/>
        </w:rPr>
        <w:t xml:space="preserve">Thomson, L. (2024). Barriers and Enablers of Integrated Care in the UK: a Rapid Evidence Review of Review Articles and Grey Literature 2018–2022. </w:t>
      </w:r>
      <w:r w:rsidRPr="00961688">
        <w:rPr>
          <w:rFonts w:asciiTheme="minorBidi" w:hAnsiTheme="minorBidi"/>
          <w:i/>
          <w:iCs/>
          <w:lang w:val="en-GB"/>
        </w:rPr>
        <w:t>Frontiers in Public Health</w:t>
      </w:r>
      <w:r w:rsidRPr="00961688">
        <w:rPr>
          <w:rFonts w:asciiTheme="minorBidi" w:hAnsiTheme="minorBidi"/>
          <w:lang w:val="en-GB"/>
        </w:rPr>
        <w:t xml:space="preserve">, [online] 11(1). </w:t>
      </w:r>
      <w:proofErr w:type="spellStart"/>
      <w:r w:rsidR="009F017A">
        <w:rPr>
          <w:rFonts w:asciiTheme="minorBidi" w:hAnsiTheme="minorBidi"/>
          <w:lang w:val="en-GB"/>
        </w:rPr>
        <w:t>doi:</w:t>
      </w:r>
      <w:hyperlink w:history="1" r:id="rId15">
        <w:r w:rsidRPr="00961688">
          <w:rPr>
            <w:rStyle w:val="Hyperlink"/>
            <w:rFonts w:asciiTheme="minorBidi" w:hAnsiTheme="minorBidi"/>
            <w:color w:val="auto"/>
            <w:lang w:val="en-GB"/>
          </w:rPr>
          <w:t>https</w:t>
        </w:r>
        <w:proofErr w:type="spellEnd"/>
        <w:r w:rsidRPr="00961688">
          <w:rPr>
            <w:rStyle w:val="Hyperlink"/>
            <w:rFonts w:asciiTheme="minorBidi" w:hAnsiTheme="minorBidi"/>
            <w:color w:val="auto"/>
            <w:lang w:val="en-GB"/>
          </w:rPr>
          <w:t>://doi.org/10.3389/fpubh.2023.1286479</w:t>
        </w:r>
      </w:hyperlink>
      <w:r w:rsidRPr="00961688">
        <w:rPr>
          <w:rFonts w:asciiTheme="minorBidi" w:hAnsiTheme="minorBidi"/>
          <w:lang w:val="en-GB"/>
        </w:rPr>
        <w:t>.</w:t>
      </w:r>
      <w:r w:rsidRPr="00DC2827">
        <w:rPr>
          <w:rFonts w:asciiTheme="minorBidi" w:hAnsiTheme="minorBidi"/>
          <w:lang w:val="en-GB"/>
        </w:rPr>
        <w:t xml:space="preserve"> </w:t>
      </w:r>
    </w:p>
    <w:p w:rsidRPr="00961688" w:rsidR="00961688" w:rsidP="00DC2827" w:rsidRDefault="00961688" w14:paraId="53F26B22" w14:textId="31FCE7A8">
      <w:pPr>
        <w:spacing w:line="360" w:lineRule="auto"/>
        <w:jc w:val="both"/>
        <w:rPr>
          <w:rFonts w:asciiTheme="minorBidi" w:hAnsiTheme="minorBidi"/>
          <w:lang w:val="en-GB"/>
        </w:rPr>
      </w:pPr>
      <w:r w:rsidRPr="00961688">
        <w:rPr>
          <w:rFonts w:asciiTheme="minorBidi" w:hAnsiTheme="minorBidi"/>
          <w:lang w:val="en-GB"/>
        </w:rPr>
        <w:t xml:space="preserve">Tracy, D.K., Lloyd, L.C., Shergill, S.S. and Hanson, K. (2025). Integrated care in practice: lessons from three tiers of healthcare provider and commissioner staff in two London Integrated Care Systems. </w:t>
      </w:r>
      <w:proofErr w:type="spellStart"/>
      <w:r w:rsidRPr="00961688">
        <w:rPr>
          <w:rFonts w:asciiTheme="minorBidi" w:hAnsiTheme="minorBidi"/>
          <w:i/>
          <w:iCs/>
          <w:lang w:val="en-GB"/>
        </w:rPr>
        <w:t>BJPsych</w:t>
      </w:r>
      <w:proofErr w:type="spellEnd"/>
      <w:r w:rsidRPr="00961688">
        <w:rPr>
          <w:rFonts w:asciiTheme="minorBidi" w:hAnsiTheme="minorBidi"/>
          <w:i/>
          <w:iCs/>
          <w:lang w:val="en-GB"/>
        </w:rPr>
        <w:t xml:space="preserve"> Open</w:t>
      </w:r>
      <w:r w:rsidRPr="00961688">
        <w:rPr>
          <w:rFonts w:asciiTheme="minorBidi" w:hAnsiTheme="minorBidi"/>
          <w:lang w:val="en-GB"/>
        </w:rPr>
        <w:t xml:space="preserve">, [online] 11(5). </w:t>
      </w:r>
      <w:proofErr w:type="spellStart"/>
      <w:r w:rsidR="009F017A">
        <w:rPr>
          <w:rFonts w:asciiTheme="minorBidi" w:hAnsiTheme="minorBidi"/>
          <w:lang w:val="en-GB"/>
        </w:rPr>
        <w:t>doi:</w:t>
      </w:r>
      <w:hyperlink w:history="1" r:id="rId16">
        <w:r w:rsidRPr="00961688">
          <w:rPr>
            <w:rStyle w:val="Hyperlink"/>
            <w:rFonts w:asciiTheme="minorBidi" w:hAnsiTheme="minorBidi"/>
            <w:color w:val="auto"/>
            <w:lang w:val="en-GB"/>
          </w:rPr>
          <w:t>https</w:t>
        </w:r>
        <w:proofErr w:type="spellEnd"/>
        <w:r w:rsidRPr="00961688">
          <w:rPr>
            <w:rStyle w:val="Hyperlink"/>
            <w:rFonts w:asciiTheme="minorBidi" w:hAnsiTheme="minorBidi"/>
            <w:color w:val="auto"/>
            <w:lang w:val="en-GB"/>
          </w:rPr>
          <w:t>://doi.org/10.1192/bjo.2025.10841</w:t>
        </w:r>
      </w:hyperlink>
      <w:r w:rsidRPr="00961688">
        <w:rPr>
          <w:rFonts w:asciiTheme="minorBidi" w:hAnsiTheme="minorBidi"/>
          <w:lang w:val="en-GB"/>
        </w:rPr>
        <w:t>.</w:t>
      </w:r>
      <w:r w:rsidRPr="00DC2827">
        <w:rPr>
          <w:rFonts w:asciiTheme="minorBidi" w:hAnsiTheme="minorBidi"/>
          <w:lang w:val="en-GB"/>
        </w:rPr>
        <w:t xml:space="preserve"> </w:t>
      </w:r>
    </w:p>
    <w:p w:rsidRPr="00DC2827" w:rsidR="00961688" w:rsidP="00DC2827" w:rsidRDefault="00961688" w14:paraId="11E80252" w14:textId="71272DB9">
      <w:pPr>
        <w:spacing w:line="360" w:lineRule="auto"/>
        <w:jc w:val="both"/>
        <w:rPr>
          <w:rFonts w:asciiTheme="minorBidi" w:hAnsiTheme="minorBidi"/>
          <w:lang w:val="en-GB"/>
        </w:rPr>
      </w:pPr>
      <w:r w:rsidRPr="00961688">
        <w:rPr>
          <w:rFonts w:asciiTheme="minorBidi" w:hAnsiTheme="minorBidi"/>
          <w:lang w:val="en-GB"/>
        </w:rPr>
        <w:t xml:space="preserve">Yang, Q. and Zou, W. (2025). The impact of reflective practice on the development of nursing undergraduate students. </w:t>
      </w:r>
      <w:r w:rsidRPr="00961688">
        <w:rPr>
          <w:rFonts w:asciiTheme="minorBidi" w:hAnsiTheme="minorBidi"/>
          <w:i/>
          <w:iCs/>
          <w:lang w:val="en-GB"/>
        </w:rPr>
        <w:t>BMC Medical Education</w:t>
      </w:r>
      <w:r w:rsidRPr="00961688">
        <w:rPr>
          <w:rFonts w:asciiTheme="minorBidi" w:hAnsiTheme="minorBidi"/>
          <w:lang w:val="en-GB"/>
        </w:rPr>
        <w:t xml:space="preserve">, 25(1). </w:t>
      </w:r>
      <w:proofErr w:type="spellStart"/>
      <w:r w:rsidR="009F017A">
        <w:rPr>
          <w:rFonts w:asciiTheme="minorBidi" w:hAnsiTheme="minorBidi"/>
          <w:lang w:val="en-GB"/>
        </w:rPr>
        <w:t>doi:</w:t>
      </w:r>
      <w:hyperlink w:history="1" r:id="rId17">
        <w:r w:rsidRPr="00961688">
          <w:rPr>
            <w:rStyle w:val="Hyperlink"/>
            <w:rFonts w:asciiTheme="minorBidi" w:hAnsiTheme="minorBidi"/>
            <w:color w:val="auto"/>
            <w:lang w:val="en-GB"/>
          </w:rPr>
          <w:t>https</w:t>
        </w:r>
        <w:proofErr w:type="spellEnd"/>
        <w:r w:rsidRPr="00961688">
          <w:rPr>
            <w:rStyle w:val="Hyperlink"/>
            <w:rFonts w:asciiTheme="minorBidi" w:hAnsiTheme="minorBidi"/>
            <w:color w:val="auto"/>
            <w:lang w:val="en-GB"/>
          </w:rPr>
          <w:t>://doi.org/10.1186/s12909-025-07490-3</w:t>
        </w:r>
      </w:hyperlink>
      <w:r w:rsidRPr="00961688">
        <w:rPr>
          <w:rFonts w:asciiTheme="minorBidi" w:hAnsiTheme="minorBidi"/>
          <w:lang w:val="en-GB"/>
        </w:rPr>
        <w:t>.</w:t>
      </w:r>
      <w:r w:rsidRPr="00DC2827">
        <w:rPr>
          <w:rFonts w:asciiTheme="minorBidi" w:hAnsiTheme="minorBidi"/>
          <w:lang w:val="en-GB"/>
        </w:rPr>
        <w:t xml:space="preserve"> </w:t>
      </w:r>
    </w:p>
    <w:sectPr w:rsidRPr="00DC2827" w:rsidR="0096168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688"/>
    <w:rsid w:val="0004048E"/>
    <w:rsid w:val="00063BFB"/>
    <w:rsid w:val="001C6E3F"/>
    <w:rsid w:val="001E45E5"/>
    <w:rsid w:val="002574CC"/>
    <w:rsid w:val="002C7E34"/>
    <w:rsid w:val="004E37AA"/>
    <w:rsid w:val="0052538A"/>
    <w:rsid w:val="0054453F"/>
    <w:rsid w:val="00557BE4"/>
    <w:rsid w:val="005C3D80"/>
    <w:rsid w:val="006F2EA9"/>
    <w:rsid w:val="00961688"/>
    <w:rsid w:val="009F017A"/>
    <w:rsid w:val="00A32D38"/>
    <w:rsid w:val="00A63EAA"/>
    <w:rsid w:val="00B909F6"/>
    <w:rsid w:val="00B90A46"/>
    <w:rsid w:val="00BC266E"/>
    <w:rsid w:val="00BD76A9"/>
    <w:rsid w:val="00C27451"/>
    <w:rsid w:val="00C83C5E"/>
    <w:rsid w:val="00CE420E"/>
    <w:rsid w:val="00D25002"/>
    <w:rsid w:val="00DC2827"/>
    <w:rsid w:val="00EE6379"/>
    <w:rsid w:val="00FD3660"/>
    <w:rsid w:val="045E5415"/>
    <w:rsid w:val="20DB967F"/>
    <w:rsid w:val="4E956A01"/>
    <w:rsid w:val="5198F998"/>
    <w:rsid w:val="5FB727ED"/>
    <w:rsid w:val="62B56993"/>
    <w:rsid w:val="67A24BC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52D5F"/>
  <w15:chartTrackingRefBased/>
  <w15:docId w15:val="{65A34D78-473D-4AE6-8F04-0AF774239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AU"/>
    </w:rPr>
  </w:style>
  <w:style w:type="paragraph" w:styleId="Heading1">
    <w:name w:val="heading 1"/>
    <w:basedOn w:val="Normal"/>
    <w:next w:val="Normal"/>
    <w:link w:val="Heading1Char"/>
    <w:uiPriority w:val="9"/>
    <w:qFormat/>
    <w:rsid w:val="0052538A"/>
    <w:pPr>
      <w:keepNext/>
      <w:keepLines/>
      <w:spacing w:before="240" w:after="240"/>
      <w:jc w:val="center"/>
      <w:outlineLvl w:val="0"/>
    </w:pPr>
    <w:rPr>
      <w:rFonts w:ascii="Times New Roman" w:hAnsi="Times New Roman" w:eastAsiaTheme="majorEastAsia" w:cstheme="majorBidi"/>
      <w:b/>
      <w:sz w:val="24"/>
      <w:szCs w:val="32"/>
    </w:rPr>
  </w:style>
  <w:style w:type="paragraph" w:styleId="Heading2">
    <w:name w:val="heading 2"/>
    <w:basedOn w:val="Normal"/>
    <w:next w:val="Normal"/>
    <w:link w:val="Heading2Char"/>
    <w:uiPriority w:val="9"/>
    <w:semiHidden/>
    <w:unhideWhenUsed/>
    <w:qFormat/>
    <w:rsid w:val="0052538A"/>
    <w:pPr>
      <w:keepNext/>
      <w:keepLines/>
      <w:spacing w:before="240" w:after="240"/>
      <w:outlineLvl w:val="1"/>
    </w:pPr>
    <w:rPr>
      <w:rFonts w:ascii="Times New Roman" w:hAnsi="Times New Roman" w:eastAsiaTheme="majorEastAsia" w:cstheme="majorBidi"/>
      <w:b/>
      <w:sz w:val="24"/>
      <w:szCs w:val="26"/>
    </w:rPr>
  </w:style>
  <w:style w:type="paragraph" w:styleId="Heading3">
    <w:name w:val="heading 3"/>
    <w:basedOn w:val="Normal"/>
    <w:next w:val="Normal"/>
    <w:link w:val="Heading3Char"/>
    <w:uiPriority w:val="9"/>
    <w:semiHidden/>
    <w:unhideWhenUsed/>
    <w:qFormat/>
    <w:rsid w:val="0052538A"/>
    <w:pPr>
      <w:keepNext/>
      <w:keepLines/>
      <w:spacing w:before="240" w:after="240"/>
      <w:outlineLvl w:val="2"/>
    </w:pPr>
    <w:rPr>
      <w:rFonts w:ascii="Times New Roman" w:hAnsi="Times New Roman" w:eastAsiaTheme="majorEastAsia" w:cstheme="majorBidi"/>
      <w:b/>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2538A"/>
    <w:rPr>
      <w:rFonts w:ascii="Times New Roman" w:hAnsi="Times New Roman" w:eastAsiaTheme="majorEastAsia" w:cstheme="majorBidi"/>
      <w:b/>
      <w:sz w:val="24"/>
      <w:szCs w:val="32"/>
      <w:lang w:val="en-AU"/>
    </w:rPr>
  </w:style>
  <w:style w:type="character" w:styleId="Heading2Char" w:customStyle="1">
    <w:name w:val="Heading 2 Char"/>
    <w:basedOn w:val="DefaultParagraphFont"/>
    <w:link w:val="Heading2"/>
    <w:uiPriority w:val="9"/>
    <w:semiHidden/>
    <w:rsid w:val="0052538A"/>
    <w:rPr>
      <w:rFonts w:ascii="Times New Roman" w:hAnsi="Times New Roman" w:eastAsiaTheme="majorEastAsia" w:cstheme="majorBidi"/>
      <w:b/>
      <w:sz w:val="24"/>
      <w:szCs w:val="26"/>
      <w:lang w:val="en-AU"/>
    </w:rPr>
  </w:style>
  <w:style w:type="character" w:styleId="Heading3Char" w:customStyle="1">
    <w:name w:val="Heading 3 Char"/>
    <w:basedOn w:val="DefaultParagraphFont"/>
    <w:link w:val="Heading3"/>
    <w:uiPriority w:val="9"/>
    <w:semiHidden/>
    <w:rsid w:val="0052538A"/>
    <w:rPr>
      <w:rFonts w:ascii="Times New Roman" w:hAnsi="Times New Roman" w:eastAsiaTheme="majorEastAsia" w:cstheme="majorBidi"/>
      <w:b/>
      <w:sz w:val="24"/>
      <w:szCs w:val="24"/>
      <w:lang w:val="en-AU"/>
    </w:rPr>
  </w:style>
  <w:style w:type="character" w:styleId="Hyperlink">
    <w:name w:val="Hyperlink"/>
    <w:basedOn w:val="DefaultParagraphFont"/>
    <w:uiPriority w:val="99"/>
    <w:unhideWhenUsed/>
    <w:rsid w:val="00961688"/>
    <w:rPr>
      <w:color w:val="0563C1" w:themeColor="hyperlink"/>
      <w:u w:val="single"/>
    </w:rPr>
  </w:style>
  <w:style w:type="character" w:styleId="UnresolvedMention">
    <w:name w:val="Unresolved Mention"/>
    <w:basedOn w:val="DefaultParagraphFont"/>
    <w:uiPriority w:val="99"/>
    <w:semiHidden/>
    <w:unhideWhenUsed/>
    <w:rsid w:val="009616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849622">
      <w:bodyDiv w:val="1"/>
      <w:marLeft w:val="0"/>
      <w:marRight w:val="0"/>
      <w:marTop w:val="0"/>
      <w:marBottom w:val="0"/>
      <w:divBdr>
        <w:top w:val="none" w:sz="0" w:space="0" w:color="auto"/>
        <w:left w:val="none" w:sz="0" w:space="0" w:color="auto"/>
        <w:bottom w:val="none" w:sz="0" w:space="0" w:color="auto"/>
        <w:right w:val="none" w:sz="0" w:space="0" w:color="auto"/>
      </w:divBdr>
    </w:div>
    <w:div w:id="1549994972">
      <w:bodyDiv w:val="1"/>
      <w:marLeft w:val="0"/>
      <w:marRight w:val="0"/>
      <w:marTop w:val="0"/>
      <w:marBottom w:val="0"/>
      <w:divBdr>
        <w:top w:val="none" w:sz="0" w:space="0" w:color="auto"/>
        <w:left w:val="none" w:sz="0" w:space="0" w:color="auto"/>
        <w:bottom w:val="none" w:sz="0" w:space="0" w:color="auto"/>
        <w:right w:val="none" w:sz="0" w:space="0" w:color="auto"/>
      </w:divBdr>
      <w:divsChild>
        <w:div w:id="183167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3389/frhs.2025.1534178" TargetMode="External" Id="rId8" /><Relationship Type="http://schemas.openxmlformats.org/officeDocument/2006/relationships/hyperlink" Target="https://doi.org/10.5334/ijic.7738" TargetMode="External" Id="rId13" /><Relationship Type="http://schemas.openxmlformats.org/officeDocument/2006/relationships/fontTable" Target="fontTable.xml" Id="rId18" /><Relationship Type="http://schemas.openxmlformats.org/officeDocument/2006/relationships/webSettings" Target="webSettings.xml" Id="rId3" /><Relationship Type="http://schemas.openxmlformats.org/officeDocument/2006/relationships/hyperlink" Target="https://doi.org/10.1111/hex.13461" TargetMode="External" Id="rId7" /><Relationship Type="http://schemas.openxmlformats.org/officeDocument/2006/relationships/hyperlink" Target="https://doi.org/10.7861/fhj.2022-0120" TargetMode="External" Id="rId12" /><Relationship Type="http://schemas.openxmlformats.org/officeDocument/2006/relationships/hyperlink" Target="https://doi.org/10.1186/s12909-025-07490-3" TargetMode="External" Id="rId17" /><Relationship Type="http://schemas.openxmlformats.org/officeDocument/2006/relationships/settings" Target="settings.xml" Id="rId2" /><Relationship Type="http://schemas.openxmlformats.org/officeDocument/2006/relationships/hyperlink" Target="https://doi.org/10.1192/bjo.2025.10841" TargetMode="External" Id="rId16" /><Relationship Type="http://schemas.openxmlformats.org/officeDocument/2006/relationships/styles" Target="styles.xml" Id="rId1" /><Relationship Type="http://schemas.openxmlformats.org/officeDocument/2006/relationships/hyperlink" Target="https://doi.org/10.1332/239788221x16916503736939" TargetMode="External" Id="rId6" /><Relationship Type="http://schemas.openxmlformats.org/officeDocument/2006/relationships/hyperlink" Target="https://doi.org/10.1136/bmjopen-2021-054386" TargetMode="External" Id="rId11" /><Relationship Type="http://schemas.openxmlformats.org/officeDocument/2006/relationships/hyperlink" Target="https://doi.org/10.1093/bjsw/bcae180" TargetMode="External" Id="rId5" /><Relationship Type="http://schemas.openxmlformats.org/officeDocument/2006/relationships/hyperlink" Target="https://doi.org/10.3389/fpubh.2023.1286479" TargetMode="External" Id="rId15" /><Relationship Type="http://schemas.openxmlformats.org/officeDocument/2006/relationships/hyperlink" Target="https://doi.org/10.1111/jan.16345" TargetMode="External" Id="rId10" /><Relationship Type="http://schemas.openxmlformats.org/officeDocument/2006/relationships/theme" Target="theme/theme1.xml" Id="rId19" /><Relationship Type="http://schemas.openxmlformats.org/officeDocument/2006/relationships/hyperlink" Target="https://doi.org/10.1136/bmj-2022-070910" TargetMode="External" Id="rId4" /><Relationship Type="http://schemas.openxmlformats.org/officeDocument/2006/relationships/hyperlink" Target="https://doi.org/10.5334/ijic.6693" TargetMode="External" Id="rId9" /><Relationship Type="http://schemas.openxmlformats.org/officeDocument/2006/relationships/hyperlink" Target="https://doi.org/10.1016/j.ijnss.2024.08.002"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 01</dc:creator>
  <keywords/>
  <dc:description/>
  <lastModifiedBy>Ioan Surdu (2333638)</lastModifiedBy>
  <revision>3</revision>
  <dcterms:created xsi:type="dcterms:W3CDTF">2025-10-03T19:48:00.0000000Z</dcterms:created>
  <dcterms:modified xsi:type="dcterms:W3CDTF">2025-10-05T12:58:24.2727643Z</dcterms:modified>
</coreProperties>
</file>