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4F5D23"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58EAD608" w14:textId="77777777" w:rsidR="003E6AEF" w:rsidRPr="009E3D07" w:rsidRDefault="003E6AEF" w:rsidP="003E6AEF">
      <w:pPr>
        <w:jc w:val="both"/>
        <w:rPr>
          <w:rFonts w:asciiTheme="minorBidi" w:hAnsiTheme="minorBidi"/>
          <w:b/>
          <w:bCs/>
          <w:sz w:val="28"/>
          <w:szCs w:val="28"/>
        </w:rPr>
      </w:pPr>
      <w:r w:rsidRPr="009E3D07">
        <w:rPr>
          <w:rFonts w:asciiTheme="minorBidi" w:hAnsiTheme="minorBidi"/>
          <w:b/>
          <w:bCs/>
          <w:sz w:val="28"/>
          <w:szCs w:val="28"/>
        </w:rPr>
        <w:t xml:space="preserve">Name: Oksana </w:t>
      </w:r>
      <w:proofErr w:type="spellStart"/>
      <w:r w:rsidRPr="009E3D07">
        <w:rPr>
          <w:rFonts w:asciiTheme="minorBidi" w:hAnsiTheme="minorBidi"/>
          <w:b/>
          <w:bCs/>
          <w:sz w:val="28"/>
          <w:szCs w:val="28"/>
        </w:rPr>
        <w:t>Tulba</w:t>
      </w:r>
      <w:proofErr w:type="spellEnd"/>
    </w:p>
    <w:p w14:paraId="4421DBAE" w14:textId="77777777" w:rsidR="003E6AEF" w:rsidRPr="005C57E0" w:rsidRDefault="003E6AEF" w:rsidP="003E6AEF">
      <w:pPr>
        <w:jc w:val="both"/>
        <w:rPr>
          <w:rFonts w:asciiTheme="minorBidi" w:hAnsiTheme="minorBidi"/>
          <w:b/>
          <w:bCs/>
          <w:sz w:val="28"/>
          <w:szCs w:val="28"/>
          <w:lang w:val="en-US"/>
        </w:rPr>
      </w:pPr>
      <w:r w:rsidRPr="009E3D07">
        <w:rPr>
          <w:rFonts w:asciiTheme="minorBidi" w:hAnsiTheme="minorBidi"/>
          <w:b/>
          <w:bCs/>
          <w:sz w:val="28"/>
          <w:szCs w:val="28"/>
        </w:rPr>
        <w:t xml:space="preserve">Student ID: </w:t>
      </w:r>
      <w:r w:rsidRPr="005C57E0">
        <w:rPr>
          <w:rFonts w:asciiTheme="minorBidi" w:hAnsiTheme="minorBidi"/>
          <w:b/>
          <w:bCs/>
          <w:sz w:val="28"/>
          <w:szCs w:val="28"/>
          <w:lang w:val="en-US"/>
        </w:rPr>
        <w:t>2513894</w:t>
      </w:r>
    </w:p>
    <w:p w14:paraId="61F575D4" w14:textId="79B5B18A" w:rsidR="003E6AEF" w:rsidRPr="00C5715E" w:rsidRDefault="003E6AEF" w:rsidP="003E6AEF">
      <w:pPr>
        <w:jc w:val="both"/>
        <w:rPr>
          <w:rFonts w:asciiTheme="minorBidi" w:hAnsiTheme="minorBidi"/>
          <w:b/>
          <w:bCs/>
          <w:sz w:val="28"/>
          <w:szCs w:val="28"/>
          <w:lang w:val="en-US"/>
        </w:rPr>
      </w:pPr>
      <w:r w:rsidRPr="009E3D07">
        <w:rPr>
          <w:rFonts w:asciiTheme="minorBidi" w:hAnsiTheme="minorBidi"/>
          <w:b/>
          <w:bCs/>
          <w:sz w:val="28"/>
          <w:szCs w:val="28"/>
        </w:rPr>
        <w:t>Module Code: LCHS400</w:t>
      </w:r>
      <w:r w:rsidR="00A670B2">
        <w:rPr>
          <w:rFonts w:asciiTheme="minorBidi" w:hAnsiTheme="minorBidi"/>
          <w:b/>
          <w:bCs/>
          <w:sz w:val="28"/>
          <w:szCs w:val="28"/>
        </w:rPr>
        <w:t>3</w:t>
      </w:r>
    </w:p>
    <w:p w14:paraId="20B63B21" w14:textId="77777777" w:rsidR="003E6AEF" w:rsidRPr="009E3D07" w:rsidRDefault="003E6AEF" w:rsidP="003E6AEF">
      <w:pPr>
        <w:jc w:val="both"/>
        <w:rPr>
          <w:rFonts w:asciiTheme="minorBidi" w:hAnsiTheme="minorBidi"/>
          <w:b/>
          <w:bCs/>
          <w:sz w:val="28"/>
          <w:szCs w:val="28"/>
        </w:rPr>
      </w:pPr>
      <w:r w:rsidRPr="009E3D07">
        <w:rPr>
          <w:rFonts w:asciiTheme="minorBidi" w:hAnsiTheme="minorBidi"/>
          <w:b/>
          <w:bCs/>
          <w:sz w:val="28"/>
          <w:szCs w:val="28"/>
        </w:rPr>
        <w:t>Module: Introduction to Public Health</w:t>
      </w:r>
    </w:p>
    <w:p w14:paraId="39D08584" w14:textId="5EA6CB6C" w:rsidR="00074402" w:rsidRPr="00CD33A8" w:rsidRDefault="003E6AEF" w:rsidP="003F5130">
      <w:pPr>
        <w:jc w:val="both"/>
        <w:rPr>
          <w:rFonts w:asciiTheme="minorBidi" w:hAnsiTheme="minorBidi"/>
          <w:sz w:val="22"/>
        </w:rPr>
      </w:pPr>
      <w:r w:rsidRPr="009E3D07">
        <w:rPr>
          <w:rFonts w:asciiTheme="minorBidi" w:hAnsiTheme="minorBidi"/>
          <w:b/>
          <w:bCs/>
          <w:sz w:val="28"/>
          <w:szCs w:val="28"/>
        </w:rPr>
        <w:t xml:space="preserve">Lecturer: </w:t>
      </w:r>
      <w:r w:rsidR="003F5130">
        <w:rPr>
          <w:rFonts w:asciiTheme="minorBidi" w:hAnsiTheme="minorBidi"/>
          <w:b/>
          <w:bCs/>
          <w:sz w:val="28"/>
          <w:szCs w:val="28"/>
        </w:rPr>
        <w:t>Oluwadamilola Tayo</w:t>
      </w: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5AF52A3E" w14:textId="77777777" w:rsidR="00CB5D8A" w:rsidRPr="005C57E0" w:rsidRDefault="00CB5D8A" w:rsidP="00CB5D8A">
          <w:pPr>
            <w:pStyle w:val="TOCHeading"/>
            <w:rPr>
              <w:rFonts w:ascii="Arial" w:hAnsi="Arial" w:cs="Arial"/>
              <w:color w:val="000000" w:themeColor="text1"/>
              <w:sz w:val="22"/>
              <w:szCs w:val="22"/>
            </w:rPr>
          </w:pPr>
          <w:r w:rsidRPr="005C57E0">
            <w:rPr>
              <w:rFonts w:ascii="Arial" w:hAnsi="Arial" w:cs="Arial"/>
              <w:color w:val="000000" w:themeColor="text1"/>
              <w:sz w:val="22"/>
              <w:szCs w:val="22"/>
            </w:rPr>
            <w:t>Table of Contents</w:t>
          </w:r>
        </w:p>
        <w:p w14:paraId="0A627E9B" w14:textId="77777777" w:rsidR="00CB5D8A" w:rsidRPr="00021572" w:rsidRDefault="00CB5D8A" w:rsidP="00CB5D8A">
          <w:pPr>
            <w:pStyle w:val="TOC2"/>
            <w:tabs>
              <w:tab w:val="right" w:leader="dot" w:pos="9016"/>
            </w:tabs>
            <w:rPr>
              <w:rFonts w:ascii="Arial" w:hAnsi="Arial" w:cs="Arial"/>
              <w:b w:val="0"/>
              <w:bCs w:val="0"/>
              <w:noProof/>
              <w:sz w:val="22"/>
            </w:rPr>
          </w:pPr>
          <w:r w:rsidRPr="00021572">
            <w:rPr>
              <w:rFonts w:ascii="Arial" w:hAnsi="Arial" w:cs="Arial"/>
              <w:sz w:val="22"/>
            </w:rPr>
            <w:fldChar w:fldCharType="begin"/>
          </w:r>
          <w:r w:rsidRPr="00021572">
            <w:rPr>
              <w:rFonts w:ascii="Arial" w:hAnsi="Arial" w:cs="Arial"/>
              <w:sz w:val="22"/>
            </w:rPr>
            <w:instrText>TOC \o "1-3" \z \u \h</w:instrText>
          </w:r>
          <w:r w:rsidRPr="00021572">
            <w:rPr>
              <w:rFonts w:ascii="Arial" w:hAnsi="Arial" w:cs="Arial"/>
              <w:sz w:val="22"/>
            </w:rPr>
            <w:fldChar w:fldCharType="separate"/>
          </w:r>
          <w:hyperlink w:anchor="_Toc215923678" w:history="1">
            <w:r w:rsidRPr="00021572">
              <w:rPr>
                <w:rStyle w:val="Hyperlink"/>
                <w:rFonts w:ascii="Arial" w:hAnsi="Arial" w:cs="Arial"/>
                <w:b w:val="0"/>
                <w:bCs w:val="0"/>
                <w:noProof/>
                <w:sz w:val="22"/>
              </w:rPr>
              <w:t>1. Introduction</w:t>
            </w:r>
            <w:r w:rsidRPr="00021572">
              <w:rPr>
                <w:rFonts w:ascii="Arial" w:hAnsi="Arial" w:cs="Arial"/>
                <w:b w:val="0"/>
                <w:bCs w:val="0"/>
                <w:noProof/>
                <w:webHidden/>
                <w:sz w:val="22"/>
              </w:rPr>
              <w:tab/>
            </w:r>
            <w:r w:rsidRPr="00021572">
              <w:rPr>
                <w:rFonts w:ascii="Arial" w:hAnsi="Arial" w:cs="Arial"/>
                <w:b w:val="0"/>
                <w:bCs w:val="0"/>
                <w:noProof/>
                <w:webHidden/>
                <w:sz w:val="22"/>
              </w:rPr>
              <w:fldChar w:fldCharType="begin"/>
            </w:r>
            <w:r w:rsidRPr="00021572">
              <w:rPr>
                <w:rFonts w:ascii="Arial" w:hAnsi="Arial" w:cs="Arial"/>
                <w:b w:val="0"/>
                <w:bCs w:val="0"/>
                <w:noProof/>
                <w:webHidden/>
                <w:sz w:val="22"/>
              </w:rPr>
              <w:instrText xml:space="preserve"> PAGEREF _Toc215923678 \h </w:instrText>
            </w:r>
            <w:r w:rsidRPr="00021572">
              <w:rPr>
                <w:rFonts w:ascii="Arial" w:hAnsi="Arial" w:cs="Arial"/>
                <w:b w:val="0"/>
                <w:bCs w:val="0"/>
                <w:noProof/>
                <w:webHidden/>
                <w:sz w:val="22"/>
              </w:rPr>
            </w:r>
            <w:r w:rsidRPr="00021572">
              <w:rPr>
                <w:rFonts w:ascii="Arial" w:hAnsi="Arial" w:cs="Arial"/>
                <w:b w:val="0"/>
                <w:bCs w:val="0"/>
                <w:noProof/>
                <w:webHidden/>
                <w:sz w:val="22"/>
              </w:rPr>
              <w:fldChar w:fldCharType="separate"/>
            </w:r>
            <w:r w:rsidRPr="00021572">
              <w:rPr>
                <w:rFonts w:ascii="Arial" w:hAnsi="Arial" w:cs="Arial"/>
                <w:b w:val="0"/>
                <w:bCs w:val="0"/>
                <w:noProof/>
                <w:webHidden/>
                <w:sz w:val="22"/>
              </w:rPr>
              <w:t>3</w:t>
            </w:r>
            <w:r w:rsidRPr="00021572">
              <w:rPr>
                <w:rFonts w:ascii="Arial" w:hAnsi="Arial" w:cs="Arial"/>
                <w:b w:val="0"/>
                <w:bCs w:val="0"/>
                <w:noProof/>
                <w:webHidden/>
                <w:sz w:val="22"/>
              </w:rPr>
              <w:fldChar w:fldCharType="end"/>
            </w:r>
          </w:hyperlink>
        </w:p>
        <w:p w14:paraId="7F9FB5A7" w14:textId="310BF46A" w:rsidR="00CB5D8A" w:rsidRPr="00021572" w:rsidRDefault="00CB5D8A" w:rsidP="00CB5D8A">
          <w:pPr>
            <w:pStyle w:val="TOC2"/>
            <w:tabs>
              <w:tab w:val="right" w:leader="dot" w:pos="9016"/>
            </w:tabs>
            <w:rPr>
              <w:rFonts w:ascii="Arial" w:hAnsi="Arial" w:cs="Arial"/>
              <w:b w:val="0"/>
              <w:bCs w:val="0"/>
              <w:noProof/>
              <w:sz w:val="22"/>
            </w:rPr>
          </w:pPr>
          <w:hyperlink w:anchor="_Toc215923679" w:history="1">
            <w:r w:rsidRPr="00021572">
              <w:rPr>
                <w:rStyle w:val="Hyperlink"/>
                <w:rFonts w:ascii="Arial" w:hAnsi="Arial" w:cs="Arial"/>
                <w:b w:val="0"/>
                <w:bCs w:val="0"/>
                <w:noProof/>
                <w:sz w:val="22"/>
              </w:rPr>
              <w:t xml:space="preserve">2. </w:t>
            </w:r>
            <w:r w:rsidR="003F5130" w:rsidRPr="003F5130">
              <w:rPr>
                <w:rStyle w:val="Hyperlink"/>
                <w:rFonts w:ascii="Arial" w:hAnsi="Arial" w:cs="Arial"/>
                <w:b w:val="0"/>
                <w:bCs w:val="0"/>
                <w:noProof/>
                <w:sz w:val="22"/>
              </w:rPr>
              <w:t>Importance of effective communication</w:t>
            </w:r>
            <w:r w:rsidRPr="00021572">
              <w:rPr>
                <w:rFonts w:ascii="Arial" w:hAnsi="Arial" w:cs="Arial"/>
                <w:b w:val="0"/>
                <w:bCs w:val="0"/>
                <w:noProof/>
                <w:webHidden/>
                <w:sz w:val="22"/>
              </w:rPr>
              <w:tab/>
            </w:r>
            <w:r w:rsidRPr="00021572">
              <w:rPr>
                <w:rFonts w:ascii="Arial" w:hAnsi="Arial" w:cs="Arial"/>
                <w:b w:val="0"/>
                <w:bCs w:val="0"/>
                <w:noProof/>
                <w:webHidden/>
                <w:sz w:val="22"/>
              </w:rPr>
              <w:fldChar w:fldCharType="begin"/>
            </w:r>
            <w:r w:rsidRPr="00021572">
              <w:rPr>
                <w:rFonts w:ascii="Arial" w:hAnsi="Arial" w:cs="Arial"/>
                <w:b w:val="0"/>
                <w:bCs w:val="0"/>
                <w:noProof/>
                <w:webHidden/>
                <w:sz w:val="22"/>
              </w:rPr>
              <w:instrText xml:space="preserve"> PAGEREF _Toc215923679 \h </w:instrText>
            </w:r>
            <w:r w:rsidRPr="00021572">
              <w:rPr>
                <w:rFonts w:ascii="Arial" w:hAnsi="Arial" w:cs="Arial"/>
                <w:b w:val="0"/>
                <w:bCs w:val="0"/>
                <w:noProof/>
                <w:webHidden/>
                <w:sz w:val="22"/>
              </w:rPr>
            </w:r>
            <w:r w:rsidRPr="00021572">
              <w:rPr>
                <w:rFonts w:ascii="Arial" w:hAnsi="Arial" w:cs="Arial"/>
                <w:b w:val="0"/>
                <w:bCs w:val="0"/>
                <w:noProof/>
                <w:webHidden/>
                <w:sz w:val="22"/>
              </w:rPr>
              <w:fldChar w:fldCharType="separate"/>
            </w:r>
            <w:r w:rsidRPr="00021572">
              <w:rPr>
                <w:rFonts w:ascii="Arial" w:hAnsi="Arial" w:cs="Arial"/>
                <w:b w:val="0"/>
                <w:bCs w:val="0"/>
                <w:noProof/>
                <w:webHidden/>
                <w:sz w:val="22"/>
              </w:rPr>
              <w:t>3</w:t>
            </w:r>
            <w:r w:rsidRPr="00021572">
              <w:rPr>
                <w:rFonts w:ascii="Arial" w:hAnsi="Arial" w:cs="Arial"/>
                <w:b w:val="0"/>
                <w:bCs w:val="0"/>
                <w:noProof/>
                <w:webHidden/>
                <w:sz w:val="22"/>
              </w:rPr>
              <w:fldChar w:fldCharType="end"/>
            </w:r>
          </w:hyperlink>
        </w:p>
        <w:p w14:paraId="46CB7208" w14:textId="298AC6F4" w:rsidR="00CB5D8A" w:rsidRPr="00A50149" w:rsidRDefault="00CB5D8A" w:rsidP="00C270C6">
          <w:pPr>
            <w:pStyle w:val="TOC2"/>
            <w:tabs>
              <w:tab w:val="right" w:leader="dot" w:pos="9016"/>
            </w:tabs>
            <w:rPr>
              <w:rFonts w:ascii="Arial" w:hAnsi="Arial" w:cs="Arial"/>
              <w:b w:val="0"/>
              <w:bCs w:val="0"/>
              <w:sz w:val="22"/>
              <w:lang w:val="ru-RU"/>
            </w:rPr>
          </w:pPr>
          <w:hyperlink w:anchor="_Toc215923680" w:history="1">
            <w:r w:rsidRPr="00021572">
              <w:rPr>
                <w:rStyle w:val="Hyperlink"/>
                <w:rFonts w:ascii="Arial" w:hAnsi="Arial" w:cs="Arial"/>
                <w:b w:val="0"/>
                <w:bCs w:val="0"/>
                <w:noProof/>
                <w:sz w:val="22"/>
              </w:rPr>
              <w:t>3.</w:t>
            </w:r>
            <w:r w:rsidRPr="00021572">
              <w:rPr>
                <w:rFonts w:ascii="Arial" w:hAnsi="Arial" w:cs="Arial"/>
                <w:b w:val="0"/>
                <w:bCs w:val="0"/>
                <w:sz w:val="22"/>
              </w:rPr>
              <w:t xml:space="preserve"> </w:t>
            </w:r>
            <w:r w:rsidR="003F5130" w:rsidRPr="003F5130">
              <w:rPr>
                <w:rStyle w:val="Hyperlink"/>
                <w:rFonts w:ascii="Arial" w:hAnsi="Arial" w:cs="Arial"/>
                <w:b w:val="0"/>
                <w:bCs w:val="0"/>
                <w:noProof/>
                <w:sz w:val="22"/>
              </w:rPr>
              <w:t>Importance of good administrative skills</w:t>
            </w:r>
            <w:r w:rsidRPr="00021572">
              <w:rPr>
                <w:rFonts w:ascii="Arial" w:hAnsi="Arial" w:cs="Arial"/>
                <w:b w:val="0"/>
                <w:bCs w:val="0"/>
                <w:noProof/>
                <w:webHidden/>
                <w:sz w:val="22"/>
              </w:rPr>
              <w:tab/>
            </w:r>
          </w:hyperlink>
          <w:r w:rsidR="00A50149" w:rsidRPr="00A50149">
            <w:rPr>
              <w:b w:val="0"/>
              <w:bCs w:val="0"/>
              <w:lang w:val="ru-RU"/>
            </w:rPr>
            <w:t>5</w:t>
          </w:r>
        </w:p>
        <w:p w14:paraId="5CA766E9" w14:textId="1C8248E9" w:rsidR="00CB5D8A" w:rsidRPr="00C270C6" w:rsidRDefault="00CB5D8A" w:rsidP="00C270C6">
          <w:pPr>
            <w:pStyle w:val="TOC2"/>
            <w:tabs>
              <w:tab w:val="right" w:leader="dot" w:pos="9016"/>
            </w:tabs>
            <w:rPr>
              <w:rFonts w:ascii="Arial" w:hAnsi="Arial" w:cs="Arial"/>
              <w:b w:val="0"/>
              <w:bCs w:val="0"/>
              <w:noProof/>
              <w:sz w:val="22"/>
              <w:lang w:val="ru-RU"/>
            </w:rPr>
          </w:pPr>
          <w:r>
            <w:fldChar w:fldCharType="begin"/>
          </w:r>
          <w:r>
            <w:instrText>HYPERLINK \l "_Toc215923682"</w:instrText>
          </w:r>
          <w:r>
            <w:fldChar w:fldCharType="separate"/>
          </w:r>
          <w:r w:rsidR="00C270C6">
            <w:rPr>
              <w:rStyle w:val="Hyperlink"/>
              <w:rFonts w:ascii="Arial" w:hAnsi="Arial" w:cs="Arial"/>
              <w:b w:val="0"/>
              <w:bCs w:val="0"/>
              <w:noProof/>
              <w:sz w:val="22"/>
              <w:lang w:val="ru-RU"/>
            </w:rPr>
            <w:t>4</w:t>
          </w:r>
          <w:r w:rsidRPr="00021572">
            <w:rPr>
              <w:rStyle w:val="Hyperlink"/>
              <w:rFonts w:ascii="Arial" w:hAnsi="Arial" w:cs="Arial"/>
              <w:b w:val="0"/>
              <w:bCs w:val="0"/>
              <w:noProof/>
              <w:sz w:val="22"/>
            </w:rPr>
            <w:t xml:space="preserve">. </w:t>
          </w:r>
          <w:r w:rsidR="00C270C6" w:rsidRPr="00C270C6">
            <w:rPr>
              <w:rStyle w:val="Hyperlink"/>
              <w:rFonts w:ascii="Arial" w:hAnsi="Arial" w:cs="Arial"/>
              <w:b w:val="0"/>
              <w:bCs w:val="0"/>
              <w:noProof/>
              <w:sz w:val="22"/>
            </w:rPr>
            <w:t>Importance of working collaboratively</w:t>
          </w:r>
          <w:r w:rsidRPr="00021572">
            <w:rPr>
              <w:rFonts w:ascii="Arial" w:hAnsi="Arial" w:cs="Arial"/>
              <w:b w:val="0"/>
              <w:bCs w:val="0"/>
              <w:noProof/>
              <w:webHidden/>
              <w:sz w:val="22"/>
            </w:rPr>
            <w:tab/>
          </w:r>
          <w:r w:rsidR="00A50149" w:rsidRPr="00A50149">
            <w:rPr>
              <w:rFonts w:ascii="Arial" w:hAnsi="Arial" w:cs="Arial"/>
              <w:b w:val="0"/>
              <w:bCs w:val="0"/>
              <w:noProof/>
              <w:webHidden/>
              <w:szCs w:val="20"/>
              <w:lang w:val="ru-RU"/>
            </w:rPr>
            <w:t>6</w:t>
          </w:r>
          <w:r>
            <w:fldChar w:fldCharType="end"/>
          </w:r>
        </w:p>
        <w:p w14:paraId="1D23DAF4" w14:textId="2866A407" w:rsidR="00CB5D8A" w:rsidRPr="00C270C6" w:rsidRDefault="00CB5D8A" w:rsidP="00CB5D8A">
          <w:pPr>
            <w:pStyle w:val="TOC2"/>
            <w:tabs>
              <w:tab w:val="right" w:leader="dot" w:pos="9016"/>
            </w:tabs>
            <w:rPr>
              <w:rFonts w:ascii="Arial" w:hAnsi="Arial" w:cs="Arial"/>
              <w:b w:val="0"/>
              <w:bCs w:val="0"/>
              <w:noProof/>
              <w:sz w:val="22"/>
              <w:lang w:val="ru-RU"/>
            </w:rPr>
          </w:pPr>
          <w:hyperlink w:anchor="_Toc215923684" w:history="1">
            <w:r w:rsidR="00C270C6">
              <w:rPr>
                <w:rStyle w:val="Hyperlink"/>
                <w:rFonts w:ascii="Arial" w:hAnsi="Arial" w:cs="Arial"/>
                <w:b w:val="0"/>
                <w:bCs w:val="0"/>
                <w:noProof/>
                <w:sz w:val="22"/>
                <w:lang w:val="ru-RU"/>
              </w:rPr>
              <w:t>5</w:t>
            </w:r>
            <w:r w:rsidRPr="00021572">
              <w:rPr>
                <w:rStyle w:val="Hyperlink"/>
                <w:rFonts w:ascii="Arial" w:hAnsi="Arial" w:cs="Arial"/>
                <w:b w:val="0"/>
                <w:bCs w:val="0"/>
                <w:noProof/>
                <w:sz w:val="22"/>
              </w:rPr>
              <w:t>. Conclusion</w:t>
            </w:r>
            <w:r w:rsidRPr="00021572">
              <w:rPr>
                <w:rFonts w:ascii="Arial" w:hAnsi="Arial" w:cs="Arial"/>
                <w:b w:val="0"/>
                <w:bCs w:val="0"/>
                <w:noProof/>
                <w:webHidden/>
                <w:sz w:val="22"/>
              </w:rPr>
              <w:tab/>
            </w:r>
          </w:hyperlink>
          <w:r w:rsidR="00C270C6" w:rsidRPr="00C270C6">
            <w:rPr>
              <w:b w:val="0"/>
              <w:bCs w:val="0"/>
              <w:lang w:val="ru-RU"/>
            </w:rPr>
            <w:t>7</w:t>
          </w:r>
        </w:p>
        <w:p w14:paraId="0393821C" w14:textId="572E1EDB" w:rsidR="00CB5D8A" w:rsidRPr="00C270C6" w:rsidRDefault="00CB5D8A" w:rsidP="00CB5D8A">
          <w:pPr>
            <w:pStyle w:val="TOC2"/>
            <w:tabs>
              <w:tab w:val="right" w:leader="dot" w:pos="9016"/>
            </w:tabs>
            <w:rPr>
              <w:rFonts w:ascii="Arial" w:hAnsi="Arial" w:cs="Arial"/>
              <w:b w:val="0"/>
              <w:bCs w:val="0"/>
              <w:noProof/>
              <w:sz w:val="22"/>
              <w:lang w:val="ru-RU"/>
            </w:rPr>
          </w:pPr>
          <w:r>
            <w:fldChar w:fldCharType="begin"/>
          </w:r>
          <w:r>
            <w:instrText>HYPERLINK \l "_Toc215923685"</w:instrText>
          </w:r>
          <w:r>
            <w:fldChar w:fldCharType="separate"/>
          </w:r>
          <w:r w:rsidR="00C270C6">
            <w:rPr>
              <w:rStyle w:val="Hyperlink"/>
              <w:rFonts w:ascii="Arial" w:hAnsi="Arial" w:cs="Arial"/>
              <w:b w:val="0"/>
              <w:bCs w:val="0"/>
              <w:noProof/>
              <w:sz w:val="22"/>
              <w:lang w:val="ru-RU"/>
            </w:rPr>
            <w:t>6</w:t>
          </w:r>
          <w:r w:rsidRPr="00021572">
            <w:rPr>
              <w:rStyle w:val="Hyperlink"/>
              <w:rFonts w:ascii="Arial" w:hAnsi="Arial" w:cs="Arial"/>
              <w:b w:val="0"/>
              <w:bCs w:val="0"/>
              <w:noProof/>
              <w:sz w:val="22"/>
            </w:rPr>
            <w:t>. Reference List</w:t>
          </w:r>
          <w:r w:rsidRPr="00021572">
            <w:rPr>
              <w:rFonts w:ascii="Arial" w:hAnsi="Arial" w:cs="Arial"/>
              <w:b w:val="0"/>
              <w:bCs w:val="0"/>
              <w:noProof/>
              <w:webHidden/>
              <w:sz w:val="22"/>
            </w:rPr>
            <w:tab/>
          </w:r>
          <w:r>
            <w:fldChar w:fldCharType="end"/>
          </w:r>
          <w:r w:rsidR="00C270C6" w:rsidRPr="00C270C6">
            <w:rPr>
              <w:b w:val="0"/>
              <w:bCs w:val="0"/>
              <w:lang w:val="ru-RU"/>
            </w:rPr>
            <w:t>9</w:t>
          </w:r>
        </w:p>
        <w:p w14:paraId="4CF319E1" w14:textId="77777777" w:rsidR="00CB5D8A" w:rsidRDefault="00CB5D8A" w:rsidP="00CB5D8A">
          <w:pPr>
            <w:pStyle w:val="TOC2"/>
            <w:tabs>
              <w:tab w:val="right" w:leader="dot" w:pos="9015"/>
            </w:tabs>
          </w:pPr>
          <w:r w:rsidRPr="00021572">
            <w:rPr>
              <w:rFonts w:ascii="Arial" w:hAnsi="Arial" w:cs="Arial"/>
              <w:sz w:val="22"/>
            </w:rPr>
            <w:fldChar w:fldCharType="end"/>
          </w:r>
        </w:p>
      </w:sdtContent>
    </w:sdt>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464DC836" w14:textId="5FEB18AE" w:rsidR="00D71E5F" w:rsidRPr="00C5715E" w:rsidRDefault="00D71E5F" w:rsidP="00D71E5F">
      <w:pPr>
        <w:tabs>
          <w:tab w:val="left" w:pos="6540"/>
        </w:tabs>
        <w:spacing w:line="360" w:lineRule="auto"/>
        <w:rPr>
          <w:rFonts w:ascii="Arial" w:eastAsiaTheme="majorEastAsia" w:hAnsi="Arial" w:cs="Arial"/>
          <w:b/>
          <w:sz w:val="22"/>
          <w:lang w:val="en-US"/>
        </w:rPr>
      </w:pPr>
      <w:r w:rsidRPr="00D71E5F">
        <w:rPr>
          <w:rFonts w:ascii="Arial" w:eastAsiaTheme="majorEastAsia" w:hAnsi="Arial" w:cs="Arial"/>
          <w:b/>
          <w:sz w:val="22"/>
        </w:rPr>
        <w:lastRenderedPageBreak/>
        <w:t>1. Introduction</w:t>
      </w:r>
    </w:p>
    <w:p w14:paraId="660BC5BC" w14:textId="76CE3599" w:rsidR="00D71E5F" w:rsidRPr="00C5715E" w:rsidRDefault="00D71E5F" w:rsidP="00D71E5F">
      <w:pPr>
        <w:tabs>
          <w:tab w:val="left" w:pos="6540"/>
        </w:tabs>
        <w:spacing w:line="360" w:lineRule="auto"/>
        <w:rPr>
          <w:rFonts w:ascii="Arial" w:eastAsiaTheme="majorEastAsia" w:hAnsi="Arial" w:cs="Arial"/>
          <w:bCs/>
          <w:sz w:val="22"/>
          <w:lang w:val="en-US"/>
        </w:rPr>
      </w:pPr>
      <w:r w:rsidRPr="00D71E5F">
        <w:rPr>
          <w:rFonts w:ascii="Arial" w:eastAsiaTheme="majorEastAsia" w:hAnsi="Arial" w:cs="Arial"/>
          <w:bCs/>
          <w:sz w:val="22"/>
        </w:rPr>
        <w:t>This report examines the care provided to Mr Ahmed, a 68-year-old man who has recently been discharged from hospital after having a stroke. He now requires support at home from a domiciliary care agency as well as input from different healthcare professionals. The aim of this report is to examine three important areas of practice in relation to his situation: communication, administrative skills, and teamwork between professionals.</w:t>
      </w:r>
    </w:p>
    <w:p w14:paraId="5B6381B0" w14:textId="2FA007CE" w:rsidR="00D71E5F" w:rsidRPr="00C5715E" w:rsidRDefault="0088592E" w:rsidP="00D71E5F">
      <w:pPr>
        <w:tabs>
          <w:tab w:val="left" w:pos="6540"/>
        </w:tabs>
        <w:spacing w:line="360" w:lineRule="auto"/>
        <w:rPr>
          <w:rFonts w:ascii="Arial" w:eastAsiaTheme="majorEastAsia" w:hAnsi="Arial" w:cs="Arial"/>
          <w:bCs/>
          <w:sz w:val="22"/>
          <w:lang w:val="en-US"/>
        </w:rPr>
      </w:pPr>
      <w:r w:rsidRPr="0088592E">
        <w:rPr>
          <w:rFonts w:ascii="Arial" w:eastAsiaTheme="majorEastAsia" w:hAnsi="Arial" w:cs="Arial"/>
          <w:bCs/>
          <w:sz w:val="22"/>
        </w:rPr>
        <w:t>At the heart of this report is an analysis of why effective communication is paramount for Mr Ahmed, particularly as he navigates the dual challenges of a language barrier and post-stroke recovery</w:t>
      </w:r>
      <w:r w:rsidR="00D71E5F" w:rsidRPr="00D71E5F">
        <w:rPr>
          <w:rFonts w:ascii="Arial" w:eastAsiaTheme="majorEastAsia" w:hAnsi="Arial" w:cs="Arial"/>
          <w:bCs/>
          <w:sz w:val="22"/>
        </w:rPr>
        <w:t xml:space="preserve">. It will also explain how communication should be adapted when working with him and his wife, with reference to the Equality Act 2010 and communication principles. </w:t>
      </w:r>
      <w:r w:rsidRPr="0088592E">
        <w:rPr>
          <w:rFonts w:ascii="Arial" w:eastAsiaTheme="majorEastAsia" w:hAnsi="Arial" w:cs="Arial"/>
          <w:sz w:val="22"/>
        </w:rPr>
        <w:t>Furthermore, the discussion extends to</w:t>
      </w:r>
      <w:r w:rsidRPr="0088592E">
        <w:rPr>
          <w:rFonts w:ascii="Arial" w:eastAsiaTheme="majorEastAsia" w:hAnsi="Arial" w:cs="Arial"/>
          <w:bCs/>
          <w:sz w:val="22"/>
        </w:rPr>
        <w:t> the importance of rigorous record-keeping and administration, evaluating how information must be handled in compliance with the Data Protection Act 2018</w:t>
      </w:r>
      <w:r w:rsidR="00D71E5F" w:rsidRPr="00D71E5F">
        <w:rPr>
          <w:rFonts w:ascii="Arial" w:eastAsiaTheme="majorEastAsia" w:hAnsi="Arial" w:cs="Arial"/>
          <w:bCs/>
          <w:sz w:val="22"/>
        </w:rPr>
        <w:t>. Finally, it will consider the role of multidisciplinary working and how professionals can work together effectively to provide safe and consistent care.</w:t>
      </w:r>
    </w:p>
    <w:p w14:paraId="1373143B" w14:textId="77777777" w:rsidR="00D71E5F" w:rsidRPr="00D71E5F" w:rsidRDefault="00D71E5F" w:rsidP="00D71E5F">
      <w:pPr>
        <w:tabs>
          <w:tab w:val="left" w:pos="6540"/>
        </w:tabs>
        <w:spacing w:line="360" w:lineRule="auto"/>
        <w:rPr>
          <w:rFonts w:ascii="Arial" w:eastAsiaTheme="majorEastAsia" w:hAnsi="Arial" w:cs="Arial"/>
          <w:bCs/>
          <w:sz w:val="22"/>
        </w:rPr>
      </w:pPr>
      <w:r w:rsidRPr="00D71E5F">
        <w:rPr>
          <w:rFonts w:ascii="Arial" w:eastAsiaTheme="majorEastAsia" w:hAnsi="Arial" w:cs="Arial"/>
          <w:bCs/>
          <w:sz w:val="22"/>
        </w:rPr>
        <w:t>In addition, this case highlights how small failures in everyday practice can lead to wider risks for patient safety, particularly when multiple professionals are involved in care delivery.</w:t>
      </w:r>
    </w:p>
    <w:p w14:paraId="40DBE65D" w14:textId="77777777" w:rsidR="00D71E5F" w:rsidRPr="00D71E5F" w:rsidRDefault="00D71E5F" w:rsidP="00D71E5F">
      <w:pPr>
        <w:tabs>
          <w:tab w:val="left" w:pos="6540"/>
        </w:tabs>
        <w:spacing w:line="360" w:lineRule="auto"/>
        <w:rPr>
          <w:rFonts w:ascii="Arial" w:eastAsiaTheme="majorEastAsia" w:hAnsi="Arial" w:cs="Arial"/>
          <w:bCs/>
          <w:sz w:val="22"/>
        </w:rPr>
      </w:pPr>
    </w:p>
    <w:p w14:paraId="4B1A7E98" w14:textId="5CA699E5" w:rsidR="00D71E5F" w:rsidRPr="00C5715E" w:rsidRDefault="00D71E5F" w:rsidP="00D71E5F">
      <w:pPr>
        <w:tabs>
          <w:tab w:val="left" w:pos="6540"/>
        </w:tabs>
        <w:spacing w:line="360" w:lineRule="auto"/>
        <w:rPr>
          <w:rFonts w:ascii="Arial" w:eastAsiaTheme="majorEastAsia" w:hAnsi="Arial" w:cs="Arial"/>
          <w:b/>
          <w:sz w:val="22"/>
          <w:lang w:val="en-US"/>
        </w:rPr>
      </w:pPr>
      <w:r w:rsidRPr="00D71E5F">
        <w:rPr>
          <w:rFonts w:ascii="Arial" w:eastAsiaTheme="majorEastAsia" w:hAnsi="Arial" w:cs="Arial"/>
          <w:b/>
          <w:sz w:val="22"/>
        </w:rPr>
        <w:t>2. Importance of effective communication</w:t>
      </w:r>
    </w:p>
    <w:p w14:paraId="198BB709" w14:textId="77777777" w:rsidR="00C270C6" w:rsidRDefault="00C5715E" w:rsidP="00D71E5F">
      <w:pPr>
        <w:tabs>
          <w:tab w:val="left" w:pos="6540"/>
        </w:tabs>
        <w:spacing w:line="360" w:lineRule="auto"/>
        <w:rPr>
          <w:rFonts w:ascii="Arial" w:eastAsiaTheme="majorEastAsia" w:hAnsi="Arial" w:cs="Arial"/>
          <w:bCs/>
          <w:sz w:val="22"/>
          <w:lang w:val="ru-RU"/>
        </w:rPr>
      </w:pPr>
      <w:r w:rsidRPr="00C5715E">
        <w:rPr>
          <w:rFonts w:ascii="Arial" w:eastAsiaTheme="majorEastAsia" w:hAnsi="Arial" w:cs="Arial"/>
          <w:bCs/>
          <w:sz w:val="22"/>
        </w:rPr>
        <w:t xml:space="preserve">At the heart of providing high-quality, person-centred support lies effective communication, which becomes even more critical in complicated scenarios like the one Mr Ahmed is facing. For care to be truly successful, it isn't enough to just pass on information; there must be a shared understanding between everyone involved. In Mr Ahmed’s case, this is especially important due to his recent stroke and limited English proficiency, which create additional communication barriers. </w:t>
      </w:r>
      <w:r w:rsidR="00C270C6" w:rsidRPr="00C270C6">
        <w:rPr>
          <w:rFonts w:ascii="Arial" w:eastAsiaTheme="majorEastAsia" w:hAnsi="Arial" w:cs="Arial"/>
          <w:bCs/>
          <w:sz w:val="22"/>
        </w:rPr>
        <w:t>When professionals fail to communicate clearly, it creates a gap where mistakes can happen; in practice, this is often linked not only to individual error but to time pressure, high caseloads, and fragmented communication systems, which increase the likelihood of missed or delayed care.</w:t>
      </w:r>
    </w:p>
    <w:p w14:paraId="40D37D58" w14:textId="22C0E5BD" w:rsidR="00D71E5F" w:rsidRPr="00C5715E" w:rsidRDefault="00A50149" w:rsidP="00D71E5F">
      <w:pPr>
        <w:tabs>
          <w:tab w:val="left" w:pos="6540"/>
        </w:tabs>
        <w:spacing w:line="360" w:lineRule="auto"/>
        <w:rPr>
          <w:rFonts w:ascii="Arial" w:eastAsiaTheme="majorEastAsia" w:hAnsi="Arial" w:cs="Arial"/>
          <w:bCs/>
          <w:sz w:val="22"/>
          <w:lang w:val="en-US"/>
        </w:rPr>
      </w:pPr>
      <w:r w:rsidRPr="00A50149">
        <w:rPr>
          <w:rFonts w:ascii="Arial" w:eastAsiaTheme="majorEastAsia" w:hAnsi="Arial" w:cs="Arial"/>
          <w:bCs/>
          <w:sz w:val="22"/>
        </w:rPr>
        <w:t>Effective communication is critical for patient safety because when information is unclear or incomplete, care tasks may be misunderstood or not carried out at all, which can directly result in missed interventions, as seen in the missed domiciliary visit in this case</w:t>
      </w:r>
      <w:r w:rsidR="00D71E5F" w:rsidRPr="00D71E5F">
        <w:rPr>
          <w:rFonts w:ascii="Arial" w:eastAsiaTheme="majorEastAsia" w:hAnsi="Arial" w:cs="Arial"/>
          <w:bCs/>
          <w:sz w:val="22"/>
        </w:rPr>
        <w:t>. Poor communication can lead to serious consequences, including missed medication or incorrect care, as seen in the missed domiciliary visit in this case. Therefore, professionals must ensure that instructions, medication schedules, and care plans are communicated clearly and consistently.</w:t>
      </w:r>
    </w:p>
    <w:p w14:paraId="1E7273AF" w14:textId="1E354DF9" w:rsidR="00D71E5F" w:rsidRPr="00C5715E" w:rsidRDefault="00D71E5F" w:rsidP="00D71E5F">
      <w:pPr>
        <w:tabs>
          <w:tab w:val="left" w:pos="6540"/>
        </w:tabs>
        <w:spacing w:line="360" w:lineRule="auto"/>
        <w:rPr>
          <w:rFonts w:ascii="Arial" w:eastAsiaTheme="majorEastAsia" w:hAnsi="Arial" w:cs="Arial"/>
          <w:bCs/>
          <w:sz w:val="22"/>
          <w:lang w:val="en-US"/>
        </w:rPr>
      </w:pPr>
      <w:r w:rsidRPr="00D71E5F">
        <w:rPr>
          <w:rFonts w:ascii="Arial" w:eastAsiaTheme="majorEastAsia" w:hAnsi="Arial" w:cs="Arial"/>
          <w:bCs/>
          <w:sz w:val="22"/>
        </w:rPr>
        <w:lastRenderedPageBreak/>
        <w:t>In addition, research highlights that communication difficulties after stroke can significantly affect recovery and engagement in care. Hilari et al. (2012) found that individuals with post-stroke communication impairments are more likely to experience social isolation and reduced involvement in decision-making. This makes it particularly important to adapt communication methods to meet Mr Ahmed’s needs.</w:t>
      </w:r>
      <w:r w:rsidR="00C270C6" w:rsidRPr="00C270C6">
        <w:t xml:space="preserve"> </w:t>
      </w:r>
      <w:r w:rsidR="00C270C6" w:rsidRPr="00C270C6">
        <w:rPr>
          <w:rFonts w:ascii="Arial" w:eastAsiaTheme="majorEastAsia" w:hAnsi="Arial" w:cs="Arial"/>
          <w:bCs/>
          <w:sz w:val="22"/>
        </w:rPr>
        <w:t>If communication is not adapted appropriately, patients may become disengaged from their care, leading to reduced adherence to treatment and poorer recovery outcomes.</w:t>
      </w:r>
    </w:p>
    <w:p w14:paraId="73522653" w14:textId="153AAD1F" w:rsidR="00D71E5F" w:rsidRPr="00C5715E" w:rsidRDefault="00D71E5F" w:rsidP="00D71E5F">
      <w:pPr>
        <w:tabs>
          <w:tab w:val="left" w:pos="6540"/>
        </w:tabs>
        <w:spacing w:line="360" w:lineRule="auto"/>
        <w:rPr>
          <w:rFonts w:ascii="Arial" w:eastAsiaTheme="majorEastAsia" w:hAnsi="Arial" w:cs="Arial"/>
          <w:bCs/>
          <w:sz w:val="22"/>
          <w:lang w:val="en-US"/>
        </w:rPr>
      </w:pPr>
      <w:r w:rsidRPr="00D71E5F">
        <w:rPr>
          <w:rFonts w:ascii="Arial" w:eastAsiaTheme="majorEastAsia" w:hAnsi="Arial" w:cs="Arial"/>
          <w:bCs/>
          <w:sz w:val="22"/>
        </w:rPr>
        <w:t>Effective communication also helps to build trust and positive relationships between healthcare professionals, the service user, and their family. Mr Ahmed relies on his wife to communicate with the care team, which highlights the importance of involving family members appropriately. However, professionals must also ensure that Mr Ahmed himself remains at the centre of communication and is able to express his own views.</w:t>
      </w:r>
    </w:p>
    <w:p w14:paraId="4152EB2C" w14:textId="3A6D7BFF" w:rsidR="00D71E5F" w:rsidRDefault="00D71E5F" w:rsidP="00D71E5F">
      <w:pPr>
        <w:tabs>
          <w:tab w:val="left" w:pos="6540"/>
        </w:tabs>
        <w:spacing w:line="360" w:lineRule="auto"/>
        <w:rPr>
          <w:rFonts w:ascii="Arial" w:eastAsiaTheme="majorEastAsia" w:hAnsi="Arial" w:cs="Arial"/>
          <w:bCs/>
          <w:sz w:val="22"/>
          <w:lang w:val="ru-RU"/>
        </w:rPr>
      </w:pPr>
      <w:r w:rsidRPr="00D71E5F">
        <w:rPr>
          <w:rFonts w:ascii="Arial" w:eastAsiaTheme="majorEastAsia" w:hAnsi="Arial" w:cs="Arial"/>
          <w:bCs/>
          <w:sz w:val="22"/>
        </w:rPr>
        <w:t>The Equality Act 2010 plays a key role in this context. Healthcare providers have a duty to make reasonable adjustments to ensure that individuals can access services and understand information about their care (NHS England, 2017). For Mr Ahmed, this may include using simple language, visual aids, or professional interpreters. Failing to make these adjustments could lead to unequal care and poorer outcomes.</w:t>
      </w:r>
    </w:p>
    <w:p w14:paraId="7B44E117" w14:textId="6C45BA0F" w:rsidR="0088592E" w:rsidRPr="0088592E" w:rsidRDefault="0088592E" w:rsidP="00D71E5F">
      <w:pPr>
        <w:tabs>
          <w:tab w:val="left" w:pos="6540"/>
        </w:tabs>
        <w:spacing w:line="360" w:lineRule="auto"/>
        <w:rPr>
          <w:rFonts w:ascii="Arial" w:eastAsiaTheme="majorEastAsia" w:hAnsi="Arial" w:cs="Arial"/>
          <w:bCs/>
          <w:sz w:val="22"/>
          <w:lang w:val="en-US"/>
        </w:rPr>
      </w:pPr>
      <w:r w:rsidRPr="0088592E">
        <w:rPr>
          <w:rFonts w:ascii="Arial" w:eastAsiaTheme="majorEastAsia" w:hAnsi="Arial" w:cs="Arial"/>
          <w:bCs/>
          <w:sz w:val="22"/>
        </w:rPr>
        <w:t>Furthermore, it is crucial to recognise that Mr Ahmed is not just facing a linguistic hurdle, but potentially dealing with post-stroke aphasia. This neurological condition significantly complicates his ability to process complex information, making 'culturally competent' communication essential. This involves acknowledging that his Bengali heritage and his wife’s pivotal role are not just logistical factors, but core elements of his identity that require respect under the Equality Act’s mandate for dignity and inclusion.</w:t>
      </w:r>
    </w:p>
    <w:p w14:paraId="2C98C96F" w14:textId="4257B953" w:rsidR="00D71E5F" w:rsidRPr="00C5715E" w:rsidRDefault="00D71E5F" w:rsidP="00D71E5F">
      <w:pPr>
        <w:tabs>
          <w:tab w:val="left" w:pos="6540"/>
        </w:tabs>
        <w:spacing w:line="360" w:lineRule="auto"/>
        <w:rPr>
          <w:rFonts w:ascii="Arial" w:eastAsiaTheme="majorEastAsia" w:hAnsi="Arial" w:cs="Arial"/>
          <w:bCs/>
          <w:sz w:val="22"/>
          <w:lang w:val="en-US"/>
        </w:rPr>
      </w:pPr>
      <w:r w:rsidRPr="00D71E5F">
        <w:rPr>
          <w:rFonts w:ascii="Arial" w:eastAsiaTheme="majorEastAsia" w:hAnsi="Arial" w:cs="Arial"/>
          <w:bCs/>
          <w:sz w:val="22"/>
        </w:rPr>
        <w:t>A useful model to apply is the ‘7 Cs of communication’, which emphasises clarity, accuracy and completeness. In practice, this involves using simple and direct language, avoiding unnecessary medical terminology, and checking understanding. For example, clear instructions such as “take one tablet at 8 AM” are more effective than general advice. It is also important that information is shared consistently between professionals, as the missed visit suggests that key details may not have been communicated effectively.</w:t>
      </w:r>
    </w:p>
    <w:p w14:paraId="1C669B9D" w14:textId="17EB2DD9" w:rsidR="00D71E5F" w:rsidRPr="00C5715E" w:rsidRDefault="00D71E5F" w:rsidP="00D71E5F">
      <w:pPr>
        <w:tabs>
          <w:tab w:val="left" w:pos="6540"/>
        </w:tabs>
        <w:spacing w:line="360" w:lineRule="auto"/>
        <w:rPr>
          <w:rFonts w:ascii="Arial" w:eastAsiaTheme="majorEastAsia" w:hAnsi="Arial" w:cs="Arial"/>
          <w:bCs/>
          <w:sz w:val="22"/>
          <w:lang w:val="en-US"/>
        </w:rPr>
      </w:pPr>
      <w:r w:rsidRPr="00D71E5F">
        <w:rPr>
          <w:rFonts w:ascii="Arial" w:eastAsiaTheme="majorEastAsia" w:hAnsi="Arial" w:cs="Arial"/>
          <w:bCs/>
          <w:sz w:val="22"/>
        </w:rPr>
        <w:t xml:space="preserve">Communication should also be seen as a two-way process. It is not enough to give information; professionals must check that it has been understood. This may involve repetition, </w:t>
      </w:r>
      <w:proofErr w:type="gramStart"/>
      <w:r w:rsidRPr="00D71E5F">
        <w:rPr>
          <w:rFonts w:ascii="Arial" w:eastAsiaTheme="majorEastAsia" w:hAnsi="Arial" w:cs="Arial"/>
          <w:bCs/>
          <w:sz w:val="22"/>
        </w:rPr>
        <w:t>allowing</w:t>
      </w:r>
      <w:proofErr w:type="gramEnd"/>
      <w:r w:rsidRPr="00D71E5F">
        <w:rPr>
          <w:rFonts w:ascii="Arial" w:eastAsiaTheme="majorEastAsia" w:hAnsi="Arial" w:cs="Arial"/>
          <w:bCs/>
          <w:sz w:val="22"/>
        </w:rPr>
        <w:t xml:space="preserve"> extra time, or using visual support where needed.</w:t>
      </w:r>
    </w:p>
    <w:p w14:paraId="05CDFE62" w14:textId="2476A62C" w:rsidR="00D10986" w:rsidRDefault="00C270C6" w:rsidP="00D71E5F">
      <w:pPr>
        <w:tabs>
          <w:tab w:val="left" w:pos="6540"/>
        </w:tabs>
        <w:spacing w:line="360" w:lineRule="auto"/>
        <w:rPr>
          <w:rFonts w:ascii="Arial" w:eastAsiaTheme="majorEastAsia" w:hAnsi="Arial" w:cs="Arial"/>
          <w:bCs/>
          <w:sz w:val="22"/>
        </w:rPr>
      </w:pPr>
      <w:r w:rsidRPr="00C270C6">
        <w:rPr>
          <w:rFonts w:ascii="Arial" w:eastAsiaTheme="majorEastAsia" w:hAnsi="Arial" w:cs="Arial"/>
          <w:bCs/>
          <w:sz w:val="22"/>
        </w:rPr>
        <w:t xml:space="preserve">However, while communication models provide a useful framework, they can be too simplistic in practice, as they do not account for real-world constraints such as limited </w:t>
      </w:r>
      <w:r w:rsidRPr="00C270C6">
        <w:rPr>
          <w:rFonts w:ascii="Arial" w:eastAsiaTheme="majorEastAsia" w:hAnsi="Arial" w:cs="Arial"/>
          <w:bCs/>
          <w:sz w:val="22"/>
        </w:rPr>
        <w:lastRenderedPageBreak/>
        <w:t>staffing, time pressure, and reliance on multiple agencies, all of which increase the risk of miscommunication and care gaps.</w:t>
      </w:r>
    </w:p>
    <w:p w14:paraId="6EB94B4E" w14:textId="77777777" w:rsidR="00D71E5F" w:rsidRPr="00A50149" w:rsidRDefault="00D71E5F" w:rsidP="00D71E5F">
      <w:pPr>
        <w:tabs>
          <w:tab w:val="left" w:pos="6540"/>
        </w:tabs>
        <w:spacing w:line="360" w:lineRule="auto"/>
        <w:rPr>
          <w:rFonts w:ascii="Arial" w:eastAsiaTheme="majorEastAsia" w:hAnsi="Arial" w:cs="Arial"/>
          <w:bCs/>
          <w:sz w:val="22"/>
          <w:lang w:val="ru-RU"/>
        </w:rPr>
      </w:pPr>
    </w:p>
    <w:p w14:paraId="4AF536D5" w14:textId="14609279" w:rsidR="00D71E5F" w:rsidRPr="00C5715E" w:rsidRDefault="00D71E5F" w:rsidP="00D71E5F">
      <w:pPr>
        <w:tabs>
          <w:tab w:val="left" w:pos="6540"/>
        </w:tabs>
        <w:spacing w:line="360" w:lineRule="auto"/>
        <w:rPr>
          <w:rFonts w:ascii="Arial" w:eastAsiaTheme="majorEastAsia" w:hAnsi="Arial" w:cs="Arial"/>
          <w:b/>
          <w:sz w:val="22"/>
          <w:lang w:val="en-US"/>
        </w:rPr>
      </w:pPr>
      <w:r w:rsidRPr="00D71E5F">
        <w:rPr>
          <w:rFonts w:ascii="Arial" w:eastAsiaTheme="majorEastAsia" w:hAnsi="Arial" w:cs="Arial"/>
          <w:b/>
          <w:sz w:val="22"/>
        </w:rPr>
        <w:t>3. Importance of good administrative skills</w:t>
      </w:r>
    </w:p>
    <w:p w14:paraId="4D2D0AD1" w14:textId="5BEC5408" w:rsidR="00D71E5F" w:rsidRPr="00C5715E" w:rsidRDefault="00D71E5F" w:rsidP="00D71E5F">
      <w:pPr>
        <w:tabs>
          <w:tab w:val="left" w:pos="6540"/>
        </w:tabs>
        <w:spacing w:line="360" w:lineRule="auto"/>
        <w:rPr>
          <w:rFonts w:ascii="Arial" w:eastAsiaTheme="majorEastAsia" w:hAnsi="Arial" w:cs="Arial"/>
          <w:bCs/>
          <w:sz w:val="22"/>
          <w:lang w:val="en-US"/>
        </w:rPr>
      </w:pPr>
      <w:r w:rsidRPr="00D71E5F">
        <w:rPr>
          <w:rFonts w:ascii="Arial" w:eastAsiaTheme="majorEastAsia" w:hAnsi="Arial" w:cs="Arial"/>
          <w:bCs/>
          <w:sz w:val="22"/>
        </w:rPr>
        <w:t>Good administrative skills are an essential part of professional practice in health and social care, as they support safe, effective, and accountable care delivery. In the case of Mr Ahmed, accurate administration is particularly important due to the involvement of multiple professionals and the need for consistent monitoring, medication management, and communication between services.</w:t>
      </w:r>
    </w:p>
    <w:p w14:paraId="37F3DBED" w14:textId="77777777" w:rsidR="00C5715E" w:rsidRPr="0088592E" w:rsidRDefault="00C5715E" w:rsidP="00D71E5F">
      <w:pPr>
        <w:tabs>
          <w:tab w:val="left" w:pos="6540"/>
        </w:tabs>
        <w:spacing w:line="360" w:lineRule="auto"/>
        <w:rPr>
          <w:rFonts w:ascii="Arial" w:eastAsiaTheme="majorEastAsia" w:hAnsi="Arial" w:cs="Arial"/>
          <w:bCs/>
          <w:sz w:val="22"/>
          <w:lang w:val="en-US"/>
        </w:rPr>
      </w:pPr>
      <w:r w:rsidRPr="00C5715E">
        <w:rPr>
          <w:rFonts w:ascii="Arial" w:eastAsiaTheme="majorEastAsia" w:hAnsi="Arial" w:cs="Arial"/>
          <w:bCs/>
          <w:sz w:val="22"/>
        </w:rPr>
        <w:t>Maintaining precise records is perhaps one of the most vital administrative tasks for any healthcare professional. In Mr Ahmed’s case, having a clear 'paper trail' allows the entire multi-disciplinary team to stay on the same page regarding his recovery and daily needs. If documentation is sloppy or outdated, the continuity of care breaks down, often resulting in dangerous oversights such as conflicting treatments or missed visits. The Nursing and Midwifery Council states that “clear and accurate records must be kept for everyone you care for” (NMC, 2018), highlighting that documentation is both a professional and legal requirement.</w:t>
      </w:r>
    </w:p>
    <w:p w14:paraId="15506143" w14:textId="4ADFAE14" w:rsidR="00D71E5F" w:rsidRPr="00C5715E" w:rsidRDefault="00D71E5F" w:rsidP="00D71E5F">
      <w:pPr>
        <w:tabs>
          <w:tab w:val="left" w:pos="6540"/>
        </w:tabs>
        <w:spacing w:line="360" w:lineRule="auto"/>
        <w:rPr>
          <w:rFonts w:ascii="Arial" w:eastAsiaTheme="majorEastAsia" w:hAnsi="Arial" w:cs="Arial"/>
          <w:bCs/>
          <w:sz w:val="22"/>
          <w:lang w:val="en-US"/>
        </w:rPr>
      </w:pPr>
      <w:r w:rsidRPr="00D71E5F">
        <w:rPr>
          <w:rFonts w:ascii="Arial" w:eastAsiaTheme="majorEastAsia" w:hAnsi="Arial" w:cs="Arial"/>
          <w:bCs/>
          <w:sz w:val="22"/>
        </w:rPr>
        <w:t xml:space="preserve">In Mr Ahmed’s situation, the </w:t>
      </w:r>
      <w:r w:rsidR="00C270C6" w:rsidRPr="00C270C6">
        <w:rPr>
          <w:rFonts w:ascii="Arial" w:eastAsiaTheme="majorEastAsia" w:hAnsi="Arial" w:cs="Arial"/>
          <w:bCs/>
          <w:sz w:val="22"/>
        </w:rPr>
        <w:t>missed domiciliary visit demonstrates how administrative failures can directly impact patient safety, as inaccurate or delayed updates in care schedules can result in essential visits being omitted, leaving the patient without necessary support.</w:t>
      </w:r>
      <w:r w:rsidR="00A50149" w:rsidRPr="00A50149">
        <w:rPr>
          <w:rFonts w:ascii="Arial" w:eastAsiaTheme="majorEastAsia" w:hAnsi="Arial" w:cs="Arial"/>
          <w:bCs/>
          <w:sz w:val="22"/>
          <w:lang w:val="en-US"/>
        </w:rPr>
        <w:t xml:space="preserve"> </w:t>
      </w:r>
      <w:r w:rsidRPr="00D71E5F">
        <w:rPr>
          <w:rFonts w:ascii="Arial" w:eastAsiaTheme="majorEastAsia" w:hAnsi="Arial" w:cs="Arial"/>
          <w:bCs/>
          <w:sz w:val="22"/>
        </w:rPr>
        <w:t>If schedules, care plans, or communication logs are not properly maintained, important tasks may be overlooked. According to the Care Quality Commission (CQC, 2023), good record keeping helps ensure continuity of care and allows providers to track whether care has been delivered as planned. This is particularly relevant in multi-agency settings, where different professionals rely on shared information.</w:t>
      </w:r>
    </w:p>
    <w:p w14:paraId="454CF490" w14:textId="009ED275" w:rsidR="00D71E5F" w:rsidRDefault="00D71E5F" w:rsidP="00D71E5F">
      <w:pPr>
        <w:tabs>
          <w:tab w:val="left" w:pos="6540"/>
        </w:tabs>
        <w:spacing w:line="360" w:lineRule="auto"/>
        <w:rPr>
          <w:rFonts w:ascii="Arial" w:eastAsiaTheme="majorEastAsia" w:hAnsi="Arial" w:cs="Arial"/>
          <w:bCs/>
          <w:sz w:val="22"/>
          <w:lang w:val="ru-RU"/>
        </w:rPr>
      </w:pPr>
      <w:r w:rsidRPr="00D71E5F">
        <w:rPr>
          <w:rFonts w:ascii="Arial" w:eastAsiaTheme="majorEastAsia" w:hAnsi="Arial" w:cs="Arial"/>
          <w:bCs/>
          <w:sz w:val="22"/>
        </w:rPr>
        <w:t>Another important aspect is confidentiality and data protection. Health and social care professionals must handle personal information responsibly and in line with the Data Protection Act 2018. This means that Mr Ahmed’s personal and medical information should only be shared with relevant professionals and must be stored securely. The Information Commissioner’s Office (ICO, 2023) states that personal data must be processed lawfully, fairly and transparently.</w:t>
      </w:r>
    </w:p>
    <w:p w14:paraId="29AE93F2" w14:textId="77777777" w:rsidR="00C270C6" w:rsidRDefault="0088592E" w:rsidP="00D71E5F">
      <w:pPr>
        <w:tabs>
          <w:tab w:val="left" w:pos="6540"/>
        </w:tabs>
        <w:spacing w:line="360" w:lineRule="auto"/>
        <w:rPr>
          <w:rFonts w:ascii="Arial" w:eastAsiaTheme="majorEastAsia" w:hAnsi="Arial" w:cs="Arial"/>
          <w:bCs/>
          <w:sz w:val="22"/>
          <w:lang w:val="ru-RU"/>
        </w:rPr>
      </w:pPr>
      <w:r w:rsidRPr="0088592E">
        <w:rPr>
          <w:rFonts w:ascii="Arial" w:eastAsiaTheme="majorEastAsia" w:hAnsi="Arial" w:cs="Arial"/>
          <w:bCs/>
          <w:sz w:val="22"/>
        </w:rPr>
        <w:t xml:space="preserve">In the context of the missed visit, this incident highlights a systemic rather than just a clerical failure. While the Data Protection Act 2018 ensures privacy, the administrative challenge here lies in the 'accuracy' and 'accountability' principles of GDPR. If the care agency’s </w:t>
      </w:r>
      <w:r w:rsidRPr="0088592E">
        <w:rPr>
          <w:rFonts w:ascii="Arial" w:eastAsiaTheme="majorEastAsia" w:hAnsi="Arial" w:cs="Arial"/>
          <w:bCs/>
          <w:sz w:val="22"/>
        </w:rPr>
        <w:lastRenderedPageBreak/>
        <w:t xml:space="preserve">scheduling system failed to update in real-time, it created a digital blind spot that directly compromised patient safety, </w:t>
      </w:r>
      <w:r w:rsidR="00C270C6" w:rsidRPr="00C270C6">
        <w:rPr>
          <w:rFonts w:ascii="Arial" w:eastAsiaTheme="majorEastAsia" w:hAnsi="Arial" w:cs="Arial"/>
          <w:bCs/>
          <w:sz w:val="22"/>
        </w:rPr>
        <w:t>proving that even robust policies are only as effective as their implementation in practice, particularly where digital systems rely on timely and accurate human input.</w:t>
      </w:r>
    </w:p>
    <w:p w14:paraId="5935EB4E" w14:textId="5F2F03B8" w:rsidR="00D71E5F" w:rsidRPr="00C5715E" w:rsidRDefault="00D71E5F" w:rsidP="00D71E5F">
      <w:pPr>
        <w:tabs>
          <w:tab w:val="left" w:pos="6540"/>
        </w:tabs>
        <w:spacing w:line="360" w:lineRule="auto"/>
        <w:rPr>
          <w:rFonts w:ascii="Arial" w:eastAsiaTheme="majorEastAsia" w:hAnsi="Arial" w:cs="Arial"/>
          <w:bCs/>
          <w:sz w:val="22"/>
          <w:lang w:val="en-US"/>
        </w:rPr>
      </w:pPr>
      <w:r w:rsidRPr="00D71E5F">
        <w:rPr>
          <w:rFonts w:ascii="Arial" w:eastAsiaTheme="majorEastAsia" w:hAnsi="Arial" w:cs="Arial"/>
          <w:bCs/>
          <w:sz w:val="22"/>
        </w:rPr>
        <w:t>It is also important to recognise that administrative systems alone do not guarantee safety. Even when electronic care systems are used, errors can occur if records are not updated in real time or checked properly. In this case, the missed visit may reflect a lack of oversight or accountability rather than simply a documentation issue. This highlights a wider issue in health and social care, where systems exist but are not always implemented effectively in practice.</w:t>
      </w:r>
    </w:p>
    <w:p w14:paraId="0490E548" w14:textId="77777777" w:rsidR="00D71E5F" w:rsidRPr="00C5715E" w:rsidRDefault="00D71E5F" w:rsidP="00D71E5F">
      <w:pPr>
        <w:tabs>
          <w:tab w:val="left" w:pos="6540"/>
        </w:tabs>
        <w:spacing w:line="360" w:lineRule="auto"/>
        <w:rPr>
          <w:rFonts w:ascii="Arial" w:eastAsiaTheme="majorEastAsia" w:hAnsi="Arial" w:cs="Arial"/>
          <w:bCs/>
          <w:sz w:val="22"/>
          <w:lang w:val="en-US"/>
        </w:rPr>
      </w:pPr>
      <w:r w:rsidRPr="00D71E5F">
        <w:rPr>
          <w:rFonts w:ascii="Arial" w:eastAsiaTheme="majorEastAsia" w:hAnsi="Arial" w:cs="Arial"/>
          <w:bCs/>
          <w:sz w:val="22"/>
        </w:rPr>
        <w:t>Administrative skills also include organising appointments, managing care schedules, and ensuring timely communication between professionals. Without this, there is a higher risk of delays or gaps in care. In addition, accurate documentation supports accountability, particularly in situations where incidents are investigated.</w:t>
      </w:r>
    </w:p>
    <w:p w14:paraId="45B8BBBF" w14:textId="77777777" w:rsidR="00D71E5F" w:rsidRPr="00A50149" w:rsidRDefault="00D71E5F" w:rsidP="00D71E5F">
      <w:pPr>
        <w:tabs>
          <w:tab w:val="left" w:pos="6540"/>
        </w:tabs>
        <w:spacing w:line="360" w:lineRule="auto"/>
        <w:rPr>
          <w:rFonts w:ascii="Arial" w:eastAsiaTheme="majorEastAsia" w:hAnsi="Arial" w:cs="Arial"/>
          <w:bCs/>
          <w:sz w:val="22"/>
          <w:lang w:val="ru-RU"/>
        </w:rPr>
      </w:pPr>
    </w:p>
    <w:p w14:paraId="43C3A6EF" w14:textId="3663C57E" w:rsidR="00D71E5F" w:rsidRPr="00C5715E" w:rsidRDefault="00D71E5F" w:rsidP="00D71E5F">
      <w:pPr>
        <w:tabs>
          <w:tab w:val="left" w:pos="6540"/>
        </w:tabs>
        <w:spacing w:line="360" w:lineRule="auto"/>
        <w:rPr>
          <w:rFonts w:ascii="Arial" w:eastAsiaTheme="majorEastAsia" w:hAnsi="Arial" w:cs="Arial"/>
          <w:b/>
          <w:sz w:val="22"/>
          <w:lang w:val="en-US"/>
        </w:rPr>
      </w:pPr>
      <w:r w:rsidRPr="00D71E5F">
        <w:rPr>
          <w:rFonts w:ascii="Arial" w:eastAsiaTheme="majorEastAsia" w:hAnsi="Arial" w:cs="Arial"/>
          <w:b/>
          <w:sz w:val="22"/>
        </w:rPr>
        <w:t>4. Importance of working collaboratively</w:t>
      </w:r>
    </w:p>
    <w:p w14:paraId="37914888" w14:textId="07272765" w:rsidR="00D71E5F" w:rsidRPr="00C5715E" w:rsidRDefault="00D71E5F" w:rsidP="00D71E5F">
      <w:pPr>
        <w:tabs>
          <w:tab w:val="left" w:pos="6540"/>
        </w:tabs>
        <w:spacing w:line="360" w:lineRule="auto"/>
        <w:rPr>
          <w:rFonts w:ascii="Arial" w:eastAsiaTheme="majorEastAsia" w:hAnsi="Arial" w:cs="Arial"/>
          <w:bCs/>
          <w:sz w:val="22"/>
          <w:lang w:val="en-US"/>
        </w:rPr>
      </w:pPr>
      <w:r w:rsidRPr="00D71E5F">
        <w:rPr>
          <w:rFonts w:ascii="Arial" w:eastAsiaTheme="majorEastAsia" w:hAnsi="Arial" w:cs="Arial"/>
          <w:bCs/>
          <w:sz w:val="22"/>
        </w:rPr>
        <w:t>Working collaboratively with other professionals is a key part of providing safe and effective care, especially in complex cases such as Mr Ahmed’s</w:t>
      </w:r>
      <w:r w:rsidR="00C270C6" w:rsidRPr="00C270C6">
        <w:rPr>
          <w:rFonts w:ascii="Arial" w:eastAsiaTheme="majorEastAsia" w:hAnsi="Arial" w:cs="Arial"/>
          <w:bCs/>
          <w:sz w:val="22"/>
          <w:lang w:val="en-US"/>
        </w:rPr>
        <w:t xml:space="preserve">, </w:t>
      </w:r>
      <w:r w:rsidR="00C270C6" w:rsidRPr="00C270C6">
        <w:rPr>
          <w:rFonts w:ascii="Arial" w:eastAsiaTheme="majorEastAsia" w:hAnsi="Arial" w:cs="Arial"/>
          <w:bCs/>
          <w:sz w:val="22"/>
        </w:rPr>
        <w:t>as a lack of coordination between services can quickly lead to fragmented care and increased risk for the patient</w:t>
      </w:r>
      <w:r w:rsidRPr="00D71E5F">
        <w:rPr>
          <w:rFonts w:ascii="Arial" w:eastAsiaTheme="majorEastAsia" w:hAnsi="Arial" w:cs="Arial"/>
          <w:bCs/>
          <w:sz w:val="22"/>
        </w:rPr>
        <w:t xml:space="preserve">. His care involves several professionals, including the GP, district nurse, speech and language therapist, and domiciliary care workers. </w:t>
      </w:r>
      <w:r w:rsidR="00C270C6" w:rsidRPr="00C270C6">
        <w:rPr>
          <w:rFonts w:ascii="Arial" w:eastAsiaTheme="majorEastAsia" w:hAnsi="Arial" w:cs="Arial"/>
          <w:bCs/>
          <w:sz w:val="22"/>
        </w:rPr>
        <w:t>Without effective collaboration, there is a higher risk of miscommunication, duplication of tasks, or gaps in care, particularly when responsibilities are unclear or assumed rather than explicitly assigned.</w:t>
      </w:r>
    </w:p>
    <w:p w14:paraId="7E191118" w14:textId="6194FE0D" w:rsidR="00D71E5F" w:rsidRPr="00C5715E" w:rsidRDefault="00D71E5F" w:rsidP="00D71E5F">
      <w:pPr>
        <w:tabs>
          <w:tab w:val="left" w:pos="6540"/>
        </w:tabs>
        <w:spacing w:line="360" w:lineRule="auto"/>
        <w:rPr>
          <w:rFonts w:ascii="Arial" w:eastAsiaTheme="majorEastAsia" w:hAnsi="Arial" w:cs="Arial"/>
          <w:bCs/>
          <w:sz w:val="22"/>
          <w:lang w:val="en-US"/>
        </w:rPr>
      </w:pPr>
      <w:r w:rsidRPr="00D71E5F">
        <w:rPr>
          <w:rFonts w:ascii="Arial" w:eastAsiaTheme="majorEastAsia" w:hAnsi="Arial" w:cs="Arial"/>
          <w:bCs/>
          <w:sz w:val="22"/>
        </w:rPr>
        <w:t>One of the main benefits of collaborative working is improved patient outcomes. When professionals share information and work towards common goals, care becomes more coordinated and consistent. NHS England (2022) highlights that integrated working allows services to better meet the needs of patients, particularly those with complex conditions.</w:t>
      </w:r>
    </w:p>
    <w:p w14:paraId="165C5F01" w14:textId="18C4F90B" w:rsidR="00D71E5F" w:rsidRPr="00C5715E" w:rsidRDefault="00D71E5F" w:rsidP="00D71E5F">
      <w:pPr>
        <w:tabs>
          <w:tab w:val="left" w:pos="6540"/>
        </w:tabs>
        <w:spacing w:line="360" w:lineRule="auto"/>
        <w:rPr>
          <w:rFonts w:ascii="Arial" w:eastAsiaTheme="majorEastAsia" w:hAnsi="Arial" w:cs="Arial"/>
          <w:bCs/>
          <w:sz w:val="22"/>
          <w:lang w:val="en-US"/>
        </w:rPr>
      </w:pPr>
      <w:r w:rsidRPr="00D71E5F">
        <w:rPr>
          <w:rFonts w:ascii="Arial" w:eastAsiaTheme="majorEastAsia" w:hAnsi="Arial" w:cs="Arial"/>
          <w:bCs/>
          <w:sz w:val="22"/>
        </w:rPr>
        <w:t>Effective collaboration also supports better decision-making, as each professional brings different knowledge and expertise. For example, the speech and language therapist can provide insight into communication difficulties, while the district nurse monitors physical health. Sharing this information ensures that care plans remain appropriate and up to date.</w:t>
      </w:r>
    </w:p>
    <w:p w14:paraId="7BB6F33E" w14:textId="21F29FC2" w:rsidR="00D71E5F" w:rsidRPr="00C5715E" w:rsidRDefault="00D71E5F" w:rsidP="00D71E5F">
      <w:pPr>
        <w:tabs>
          <w:tab w:val="left" w:pos="6540"/>
        </w:tabs>
        <w:spacing w:line="360" w:lineRule="auto"/>
        <w:rPr>
          <w:rFonts w:ascii="Arial" w:eastAsiaTheme="majorEastAsia" w:hAnsi="Arial" w:cs="Arial"/>
          <w:bCs/>
          <w:sz w:val="22"/>
          <w:lang w:val="en-US"/>
        </w:rPr>
      </w:pPr>
      <w:r w:rsidRPr="00D71E5F">
        <w:rPr>
          <w:rFonts w:ascii="Arial" w:eastAsiaTheme="majorEastAsia" w:hAnsi="Arial" w:cs="Arial"/>
          <w:bCs/>
          <w:sz w:val="22"/>
        </w:rPr>
        <w:t xml:space="preserve">However, working across multiple agencies can present challenges. Differences in communication styles, unclear roles, or lack of information sharing can create barriers. The </w:t>
      </w:r>
      <w:r w:rsidRPr="00D71E5F">
        <w:rPr>
          <w:rFonts w:ascii="Arial" w:eastAsiaTheme="majorEastAsia" w:hAnsi="Arial" w:cs="Arial"/>
          <w:bCs/>
          <w:sz w:val="22"/>
        </w:rPr>
        <w:lastRenderedPageBreak/>
        <w:t>Care Quality Commission (CQC, 2023) notes that poor coordination between services can negatively affect the quality and safety of care. The missed domiciliary visit in this case may reflect such issues.</w:t>
      </w:r>
    </w:p>
    <w:p w14:paraId="440F89E2" w14:textId="73E7A57F" w:rsidR="00D71E5F" w:rsidRPr="00C5715E" w:rsidRDefault="00D71E5F" w:rsidP="00D71E5F">
      <w:pPr>
        <w:tabs>
          <w:tab w:val="left" w:pos="6540"/>
        </w:tabs>
        <w:spacing w:line="360" w:lineRule="auto"/>
        <w:rPr>
          <w:rFonts w:ascii="Arial" w:eastAsiaTheme="majorEastAsia" w:hAnsi="Arial" w:cs="Arial"/>
          <w:bCs/>
          <w:sz w:val="22"/>
          <w:lang w:val="en-US"/>
        </w:rPr>
      </w:pPr>
      <w:r w:rsidRPr="00D71E5F">
        <w:rPr>
          <w:rFonts w:ascii="Arial" w:eastAsiaTheme="majorEastAsia" w:hAnsi="Arial" w:cs="Arial"/>
          <w:bCs/>
          <w:sz w:val="22"/>
        </w:rPr>
        <w:t>Effective collaboration depends not only on communication between professionals, but also on clear systems of accountability and responsibility. Without this, there is a risk that important tasks may be assumed to be someone else’s responsibility.</w:t>
      </w:r>
    </w:p>
    <w:p w14:paraId="23298483" w14:textId="74D52B66" w:rsidR="00D71E5F" w:rsidRPr="00C5715E" w:rsidRDefault="00D71E5F" w:rsidP="00D71E5F">
      <w:pPr>
        <w:tabs>
          <w:tab w:val="left" w:pos="6540"/>
        </w:tabs>
        <w:spacing w:line="360" w:lineRule="auto"/>
        <w:rPr>
          <w:rFonts w:ascii="Arial" w:eastAsiaTheme="majorEastAsia" w:hAnsi="Arial" w:cs="Arial"/>
          <w:bCs/>
          <w:sz w:val="22"/>
          <w:lang w:val="en-US"/>
        </w:rPr>
      </w:pPr>
      <w:r w:rsidRPr="00D71E5F">
        <w:rPr>
          <w:rFonts w:ascii="Arial" w:eastAsiaTheme="majorEastAsia" w:hAnsi="Arial" w:cs="Arial"/>
          <w:bCs/>
          <w:sz w:val="22"/>
        </w:rPr>
        <w:t xml:space="preserve">To overcome these challenges, clear communication channels, shared care records, and defined roles are essential. </w:t>
      </w:r>
      <w:r w:rsidR="00C270C6" w:rsidRPr="00C270C6">
        <w:rPr>
          <w:rFonts w:ascii="Arial" w:eastAsiaTheme="majorEastAsia" w:hAnsi="Arial" w:cs="Arial"/>
          <w:bCs/>
          <w:sz w:val="22"/>
        </w:rPr>
        <w:t>To mitigate these risks, professionals should adopt standardised communication tools such as the SBAR (Situation, Background, Assessment, Recommendation) framework (NHS England, 2017).</w:t>
      </w:r>
      <w:r w:rsidR="00A50149" w:rsidRPr="00A50149">
        <w:rPr>
          <w:rFonts w:ascii="Arial" w:eastAsiaTheme="majorEastAsia" w:hAnsi="Arial" w:cs="Arial"/>
          <w:bCs/>
          <w:sz w:val="22"/>
          <w:lang w:val="en-US"/>
        </w:rPr>
        <w:t xml:space="preserve"> </w:t>
      </w:r>
      <w:r w:rsidR="0088592E" w:rsidRPr="0088592E">
        <w:rPr>
          <w:rFonts w:ascii="Arial" w:eastAsiaTheme="majorEastAsia" w:hAnsi="Arial" w:cs="Arial"/>
          <w:bCs/>
          <w:sz w:val="22"/>
        </w:rPr>
        <w:t>Implementing such strategies ensures that when the district nurse or speech therapist communicates with the GP, the information is concise and action-oriented, leaving no room for the assumptions that often lead to care gaps, as evidenced by the missed visit in this case.</w:t>
      </w:r>
    </w:p>
    <w:p w14:paraId="0ACD4E2A" w14:textId="77777777" w:rsidR="00D71E5F" w:rsidRPr="00A50149" w:rsidRDefault="00D71E5F" w:rsidP="00D71E5F">
      <w:pPr>
        <w:tabs>
          <w:tab w:val="left" w:pos="6540"/>
        </w:tabs>
        <w:spacing w:line="360" w:lineRule="auto"/>
        <w:rPr>
          <w:rFonts w:ascii="Arial" w:eastAsiaTheme="majorEastAsia" w:hAnsi="Arial" w:cs="Arial"/>
          <w:bCs/>
          <w:sz w:val="22"/>
          <w:lang w:val="ru-RU"/>
        </w:rPr>
      </w:pPr>
    </w:p>
    <w:p w14:paraId="035798CA" w14:textId="4E4D7B8C" w:rsidR="00D71E5F" w:rsidRPr="00C5715E" w:rsidRDefault="00D71E5F" w:rsidP="00D71E5F">
      <w:pPr>
        <w:tabs>
          <w:tab w:val="left" w:pos="6540"/>
        </w:tabs>
        <w:spacing w:line="360" w:lineRule="auto"/>
        <w:rPr>
          <w:rFonts w:ascii="Arial" w:eastAsiaTheme="majorEastAsia" w:hAnsi="Arial" w:cs="Arial"/>
          <w:b/>
          <w:sz w:val="22"/>
          <w:lang w:val="en-US"/>
        </w:rPr>
      </w:pPr>
      <w:r w:rsidRPr="00D71E5F">
        <w:rPr>
          <w:rFonts w:ascii="Arial" w:eastAsiaTheme="majorEastAsia" w:hAnsi="Arial" w:cs="Arial"/>
          <w:b/>
          <w:sz w:val="22"/>
        </w:rPr>
        <w:t>5. Conclusion</w:t>
      </w:r>
    </w:p>
    <w:p w14:paraId="7CDE559E" w14:textId="77777777" w:rsidR="00C5715E" w:rsidRPr="00C5715E" w:rsidRDefault="00C5715E" w:rsidP="00C5715E">
      <w:pPr>
        <w:tabs>
          <w:tab w:val="left" w:pos="6540"/>
        </w:tabs>
        <w:spacing w:line="360" w:lineRule="auto"/>
        <w:rPr>
          <w:rFonts w:ascii="Arial" w:eastAsiaTheme="majorEastAsia" w:hAnsi="Arial" w:cs="Arial"/>
          <w:bCs/>
          <w:sz w:val="22"/>
          <w:lang w:val="ru-UA"/>
        </w:rPr>
      </w:pPr>
      <w:r w:rsidRPr="00C5715E">
        <w:rPr>
          <w:rFonts w:ascii="Arial" w:eastAsiaTheme="majorEastAsia" w:hAnsi="Arial" w:cs="Arial"/>
          <w:bCs/>
          <w:sz w:val="22"/>
          <w:lang w:val="ru-UA"/>
        </w:rPr>
        <w:t>In summary, this report has demonstrated that providing safe and person-centred care for patients like Mr Ahmed depends on the seamless integration of communication, administration, and collaborative practice. It is evident that adapting communication methods to meet a service user's specific linguistic and health needs is not merely a recommendation, but a fundamental necessity. By ensuring that Mr Ahmed remains an active participant in his own care, professionals can bridge the gap created by his recent stroke and language barriers, fostering a more inclusive and effective recovery process.</w:t>
      </w:r>
    </w:p>
    <w:p w14:paraId="78877845" w14:textId="77777777" w:rsidR="00C5715E" w:rsidRPr="00C5715E" w:rsidRDefault="00C5715E" w:rsidP="00C5715E">
      <w:pPr>
        <w:tabs>
          <w:tab w:val="left" w:pos="6540"/>
        </w:tabs>
        <w:spacing w:line="360" w:lineRule="auto"/>
        <w:rPr>
          <w:rFonts w:ascii="Arial" w:eastAsiaTheme="majorEastAsia" w:hAnsi="Arial" w:cs="Arial"/>
          <w:bCs/>
          <w:sz w:val="22"/>
          <w:lang w:val="ru-UA"/>
        </w:rPr>
      </w:pPr>
      <w:r w:rsidRPr="00C5715E">
        <w:rPr>
          <w:rFonts w:ascii="Arial" w:eastAsiaTheme="majorEastAsia" w:hAnsi="Arial" w:cs="Arial"/>
          <w:bCs/>
          <w:sz w:val="22"/>
          <w:lang w:val="ru-UA"/>
        </w:rPr>
        <w:t>Furthermore, robust administrative skills and precise record-keeping serve as the backbone of patient safety and continuity. The failures identified in this case, specifically the missed domiciliary visit, underscore how quickly gaps in care can emerge when documentation is neglected. Adhering to professional standards, such as those set by the NMC and data protection laws, is critical to reducing risks and ensuring that every professional involved in a multi-agency team has access to the most current and accurate information.</w:t>
      </w:r>
    </w:p>
    <w:p w14:paraId="001DE23C" w14:textId="42D32D8B" w:rsidR="00C5715E" w:rsidRPr="00C5715E" w:rsidRDefault="00C5715E" w:rsidP="00C5715E">
      <w:pPr>
        <w:tabs>
          <w:tab w:val="left" w:pos="6540"/>
        </w:tabs>
        <w:spacing w:line="360" w:lineRule="auto"/>
        <w:rPr>
          <w:rFonts w:ascii="Arial" w:eastAsiaTheme="majorEastAsia" w:hAnsi="Arial" w:cs="Arial"/>
          <w:bCs/>
          <w:sz w:val="22"/>
          <w:lang w:val="ru-UA"/>
        </w:rPr>
      </w:pPr>
      <w:r w:rsidRPr="00C5715E">
        <w:rPr>
          <w:rFonts w:ascii="Arial" w:eastAsiaTheme="majorEastAsia" w:hAnsi="Arial" w:cs="Arial"/>
          <w:bCs/>
          <w:sz w:val="22"/>
          <w:lang w:val="ru-UA"/>
        </w:rPr>
        <w:t xml:space="preserve">Ultimately, while collaborative working allows for a more holistic approach to care, this case highlights that policies and digital systems are only effective if they are applied consistently in daily practice. Success in complex cases relies on clear accountability and open channels of communication between different healthcare agencies. As shown throughout this assignment, these three areas </w:t>
      </w:r>
      <w:r>
        <w:rPr>
          <w:rFonts w:ascii="Arial" w:eastAsiaTheme="majorEastAsia" w:hAnsi="Arial" w:cs="Arial"/>
          <w:bCs/>
          <w:sz w:val="22"/>
          <w:lang w:val="ru-UA"/>
        </w:rPr>
        <w:t>-</w:t>
      </w:r>
      <w:r w:rsidRPr="00C5715E">
        <w:rPr>
          <w:rFonts w:ascii="Arial" w:eastAsiaTheme="majorEastAsia" w:hAnsi="Arial" w:cs="Arial"/>
          <w:bCs/>
          <w:sz w:val="22"/>
          <w:lang w:val="ru-UA"/>
        </w:rPr>
        <w:t xml:space="preserve"> communication, administration, and teamwork </w:t>
      </w:r>
      <w:r>
        <w:rPr>
          <w:rFonts w:ascii="Arial" w:eastAsiaTheme="majorEastAsia" w:hAnsi="Arial" w:cs="Arial"/>
          <w:bCs/>
          <w:sz w:val="22"/>
          <w:lang w:val="ru-UA"/>
        </w:rPr>
        <w:t>-</w:t>
      </w:r>
      <w:r w:rsidRPr="00C5715E">
        <w:rPr>
          <w:rFonts w:ascii="Arial" w:eastAsiaTheme="majorEastAsia" w:hAnsi="Arial" w:cs="Arial"/>
          <w:bCs/>
          <w:sz w:val="22"/>
          <w:lang w:val="ru-UA"/>
        </w:rPr>
        <w:t xml:space="preserve"> are deeply </w:t>
      </w:r>
      <w:r w:rsidRPr="00C5715E">
        <w:rPr>
          <w:rFonts w:ascii="Arial" w:eastAsiaTheme="majorEastAsia" w:hAnsi="Arial" w:cs="Arial"/>
          <w:bCs/>
          <w:sz w:val="22"/>
          <w:lang w:val="ru-UA"/>
        </w:rPr>
        <w:lastRenderedPageBreak/>
        <w:t>interconnected, and their combined effectiveness is what determines the final quality and safety of care delivered to the patient.</w:t>
      </w:r>
    </w:p>
    <w:p w14:paraId="157CD252" w14:textId="3489D617" w:rsidR="00C5715E" w:rsidRPr="00C5715E" w:rsidRDefault="00C5715E" w:rsidP="00C5715E">
      <w:pPr>
        <w:tabs>
          <w:tab w:val="left" w:pos="6540"/>
        </w:tabs>
        <w:spacing w:line="360" w:lineRule="auto"/>
        <w:rPr>
          <w:rFonts w:ascii="Arial" w:eastAsiaTheme="majorEastAsia" w:hAnsi="Arial" w:cs="Arial"/>
          <w:bCs/>
          <w:sz w:val="22"/>
          <w:lang w:val="ru-UA"/>
        </w:rPr>
      </w:pPr>
    </w:p>
    <w:p w14:paraId="4F65FCDE" w14:textId="77777777" w:rsidR="003E6AEF" w:rsidRPr="00D71E5F" w:rsidRDefault="003E6AEF" w:rsidP="00D71E5F">
      <w:pPr>
        <w:tabs>
          <w:tab w:val="left" w:pos="6540"/>
        </w:tabs>
        <w:spacing w:line="360" w:lineRule="auto"/>
        <w:rPr>
          <w:rFonts w:ascii="Arial" w:hAnsi="Arial" w:cs="Arial"/>
          <w:bCs/>
          <w:sz w:val="22"/>
          <w:lang w:val="ru-UA"/>
        </w:rPr>
      </w:pPr>
    </w:p>
    <w:p w14:paraId="7AFA3D7E" w14:textId="77777777" w:rsidR="003E6AEF" w:rsidRDefault="003E6AEF" w:rsidP="00D369A3">
      <w:pPr>
        <w:tabs>
          <w:tab w:val="left" w:pos="6540"/>
        </w:tabs>
        <w:spacing w:line="360" w:lineRule="auto"/>
        <w:rPr>
          <w:rFonts w:asciiTheme="minorBidi" w:hAnsiTheme="minorBidi"/>
          <w:b/>
          <w:bCs/>
          <w:sz w:val="22"/>
          <w:lang w:val="ru-UA"/>
        </w:rPr>
      </w:pPr>
    </w:p>
    <w:p w14:paraId="7E1DD3B0" w14:textId="77777777" w:rsidR="003E6AEF" w:rsidRDefault="003E6AEF" w:rsidP="00D369A3">
      <w:pPr>
        <w:tabs>
          <w:tab w:val="left" w:pos="6540"/>
        </w:tabs>
        <w:spacing w:line="360" w:lineRule="auto"/>
        <w:rPr>
          <w:rFonts w:asciiTheme="minorBidi" w:hAnsiTheme="minorBidi"/>
          <w:b/>
          <w:bCs/>
          <w:sz w:val="22"/>
          <w:lang w:val="ru-UA"/>
        </w:rPr>
      </w:pPr>
    </w:p>
    <w:p w14:paraId="49BA6BD7" w14:textId="77777777" w:rsidR="003E6AEF" w:rsidRDefault="003E6AEF" w:rsidP="00D369A3">
      <w:pPr>
        <w:tabs>
          <w:tab w:val="left" w:pos="6540"/>
        </w:tabs>
        <w:spacing w:line="360" w:lineRule="auto"/>
        <w:rPr>
          <w:rFonts w:asciiTheme="minorBidi" w:hAnsiTheme="minorBidi"/>
          <w:b/>
          <w:bCs/>
          <w:sz w:val="22"/>
          <w:lang w:val="ru-UA"/>
        </w:rPr>
      </w:pPr>
    </w:p>
    <w:p w14:paraId="03EC2BAB" w14:textId="77777777" w:rsidR="003E6AEF" w:rsidRDefault="003E6AEF" w:rsidP="00D369A3">
      <w:pPr>
        <w:tabs>
          <w:tab w:val="left" w:pos="6540"/>
        </w:tabs>
        <w:spacing w:line="360" w:lineRule="auto"/>
        <w:rPr>
          <w:rFonts w:asciiTheme="minorBidi" w:hAnsiTheme="minorBidi"/>
          <w:b/>
          <w:bCs/>
          <w:sz w:val="22"/>
          <w:lang w:val="ru-UA"/>
        </w:rPr>
      </w:pPr>
    </w:p>
    <w:p w14:paraId="2DC546CC" w14:textId="77777777" w:rsidR="003E6AEF" w:rsidRDefault="003E6AEF" w:rsidP="00D369A3">
      <w:pPr>
        <w:tabs>
          <w:tab w:val="left" w:pos="6540"/>
        </w:tabs>
        <w:spacing w:line="360" w:lineRule="auto"/>
        <w:rPr>
          <w:rFonts w:asciiTheme="minorBidi" w:hAnsiTheme="minorBidi"/>
          <w:b/>
          <w:bCs/>
          <w:sz w:val="22"/>
          <w:lang w:val="ru-UA"/>
        </w:rPr>
      </w:pPr>
    </w:p>
    <w:p w14:paraId="3A1D7471" w14:textId="77777777" w:rsidR="003E6AEF" w:rsidRDefault="003E6AEF" w:rsidP="00D369A3">
      <w:pPr>
        <w:tabs>
          <w:tab w:val="left" w:pos="6540"/>
        </w:tabs>
        <w:spacing w:line="360" w:lineRule="auto"/>
        <w:rPr>
          <w:rFonts w:asciiTheme="minorBidi" w:hAnsiTheme="minorBidi"/>
          <w:b/>
          <w:bCs/>
          <w:sz w:val="22"/>
          <w:lang w:val="ru-UA"/>
        </w:rPr>
      </w:pPr>
    </w:p>
    <w:p w14:paraId="4BD0DFDF" w14:textId="77777777" w:rsidR="003E6AEF" w:rsidRDefault="003E6AEF" w:rsidP="00D369A3">
      <w:pPr>
        <w:tabs>
          <w:tab w:val="left" w:pos="6540"/>
        </w:tabs>
        <w:spacing w:line="360" w:lineRule="auto"/>
        <w:rPr>
          <w:rFonts w:asciiTheme="minorBidi" w:hAnsiTheme="minorBidi"/>
          <w:b/>
          <w:bCs/>
          <w:sz w:val="22"/>
          <w:lang w:val="ru-UA"/>
        </w:rPr>
      </w:pPr>
    </w:p>
    <w:p w14:paraId="73848B7A" w14:textId="77777777" w:rsidR="00D71E5F" w:rsidRDefault="00D71E5F" w:rsidP="00D369A3">
      <w:pPr>
        <w:tabs>
          <w:tab w:val="left" w:pos="6540"/>
        </w:tabs>
        <w:spacing w:line="360" w:lineRule="auto"/>
        <w:rPr>
          <w:rFonts w:asciiTheme="minorBidi" w:hAnsiTheme="minorBidi"/>
          <w:b/>
          <w:bCs/>
          <w:sz w:val="22"/>
          <w:lang w:val="ru-UA"/>
        </w:rPr>
      </w:pPr>
    </w:p>
    <w:p w14:paraId="7DC3B572" w14:textId="77777777" w:rsidR="003E6AEF" w:rsidRDefault="003E6AEF" w:rsidP="00D369A3">
      <w:pPr>
        <w:tabs>
          <w:tab w:val="left" w:pos="6540"/>
        </w:tabs>
        <w:spacing w:line="360" w:lineRule="auto"/>
        <w:rPr>
          <w:rFonts w:asciiTheme="minorBidi" w:hAnsiTheme="minorBidi"/>
          <w:b/>
          <w:bCs/>
          <w:sz w:val="22"/>
          <w:lang w:val="ru-UA"/>
        </w:rPr>
      </w:pPr>
    </w:p>
    <w:p w14:paraId="526404B4" w14:textId="77777777" w:rsidR="00C270C6" w:rsidRDefault="00C270C6" w:rsidP="00D369A3">
      <w:pPr>
        <w:tabs>
          <w:tab w:val="left" w:pos="6540"/>
        </w:tabs>
        <w:spacing w:line="360" w:lineRule="auto"/>
        <w:rPr>
          <w:rFonts w:asciiTheme="minorBidi" w:hAnsiTheme="minorBidi"/>
          <w:b/>
          <w:bCs/>
          <w:sz w:val="22"/>
          <w:lang w:val="ru-UA"/>
        </w:rPr>
      </w:pPr>
    </w:p>
    <w:p w14:paraId="67FDF5B6" w14:textId="77777777" w:rsidR="00C270C6" w:rsidRDefault="00C270C6" w:rsidP="00D369A3">
      <w:pPr>
        <w:tabs>
          <w:tab w:val="left" w:pos="6540"/>
        </w:tabs>
        <w:spacing w:line="360" w:lineRule="auto"/>
        <w:rPr>
          <w:rFonts w:asciiTheme="minorBidi" w:hAnsiTheme="minorBidi"/>
          <w:b/>
          <w:bCs/>
          <w:sz w:val="22"/>
          <w:lang w:val="ru-UA"/>
        </w:rPr>
      </w:pPr>
    </w:p>
    <w:p w14:paraId="60EC5767" w14:textId="77777777" w:rsidR="00C270C6" w:rsidRDefault="00C270C6" w:rsidP="00D369A3">
      <w:pPr>
        <w:tabs>
          <w:tab w:val="left" w:pos="6540"/>
        </w:tabs>
        <w:spacing w:line="360" w:lineRule="auto"/>
        <w:rPr>
          <w:rFonts w:asciiTheme="minorBidi" w:hAnsiTheme="minorBidi"/>
          <w:b/>
          <w:bCs/>
          <w:sz w:val="22"/>
          <w:lang w:val="ru-UA"/>
        </w:rPr>
      </w:pPr>
    </w:p>
    <w:p w14:paraId="2657A5A4" w14:textId="77777777" w:rsidR="00C270C6" w:rsidRDefault="00C270C6" w:rsidP="00D369A3">
      <w:pPr>
        <w:tabs>
          <w:tab w:val="left" w:pos="6540"/>
        </w:tabs>
        <w:spacing w:line="360" w:lineRule="auto"/>
        <w:rPr>
          <w:rFonts w:asciiTheme="minorBidi" w:hAnsiTheme="minorBidi"/>
          <w:b/>
          <w:bCs/>
          <w:sz w:val="22"/>
          <w:lang w:val="ru-UA"/>
        </w:rPr>
      </w:pPr>
    </w:p>
    <w:p w14:paraId="6E8DF72C" w14:textId="77777777" w:rsidR="00C270C6" w:rsidRDefault="00C270C6" w:rsidP="00D369A3">
      <w:pPr>
        <w:tabs>
          <w:tab w:val="left" w:pos="6540"/>
        </w:tabs>
        <w:spacing w:line="360" w:lineRule="auto"/>
        <w:rPr>
          <w:rFonts w:asciiTheme="minorBidi" w:hAnsiTheme="minorBidi"/>
          <w:b/>
          <w:bCs/>
          <w:sz w:val="22"/>
          <w:lang w:val="ru-UA"/>
        </w:rPr>
      </w:pPr>
    </w:p>
    <w:p w14:paraId="0B90FFC1" w14:textId="77777777" w:rsidR="00A50149" w:rsidRDefault="00A50149" w:rsidP="00D369A3">
      <w:pPr>
        <w:tabs>
          <w:tab w:val="left" w:pos="6540"/>
        </w:tabs>
        <w:spacing w:line="360" w:lineRule="auto"/>
        <w:rPr>
          <w:rFonts w:asciiTheme="minorBidi" w:hAnsiTheme="minorBidi"/>
          <w:b/>
          <w:bCs/>
          <w:sz w:val="22"/>
          <w:lang w:val="ru-UA"/>
        </w:rPr>
      </w:pPr>
    </w:p>
    <w:p w14:paraId="0B0B4B99" w14:textId="77777777" w:rsidR="00A50149" w:rsidRDefault="00A50149" w:rsidP="00D369A3">
      <w:pPr>
        <w:tabs>
          <w:tab w:val="left" w:pos="6540"/>
        </w:tabs>
        <w:spacing w:line="360" w:lineRule="auto"/>
        <w:rPr>
          <w:rFonts w:asciiTheme="minorBidi" w:hAnsiTheme="minorBidi"/>
          <w:b/>
          <w:bCs/>
          <w:sz w:val="22"/>
          <w:lang w:val="ru-UA"/>
        </w:rPr>
      </w:pPr>
    </w:p>
    <w:p w14:paraId="3AE6914F" w14:textId="77777777" w:rsidR="00A50149" w:rsidRDefault="00A50149" w:rsidP="00D369A3">
      <w:pPr>
        <w:tabs>
          <w:tab w:val="left" w:pos="6540"/>
        </w:tabs>
        <w:spacing w:line="360" w:lineRule="auto"/>
        <w:rPr>
          <w:rFonts w:asciiTheme="minorBidi" w:hAnsiTheme="minorBidi"/>
          <w:b/>
          <w:bCs/>
          <w:sz w:val="22"/>
          <w:lang w:val="ru-UA"/>
        </w:rPr>
      </w:pPr>
    </w:p>
    <w:p w14:paraId="41CA65C6" w14:textId="77777777" w:rsidR="00A50149" w:rsidRDefault="00A50149" w:rsidP="00D369A3">
      <w:pPr>
        <w:tabs>
          <w:tab w:val="left" w:pos="6540"/>
        </w:tabs>
        <w:spacing w:line="360" w:lineRule="auto"/>
        <w:rPr>
          <w:rFonts w:asciiTheme="minorBidi" w:hAnsiTheme="minorBidi"/>
          <w:b/>
          <w:bCs/>
          <w:sz w:val="22"/>
          <w:lang w:val="ru-UA"/>
        </w:rPr>
      </w:pPr>
    </w:p>
    <w:p w14:paraId="391FB1E0" w14:textId="77777777" w:rsidR="00A50149" w:rsidRDefault="00A50149" w:rsidP="00D369A3">
      <w:pPr>
        <w:tabs>
          <w:tab w:val="left" w:pos="6540"/>
        </w:tabs>
        <w:spacing w:line="360" w:lineRule="auto"/>
        <w:rPr>
          <w:rFonts w:asciiTheme="minorBidi" w:hAnsiTheme="minorBidi"/>
          <w:b/>
          <w:bCs/>
          <w:sz w:val="22"/>
          <w:lang w:val="ru-UA"/>
        </w:rPr>
      </w:pPr>
    </w:p>
    <w:p w14:paraId="2E825AB9" w14:textId="77777777" w:rsidR="00A50149" w:rsidRDefault="00A50149" w:rsidP="00D369A3">
      <w:pPr>
        <w:tabs>
          <w:tab w:val="left" w:pos="6540"/>
        </w:tabs>
        <w:spacing w:line="360" w:lineRule="auto"/>
        <w:rPr>
          <w:rFonts w:asciiTheme="minorBidi" w:hAnsiTheme="minorBidi"/>
          <w:b/>
          <w:bCs/>
          <w:sz w:val="22"/>
          <w:lang w:val="ru-UA"/>
        </w:rPr>
      </w:pPr>
    </w:p>
    <w:p w14:paraId="611320F3" w14:textId="77777777" w:rsidR="00A50149" w:rsidRDefault="00A50149" w:rsidP="00D369A3">
      <w:pPr>
        <w:tabs>
          <w:tab w:val="left" w:pos="6540"/>
        </w:tabs>
        <w:spacing w:line="360" w:lineRule="auto"/>
        <w:rPr>
          <w:rFonts w:asciiTheme="minorBidi" w:hAnsiTheme="minorBidi"/>
          <w:b/>
          <w:bCs/>
          <w:sz w:val="22"/>
          <w:lang w:val="ru-UA"/>
        </w:rPr>
      </w:pPr>
    </w:p>
    <w:p w14:paraId="054E0692" w14:textId="77777777" w:rsidR="00A50149" w:rsidRDefault="00A50149" w:rsidP="00D369A3">
      <w:pPr>
        <w:tabs>
          <w:tab w:val="left" w:pos="6540"/>
        </w:tabs>
        <w:spacing w:line="360" w:lineRule="auto"/>
        <w:rPr>
          <w:rFonts w:asciiTheme="minorBidi" w:hAnsiTheme="minorBidi"/>
          <w:b/>
          <w:bCs/>
          <w:sz w:val="22"/>
          <w:lang w:val="ru-UA"/>
        </w:rPr>
      </w:pPr>
    </w:p>
    <w:p w14:paraId="478D3592" w14:textId="35E3F580" w:rsidR="00D369A3" w:rsidRPr="00D369A3" w:rsidRDefault="00D369A3" w:rsidP="00D369A3">
      <w:pPr>
        <w:tabs>
          <w:tab w:val="left" w:pos="6540"/>
        </w:tabs>
        <w:spacing w:line="360" w:lineRule="auto"/>
        <w:rPr>
          <w:rFonts w:asciiTheme="minorBidi" w:hAnsiTheme="minorBidi"/>
          <w:b/>
          <w:bCs/>
          <w:sz w:val="22"/>
          <w:lang w:val="ru-UA"/>
        </w:rPr>
      </w:pPr>
      <w:r w:rsidRPr="00D369A3">
        <w:rPr>
          <w:rFonts w:asciiTheme="minorBidi" w:hAnsiTheme="minorBidi"/>
          <w:b/>
          <w:bCs/>
          <w:sz w:val="22"/>
          <w:lang w:val="ru-UA"/>
        </w:rPr>
        <w:lastRenderedPageBreak/>
        <w:t xml:space="preserve">References </w:t>
      </w:r>
    </w:p>
    <w:p w14:paraId="7755FFD2" w14:textId="77777777" w:rsidR="002F2B5E" w:rsidRPr="002F2B5E" w:rsidRDefault="002F2B5E" w:rsidP="002F2B5E">
      <w:pPr>
        <w:tabs>
          <w:tab w:val="left" w:pos="6540"/>
        </w:tabs>
        <w:spacing w:line="360" w:lineRule="auto"/>
        <w:rPr>
          <w:rFonts w:asciiTheme="minorBidi" w:hAnsiTheme="minorBidi"/>
          <w:sz w:val="22"/>
          <w:lang w:val="ru-UA"/>
        </w:rPr>
      </w:pPr>
      <w:r w:rsidRPr="002F2B5E">
        <w:rPr>
          <w:rFonts w:asciiTheme="minorBidi" w:hAnsiTheme="minorBidi"/>
          <w:sz w:val="22"/>
          <w:lang w:val="ru-UA"/>
        </w:rPr>
        <w:t xml:space="preserve">Care Quality Commission (2024) </w:t>
      </w:r>
      <w:r w:rsidRPr="002F2B5E">
        <w:rPr>
          <w:rFonts w:asciiTheme="minorBidi" w:hAnsiTheme="minorBidi"/>
          <w:i/>
          <w:iCs/>
          <w:sz w:val="22"/>
          <w:lang w:val="ru-UA"/>
        </w:rPr>
        <w:t>Assessing quality and performance</w:t>
      </w:r>
      <w:r w:rsidRPr="002F2B5E">
        <w:rPr>
          <w:rFonts w:asciiTheme="minorBidi" w:hAnsiTheme="minorBidi"/>
          <w:sz w:val="22"/>
          <w:lang w:val="ru-UA"/>
        </w:rPr>
        <w:t xml:space="preserve">. Available at: </w:t>
      </w:r>
      <w:hyperlink r:id="rId8" w:tgtFrame="_new" w:history="1">
        <w:r w:rsidRPr="002F2B5E">
          <w:rPr>
            <w:rStyle w:val="Hyperlink"/>
            <w:rFonts w:asciiTheme="minorBidi" w:hAnsiTheme="minorBidi"/>
            <w:sz w:val="22"/>
            <w:lang w:val="ru-UA"/>
          </w:rPr>
          <w:t>https://www.cqc.org.uk/guidance-regulation/providers/assessment/assessing-quality-and-performance</w:t>
        </w:r>
      </w:hyperlink>
      <w:r w:rsidRPr="002F2B5E">
        <w:rPr>
          <w:rFonts w:asciiTheme="minorBidi" w:hAnsiTheme="minorBidi"/>
          <w:sz w:val="22"/>
          <w:lang w:val="ru-UA"/>
        </w:rPr>
        <w:t xml:space="preserve"> (Accessed: 8 April 2026).</w:t>
      </w:r>
    </w:p>
    <w:p w14:paraId="3944084F" w14:textId="77777777" w:rsidR="002F2B5E" w:rsidRDefault="002F2B5E" w:rsidP="002F2B5E">
      <w:pPr>
        <w:tabs>
          <w:tab w:val="left" w:pos="6540"/>
        </w:tabs>
        <w:spacing w:line="360" w:lineRule="auto"/>
        <w:rPr>
          <w:rFonts w:asciiTheme="minorBidi" w:hAnsiTheme="minorBidi"/>
          <w:sz w:val="22"/>
          <w:lang w:val="ru-UA"/>
        </w:rPr>
      </w:pPr>
      <w:r w:rsidRPr="002F2B5E">
        <w:rPr>
          <w:rFonts w:asciiTheme="minorBidi" w:hAnsiTheme="minorBidi"/>
          <w:sz w:val="22"/>
          <w:lang w:val="ru-UA"/>
        </w:rPr>
        <w:t xml:space="preserve">Equality Act 2010. </w:t>
      </w:r>
      <w:r w:rsidRPr="002F2B5E">
        <w:rPr>
          <w:rFonts w:asciiTheme="minorBidi" w:hAnsiTheme="minorBidi"/>
          <w:i/>
          <w:iCs/>
          <w:sz w:val="22"/>
          <w:lang w:val="ru-UA"/>
        </w:rPr>
        <w:t>Available at</w:t>
      </w:r>
      <w:r w:rsidRPr="002F2B5E">
        <w:rPr>
          <w:rFonts w:asciiTheme="minorBidi" w:hAnsiTheme="minorBidi"/>
          <w:sz w:val="22"/>
          <w:lang w:val="ru-UA"/>
        </w:rPr>
        <w:t xml:space="preserve">: </w:t>
      </w:r>
      <w:hyperlink r:id="rId9" w:tgtFrame="_new" w:history="1">
        <w:r w:rsidRPr="002F2B5E">
          <w:rPr>
            <w:rStyle w:val="Hyperlink"/>
            <w:rFonts w:asciiTheme="minorBidi" w:hAnsiTheme="minorBidi"/>
            <w:sz w:val="22"/>
            <w:lang w:val="ru-UA"/>
          </w:rPr>
          <w:t>https://www.legislation.gov.uk/ukpga/2010/15/contents</w:t>
        </w:r>
      </w:hyperlink>
      <w:r w:rsidRPr="002F2B5E">
        <w:rPr>
          <w:rFonts w:asciiTheme="minorBidi" w:hAnsiTheme="minorBidi"/>
          <w:sz w:val="22"/>
          <w:lang w:val="ru-UA"/>
        </w:rPr>
        <w:t xml:space="preserve"> (Accessed: 8 April 2026).</w:t>
      </w:r>
    </w:p>
    <w:p w14:paraId="10EA759A" w14:textId="6A2598FE" w:rsidR="00C270C6" w:rsidRPr="002F2B5E" w:rsidRDefault="00C270C6" w:rsidP="002F2B5E">
      <w:pPr>
        <w:tabs>
          <w:tab w:val="left" w:pos="6540"/>
        </w:tabs>
        <w:spacing w:line="360" w:lineRule="auto"/>
        <w:rPr>
          <w:rFonts w:asciiTheme="minorBidi" w:hAnsiTheme="minorBidi"/>
          <w:sz w:val="22"/>
          <w:lang w:val="ru-UA"/>
        </w:rPr>
      </w:pPr>
      <w:r w:rsidRPr="00C270C6">
        <w:rPr>
          <w:rFonts w:asciiTheme="minorBidi" w:hAnsiTheme="minorBidi"/>
          <w:sz w:val="22"/>
        </w:rPr>
        <w:t xml:space="preserve">Data Protection Act 2018. Available at: </w:t>
      </w:r>
      <w:hyperlink r:id="rId10" w:tgtFrame="_new" w:history="1">
        <w:r w:rsidRPr="00C270C6">
          <w:rPr>
            <w:rStyle w:val="Hyperlink"/>
            <w:rFonts w:asciiTheme="minorBidi" w:hAnsiTheme="minorBidi"/>
            <w:sz w:val="22"/>
          </w:rPr>
          <w:t>https://www.legislation.gov.uk/ukpga/2018/12/contents</w:t>
        </w:r>
      </w:hyperlink>
      <w:r w:rsidRPr="00C270C6">
        <w:rPr>
          <w:rFonts w:asciiTheme="minorBidi" w:hAnsiTheme="minorBidi"/>
          <w:sz w:val="22"/>
        </w:rPr>
        <w:t xml:space="preserve"> (Accessed: 8 April 2026).</w:t>
      </w:r>
    </w:p>
    <w:p w14:paraId="01FFA3A2" w14:textId="77777777" w:rsidR="002F2B5E" w:rsidRPr="002F2B5E" w:rsidRDefault="002F2B5E" w:rsidP="002F2B5E">
      <w:pPr>
        <w:tabs>
          <w:tab w:val="left" w:pos="6540"/>
        </w:tabs>
        <w:spacing w:line="360" w:lineRule="auto"/>
        <w:rPr>
          <w:rFonts w:asciiTheme="minorBidi" w:hAnsiTheme="minorBidi"/>
          <w:sz w:val="22"/>
          <w:lang w:val="ru-UA"/>
        </w:rPr>
      </w:pPr>
      <w:r w:rsidRPr="002F2B5E">
        <w:rPr>
          <w:rFonts w:asciiTheme="minorBidi" w:hAnsiTheme="minorBidi"/>
          <w:sz w:val="22"/>
          <w:lang w:val="ru-UA"/>
        </w:rPr>
        <w:t xml:space="preserve">Hilari, K., Needle, J.J. and Harrison, K.L. (2012) ‘What are the important factors in health-related quality of life for people with aphasia? A systematic review’, </w:t>
      </w:r>
      <w:r w:rsidRPr="002F2B5E">
        <w:rPr>
          <w:rFonts w:asciiTheme="minorBidi" w:hAnsiTheme="minorBidi"/>
          <w:i/>
          <w:iCs/>
          <w:sz w:val="22"/>
          <w:lang w:val="ru-UA"/>
        </w:rPr>
        <w:t>Archives of Physical Medicine and Rehabilitation</w:t>
      </w:r>
      <w:r w:rsidRPr="002F2B5E">
        <w:rPr>
          <w:rFonts w:asciiTheme="minorBidi" w:hAnsiTheme="minorBidi"/>
          <w:sz w:val="22"/>
          <w:lang w:val="ru-UA"/>
        </w:rPr>
        <w:t xml:space="preserve">, 93(1 Suppl), pp. S86–S95. Available at: </w:t>
      </w:r>
      <w:hyperlink r:id="rId11" w:tgtFrame="_new" w:history="1">
        <w:r w:rsidRPr="002F2B5E">
          <w:rPr>
            <w:rStyle w:val="Hyperlink"/>
            <w:rFonts w:asciiTheme="minorBidi" w:hAnsiTheme="minorBidi"/>
            <w:sz w:val="22"/>
            <w:lang w:val="ru-UA"/>
          </w:rPr>
          <w:t>https://doi.org/10.1016/j.apmr.2011.05.028</w:t>
        </w:r>
      </w:hyperlink>
    </w:p>
    <w:p w14:paraId="473524AA" w14:textId="77777777" w:rsidR="002F2B5E" w:rsidRPr="002F2B5E" w:rsidRDefault="002F2B5E" w:rsidP="002F2B5E">
      <w:pPr>
        <w:tabs>
          <w:tab w:val="left" w:pos="6540"/>
        </w:tabs>
        <w:spacing w:line="360" w:lineRule="auto"/>
        <w:rPr>
          <w:rFonts w:asciiTheme="minorBidi" w:hAnsiTheme="minorBidi"/>
          <w:sz w:val="22"/>
          <w:lang w:val="ru-UA"/>
        </w:rPr>
      </w:pPr>
      <w:r w:rsidRPr="002F2B5E">
        <w:rPr>
          <w:rFonts w:asciiTheme="minorBidi" w:hAnsiTheme="minorBidi"/>
          <w:sz w:val="22"/>
          <w:lang w:val="ru-UA"/>
        </w:rPr>
        <w:t xml:space="preserve">Information Commissioner’s Office (2023) </w:t>
      </w:r>
      <w:r w:rsidRPr="002F2B5E">
        <w:rPr>
          <w:rFonts w:asciiTheme="minorBidi" w:hAnsiTheme="minorBidi"/>
          <w:i/>
          <w:iCs/>
          <w:sz w:val="22"/>
          <w:lang w:val="ru-UA"/>
        </w:rPr>
        <w:t>Guide to data protection</w:t>
      </w:r>
      <w:r w:rsidRPr="002F2B5E">
        <w:rPr>
          <w:rFonts w:asciiTheme="minorBidi" w:hAnsiTheme="minorBidi"/>
          <w:sz w:val="22"/>
          <w:lang w:val="ru-UA"/>
        </w:rPr>
        <w:t xml:space="preserve">. Available at: </w:t>
      </w:r>
      <w:hyperlink r:id="rId12" w:tgtFrame="_new" w:history="1">
        <w:r w:rsidRPr="002F2B5E">
          <w:rPr>
            <w:rStyle w:val="Hyperlink"/>
            <w:rFonts w:asciiTheme="minorBidi" w:hAnsiTheme="minorBidi"/>
            <w:sz w:val="22"/>
            <w:lang w:val="ru-UA"/>
          </w:rPr>
          <w:t>https://ico.org.uk/for-organisations/uk-gdpr-guidance-and-resources/data-protection-principles/a-guide-to-the-data-protection-principles/</w:t>
        </w:r>
      </w:hyperlink>
      <w:r w:rsidRPr="002F2B5E">
        <w:rPr>
          <w:rFonts w:asciiTheme="minorBidi" w:hAnsiTheme="minorBidi"/>
          <w:sz w:val="22"/>
          <w:lang w:val="ru-UA"/>
        </w:rPr>
        <w:t xml:space="preserve"> (Accessed: 8 April 2026).</w:t>
      </w:r>
    </w:p>
    <w:p w14:paraId="5CCC6B0B" w14:textId="77777777" w:rsidR="002F2B5E" w:rsidRPr="002F2B5E" w:rsidRDefault="002F2B5E" w:rsidP="002F2B5E">
      <w:pPr>
        <w:tabs>
          <w:tab w:val="left" w:pos="6540"/>
        </w:tabs>
        <w:spacing w:line="360" w:lineRule="auto"/>
        <w:rPr>
          <w:rFonts w:asciiTheme="minorBidi" w:hAnsiTheme="minorBidi"/>
          <w:sz w:val="22"/>
          <w:lang w:val="ru-UA"/>
        </w:rPr>
      </w:pPr>
      <w:r w:rsidRPr="002F2B5E">
        <w:rPr>
          <w:rFonts w:asciiTheme="minorBidi" w:hAnsiTheme="minorBidi"/>
          <w:sz w:val="22"/>
          <w:lang w:val="ru-UA"/>
        </w:rPr>
        <w:t xml:space="preserve">NHS England (2017) </w:t>
      </w:r>
      <w:r w:rsidRPr="002F2B5E">
        <w:rPr>
          <w:rFonts w:asciiTheme="minorBidi" w:hAnsiTheme="minorBidi"/>
          <w:i/>
          <w:iCs/>
          <w:sz w:val="22"/>
          <w:lang w:val="ru-UA"/>
        </w:rPr>
        <w:t>Accessible Information Standard</w:t>
      </w:r>
      <w:r w:rsidRPr="002F2B5E">
        <w:rPr>
          <w:rFonts w:asciiTheme="minorBidi" w:hAnsiTheme="minorBidi"/>
          <w:sz w:val="22"/>
          <w:lang w:val="ru-UA"/>
        </w:rPr>
        <w:t xml:space="preserve">. Available at: </w:t>
      </w:r>
      <w:hyperlink r:id="rId13" w:tgtFrame="_new" w:history="1">
        <w:r w:rsidRPr="002F2B5E">
          <w:rPr>
            <w:rStyle w:val="Hyperlink"/>
            <w:rFonts w:asciiTheme="minorBidi" w:hAnsiTheme="minorBidi"/>
            <w:sz w:val="22"/>
            <w:lang w:val="ru-UA"/>
          </w:rPr>
          <w:t>https://www.england.nhs.uk/ourwork/accessibleinfo/</w:t>
        </w:r>
      </w:hyperlink>
      <w:r w:rsidRPr="002F2B5E">
        <w:rPr>
          <w:rFonts w:asciiTheme="minorBidi" w:hAnsiTheme="minorBidi"/>
          <w:sz w:val="22"/>
          <w:lang w:val="ru-UA"/>
        </w:rPr>
        <w:t xml:space="preserve"> (Accessed: 8 April 2026).</w:t>
      </w:r>
    </w:p>
    <w:p w14:paraId="29337B4F" w14:textId="77777777" w:rsidR="002F2B5E" w:rsidRPr="002F2B5E" w:rsidRDefault="002F2B5E" w:rsidP="002F2B5E">
      <w:pPr>
        <w:tabs>
          <w:tab w:val="left" w:pos="6540"/>
        </w:tabs>
        <w:spacing w:line="360" w:lineRule="auto"/>
        <w:rPr>
          <w:rFonts w:asciiTheme="minorBidi" w:hAnsiTheme="minorBidi"/>
          <w:sz w:val="22"/>
          <w:lang w:val="ru-UA"/>
        </w:rPr>
      </w:pPr>
      <w:r w:rsidRPr="002F2B5E">
        <w:rPr>
          <w:rFonts w:asciiTheme="minorBidi" w:hAnsiTheme="minorBidi"/>
          <w:sz w:val="22"/>
          <w:lang w:val="ru-UA"/>
        </w:rPr>
        <w:t xml:space="preserve">NHS England (2022) </w:t>
      </w:r>
      <w:r w:rsidRPr="002F2B5E">
        <w:rPr>
          <w:rFonts w:asciiTheme="minorBidi" w:hAnsiTheme="minorBidi"/>
          <w:i/>
          <w:iCs/>
          <w:sz w:val="22"/>
          <w:lang w:val="ru-UA"/>
        </w:rPr>
        <w:t>Working in partnership with people and communities</w:t>
      </w:r>
      <w:r w:rsidRPr="002F2B5E">
        <w:rPr>
          <w:rFonts w:asciiTheme="minorBidi" w:hAnsiTheme="minorBidi"/>
          <w:sz w:val="22"/>
          <w:lang w:val="ru-UA"/>
        </w:rPr>
        <w:t xml:space="preserve">. Available at: </w:t>
      </w:r>
      <w:hyperlink r:id="rId14" w:tgtFrame="_new" w:history="1">
        <w:r w:rsidRPr="002F2B5E">
          <w:rPr>
            <w:rStyle w:val="Hyperlink"/>
            <w:rFonts w:asciiTheme="minorBidi" w:hAnsiTheme="minorBidi"/>
            <w:sz w:val="22"/>
            <w:lang w:val="ru-UA"/>
          </w:rPr>
          <w:t>https://www.england.nhs.uk/publication/working-in-partnership-with-people-and-communities/</w:t>
        </w:r>
      </w:hyperlink>
      <w:r w:rsidRPr="002F2B5E">
        <w:rPr>
          <w:rFonts w:asciiTheme="minorBidi" w:hAnsiTheme="minorBidi"/>
          <w:sz w:val="22"/>
          <w:lang w:val="ru-UA"/>
        </w:rPr>
        <w:t xml:space="preserve"> (Accessed: 8 April 2026).</w:t>
      </w:r>
    </w:p>
    <w:p w14:paraId="370E5845" w14:textId="77777777" w:rsidR="002F2B5E" w:rsidRPr="002F2B5E" w:rsidRDefault="002F2B5E" w:rsidP="002F2B5E">
      <w:pPr>
        <w:tabs>
          <w:tab w:val="left" w:pos="6540"/>
        </w:tabs>
        <w:spacing w:line="360" w:lineRule="auto"/>
        <w:rPr>
          <w:rFonts w:asciiTheme="minorBidi" w:hAnsiTheme="minorBidi"/>
          <w:sz w:val="22"/>
          <w:lang w:val="ru-UA"/>
        </w:rPr>
      </w:pPr>
      <w:r w:rsidRPr="002F2B5E">
        <w:rPr>
          <w:rFonts w:asciiTheme="minorBidi" w:hAnsiTheme="minorBidi"/>
          <w:sz w:val="22"/>
          <w:lang w:val="ru-UA"/>
        </w:rPr>
        <w:t xml:space="preserve">Nursing and Midwifery Council (2018) </w:t>
      </w:r>
      <w:r w:rsidRPr="002F2B5E">
        <w:rPr>
          <w:rFonts w:asciiTheme="minorBidi" w:hAnsiTheme="minorBidi"/>
          <w:i/>
          <w:iCs/>
          <w:sz w:val="22"/>
          <w:lang w:val="ru-UA"/>
        </w:rPr>
        <w:t>The Code: Professional standards of practice and behaviour for nurses, midwives and nursing associates</w:t>
      </w:r>
      <w:r w:rsidRPr="002F2B5E">
        <w:rPr>
          <w:rFonts w:asciiTheme="minorBidi" w:hAnsiTheme="minorBidi"/>
          <w:sz w:val="22"/>
          <w:lang w:val="ru-UA"/>
        </w:rPr>
        <w:t xml:space="preserve">. Available at: </w:t>
      </w:r>
      <w:hyperlink r:id="rId15" w:tgtFrame="_new" w:history="1">
        <w:r w:rsidRPr="002F2B5E">
          <w:rPr>
            <w:rStyle w:val="Hyperlink"/>
            <w:rFonts w:asciiTheme="minorBidi" w:hAnsiTheme="minorBidi"/>
            <w:sz w:val="22"/>
            <w:lang w:val="ru-UA"/>
          </w:rPr>
          <w:t>https://www.nmc.org.uk/standards/code/</w:t>
        </w:r>
      </w:hyperlink>
      <w:r w:rsidRPr="002F2B5E">
        <w:rPr>
          <w:rFonts w:asciiTheme="minorBidi" w:hAnsiTheme="minorBidi"/>
          <w:sz w:val="22"/>
          <w:lang w:val="ru-UA"/>
        </w:rPr>
        <w:t xml:space="preserve"> (Accessed: 8 April 2026).</w:t>
      </w:r>
    </w:p>
    <w:p w14:paraId="71022E41" w14:textId="77777777" w:rsidR="00814A9E" w:rsidRPr="002F2B5E" w:rsidRDefault="00814A9E" w:rsidP="00CD33A8">
      <w:pPr>
        <w:tabs>
          <w:tab w:val="left" w:pos="6540"/>
        </w:tabs>
        <w:spacing w:line="360" w:lineRule="auto"/>
        <w:rPr>
          <w:rFonts w:asciiTheme="minorBidi" w:hAnsiTheme="minorBidi"/>
          <w:sz w:val="22"/>
          <w:lang w:val="ru-UA"/>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33F8F0BD" w14:textId="3DD9219D" w:rsidR="00B87E75" w:rsidRPr="00856534" w:rsidRDefault="00B87E75" w:rsidP="003E6AEF">
      <w:pPr>
        <w:rPr>
          <w:rFonts w:asciiTheme="minorBidi" w:eastAsiaTheme="majorEastAsia" w:hAnsiTheme="minorBidi"/>
          <w:b/>
          <w:sz w:val="28"/>
          <w:lang w:val="en-US"/>
        </w:rPr>
      </w:pP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F6A70" w14:textId="77777777" w:rsidR="00745ED1" w:rsidRDefault="00745ED1" w:rsidP="003E4ECF">
      <w:pPr>
        <w:spacing w:after="0" w:line="240" w:lineRule="auto"/>
      </w:pPr>
      <w:r>
        <w:separator/>
      </w:r>
    </w:p>
  </w:endnote>
  <w:endnote w:type="continuationSeparator" w:id="0">
    <w:p w14:paraId="66660B0B" w14:textId="77777777" w:rsidR="00745ED1" w:rsidRDefault="00745ED1"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FDE70" w14:textId="77777777" w:rsidR="00745ED1" w:rsidRDefault="00745ED1" w:rsidP="003E4ECF">
      <w:pPr>
        <w:spacing w:after="0" w:line="240" w:lineRule="auto"/>
      </w:pPr>
      <w:r>
        <w:separator/>
      </w:r>
    </w:p>
  </w:footnote>
  <w:footnote w:type="continuationSeparator" w:id="0">
    <w:p w14:paraId="6DA28163" w14:textId="77777777" w:rsidR="00745ED1" w:rsidRDefault="00745ED1"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1D7C03"/>
    <w:rsid w:val="00216C85"/>
    <w:rsid w:val="00220FA6"/>
    <w:rsid w:val="0026393A"/>
    <w:rsid w:val="00273EDD"/>
    <w:rsid w:val="002A7A9D"/>
    <w:rsid w:val="002C3965"/>
    <w:rsid w:val="002F2B5E"/>
    <w:rsid w:val="00321C4C"/>
    <w:rsid w:val="00392BBC"/>
    <w:rsid w:val="003D5A14"/>
    <w:rsid w:val="003E4ECF"/>
    <w:rsid w:val="003E6AEF"/>
    <w:rsid w:val="003F5130"/>
    <w:rsid w:val="00406BC1"/>
    <w:rsid w:val="004A736E"/>
    <w:rsid w:val="004F5D23"/>
    <w:rsid w:val="00507AF5"/>
    <w:rsid w:val="005E7751"/>
    <w:rsid w:val="00645E72"/>
    <w:rsid w:val="006925AA"/>
    <w:rsid w:val="00725177"/>
    <w:rsid w:val="00745ED1"/>
    <w:rsid w:val="007A1B8D"/>
    <w:rsid w:val="00803AE0"/>
    <w:rsid w:val="00814A9E"/>
    <w:rsid w:val="00856534"/>
    <w:rsid w:val="0088592E"/>
    <w:rsid w:val="008A71A2"/>
    <w:rsid w:val="008E3943"/>
    <w:rsid w:val="008F3BBC"/>
    <w:rsid w:val="0090040D"/>
    <w:rsid w:val="00927A8D"/>
    <w:rsid w:val="00941B05"/>
    <w:rsid w:val="009D052C"/>
    <w:rsid w:val="009D1D1E"/>
    <w:rsid w:val="00A035FD"/>
    <w:rsid w:val="00A50149"/>
    <w:rsid w:val="00A670B2"/>
    <w:rsid w:val="00AD23A0"/>
    <w:rsid w:val="00B87E75"/>
    <w:rsid w:val="00BD07F9"/>
    <w:rsid w:val="00C270C6"/>
    <w:rsid w:val="00C5715E"/>
    <w:rsid w:val="00CB5D8A"/>
    <w:rsid w:val="00CD33A8"/>
    <w:rsid w:val="00D10986"/>
    <w:rsid w:val="00D36106"/>
    <w:rsid w:val="00D369A3"/>
    <w:rsid w:val="00D71E5F"/>
    <w:rsid w:val="00E569FD"/>
    <w:rsid w:val="00E620E7"/>
    <w:rsid w:val="00F04B3D"/>
    <w:rsid w:val="00F3644A"/>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D369A3"/>
    <w:rPr>
      <w:color w:val="0563C1" w:themeColor="hyperlink"/>
      <w:u w:val="single"/>
    </w:rPr>
  </w:style>
  <w:style w:type="character" w:styleId="UnresolvedMention">
    <w:name w:val="Unresolved Mention"/>
    <w:basedOn w:val="DefaultParagraphFont"/>
    <w:uiPriority w:val="99"/>
    <w:semiHidden/>
    <w:unhideWhenUsed/>
    <w:rsid w:val="00D369A3"/>
    <w:rPr>
      <w:color w:val="605E5C"/>
      <w:shd w:val="clear" w:color="auto" w:fill="E1DFDD"/>
    </w:rPr>
  </w:style>
  <w:style w:type="paragraph" w:styleId="TOCHeading">
    <w:name w:val="TOC Heading"/>
    <w:basedOn w:val="Heading1"/>
    <w:next w:val="Normal"/>
    <w:uiPriority w:val="39"/>
    <w:unhideWhenUsed/>
    <w:qFormat/>
    <w:rsid w:val="00CB5D8A"/>
    <w:pPr>
      <w:spacing w:before="480" w:line="276" w:lineRule="auto"/>
      <w:outlineLvl w:val="9"/>
    </w:pPr>
    <w:rPr>
      <w:rFonts w:ascii="Segoe UI" w:hAnsi="Segoe UI" w:cstheme="majorBidi"/>
      <w:b w:val="0"/>
      <w:bCs/>
      <w:color w:val="2F5496" w:themeColor="accent1" w:themeShade="BF"/>
      <w:sz w:val="28"/>
      <w:szCs w:val="28"/>
      <w:lang w:val="en-US"/>
    </w:rPr>
  </w:style>
  <w:style w:type="paragraph" w:styleId="TOC2">
    <w:name w:val="toc 2"/>
    <w:basedOn w:val="Normal"/>
    <w:next w:val="Normal"/>
    <w:autoRedefine/>
    <w:uiPriority w:val="39"/>
    <w:unhideWhenUsed/>
    <w:rsid w:val="00CB5D8A"/>
    <w:pPr>
      <w:spacing w:before="120" w:after="0"/>
      <w:ind w:left="220"/>
    </w:pPr>
    <w:rPr>
      <w:rFonts w:ascii="Segoe UI" w:eastAsiaTheme="minorEastAsia" w:hAnsi="Segoe UI" w:cstheme="minorHAnsi"/>
      <w:b/>
      <w:bCs/>
      <w:kern w:val="2"/>
      <w:sz w:val="20"/>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guidance-regulation/providers/assessment/assessing-quality-and-performance" TargetMode="External"/><Relationship Id="rId13" Type="http://schemas.openxmlformats.org/officeDocument/2006/relationships/hyperlink" Target="https://www.england.nhs.uk/ourwork/accessibleinfo/"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yperlink" Target="https://ico.org.uk/for-organisations/uk-gdpr-guidance-and-resources/data-protection-principles/a-guide-to-the-data-protection-principl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16/j.apmr.2011.05.028" TargetMode="External"/><Relationship Id="rId5" Type="http://schemas.openxmlformats.org/officeDocument/2006/relationships/endnotes" Target="endnotes.xml"/><Relationship Id="rId15" Type="http://schemas.openxmlformats.org/officeDocument/2006/relationships/hyperlink" Target="https://www.nmc.org.uk/standards/code/" TargetMode="External"/><Relationship Id="rId10" Type="http://schemas.openxmlformats.org/officeDocument/2006/relationships/hyperlink" Target="https://www.legislation.gov.uk/ukpga/2018/12/contents" TargetMode="External"/><Relationship Id="rId4" Type="http://schemas.openxmlformats.org/officeDocument/2006/relationships/footnotes" Target="footnotes.xml"/><Relationship Id="rId9" Type="http://schemas.openxmlformats.org/officeDocument/2006/relationships/hyperlink" Target="https://www.legislation.gov.uk/ukpga/2010/15/contents" TargetMode="External"/><Relationship Id="rId14" Type="http://schemas.openxmlformats.org/officeDocument/2006/relationships/hyperlink" Target="https://www.england.nhs.uk/publication/working-in-partnership-with-people-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9</Pages>
  <Words>2472</Words>
  <Characters>14092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Oxana</cp:lastModifiedBy>
  <cp:revision>23</cp:revision>
  <dcterms:created xsi:type="dcterms:W3CDTF">2021-10-31T12:16:00Z</dcterms:created>
  <dcterms:modified xsi:type="dcterms:W3CDTF">2026-04-23T16:26:00Z</dcterms:modified>
</cp:coreProperties>
</file>