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F927A1" w:rsidRPr="005D3F07" w14:paraId="68CAA39D" w14:textId="77777777" w:rsidTr="00093E9D">
        <w:tc>
          <w:tcPr>
            <w:tcW w:w="10485" w:type="dxa"/>
          </w:tcPr>
          <w:p w14:paraId="02F8EE88" w14:textId="23D6AB2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A1E11">
              <w:rPr>
                <w:rFonts w:ascii="Times New Roman" w:hAnsi="Times New Roman" w:cs="Times New Roman"/>
                <w:b/>
                <w:color w:val="auto"/>
                <w:sz w:val="48"/>
              </w:rPr>
              <w:t>Gillian Sherfield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3771CB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93E9D">
              <w:t xml:space="preserve"> </w:t>
            </w:r>
            <w:r w:rsidR="00093E9D" w:rsidRPr="00093E9D">
              <w:rPr>
                <w:rFonts w:ascii="Times New Roman" w:hAnsi="Times New Roman" w:cs="Times New Roman"/>
                <w:b/>
                <w:color w:val="auto"/>
                <w:sz w:val="48"/>
              </w:rPr>
              <w:t>0752052@student.uwtsd.ac.uk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DD78CB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93E9D">
              <w:rPr>
                <w:rFonts w:ascii="Times New Roman" w:hAnsi="Times New Roman" w:cs="Times New Roman"/>
                <w:b/>
                <w:color w:val="auto"/>
                <w:sz w:val="48"/>
              </w:rPr>
              <w:t>752052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2F8A7CA5" w14:textId="6DF34110" w:rsidR="008D5999" w:rsidRDefault="000A584A" w:rsidP="00064063">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A6F887D" w14:textId="77777777" w:rsidR="00EC27D6" w:rsidRDefault="00EC27D6" w:rsidP="00EC27D6">
            <w:pPr>
              <w:jc w:val="both"/>
              <w:rPr>
                <w:rFonts w:asciiTheme="minorHAnsi" w:hAnsiTheme="minorHAnsi" w:cstheme="minorHAnsi"/>
                <w:iCs/>
                <w:color w:val="auto"/>
                <w:sz w:val="24"/>
                <w:szCs w:val="24"/>
              </w:rPr>
            </w:pPr>
          </w:p>
          <w:p w14:paraId="5E42FFB0" w14:textId="3F64FE4B" w:rsidR="00F5318C" w:rsidRPr="007B79B6" w:rsidRDefault="007B79B6" w:rsidP="00F5318C">
            <w:pPr>
              <w:jc w:val="both"/>
              <w:rPr>
                <w:rFonts w:asciiTheme="minorHAnsi" w:hAnsiTheme="minorHAnsi" w:cstheme="minorHAnsi"/>
                <w:iCs/>
                <w:color w:val="auto"/>
                <w:sz w:val="24"/>
                <w:szCs w:val="24"/>
              </w:rPr>
            </w:pPr>
            <w:r w:rsidRPr="007B79B6">
              <w:rPr>
                <w:rFonts w:asciiTheme="minorHAnsi" w:hAnsiTheme="minorHAnsi" w:cstheme="minorHAnsi"/>
                <w:iCs/>
                <w:color w:val="auto"/>
                <w:sz w:val="24"/>
                <w:szCs w:val="24"/>
              </w:rPr>
              <w:t>The case involves two children aged 9 and 11, primarily cared for by their mother under a live-with order issued by the court, spending four nights per week with their father under a spend-time arrangement order</w:t>
            </w:r>
            <w:r w:rsidR="005042F3">
              <w:rPr>
                <w:rFonts w:asciiTheme="minorHAnsi" w:hAnsiTheme="minorHAnsi" w:cstheme="minorHAnsi"/>
                <w:iCs/>
                <w:color w:val="auto"/>
                <w:sz w:val="24"/>
                <w:szCs w:val="24"/>
              </w:rPr>
              <w:t xml:space="preserve">, </w:t>
            </w:r>
            <w:r w:rsidR="00F5318C" w:rsidRPr="00DB3240">
              <w:rPr>
                <w:rFonts w:asciiTheme="minorHAnsi" w:hAnsiTheme="minorHAnsi" w:cstheme="minorHAnsi"/>
                <w:iCs/>
                <w:color w:val="auto"/>
                <w:sz w:val="24"/>
                <w:szCs w:val="24"/>
              </w:rPr>
              <w:t>whom for the sake of this task will be child 1 and child 2, mother 3 and father 4</w:t>
            </w:r>
            <w:r w:rsidR="005042F3">
              <w:rPr>
                <w:rFonts w:asciiTheme="minorHAnsi" w:hAnsiTheme="minorHAnsi" w:cstheme="minorHAnsi"/>
                <w:iCs/>
                <w:color w:val="auto"/>
                <w:sz w:val="24"/>
                <w:szCs w:val="24"/>
              </w:rPr>
              <w:t>.</w:t>
            </w:r>
          </w:p>
          <w:p w14:paraId="3CE47534" w14:textId="4543AB6D" w:rsidR="007B79B6" w:rsidRDefault="007B79B6" w:rsidP="007B79B6">
            <w:pPr>
              <w:jc w:val="both"/>
              <w:rPr>
                <w:rFonts w:asciiTheme="minorHAnsi" w:hAnsiTheme="minorHAnsi" w:cstheme="minorHAnsi"/>
                <w:iCs/>
                <w:color w:val="auto"/>
                <w:sz w:val="24"/>
                <w:szCs w:val="24"/>
              </w:rPr>
            </w:pPr>
            <w:r w:rsidRPr="007B79B6">
              <w:rPr>
                <w:rFonts w:asciiTheme="minorHAnsi" w:hAnsiTheme="minorHAnsi" w:cstheme="minorHAnsi"/>
                <w:iCs/>
                <w:color w:val="auto"/>
                <w:sz w:val="24"/>
                <w:szCs w:val="24"/>
              </w:rPr>
              <w:t>The live-with order falls under Section 8 of the Children Act 1989, which allows the court to determine with whom a child is to live, with the child’s welfare being the paramount consideration under Section 1</w:t>
            </w:r>
            <w:r w:rsidR="005042F3">
              <w:t xml:space="preserve"> </w:t>
            </w:r>
            <w:r w:rsidR="005042F3" w:rsidRPr="005042F3">
              <w:rPr>
                <w:rFonts w:asciiTheme="minorHAnsi" w:hAnsiTheme="minorHAnsi" w:cstheme="minorHAnsi"/>
                <w:iCs/>
                <w:color w:val="auto"/>
                <w:sz w:val="24"/>
                <w:szCs w:val="24"/>
              </w:rPr>
              <w:t>of the Children Act 1989</w:t>
            </w:r>
            <w:r w:rsidR="009B6C00">
              <w:rPr>
                <w:rFonts w:asciiTheme="minorHAnsi" w:hAnsiTheme="minorHAnsi" w:cstheme="minorHAnsi"/>
                <w:iCs/>
                <w:color w:val="auto"/>
                <w:sz w:val="24"/>
                <w:szCs w:val="24"/>
              </w:rPr>
              <w:t>.</w:t>
            </w:r>
          </w:p>
          <w:p w14:paraId="1C4AF5AA" w14:textId="77777777" w:rsidR="00DB3240" w:rsidRPr="007B79B6" w:rsidRDefault="00DB3240" w:rsidP="007B79B6">
            <w:pPr>
              <w:jc w:val="both"/>
              <w:rPr>
                <w:rFonts w:asciiTheme="minorHAnsi" w:hAnsiTheme="minorHAnsi" w:cstheme="minorHAnsi"/>
                <w:iCs/>
                <w:color w:val="auto"/>
                <w:sz w:val="24"/>
                <w:szCs w:val="24"/>
              </w:rPr>
            </w:pPr>
          </w:p>
          <w:p w14:paraId="45C733DB" w14:textId="3BE96EAB" w:rsidR="007B79B6" w:rsidRPr="007B79B6" w:rsidRDefault="007B79B6" w:rsidP="007B79B6">
            <w:pPr>
              <w:jc w:val="both"/>
              <w:rPr>
                <w:rFonts w:asciiTheme="minorHAnsi" w:hAnsiTheme="minorHAnsi" w:cstheme="minorHAnsi"/>
                <w:iCs/>
                <w:color w:val="auto"/>
                <w:sz w:val="24"/>
                <w:szCs w:val="24"/>
              </w:rPr>
            </w:pPr>
            <w:r w:rsidRPr="007B79B6">
              <w:rPr>
                <w:rFonts w:asciiTheme="minorHAnsi" w:hAnsiTheme="minorHAnsi" w:cstheme="minorHAnsi"/>
                <w:iCs/>
                <w:color w:val="auto"/>
                <w:sz w:val="24"/>
                <w:szCs w:val="24"/>
              </w:rPr>
              <w:t xml:space="preserve">While in </w:t>
            </w:r>
            <w:r w:rsidR="00186D97">
              <w:rPr>
                <w:rFonts w:asciiTheme="minorHAnsi" w:hAnsiTheme="minorHAnsi" w:cstheme="minorHAnsi"/>
                <w:iCs/>
                <w:color w:val="auto"/>
                <w:sz w:val="24"/>
                <w:szCs w:val="24"/>
              </w:rPr>
              <w:t>person 3</w:t>
            </w:r>
            <w:r w:rsidRPr="007B79B6">
              <w:rPr>
                <w:rFonts w:asciiTheme="minorHAnsi" w:hAnsiTheme="minorHAnsi" w:cstheme="minorHAnsi"/>
                <w:iCs/>
                <w:color w:val="auto"/>
                <w:sz w:val="24"/>
                <w:szCs w:val="24"/>
              </w:rPr>
              <w:t>’s care, social services received multiple referrals regarding her alcohol use, poor home conditions, and neglect</w:t>
            </w:r>
            <w:r w:rsidR="007D704A">
              <w:rPr>
                <w:rFonts w:asciiTheme="minorHAnsi" w:hAnsiTheme="minorHAnsi" w:cstheme="minorHAnsi"/>
                <w:iCs/>
                <w:color w:val="auto"/>
                <w:sz w:val="24"/>
                <w:szCs w:val="24"/>
              </w:rPr>
              <w:t>ful parenting</w:t>
            </w:r>
            <w:r w:rsidR="00D819FF">
              <w:rPr>
                <w:rFonts w:asciiTheme="minorHAnsi" w:hAnsiTheme="minorHAnsi" w:cstheme="minorHAnsi"/>
                <w:iCs/>
                <w:color w:val="auto"/>
                <w:sz w:val="24"/>
                <w:szCs w:val="24"/>
              </w:rPr>
              <w:t>,</w:t>
            </w:r>
            <w:r w:rsidRPr="007B79B6">
              <w:rPr>
                <w:rFonts w:asciiTheme="minorHAnsi" w:hAnsiTheme="minorHAnsi" w:cstheme="minorHAnsi"/>
                <w:iCs/>
                <w:color w:val="auto"/>
                <w:sz w:val="24"/>
                <w:szCs w:val="24"/>
              </w:rPr>
              <w:t xml:space="preserve"> </w:t>
            </w:r>
            <w:r w:rsidR="007D704A">
              <w:rPr>
                <w:rFonts w:asciiTheme="minorHAnsi" w:hAnsiTheme="minorHAnsi" w:cstheme="minorHAnsi"/>
                <w:iCs/>
                <w:color w:val="auto"/>
                <w:sz w:val="24"/>
                <w:szCs w:val="24"/>
              </w:rPr>
              <w:t xml:space="preserve">including neglect </w:t>
            </w:r>
            <w:r w:rsidRPr="007B79B6">
              <w:rPr>
                <w:rFonts w:asciiTheme="minorHAnsi" w:hAnsiTheme="minorHAnsi" w:cstheme="minorHAnsi"/>
                <w:iCs/>
                <w:color w:val="auto"/>
                <w:sz w:val="24"/>
                <w:szCs w:val="24"/>
              </w:rPr>
              <w:t xml:space="preserve">of pets. The children frequently presented at school unclean, hungry, pale, and tired, with </w:t>
            </w:r>
            <w:r w:rsidR="00D819FF">
              <w:rPr>
                <w:rFonts w:asciiTheme="minorHAnsi" w:hAnsiTheme="minorHAnsi" w:cstheme="minorHAnsi"/>
                <w:iCs/>
                <w:color w:val="auto"/>
                <w:sz w:val="24"/>
                <w:szCs w:val="24"/>
              </w:rPr>
              <w:t xml:space="preserve">poor </w:t>
            </w:r>
            <w:r w:rsidRPr="007B79B6">
              <w:rPr>
                <w:rFonts w:asciiTheme="minorHAnsi" w:hAnsiTheme="minorHAnsi" w:cstheme="minorHAnsi"/>
                <w:iCs/>
                <w:color w:val="auto"/>
                <w:sz w:val="24"/>
                <w:szCs w:val="24"/>
              </w:rPr>
              <w:t xml:space="preserve">attendance and </w:t>
            </w:r>
            <w:r w:rsidR="0096134D">
              <w:rPr>
                <w:rFonts w:asciiTheme="minorHAnsi" w:hAnsiTheme="minorHAnsi" w:cstheme="minorHAnsi"/>
                <w:iCs/>
                <w:color w:val="auto"/>
                <w:sz w:val="24"/>
                <w:szCs w:val="24"/>
              </w:rPr>
              <w:t>persistent</w:t>
            </w:r>
            <w:r w:rsidRPr="007B79B6">
              <w:rPr>
                <w:rFonts w:asciiTheme="minorHAnsi" w:hAnsiTheme="minorHAnsi" w:cstheme="minorHAnsi"/>
                <w:iCs/>
                <w:color w:val="auto"/>
                <w:sz w:val="24"/>
                <w:szCs w:val="24"/>
              </w:rPr>
              <w:t xml:space="preserve"> lateness. These </w:t>
            </w:r>
            <w:r w:rsidR="00507700">
              <w:rPr>
                <w:rFonts w:asciiTheme="minorHAnsi" w:hAnsiTheme="minorHAnsi" w:cstheme="minorHAnsi"/>
                <w:iCs/>
                <w:color w:val="auto"/>
                <w:sz w:val="24"/>
                <w:szCs w:val="24"/>
              </w:rPr>
              <w:t xml:space="preserve">combined set of </w:t>
            </w:r>
            <w:r w:rsidRPr="007B79B6">
              <w:rPr>
                <w:rFonts w:asciiTheme="minorHAnsi" w:hAnsiTheme="minorHAnsi" w:cstheme="minorHAnsi"/>
                <w:iCs/>
                <w:color w:val="auto"/>
                <w:sz w:val="24"/>
                <w:szCs w:val="24"/>
              </w:rPr>
              <w:t xml:space="preserve">circumstances represent a clear </w:t>
            </w:r>
            <w:r w:rsidR="00507700">
              <w:rPr>
                <w:rFonts w:asciiTheme="minorHAnsi" w:hAnsiTheme="minorHAnsi" w:cstheme="minorHAnsi"/>
                <w:iCs/>
                <w:color w:val="auto"/>
                <w:sz w:val="24"/>
                <w:szCs w:val="24"/>
              </w:rPr>
              <w:t xml:space="preserve">and significant </w:t>
            </w:r>
            <w:r w:rsidRPr="007B79B6">
              <w:rPr>
                <w:rFonts w:asciiTheme="minorHAnsi" w:hAnsiTheme="minorHAnsi" w:cstheme="minorHAnsi"/>
                <w:iCs/>
                <w:color w:val="auto"/>
                <w:sz w:val="24"/>
                <w:szCs w:val="24"/>
              </w:rPr>
              <w:t>safeguarding concern, activating duties under the Social Services and Well-being (Wales) Act 2014, which mandates local authorities to assess and protect children at risk and provide necessary support to ensure their well-being</w:t>
            </w:r>
            <w:r w:rsidR="00CE16FE">
              <w:rPr>
                <w:rFonts w:asciiTheme="minorHAnsi" w:hAnsiTheme="minorHAnsi" w:cstheme="minorHAnsi"/>
                <w:iCs/>
                <w:color w:val="auto"/>
                <w:sz w:val="24"/>
                <w:szCs w:val="24"/>
              </w:rPr>
              <w:t xml:space="preserve"> and all needs are being met.</w:t>
            </w:r>
          </w:p>
          <w:p w14:paraId="061D3F37" w14:textId="77777777" w:rsidR="007B79B6" w:rsidRPr="007B79B6" w:rsidRDefault="007B79B6" w:rsidP="007B79B6">
            <w:pPr>
              <w:jc w:val="both"/>
              <w:rPr>
                <w:rFonts w:asciiTheme="minorHAnsi" w:hAnsiTheme="minorHAnsi" w:cstheme="minorHAnsi"/>
                <w:iCs/>
                <w:color w:val="auto"/>
                <w:sz w:val="24"/>
                <w:szCs w:val="24"/>
              </w:rPr>
            </w:pPr>
          </w:p>
          <w:p w14:paraId="7B0C164E" w14:textId="2919285D" w:rsidR="007B79B6" w:rsidRPr="007B79B6" w:rsidRDefault="007B79B6" w:rsidP="007B79B6">
            <w:pPr>
              <w:jc w:val="both"/>
              <w:rPr>
                <w:rFonts w:asciiTheme="minorHAnsi" w:hAnsiTheme="minorHAnsi" w:cstheme="minorHAnsi"/>
                <w:iCs/>
                <w:color w:val="auto"/>
                <w:sz w:val="24"/>
                <w:szCs w:val="24"/>
              </w:rPr>
            </w:pPr>
            <w:r w:rsidRPr="007B79B6">
              <w:rPr>
                <w:rFonts w:asciiTheme="minorHAnsi" w:hAnsiTheme="minorHAnsi" w:cstheme="minorHAnsi"/>
                <w:iCs/>
                <w:color w:val="auto"/>
                <w:sz w:val="24"/>
                <w:szCs w:val="24"/>
              </w:rPr>
              <w:t>This case also engages international obligations under the United Nations Convention on the Rights of the Child (UNCRC, 2022):</w:t>
            </w:r>
            <w:r>
              <w:rPr>
                <w:rFonts w:asciiTheme="minorHAnsi" w:hAnsiTheme="minorHAnsi" w:cstheme="minorHAnsi"/>
                <w:iCs/>
                <w:color w:val="auto"/>
                <w:sz w:val="24"/>
                <w:szCs w:val="24"/>
              </w:rPr>
              <w:t xml:space="preserve"> </w:t>
            </w:r>
            <w:r w:rsidRPr="007B79B6">
              <w:rPr>
                <w:rFonts w:asciiTheme="minorHAnsi" w:hAnsiTheme="minorHAnsi" w:cstheme="minorHAnsi"/>
                <w:iCs/>
                <w:color w:val="auto"/>
                <w:sz w:val="24"/>
                <w:szCs w:val="24"/>
              </w:rPr>
              <w:t>Article 27 – Right to an adequate standard of living</w:t>
            </w:r>
            <w:r w:rsidR="00CD7652">
              <w:rPr>
                <w:rFonts w:asciiTheme="minorHAnsi" w:hAnsiTheme="minorHAnsi" w:cstheme="minorHAnsi"/>
                <w:iCs/>
                <w:color w:val="auto"/>
                <w:sz w:val="24"/>
                <w:szCs w:val="24"/>
              </w:rPr>
              <w:t xml:space="preserve">. </w:t>
            </w:r>
            <w:r w:rsidRPr="007B79B6">
              <w:rPr>
                <w:rFonts w:asciiTheme="minorHAnsi" w:hAnsiTheme="minorHAnsi" w:cstheme="minorHAnsi"/>
                <w:iCs/>
                <w:color w:val="auto"/>
                <w:sz w:val="24"/>
                <w:szCs w:val="24"/>
              </w:rPr>
              <w:t>The children’s unmet basic needs, including food, clothing, hygiene, and safe living conditions, fall directly under this right.</w:t>
            </w:r>
          </w:p>
          <w:p w14:paraId="206F5090" w14:textId="2E07DB8C" w:rsidR="007B79B6" w:rsidRDefault="007B79B6" w:rsidP="007B79B6">
            <w:pPr>
              <w:jc w:val="both"/>
              <w:rPr>
                <w:rFonts w:asciiTheme="minorHAnsi" w:hAnsiTheme="minorHAnsi" w:cstheme="minorHAnsi"/>
                <w:iCs/>
                <w:color w:val="auto"/>
                <w:sz w:val="24"/>
                <w:szCs w:val="24"/>
              </w:rPr>
            </w:pPr>
            <w:r w:rsidRPr="007B79B6">
              <w:rPr>
                <w:rFonts w:asciiTheme="minorHAnsi" w:hAnsiTheme="minorHAnsi" w:cstheme="minorHAnsi"/>
                <w:iCs/>
                <w:color w:val="auto"/>
                <w:sz w:val="24"/>
                <w:szCs w:val="24"/>
              </w:rPr>
              <w:t>Article 28 – Right to education</w:t>
            </w:r>
            <w:r w:rsidR="00CD7652">
              <w:rPr>
                <w:rFonts w:asciiTheme="minorHAnsi" w:hAnsiTheme="minorHAnsi" w:cstheme="minorHAnsi"/>
                <w:iCs/>
                <w:color w:val="auto"/>
                <w:sz w:val="24"/>
                <w:szCs w:val="24"/>
              </w:rPr>
              <w:t xml:space="preserve">. </w:t>
            </w:r>
            <w:r w:rsidRPr="007B79B6">
              <w:rPr>
                <w:rFonts w:asciiTheme="minorHAnsi" w:hAnsiTheme="minorHAnsi" w:cstheme="minorHAnsi"/>
                <w:iCs/>
                <w:color w:val="auto"/>
                <w:sz w:val="24"/>
                <w:szCs w:val="24"/>
              </w:rPr>
              <w:t>Chronic absenteeism, lateness, and fatigue indicate educational neglect, requiring intervention to safeguard the children’s right to learn.</w:t>
            </w:r>
            <w:r w:rsidR="00441143">
              <w:rPr>
                <w:rFonts w:asciiTheme="minorHAnsi" w:hAnsiTheme="minorHAnsi" w:cstheme="minorHAnsi"/>
                <w:iCs/>
                <w:color w:val="auto"/>
                <w:sz w:val="24"/>
                <w:szCs w:val="24"/>
              </w:rPr>
              <w:t xml:space="preserve"> </w:t>
            </w:r>
            <w:r w:rsidRPr="007B79B6">
              <w:rPr>
                <w:rFonts w:asciiTheme="minorHAnsi" w:hAnsiTheme="minorHAnsi" w:cstheme="minorHAnsi"/>
                <w:iCs/>
                <w:color w:val="auto"/>
                <w:sz w:val="24"/>
                <w:szCs w:val="24"/>
              </w:rPr>
              <w:t xml:space="preserve">The interplay between UK statutory frameworks, Welsh legislation, and international standards highlights the multi-layered </w:t>
            </w:r>
            <w:r w:rsidRPr="007B79B6">
              <w:rPr>
                <w:rFonts w:asciiTheme="minorHAnsi" w:hAnsiTheme="minorHAnsi" w:cstheme="minorHAnsi"/>
                <w:iCs/>
                <w:color w:val="auto"/>
                <w:sz w:val="24"/>
                <w:szCs w:val="24"/>
              </w:rPr>
              <w:lastRenderedPageBreak/>
              <w:t xml:space="preserve">nature of social work practice. Social workers must assess </w:t>
            </w:r>
            <w:r w:rsidR="00441143">
              <w:rPr>
                <w:rFonts w:asciiTheme="minorHAnsi" w:hAnsiTheme="minorHAnsi" w:cstheme="minorHAnsi"/>
                <w:iCs/>
                <w:color w:val="auto"/>
                <w:sz w:val="24"/>
                <w:szCs w:val="24"/>
              </w:rPr>
              <w:t>person 3’s</w:t>
            </w:r>
            <w:r w:rsidRPr="007B79B6">
              <w:rPr>
                <w:rFonts w:asciiTheme="minorHAnsi" w:hAnsiTheme="minorHAnsi" w:cstheme="minorHAnsi"/>
                <w:iCs/>
                <w:color w:val="auto"/>
                <w:sz w:val="24"/>
                <w:szCs w:val="24"/>
              </w:rPr>
              <w:t xml:space="preserve"> capacity to meet the children’s needs, monitor school attendance, address welfare concerns, and coordinate with multiple agencies. If </w:t>
            </w:r>
            <w:r w:rsidR="007E7FD9">
              <w:rPr>
                <w:rFonts w:asciiTheme="minorHAnsi" w:hAnsiTheme="minorHAnsi" w:cstheme="minorHAnsi"/>
                <w:iCs/>
                <w:color w:val="auto"/>
                <w:sz w:val="24"/>
                <w:szCs w:val="24"/>
              </w:rPr>
              <w:t>person 3</w:t>
            </w:r>
            <w:r w:rsidRPr="007B79B6">
              <w:rPr>
                <w:rFonts w:asciiTheme="minorHAnsi" w:hAnsiTheme="minorHAnsi" w:cstheme="minorHAnsi"/>
                <w:iCs/>
                <w:color w:val="auto"/>
                <w:sz w:val="24"/>
                <w:szCs w:val="24"/>
              </w:rPr>
              <w:t xml:space="preserve"> cannot provide a safe and supportive environment, the court may consider varying the live-with order or implementing additional safeguarding measures to uphold the children’s welfare and rights.</w:t>
            </w:r>
            <w:r w:rsidR="007E7FD9">
              <w:rPr>
                <w:rFonts w:asciiTheme="minorHAnsi" w:hAnsiTheme="minorHAnsi" w:cstheme="minorHAnsi"/>
                <w:iCs/>
                <w:color w:val="auto"/>
                <w:sz w:val="24"/>
                <w:szCs w:val="24"/>
              </w:rPr>
              <w:t xml:space="preserve"> Person 4</w:t>
            </w:r>
            <w:r w:rsidR="00422E2D">
              <w:rPr>
                <w:rFonts w:asciiTheme="minorHAnsi" w:hAnsiTheme="minorHAnsi" w:cstheme="minorHAnsi"/>
                <w:iCs/>
                <w:color w:val="auto"/>
                <w:sz w:val="24"/>
                <w:szCs w:val="24"/>
              </w:rPr>
              <w:t>, under is duty of parental responsibility to safeguard the</w:t>
            </w:r>
            <w:r w:rsidR="009075F0">
              <w:rPr>
                <w:rFonts w:asciiTheme="minorHAnsi" w:hAnsiTheme="minorHAnsi" w:cstheme="minorHAnsi"/>
                <w:iCs/>
                <w:color w:val="auto"/>
                <w:sz w:val="24"/>
                <w:szCs w:val="24"/>
              </w:rPr>
              <w:t xml:space="preserve"> </w:t>
            </w:r>
            <w:r w:rsidR="00422E2D">
              <w:rPr>
                <w:rFonts w:asciiTheme="minorHAnsi" w:hAnsiTheme="minorHAnsi" w:cstheme="minorHAnsi"/>
                <w:iCs/>
                <w:color w:val="auto"/>
                <w:sz w:val="24"/>
                <w:szCs w:val="24"/>
              </w:rPr>
              <w:t xml:space="preserve">children </w:t>
            </w:r>
            <w:proofErr w:type="gramStart"/>
            <w:r w:rsidR="00422E2D">
              <w:rPr>
                <w:rFonts w:asciiTheme="minorHAnsi" w:hAnsiTheme="minorHAnsi" w:cstheme="minorHAnsi"/>
                <w:iCs/>
                <w:color w:val="auto"/>
                <w:sz w:val="24"/>
                <w:szCs w:val="24"/>
              </w:rPr>
              <w:t>is able to</w:t>
            </w:r>
            <w:proofErr w:type="gramEnd"/>
            <w:r w:rsidR="00422E2D">
              <w:rPr>
                <w:rFonts w:asciiTheme="minorHAnsi" w:hAnsiTheme="minorHAnsi" w:cstheme="minorHAnsi"/>
                <w:iCs/>
                <w:color w:val="auto"/>
                <w:sz w:val="24"/>
                <w:szCs w:val="24"/>
              </w:rPr>
              <w:t xml:space="preserve"> apply to the court and request a review and amendment to the order at any time</w:t>
            </w:r>
            <w:r w:rsidR="006208C3">
              <w:rPr>
                <w:rFonts w:asciiTheme="minorHAnsi" w:hAnsiTheme="minorHAnsi" w:cstheme="minorHAnsi"/>
                <w:iCs/>
                <w:color w:val="auto"/>
                <w:sz w:val="24"/>
                <w:szCs w:val="24"/>
              </w:rPr>
              <w:t>, especially if given the fact there are significant safeguarding concerns in respect of person 3’s caring ability</w:t>
            </w:r>
            <w:r w:rsidR="009075F0">
              <w:rPr>
                <w:rFonts w:asciiTheme="minorHAnsi" w:hAnsiTheme="minorHAnsi" w:cstheme="minorHAnsi"/>
                <w:iCs/>
                <w:color w:val="auto"/>
                <w:sz w:val="24"/>
                <w:szCs w:val="24"/>
              </w:rPr>
              <w:t>.</w:t>
            </w:r>
            <w:r w:rsidR="006208C3">
              <w:rPr>
                <w:rFonts w:asciiTheme="minorHAnsi" w:hAnsiTheme="minorHAnsi" w:cstheme="minorHAnsi"/>
                <w:iCs/>
                <w:color w:val="auto"/>
                <w:sz w:val="24"/>
                <w:szCs w:val="24"/>
              </w:rPr>
              <w:t xml:space="preserve"> </w:t>
            </w:r>
          </w:p>
          <w:p w14:paraId="4F3D79C8" w14:textId="77777777" w:rsidR="00442F33" w:rsidRDefault="00442F33" w:rsidP="007B79B6">
            <w:pPr>
              <w:jc w:val="both"/>
              <w:rPr>
                <w:rFonts w:asciiTheme="minorHAnsi" w:hAnsiTheme="minorHAnsi" w:cstheme="minorHAnsi"/>
                <w:iCs/>
                <w:color w:val="auto"/>
                <w:sz w:val="24"/>
                <w:szCs w:val="24"/>
              </w:rPr>
            </w:pPr>
          </w:p>
          <w:p w14:paraId="36B23674" w14:textId="7D6E9789" w:rsidR="00442F33" w:rsidRDefault="00442F33" w:rsidP="007B79B6">
            <w:pPr>
              <w:jc w:val="both"/>
              <w:rPr>
                <w:rFonts w:asciiTheme="minorHAnsi" w:hAnsiTheme="minorHAnsi" w:cstheme="minorHAnsi"/>
                <w:iCs/>
                <w:color w:val="auto"/>
                <w:sz w:val="24"/>
                <w:szCs w:val="24"/>
              </w:rPr>
            </w:pPr>
            <w:r w:rsidRPr="00442F33">
              <w:rPr>
                <w:rFonts w:asciiTheme="minorHAnsi" w:hAnsiTheme="minorHAnsi" w:cstheme="minorHAnsi"/>
                <w:iCs/>
                <w:color w:val="auto"/>
                <w:sz w:val="24"/>
                <w:szCs w:val="24"/>
              </w:rPr>
              <w:t>The geographical context of family life significantly shapes experiences of poverty, access to services, and social outcomes. Families living in deprived urban areas may face concentrated disadvantage, such as poor housing, low employment opportunities, and limited access to quality education or healthcare, which can exacerbate cycles of poverty (Shaw &amp; Dorling, 2006). Rural families, by contrast, may encounter poverty through isolation, lack of public transport, and limited access to specialized services, which can affect children’s development and parental support networks. Social workers are guided by the Code of Professional Practice to consider these geographical and socio-economic factors in assessment and intervention, ensuring that practice is equitable and responsive to context (Social Work England, 2021). For example, when working with families in high-poverty urban neighbourhoods, practitioners must be aware of systemic barriers to resources and advocate for interventions that address both immediate needs and structural inequalities. Similarly, the Code emphasizes that practitioners must engage respectfully with families lived environments, tailoring support to local resources, cultural norms, and infrastructural limitations.</w:t>
            </w:r>
          </w:p>
          <w:p w14:paraId="639E868B" w14:textId="77777777" w:rsidR="007B79B6" w:rsidRPr="00EC27D6" w:rsidRDefault="007B79B6" w:rsidP="00EC27D6">
            <w:pPr>
              <w:jc w:val="both"/>
              <w:rPr>
                <w:rFonts w:asciiTheme="minorHAnsi" w:hAnsiTheme="minorHAnsi" w:cstheme="minorHAnsi"/>
                <w:iCs/>
                <w:color w:val="auto"/>
                <w:sz w:val="24"/>
                <w:szCs w:val="24"/>
              </w:rPr>
            </w:pPr>
          </w:p>
          <w:p w14:paraId="67779EF5" w14:textId="77777777" w:rsidR="00F062EC"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Safeguarding procedures in Wales differ from those in England, particularly in the statutory framework outlined by the Social Services and Well-being (Wales) Act 2014</w:t>
            </w:r>
            <w:r w:rsidR="00CD7652">
              <w:t xml:space="preserve"> </w:t>
            </w:r>
            <w:r w:rsidR="00CD7652" w:rsidRPr="00CD7652">
              <w:rPr>
                <w:rFonts w:asciiTheme="minorHAnsi" w:hAnsiTheme="minorHAnsi" w:cstheme="minorHAnsi"/>
                <w:iCs/>
                <w:color w:val="auto"/>
                <w:sz w:val="24"/>
                <w:szCs w:val="24"/>
              </w:rPr>
              <w:t>(SSWB(W)A</w:t>
            </w:r>
            <w:r w:rsidR="005C2F67">
              <w:rPr>
                <w:rFonts w:asciiTheme="minorHAnsi" w:hAnsiTheme="minorHAnsi" w:cstheme="minorHAnsi"/>
                <w:iCs/>
                <w:color w:val="auto"/>
                <w:sz w:val="24"/>
                <w:szCs w:val="24"/>
              </w:rPr>
              <w:t xml:space="preserve"> </w:t>
            </w:r>
            <w:r w:rsidR="00CD7652" w:rsidRPr="00CD7652">
              <w:rPr>
                <w:rFonts w:asciiTheme="minorHAnsi" w:hAnsiTheme="minorHAnsi" w:cstheme="minorHAnsi"/>
                <w:iCs/>
                <w:color w:val="auto"/>
                <w:sz w:val="24"/>
                <w:szCs w:val="24"/>
              </w:rPr>
              <w:t>2014)</w:t>
            </w:r>
            <w:r w:rsidRPr="00EC27D6">
              <w:rPr>
                <w:rFonts w:asciiTheme="minorHAnsi" w:hAnsiTheme="minorHAnsi" w:cstheme="minorHAnsi"/>
                <w:iCs/>
                <w:color w:val="auto"/>
                <w:sz w:val="24"/>
                <w:szCs w:val="24"/>
              </w:rPr>
              <w:t xml:space="preserve"> Under Part 7, section 130(4) defines a child at risk as one who is “experiencing or is at risk of abuse, neglect, or other types of harm.” Thresholds for intervention require professional judgment regarding the child’s safety and wellbeing. The Children Act 1989 complements this framework, particularly for section 47 investigations, which assess significant harm or risk of harm. </w:t>
            </w:r>
            <w:r w:rsidR="00396676" w:rsidRPr="00396676">
              <w:rPr>
                <w:rFonts w:asciiTheme="minorHAnsi" w:hAnsiTheme="minorHAnsi" w:cstheme="minorHAnsi"/>
                <w:iCs/>
                <w:color w:val="auto"/>
                <w:sz w:val="24"/>
                <w:szCs w:val="24"/>
              </w:rPr>
              <w:t>The SSWB(W)A</w:t>
            </w:r>
            <w:r w:rsidR="005C2F67">
              <w:rPr>
                <w:rFonts w:asciiTheme="minorHAnsi" w:hAnsiTheme="minorHAnsi" w:cstheme="minorHAnsi"/>
                <w:iCs/>
                <w:color w:val="auto"/>
                <w:sz w:val="24"/>
                <w:szCs w:val="24"/>
              </w:rPr>
              <w:t xml:space="preserve"> </w:t>
            </w:r>
            <w:r w:rsidR="00396676" w:rsidRPr="00396676">
              <w:rPr>
                <w:rFonts w:asciiTheme="minorHAnsi" w:hAnsiTheme="minorHAnsi" w:cstheme="minorHAnsi"/>
                <w:iCs/>
                <w:color w:val="auto"/>
                <w:sz w:val="24"/>
                <w:szCs w:val="24"/>
              </w:rPr>
              <w:t>2014 prioritises</w:t>
            </w:r>
            <w:r w:rsidRPr="00EC27D6">
              <w:rPr>
                <w:rFonts w:asciiTheme="minorHAnsi" w:hAnsiTheme="minorHAnsi" w:cstheme="minorHAnsi"/>
                <w:iCs/>
                <w:color w:val="auto"/>
                <w:sz w:val="24"/>
                <w:szCs w:val="24"/>
              </w:rPr>
              <w:t xml:space="preserve"> wellbeing—physical, emotional, social, and behavioural development</w:t>
            </w:r>
            <w:r w:rsidR="00552ED3">
              <w:rPr>
                <w:rFonts w:asciiTheme="minorHAnsi" w:hAnsiTheme="minorHAnsi" w:cstheme="minorHAnsi"/>
                <w:iCs/>
                <w:color w:val="auto"/>
                <w:sz w:val="24"/>
                <w:szCs w:val="24"/>
              </w:rPr>
              <w:t xml:space="preserve"> which a</w:t>
            </w:r>
            <w:r w:rsidRPr="00EC27D6">
              <w:rPr>
                <w:rFonts w:asciiTheme="minorHAnsi" w:hAnsiTheme="minorHAnsi" w:cstheme="minorHAnsi"/>
                <w:iCs/>
                <w:color w:val="auto"/>
                <w:sz w:val="24"/>
                <w:szCs w:val="24"/>
              </w:rPr>
              <w:t xml:space="preserve">ligns with the principles of the UNCRC and requires a shift from a purely welfare-focused approach to a holistic consideration of the child’s wellbeing (Doherty, 2016). </w:t>
            </w:r>
          </w:p>
          <w:p w14:paraId="4ABCF8FD" w14:textId="77777777" w:rsidR="00F062EC" w:rsidRDefault="00F062EC" w:rsidP="00EC27D6">
            <w:pPr>
              <w:jc w:val="both"/>
              <w:rPr>
                <w:rFonts w:asciiTheme="minorHAnsi" w:hAnsiTheme="minorHAnsi" w:cstheme="minorHAnsi"/>
                <w:iCs/>
                <w:color w:val="auto"/>
                <w:sz w:val="24"/>
                <w:szCs w:val="24"/>
              </w:rPr>
            </w:pPr>
          </w:p>
          <w:p w14:paraId="0CF3B7EF" w14:textId="731A15A3" w:rsidR="00EC27D6"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The local safeguarding structure in Wales, with six regional safeguarding boards overseen by a National Safeguarding Board, ensures that multi-agency collaboration is embedded into the process, emphasizing shared accountability for protecting children at risk of harm (</w:t>
            </w:r>
            <w:r w:rsidR="004630F5" w:rsidRPr="004630F5">
              <w:rPr>
                <w:rFonts w:asciiTheme="minorHAnsi" w:hAnsiTheme="minorHAnsi" w:cstheme="minorHAnsi"/>
                <w:iCs/>
                <w:color w:val="auto"/>
                <w:sz w:val="24"/>
                <w:szCs w:val="24"/>
              </w:rPr>
              <w:t>SSWB(W)A</w:t>
            </w:r>
            <w:r w:rsidR="005C2F67">
              <w:rPr>
                <w:rFonts w:asciiTheme="minorHAnsi" w:hAnsiTheme="minorHAnsi" w:cstheme="minorHAnsi"/>
                <w:iCs/>
                <w:color w:val="auto"/>
                <w:sz w:val="24"/>
                <w:szCs w:val="24"/>
              </w:rPr>
              <w:t xml:space="preserve"> </w:t>
            </w:r>
            <w:r w:rsidR="004630F5" w:rsidRPr="004630F5">
              <w:rPr>
                <w:rFonts w:asciiTheme="minorHAnsi" w:hAnsiTheme="minorHAnsi" w:cstheme="minorHAnsi"/>
                <w:iCs/>
                <w:color w:val="auto"/>
                <w:sz w:val="24"/>
                <w:szCs w:val="24"/>
              </w:rPr>
              <w:t>2014</w:t>
            </w:r>
            <w:r w:rsidRPr="004630F5">
              <w:rPr>
                <w:rFonts w:asciiTheme="minorHAnsi" w:hAnsiTheme="minorHAnsi" w:cstheme="minorHAnsi"/>
                <w:iCs/>
                <w:color w:val="auto"/>
                <w:sz w:val="24"/>
                <w:szCs w:val="24"/>
              </w:rPr>
              <w:t>, s</w:t>
            </w:r>
            <w:r w:rsidRPr="00EC27D6">
              <w:rPr>
                <w:rFonts w:asciiTheme="minorHAnsi" w:hAnsiTheme="minorHAnsi" w:cstheme="minorHAnsi"/>
                <w:iCs/>
                <w:color w:val="auto"/>
                <w:sz w:val="24"/>
                <w:szCs w:val="24"/>
              </w:rPr>
              <w:t>.134–135). The Wales Safeguarding Procedures (2019) provide clear guidance on timescales for assessments and joint investigations, reinforcing that early intervention is critical in preventing escalation of harm. In comparison to England, the Welsh framework places stronger emphasis on wellbeing as opposed to welfare, integrating a rights-based approach consistent with Article 18 of the UNCRC, which encourages supporting children to remain with parents wherever possible. The interface with UK-wide obligations, such as the Children Act 1989, and international conventions like the UNCRC, creates a layered framework that demands social workers integrate multiple legislative and policy perspectives into their professional judgment.</w:t>
            </w:r>
          </w:p>
          <w:p w14:paraId="0BDA360C" w14:textId="77777777" w:rsidR="00EC27D6" w:rsidRPr="00EC27D6" w:rsidRDefault="00EC27D6" w:rsidP="00EC27D6">
            <w:pPr>
              <w:jc w:val="both"/>
              <w:rPr>
                <w:rFonts w:asciiTheme="minorHAnsi" w:hAnsiTheme="minorHAnsi" w:cstheme="minorHAnsi"/>
                <w:iCs/>
                <w:color w:val="auto"/>
                <w:sz w:val="24"/>
                <w:szCs w:val="24"/>
              </w:rPr>
            </w:pPr>
          </w:p>
          <w:p w14:paraId="6DF8DA3F" w14:textId="4F8FB9DF" w:rsidR="009C074B"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lastRenderedPageBreak/>
              <w:t>The family had a</w:t>
            </w:r>
            <w:r w:rsidR="000505AB">
              <w:rPr>
                <w:rFonts w:asciiTheme="minorHAnsi" w:hAnsiTheme="minorHAnsi" w:cstheme="minorHAnsi"/>
                <w:iCs/>
                <w:color w:val="auto"/>
                <w:sz w:val="24"/>
                <w:szCs w:val="24"/>
              </w:rPr>
              <w:t xml:space="preserve"> longstanding</w:t>
            </w:r>
            <w:r w:rsidRPr="00EC27D6">
              <w:rPr>
                <w:rFonts w:asciiTheme="minorHAnsi" w:hAnsiTheme="minorHAnsi" w:cstheme="minorHAnsi"/>
                <w:iCs/>
                <w:color w:val="auto"/>
                <w:sz w:val="24"/>
                <w:szCs w:val="24"/>
              </w:rPr>
              <w:t xml:space="preserve"> history of involvement with social services, and structured support was previously offered to</w:t>
            </w:r>
            <w:r w:rsidR="00A63F41">
              <w:rPr>
                <w:rFonts w:asciiTheme="minorHAnsi" w:hAnsiTheme="minorHAnsi" w:cstheme="minorHAnsi"/>
                <w:iCs/>
                <w:color w:val="auto"/>
                <w:sz w:val="24"/>
                <w:szCs w:val="24"/>
              </w:rPr>
              <w:t xml:space="preserve"> per</w:t>
            </w:r>
            <w:r w:rsidR="000505AB">
              <w:rPr>
                <w:rFonts w:asciiTheme="minorHAnsi" w:hAnsiTheme="minorHAnsi" w:cstheme="minorHAnsi"/>
                <w:iCs/>
                <w:color w:val="auto"/>
                <w:sz w:val="24"/>
                <w:szCs w:val="24"/>
              </w:rPr>
              <w:t>son</w:t>
            </w:r>
            <w:r w:rsidRPr="00EC27D6">
              <w:rPr>
                <w:rFonts w:asciiTheme="minorHAnsi" w:hAnsiTheme="minorHAnsi" w:cstheme="minorHAnsi"/>
                <w:iCs/>
                <w:color w:val="auto"/>
                <w:sz w:val="24"/>
                <w:szCs w:val="24"/>
              </w:rPr>
              <w:t xml:space="preserve"> </w:t>
            </w:r>
            <w:r w:rsidR="00A63F41">
              <w:rPr>
                <w:rFonts w:asciiTheme="minorHAnsi" w:hAnsiTheme="minorHAnsi" w:cstheme="minorHAnsi"/>
                <w:iCs/>
                <w:color w:val="auto"/>
                <w:sz w:val="24"/>
                <w:szCs w:val="24"/>
              </w:rPr>
              <w:t xml:space="preserve">3 </w:t>
            </w:r>
            <w:r w:rsidRPr="00EC27D6">
              <w:rPr>
                <w:rFonts w:asciiTheme="minorHAnsi" w:hAnsiTheme="minorHAnsi" w:cstheme="minorHAnsi"/>
                <w:iCs/>
                <w:color w:val="auto"/>
                <w:sz w:val="24"/>
                <w:szCs w:val="24"/>
              </w:rPr>
              <w:t xml:space="preserve">to improve home conditions. However, these improvements were inconsistently maintained, raising concerns about her capacity to prioritise the children’s needs. </w:t>
            </w:r>
            <w:r w:rsidR="000505AB">
              <w:rPr>
                <w:rFonts w:asciiTheme="minorHAnsi" w:hAnsiTheme="minorHAnsi" w:cstheme="minorHAnsi"/>
                <w:iCs/>
                <w:color w:val="auto"/>
                <w:sz w:val="24"/>
                <w:szCs w:val="24"/>
              </w:rPr>
              <w:t>Person 3</w:t>
            </w:r>
            <w:r w:rsidRPr="00EC27D6">
              <w:rPr>
                <w:rFonts w:asciiTheme="minorHAnsi" w:hAnsiTheme="minorHAnsi" w:cstheme="minorHAnsi"/>
                <w:iCs/>
                <w:color w:val="auto"/>
                <w:sz w:val="24"/>
                <w:szCs w:val="24"/>
              </w:rPr>
              <w:t xml:space="preserve"> claimed to be a victim of domestic abuse, which was unsubstantiated by police records, while </w:t>
            </w:r>
            <w:r w:rsidR="000505AB">
              <w:rPr>
                <w:rFonts w:asciiTheme="minorHAnsi" w:hAnsiTheme="minorHAnsi" w:cstheme="minorHAnsi"/>
                <w:iCs/>
                <w:color w:val="auto"/>
                <w:sz w:val="24"/>
                <w:szCs w:val="24"/>
              </w:rPr>
              <w:t xml:space="preserve">person 4 </w:t>
            </w:r>
            <w:r w:rsidRPr="00EC27D6">
              <w:rPr>
                <w:rFonts w:asciiTheme="minorHAnsi" w:hAnsiTheme="minorHAnsi" w:cstheme="minorHAnsi"/>
                <w:iCs/>
                <w:color w:val="auto"/>
                <w:sz w:val="24"/>
                <w:szCs w:val="24"/>
              </w:rPr>
              <w:t xml:space="preserve">alleged that </w:t>
            </w:r>
            <w:r w:rsidR="00A82816">
              <w:rPr>
                <w:rFonts w:asciiTheme="minorHAnsi" w:hAnsiTheme="minorHAnsi" w:cstheme="minorHAnsi"/>
                <w:iCs/>
                <w:color w:val="auto"/>
                <w:sz w:val="24"/>
                <w:szCs w:val="24"/>
              </w:rPr>
              <w:t>person 3</w:t>
            </w:r>
            <w:r w:rsidRPr="00EC27D6">
              <w:rPr>
                <w:rFonts w:asciiTheme="minorHAnsi" w:hAnsiTheme="minorHAnsi" w:cstheme="minorHAnsi"/>
                <w:iCs/>
                <w:color w:val="auto"/>
                <w:sz w:val="24"/>
                <w:szCs w:val="24"/>
              </w:rPr>
              <w:t xml:space="preserve"> used child</w:t>
            </w:r>
            <w:r w:rsidR="00636CE2">
              <w:rPr>
                <w:rFonts w:asciiTheme="minorHAnsi" w:hAnsiTheme="minorHAnsi" w:cstheme="minorHAnsi"/>
                <w:iCs/>
                <w:color w:val="auto"/>
                <w:sz w:val="24"/>
                <w:szCs w:val="24"/>
              </w:rPr>
              <w:t xml:space="preserve"> 1 and 2</w:t>
            </w:r>
            <w:r w:rsidRPr="00EC27D6">
              <w:rPr>
                <w:rFonts w:asciiTheme="minorHAnsi" w:hAnsiTheme="minorHAnsi" w:cstheme="minorHAnsi"/>
                <w:iCs/>
                <w:color w:val="auto"/>
                <w:sz w:val="24"/>
                <w:szCs w:val="24"/>
              </w:rPr>
              <w:t xml:space="preserve"> as tools in parental conflict. Under the Domestic Abuse Act (2021, s.3), children exposed to domestic abuse are considered </w:t>
            </w:r>
            <w:proofErr w:type="gramStart"/>
            <w:r w:rsidRPr="00EC27D6">
              <w:rPr>
                <w:rFonts w:asciiTheme="minorHAnsi" w:hAnsiTheme="minorHAnsi" w:cstheme="minorHAnsi"/>
                <w:iCs/>
                <w:color w:val="auto"/>
                <w:sz w:val="24"/>
                <w:szCs w:val="24"/>
              </w:rPr>
              <w:t>victims in their own right</w:t>
            </w:r>
            <w:proofErr w:type="gramEnd"/>
            <w:r w:rsidRPr="00EC27D6">
              <w:rPr>
                <w:rFonts w:asciiTheme="minorHAnsi" w:hAnsiTheme="minorHAnsi" w:cstheme="minorHAnsi"/>
                <w:iCs/>
                <w:color w:val="auto"/>
                <w:sz w:val="24"/>
                <w:szCs w:val="24"/>
              </w:rPr>
              <w:t xml:space="preserve">. When the police removed </w:t>
            </w:r>
            <w:r w:rsidR="00A82816">
              <w:rPr>
                <w:rFonts w:asciiTheme="minorHAnsi" w:hAnsiTheme="minorHAnsi" w:cstheme="minorHAnsi"/>
                <w:iCs/>
                <w:color w:val="auto"/>
                <w:sz w:val="24"/>
                <w:szCs w:val="24"/>
              </w:rPr>
              <w:t>child 1 and child 2</w:t>
            </w:r>
            <w:r w:rsidRPr="00EC27D6">
              <w:rPr>
                <w:rFonts w:asciiTheme="minorHAnsi" w:hAnsiTheme="minorHAnsi" w:cstheme="minorHAnsi"/>
                <w:iCs/>
                <w:color w:val="auto"/>
                <w:sz w:val="24"/>
                <w:szCs w:val="24"/>
              </w:rPr>
              <w:t xml:space="preserve"> following a domestic incident, </w:t>
            </w:r>
            <w:r w:rsidR="00636CE2">
              <w:rPr>
                <w:rFonts w:asciiTheme="minorHAnsi" w:hAnsiTheme="minorHAnsi" w:cstheme="minorHAnsi"/>
                <w:iCs/>
                <w:color w:val="auto"/>
                <w:sz w:val="24"/>
                <w:szCs w:val="24"/>
              </w:rPr>
              <w:t xml:space="preserve">person 3 </w:t>
            </w:r>
            <w:r w:rsidRPr="00EC27D6">
              <w:rPr>
                <w:rFonts w:asciiTheme="minorHAnsi" w:hAnsiTheme="minorHAnsi" w:cstheme="minorHAnsi"/>
                <w:iCs/>
                <w:color w:val="auto"/>
                <w:sz w:val="24"/>
                <w:szCs w:val="24"/>
              </w:rPr>
              <w:t>was arrested for neglect. Reflecting critically, there was a tension between recognizing the need for safeguarding action and empathi</w:t>
            </w:r>
            <w:r w:rsidR="00A82816">
              <w:rPr>
                <w:rFonts w:asciiTheme="minorHAnsi" w:hAnsiTheme="minorHAnsi" w:cstheme="minorHAnsi"/>
                <w:iCs/>
                <w:color w:val="auto"/>
                <w:sz w:val="24"/>
                <w:szCs w:val="24"/>
              </w:rPr>
              <w:t>s</w:t>
            </w:r>
            <w:r w:rsidRPr="00EC27D6">
              <w:rPr>
                <w:rFonts w:asciiTheme="minorHAnsi" w:hAnsiTheme="minorHAnsi" w:cstheme="minorHAnsi"/>
                <w:iCs/>
                <w:color w:val="auto"/>
                <w:sz w:val="24"/>
                <w:szCs w:val="24"/>
              </w:rPr>
              <w:t xml:space="preserve">ing with </w:t>
            </w:r>
            <w:r w:rsidR="00A82816">
              <w:rPr>
                <w:rFonts w:asciiTheme="minorHAnsi" w:hAnsiTheme="minorHAnsi" w:cstheme="minorHAnsi"/>
                <w:iCs/>
                <w:color w:val="auto"/>
                <w:sz w:val="24"/>
                <w:szCs w:val="24"/>
              </w:rPr>
              <w:t>person 3</w:t>
            </w:r>
            <w:r w:rsidRPr="00EC27D6">
              <w:rPr>
                <w:rFonts w:asciiTheme="minorHAnsi" w:hAnsiTheme="minorHAnsi" w:cstheme="minorHAnsi"/>
                <w:iCs/>
                <w:color w:val="auto"/>
                <w:sz w:val="24"/>
                <w:szCs w:val="24"/>
              </w:rPr>
              <w:t xml:space="preserve">’s distress. </w:t>
            </w:r>
            <w:r w:rsidR="00833DA5">
              <w:rPr>
                <w:rFonts w:asciiTheme="minorHAnsi" w:hAnsiTheme="minorHAnsi" w:cstheme="minorHAnsi"/>
                <w:iCs/>
                <w:color w:val="auto"/>
                <w:sz w:val="24"/>
                <w:szCs w:val="24"/>
              </w:rPr>
              <w:t>Person 3’s</w:t>
            </w:r>
            <w:r w:rsidRPr="00EC27D6">
              <w:rPr>
                <w:rFonts w:asciiTheme="minorHAnsi" w:hAnsiTheme="minorHAnsi" w:cstheme="minorHAnsi"/>
                <w:iCs/>
                <w:color w:val="auto"/>
                <w:sz w:val="24"/>
                <w:szCs w:val="24"/>
              </w:rPr>
              <w:t xml:space="preserve"> mental health may have influenced the home conditions observed, highlighting the importance of integrated support services. </w:t>
            </w:r>
          </w:p>
          <w:p w14:paraId="7D21C8CF" w14:textId="77777777" w:rsidR="009C074B" w:rsidRDefault="009C074B" w:rsidP="00EC27D6">
            <w:pPr>
              <w:jc w:val="both"/>
              <w:rPr>
                <w:rFonts w:asciiTheme="minorHAnsi" w:hAnsiTheme="minorHAnsi" w:cstheme="minorHAnsi"/>
                <w:iCs/>
                <w:color w:val="auto"/>
                <w:sz w:val="24"/>
                <w:szCs w:val="24"/>
              </w:rPr>
            </w:pPr>
          </w:p>
          <w:p w14:paraId="1128EF82" w14:textId="7E7EFE56" w:rsidR="00C61A8C"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 xml:space="preserve">In some Welsh authorities, parental mental health social workers work alongside children’s services to provide holistic assessments and interventions. This integrated approach exemplifies higher-level preventative practice, aiming to address risk factors before harm escalates. The arrest illustrates the inherent power dynamics in social work, as </w:t>
            </w:r>
            <w:r w:rsidR="00833DA5">
              <w:rPr>
                <w:rFonts w:asciiTheme="minorHAnsi" w:hAnsiTheme="minorHAnsi" w:cstheme="minorHAnsi"/>
                <w:iCs/>
                <w:color w:val="auto"/>
                <w:sz w:val="24"/>
                <w:szCs w:val="24"/>
              </w:rPr>
              <w:t>person 3</w:t>
            </w:r>
            <w:r w:rsidRPr="00EC27D6">
              <w:rPr>
                <w:rFonts w:asciiTheme="minorHAnsi" w:hAnsiTheme="minorHAnsi" w:cstheme="minorHAnsi"/>
                <w:iCs/>
                <w:color w:val="auto"/>
                <w:sz w:val="24"/>
                <w:szCs w:val="24"/>
              </w:rPr>
              <w:t xml:space="preserve"> lost autonomy while professionals were mandated to act decisively to protect </w:t>
            </w:r>
            <w:r w:rsidR="00D42539">
              <w:rPr>
                <w:rFonts w:asciiTheme="minorHAnsi" w:hAnsiTheme="minorHAnsi" w:cstheme="minorHAnsi"/>
                <w:iCs/>
                <w:color w:val="auto"/>
                <w:sz w:val="24"/>
                <w:szCs w:val="24"/>
              </w:rPr>
              <w:t>child 1 and child 2</w:t>
            </w:r>
            <w:r w:rsidRPr="00EC27D6">
              <w:rPr>
                <w:rFonts w:asciiTheme="minorHAnsi" w:hAnsiTheme="minorHAnsi" w:cstheme="minorHAnsi"/>
                <w:iCs/>
                <w:color w:val="auto"/>
                <w:sz w:val="24"/>
                <w:szCs w:val="24"/>
              </w:rPr>
              <w:t xml:space="preserve">. Reflecting critically, the emotional impact on </w:t>
            </w:r>
            <w:r w:rsidR="00D42539">
              <w:rPr>
                <w:rFonts w:asciiTheme="minorHAnsi" w:hAnsiTheme="minorHAnsi" w:cstheme="minorHAnsi"/>
                <w:iCs/>
                <w:color w:val="auto"/>
                <w:sz w:val="24"/>
                <w:szCs w:val="24"/>
              </w:rPr>
              <w:t>person 3</w:t>
            </w:r>
            <w:r w:rsidRPr="00EC27D6">
              <w:rPr>
                <w:rFonts w:asciiTheme="minorHAnsi" w:hAnsiTheme="minorHAnsi" w:cstheme="minorHAnsi"/>
                <w:iCs/>
                <w:color w:val="auto"/>
                <w:sz w:val="24"/>
                <w:szCs w:val="24"/>
              </w:rPr>
              <w:t xml:space="preserve"> and her potential feelings of disempowerment were considered, underscoring the need for careful reflective practice and ethical decision-making.</w:t>
            </w:r>
          </w:p>
          <w:p w14:paraId="3482337E" w14:textId="77777777" w:rsidR="00193938" w:rsidRDefault="00193938" w:rsidP="00EC27D6">
            <w:pPr>
              <w:jc w:val="both"/>
              <w:rPr>
                <w:rFonts w:asciiTheme="minorHAnsi" w:hAnsiTheme="minorHAnsi" w:cstheme="minorHAnsi"/>
                <w:iCs/>
                <w:color w:val="auto"/>
                <w:sz w:val="24"/>
                <w:szCs w:val="24"/>
              </w:rPr>
            </w:pPr>
          </w:p>
          <w:p w14:paraId="5F9E15BB" w14:textId="3D8271CB" w:rsidR="00C61A8C" w:rsidRDefault="00666618" w:rsidP="00C61A8C">
            <w:pPr>
              <w:jc w:val="both"/>
              <w:rPr>
                <w:rFonts w:asciiTheme="minorHAnsi" w:hAnsiTheme="minorHAnsi" w:cstheme="minorHAnsi"/>
                <w:iCs/>
                <w:color w:val="auto"/>
                <w:sz w:val="24"/>
                <w:szCs w:val="24"/>
              </w:rPr>
            </w:pPr>
            <w:r>
              <w:rPr>
                <w:rFonts w:asciiTheme="minorHAnsi" w:hAnsiTheme="minorHAnsi" w:cstheme="minorHAnsi"/>
                <w:iCs/>
                <w:color w:val="auto"/>
                <w:sz w:val="24"/>
                <w:szCs w:val="24"/>
              </w:rPr>
              <w:t xml:space="preserve">Using </w:t>
            </w:r>
            <w:r w:rsidR="00C61A8C" w:rsidRPr="00C61A8C">
              <w:rPr>
                <w:rFonts w:asciiTheme="minorHAnsi" w:hAnsiTheme="minorHAnsi" w:cstheme="minorHAnsi"/>
                <w:iCs/>
                <w:color w:val="auto"/>
                <w:sz w:val="24"/>
                <w:szCs w:val="24"/>
              </w:rPr>
              <w:t>Reflective Practice &amp; Professional Judgment (Code of Professional Practice, 2018)</w:t>
            </w:r>
            <w:r w:rsidR="00193938">
              <w:rPr>
                <w:rFonts w:asciiTheme="minorHAnsi" w:hAnsiTheme="minorHAnsi" w:cstheme="minorHAnsi"/>
                <w:iCs/>
                <w:color w:val="auto"/>
                <w:sz w:val="24"/>
                <w:szCs w:val="24"/>
              </w:rPr>
              <w:t xml:space="preserve"> </w:t>
            </w:r>
            <w:r w:rsidR="00C61A8C" w:rsidRPr="00C61A8C">
              <w:rPr>
                <w:rFonts w:asciiTheme="minorHAnsi" w:hAnsiTheme="minorHAnsi" w:cstheme="minorHAnsi"/>
                <w:iCs/>
                <w:color w:val="auto"/>
                <w:sz w:val="24"/>
                <w:szCs w:val="24"/>
              </w:rPr>
              <w:t>Example in practice</w:t>
            </w:r>
            <w:r w:rsidR="00197CC1">
              <w:rPr>
                <w:rFonts w:asciiTheme="minorHAnsi" w:hAnsiTheme="minorHAnsi" w:cstheme="minorHAnsi"/>
                <w:iCs/>
                <w:color w:val="auto"/>
                <w:sz w:val="24"/>
                <w:szCs w:val="24"/>
              </w:rPr>
              <w:t xml:space="preserve"> in this case</w:t>
            </w:r>
            <w:r w:rsidR="00C61A8C" w:rsidRPr="00C61A8C">
              <w:rPr>
                <w:rFonts w:asciiTheme="minorHAnsi" w:hAnsiTheme="minorHAnsi" w:cstheme="minorHAnsi"/>
                <w:iCs/>
                <w:color w:val="auto"/>
                <w:sz w:val="24"/>
                <w:szCs w:val="24"/>
              </w:rPr>
              <w:t>:</w:t>
            </w:r>
            <w:r w:rsidR="00997F7D">
              <w:rPr>
                <w:rFonts w:asciiTheme="minorHAnsi" w:hAnsiTheme="minorHAnsi" w:cstheme="minorHAnsi"/>
                <w:iCs/>
                <w:color w:val="auto"/>
                <w:sz w:val="24"/>
                <w:szCs w:val="24"/>
              </w:rPr>
              <w:t xml:space="preserve"> </w:t>
            </w:r>
            <w:r w:rsidR="00C61A8C" w:rsidRPr="00C61A8C">
              <w:rPr>
                <w:rFonts w:asciiTheme="minorHAnsi" w:hAnsiTheme="minorHAnsi" w:cstheme="minorHAnsi"/>
                <w:iCs/>
                <w:color w:val="auto"/>
                <w:sz w:val="24"/>
                <w:szCs w:val="24"/>
              </w:rPr>
              <w:t>I</w:t>
            </w:r>
            <w:r w:rsidR="00495FBE">
              <w:rPr>
                <w:rFonts w:asciiTheme="minorHAnsi" w:hAnsiTheme="minorHAnsi" w:cstheme="minorHAnsi"/>
                <w:iCs/>
                <w:color w:val="auto"/>
                <w:sz w:val="24"/>
                <w:szCs w:val="24"/>
              </w:rPr>
              <w:t xml:space="preserve">t </w:t>
            </w:r>
            <w:r w:rsidR="00C61A8C" w:rsidRPr="00C61A8C">
              <w:rPr>
                <w:rFonts w:asciiTheme="minorHAnsi" w:hAnsiTheme="minorHAnsi" w:cstheme="minorHAnsi"/>
                <w:iCs/>
                <w:color w:val="auto"/>
                <w:sz w:val="24"/>
                <w:szCs w:val="24"/>
              </w:rPr>
              <w:t xml:space="preserve">had to </w:t>
            </w:r>
            <w:r w:rsidR="00495FBE">
              <w:rPr>
                <w:rFonts w:asciiTheme="minorHAnsi" w:hAnsiTheme="minorHAnsi" w:cstheme="minorHAnsi"/>
                <w:iCs/>
                <w:color w:val="auto"/>
                <w:sz w:val="24"/>
                <w:szCs w:val="24"/>
              </w:rPr>
              <w:t xml:space="preserve">be </w:t>
            </w:r>
            <w:r w:rsidR="00C61A8C" w:rsidRPr="00C61A8C">
              <w:rPr>
                <w:rFonts w:asciiTheme="minorHAnsi" w:hAnsiTheme="minorHAnsi" w:cstheme="minorHAnsi"/>
                <w:iCs/>
                <w:color w:val="auto"/>
                <w:sz w:val="24"/>
                <w:szCs w:val="24"/>
              </w:rPr>
              <w:t>decide</w:t>
            </w:r>
            <w:r w:rsidR="00495FBE">
              <w:rPr>
                <w:rFonts w:asciiTheme="minorHAnsi" w:hAnsiTheme="minorHAnsi" w:cstheme="minorHAnsi"/>
                <w:iCs/>
                <w:color w:val="auto"/>
                <w:sz w:val="24"/>
                <w:szCs w:val="24"/>
              </w:rPr>
              <w:t>d</w:t>
            </w:r>
            <w:r w:rsidR="00C61A8C" w:rsidRPr="00C61A8C">
              <w:rPr>
                <w:rFonts w:asciiTheme="minorHAnsi" w:hAnsiTheme="minorHAnsi" w:cstheme="minorHAnsi"/>
                <w:iCs/>
                <w:color w:val="auto"/>
                <w:sz w:val="24"/>
                <w:szCs w:val="24"/>
              </w:rPr>
              <w:t xml:space="preserve"> whether to escalate concerns </w:t>
            </w:r>
            <w:r w:rsidR="005847EF">
              <w:rPr>
                <w:rFonts w:asciiTheme="minorHAnsi" w:hAnsiTheme="minorHAnsi" w:cstheme="minorHAnsi"/>
                <w:iCs/>
                <w:color w:val="auto"/>
                <w:sz w:val="24"/>
                <w:szCs w:val="24"/>
              </w:rPr>
              <w:t xml:space="preserve">from a </w:t>
            </w:r>
            <w:r w:rsidR="00C61A8C" w:rsidRPr="00C61A8C">
              <w:rPr>
                <w:rFonts w:asciiTheme="minorHAnsi" w:hAnsiTheme="minorHAnsi" w:cstheme="minorHAnsi"/>
                <w:iCs/>
                <w:color w:val="auto"/>
                <w:sz w:val="24"/>
                <w:szCs w:val="24"/>
              </w:rPr>
              <w:t>Section 47 investigation</w:t>
            </w:r>
            <w:r w:rsidR="005847EF">
              <w:rPr>
                <w:rFonts w:asciiTheme="minorHAnsi" w:hAnsiTheme="minorHAnsi" w:cstheme="minorHAnsi"/>
                <w:iCs/>
                <w:color w:val="auto"/>
                <w:sz w:val="24"/>
                <w:szCs w:val="24"/>
              </w:rPr>
              <w:t xml:space="preserve"> and</w:t>
            </w:r>
            <w:r w:rsidR="00075293">
              <w:rPr>
                <w:rFonts w:asciiTheme="minorHAnsi" w:hAnsiTheme="minorHAnsi" w:cstheme="minorHAnsi"/>
                <w:iCs/>
                <w:color w:val="auto"/>
                <w:sz w:val="24"/>
                <w:szCs w:val="24"/>
              </w:rPr>
              <w:t xml:space="preserve"> progress</w:t>
            </w:r>
            <w:r w:rsidR="005847EF">
              <w:rPr>
                <w:rFonts w:asciiTheme="minorHAnsi" w:hAnsiTheme="minorHAnsi" w:cstheme="minorHAnsi"/>
                <w:iCs/>
                <w:color w:val="auto"/>
                <w:sz w:val="24"/>
                <w:szCs w:val="24"/>
              </w:rPr>
              <w:t xml:space="preserve"> to a child protection plan</w:t>
            </w:r>
            <w:r w:rsidR="00197CC1">
              <w:rPr>
                <w:rFonts w:asciiTheme="minorHAnsi" w:hAnsiTheme="minorHAnsi" w:cstheme="minorHAnsi"/>
                <w:iCs/>
                <w:color w:val="auto"/>
                <w:sz w:val="24"/>
                <w:szCs w:val="24"/>
              </w:rPr>
              <w:t xml:space="preserve"> or seek legal advice</w:t>
            </w:r>
            <w:r w:rsidR="00C61A8C" w:rsidRPr="00C61A8C">
              <w:rPr>
                <w:rFonts w:asciiTheme="minorHAnsi" w:hAnsiTheme="minorHAnsi" w:cstheme="minorHAnsi"/>
                <w:iCs/>
                <w:color w:val="auto"/>
                <w:sz w:val="24"/>
                <w:szCs w:val="24"/>
              </w:rPr>
              <w:t>. Using reflective practice, I weighed</w:t>
            </w:r>
            <w:r w:rsidR="00184866">
              <w:rPr>
                <w:rFonts w:asciiTheme="minorHAnsi" w:hAnsiTheme="minorHAnsi" w:cstheme="minorHAnsi"/>
                <w:iCs/>
                <w:color w:val="auto"/>
                <w:sz w:val="24"/>
                <w:szCs w:val="24"/>
              </w:rPr>
              <w:t xml:space="preserve"> up </w:t>
            </w:r>
            <w:r w:rsidR="00C61A8C" w:rsidRPr="00C61A8C">
              <w:rPr>
                <w:rFonts w:asciiTheme="minorHAnsi" w:hAnsiTheme="minorHAnsi" w:cstheme="minorHAnsi"/>
                <w:iCs/>
                <w:color w:val="auto"/>
                <w:sz w:val="24"/>
                <w:szCs w:val="24"/>
              </w:rPr>
              <w:t xml:space="preserve">the children’s immediate physical risk, </w:t>
            </w:r>
            <w:r w:rsidR="00075293">
              <w:rPr>
                <w:rFonts w:asciiTheme="minorHAnsi" w:hAnsiTheme="minorHAnsi" w:cstheme="minorHAnsi"/>
                <w:iCs/>
                <w:color w:val="auto"/>
                <w:sz w:val="24"/>
                <w:szCs w:val="24"/>
              </w:rPr>
              <w:t>person 3</w:t>
            </w:r>
            <w:r w:rsidR="00C61A8C" w:rsidRPr="00C61A8C">
              <w:rPr>
                <w:rFonts w:asciiTheme="minorHAnsi" w:hAnsiTheme="minorHAnsi" w:cstheme="minorHAnsi"/>
                <w:iCs/>
                <w:color w:val="auto"/>
                <w:sz w:val="24"/>
                <w:szCs w:val="24"/>
              </w:rPr>
              <w:t xml:space="preserve">’s mental health factors, </w:t>
            </w:r>
            <w:r w:rsidR="00904642">
              <w:rPr>
                <w:rFonts w:asciiTheme="minorHAnsi" w:hAnsiTheme="minorHAnsi" w:cstheme="minorHAnsi"/>
                <w:iCs/>
                <w:color w:val="auto"/>
                <w:sz w:val="24"/>
                <w:szCs w:val="24"/>
              </w:rPr>
              <w:t xml:space="preserve">the longstanding history </w:t>
            </w:r>
            <w:r w:rsidR="00C61A8C" w:rsidRPr="00C61A8C">
              <w:rPr>
                <w:rFonts w:asciiTheme="minorHAnsi" w:hAnsiTheme="minorHAnsi" w:cstheme="minorHAnsi"/>
                <w:iCs/>
                <w:color w:val="auto"/>
                <w:sz w:val="24"/>
                <w:szCs w:val="24"/>
              </w:rPr>
              <w:t xml:space="preserve">and previous </w:t>
            </w:r>
            <w:r w:rsidR="00904642">
              <w:rPr>
                <w:rFonts w:asciiTheme="minorHAnsi" w:hAnsiTheme="minorHAnsi" w:cstheme="minorHAnsi"/>
                <w:iCs/>
                <w:color w:val="auto"/>
                <w:sz w:val="24"/>
                <w:szCs w:val="24"/>
              </w:rPr>
              <w:t xml:space="preserve">lack of </w:t>
            </w:r>
            <w:r w:rsidR="00C61A8C" w:rsidRPr="00C61A8C">
              <w:rPr>
                <w:rFonts w:asciiTheme="minorHAnsi" w:hAnsiTheme="minorHAnsi" w:cstheme="minorHAnsi"/>
                <w:iCs/>
                <w:color w:val="auto"/>
                <w:sz w:val="24"/>
                <w:szCs w:val="24"/>
              </w:rPr>
              <w:t>compliance with support.</w:t>
            </w:r>
            <w:r w:rsidR="00997F7D">
              <w:rPr>
                <w:rFonts w:asciiTheme="minorHAnsi" w:hAnsiTheme="minorHAnsi" w:cstheme="minorHAnsi"/>
                <w:iCs/>
                <w:color w:val="auto"/>
                <w:sz w:val="24"/>
                <w:szCs w:val="24"/>
              </w:rPr>
              <w:t xml:space="preserve"> </w:t>
            </w:r>
            <w:r w:rsidR="00C61A8C" w:rsidRPr="00C61A8C">
              <w:rPr>
                <w:rFonts w:asciiTheme="minorHAnsi" w:hAnsiTheme="minorHAnsi" w:cstheme="minorHAnsi"/>
                <w:iCs/>
                <w:color w:val="auto"/>
                <w:sz w:val="24"/>
                <w:szCs w:val="24"/>
              </w:rPr>
              <w:t>Intervention: Deci</w:t>
            </w:r>
            <w:r w:rsidR="00075293">
              <w:rPr>
                <w:rFonts w:asciiTheme="minorHAnsi" w:hAnsiTheme="minorHAnsi" w:cstheme="minorHAnsi"/>
                <w:iCs/>
                <w:color w:val="auto"/>
                <w:sz w:val="24"/>
                <w:szCs w:val="24"/>
              </w:rPr>
              <w:t>sion</w:t>
            </w:r>
            <w:r w:rsidR="00C61A8C" w:rsidRPr="00C61A8C">
              <w:rPr>
                <w:rFonts w:asciiTheme="minorHAnsi" w:hAnsiTheme="minorHAnsi" w:cstheme="minorHAnsi"/>
                <w:iCs/>
                <w:color w:val="auto"/>
                <w:sz w:val="24"/>
                <w:szCs w:val="24"/>
              </w:rPr>
              <w:t xml:space="preserve"> on escalation, while maintaining a respectful and non-punitive approach toward </w:t>
            </w:r>
            <w:r w:rsidR="00075293">
              <w:rPr>
                <w:rFonts w:asciiTheme="minorHAnsi" w:hAnsiTheme="minorHAnsi" w:cstheme="minorHAnsi"/>
                <w:iCs/>
                <w:color w:val="auto"/>
                <w:sz w:val="24"/>
                <w:szCs w:val="24"/>
              </w:rPr>
              <w:t>person 3</w:t>
            </w:r>
            <w:r w:rsidR="00C61A8C" w:rsidRPr="00C61A8C">
              <w:rPr>
                <w:rFonts w:asciiTheme="minorHAnsi" w:hAnsiTheme="minorHAnsi" w:cstheme="minorHAnsi"/>
                <w:iCs/>
                <w:color w:val="auto"/>
                <w:sz w:val="24"/>
                <w:szCs w:val="24"/>
              </w:rPr>
              <w:t>, in line with ethical guidance.</w:t>
            </w:r>
            <w:r w:rsidR="00997F7D">
              <w:rPr>
                <w:rFonts w:asciiTheme="minorHAnsi" w:hAnsiTheme="minorHAnsi" w:cstheme="minorHAnsi"/>
                <w:iCs/>
                <w:color w:val="auto"/>
                <w:sz w:val="24"/>
                <w:szCs w:val="24"/>
              </w:rPr>
              <w:t xml:space="preserve"> </w:t>
            </w:r>
            <w:r w:rsidR="00C61A8C" w:rsidRPr="00C61A8C">
              <w:rPr>
                <w:rFonts w:asciiTheme="minorHAnsi" w:hAnsiTheme="minorHAnsi" w:cstheme="minorHAnsi"/>
                <w:iCs/>
                <w:color w:val="auto"/>
                <w:sz w:val="24"/>
                <w:szCs w:val="24"/>
              </w:rPr>
              <w:t xml:space="preserve">Outcome: </w:t>
            </w:r>
            <w:r w:rsidR="00075293">
              <w:rPr>
                <w:rFonts w:asciiTheme="minorHAnsi" w:hAnsiTheme="minorHAnsi" w:cstheme="minorHAnsi"/>
                <w:iCs/>
                <w:color w:val="auto"/>
                <w:sz w:val="24"/>
                <w:szCs w:val="24"/>
              </w:rPr>
              <w:t xml:space="preserve">If </w:t>
            </w:r>
            <w:r w:rsidR="00997F7D">
              <w:rPr>
                <w:rFonts w:asciiTheme="minorHAnsi" w:hAnsiTheme="minorHAnsi" w:cstheme="minorHAnsi"/>
                <w:iCs/>
                <w:color w:val="auto"/>
                <w:sz w:val="24"/>
                <w:szCs w:val="24"/>
              </w:rPr>
              <w:t>person 4 had not made an application to the family court t</w:t>
            </w:r>
            <w:r w:rsidR="00C61A8C" w:rsidRPr="00C61A8C">
              <w:rPr>
                <w:rFonts w:asciiTheme="minorHAnsi" w:hAnsiTheme="minorHAnsi" w:cstheme="minorHAnsi"/>
                <w:iCs/>
                <w:color w:val="auto"/>
                <w:sz w:val="24"/>
                <w:szCs w:val="24"/>
              </w:rPr>
              <w:t xml:space="preserve">his </w:t>
            </w:r>
            <w:r w:rsidR="003E2C41">
              <w:rPr>
                <w:rFonts w:asciiTheme="minorHAnsi" w:hAnsiTheme="minorHAnsi" w:cstheme="minorHAnsi"/>
                <w:iCs/>
                <w:color w:val="auto"/>
                <w:sz w:val="24"/>
                <w:szCs w:val="24"/>
              </w:rPr>
              <w:t xml:space="preserve">set of circumstances </w:t>
            </w:r>
            <w:r w:rsidR="00997F7D">
              <w:rPr>
                <w:rFonts w:asciiTheme="minorHAnsi" w:hAnsiTheme="minorHAnsi" w:cstheme="minorHAnsi"/>
                <w:iCs/>
                <w:color w:val="auto"/>
                <w:sz w:val="24"/>
                <w:szCs w:val="24"/>
              </w:rPr>
              <w:t xml:space="preserve">would have </w:t>
            </w:r>
            <w:r w:rsidR="00C61A8C" w:rsidRPr="00C61A8C">
              <w:rPr>
                <w:rFonts w:asciiTheme="minorHAnsi" w:hAnsiTheme="minorHAnsi" w:cstheme="minorHAnsi"/>
                <w:iCs/>
                <w:color w:val="auto"/>
                <w:sz w:val="24"/>
                <w:szCs w:val="24"/>
              </w:rPr>
              <w:t>led to a Child Protection Plan</w:t>
            </w:r>
            <w:r w:rsidR="00C01203">
              <w:rPr>
                <w:rFonts w:asciiTheme="minorHAnsi" w:hAnsiTheme="minorHAnsi" w:cstheme="minorHAnsi"/>
                <w:iCs/>
                <w:color w:val="auto"/>
                <w:sz w:val="24"/>
                <w:szCs w:val="24"/>
              </w:rPr>
              <w:t xml:space="preserve"> or possibly a Legal Gateway Meeting to obtain legal advice on the matter of </w:t>
            </w:r>
            <w:r w:rsidR="00754590">
              <w:rPr>
                <w:rFonts w:asciiTheme="minorHAnsi" w:hAnsiTheme="minorHAnsi" w:cstheme="minorHAnsi"/>
                <w:iCs/>
                <w:color w:val="auto"/>
                <w:sz w:val="24"/>
                <w:szCs w:val="24"/>
              </w:rPr>
              <w:t>habitual neglect by person 3 to child 1 and child 2</w:t>
            </w:r>
            <w:r w:rsidR="00165EC4">
              <w:rPr>
                <w:rFonts w:asciiTheme="minorHAnsi" w:hAnsiTheme="minorHAnsi" w:cstheme="minorHAnsi"/>
                <w:iCs/>
                <w:color w:val="auto"/>
                <w:sz w:val="24"/>
                <w:szCs w:val="24"/>
              </w:rPr>
              <w:t>.</w:t>
            </w:r>
          </w:p>
          <w:p w14:paraId="171BC99E" w14:textId="77777777" w:rsidR="00050155" w:rsidRDefault="00050155" w:rsidP="00C61A8C">
            <w:pPr>
              <w:jc w:val="both"/>
              <w:rPr>
                <w:rFonts w:asciiTheme="minorHAnsi" w:hAnsiTheme="minorHAnsi" w:cstheme="minorHAnsi"/>
                <w:iCs/>
                <w:color w:val="auto"/>
                <w:sz w:val="24"/>
                <w:szCs w:val="24"/>
              </w:rPr>
            </w:pPr>
          </w:p>
          <w:p w14:paraId="75BE65FA" w14:textId="6F367462" w:rsidR="00050155" w:rsidRDefault="00050155" w:rsidP="00C61A8C">
            <w:pPr>
              <w:jc w:val="both"/>
              <w:rPr>
                <w:rFonts w:asciiTheme="minorHAnsi" w:hAnsiTheme="minorHAnsi" w:cstheme="minorHAnsi"/>
                <w:iCs/>
                <w:color w:val="auto"/>
                <w:sz w:val="24"/>
                <w:szCs w:val="24"/>
              </w:rPr>
            </w:pPr>
            <w:r w:rsidRPr="00050155">
              <w:rPr>
                <w:rFonts w:asciiTheme="minorHAnsi" w:hAnsiTheme="minorHAnsi" w:cstheme="minorHAnsi"/>
                <w:iCs/>
                <w:color w:val="auto"/>
                <w:sz w:val="24"/>
                <w:szCs w:val="24"/>
              </w:rPr>
              <w:t>A Legal Gateway Meeting (LGM) and pre-proceedings are early steps in family law and other legal contexts aimed at resolving disputes before formal court proceedings. Pre-proceedings involve structured attempts to address issues, such as child welfare or family disputes, without resorting to litigation, often including mediation, social work involvement, or guidance on next steps. A Legal Gateway Meeting typically follows or forms part of pre-proceedings, serving as an initial court-led review to assess whether formal legal action is necessary, clarify issues, and encourage alternative dispute resolution (Ministry of Justice, 2019). Both processes aim to minimize court intervention, ensure parties engage in reasonable efforts to resolve disputes, and provide courts with a clear record if proceedings are ultimately required (HM Courts &amp; Tribunals Service, 2023).</w:t>
            </w:r>
          </w:p>
          <w:p w14:paraId="49F03BBB" w14:textId="77777777" w:rsidR="00EC27D6" w:rsidRPr="00EC27D6" w:rsidRDefault="00EC27D6" w:rsidP="00EC27D6">
            <w:pPr>
              <w:jc w:val="both"/>
              <w:rPr>
                <w:rFonts w:asciiTheme="minorHAnsi" w:hAnsiTheme="minorHAnsi" w:cstheme="minorHAnsi"/>
                <w:iCs/>
                <w:color w:val="auto"/>
                <w:sz w:val="24"/>
                <w:szCs w:val="24"/>
              </w:rPr>
            </w:pPr>
          </w:p>
          <w:p w14:paraId="510E06EC" w14:textId="1E3D122F" w:rsidR="00EC27D6"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This case presented multiple indicators of neglect, including inadequate nutrition, poor hygiene, unsafe home conditions, and inconsistent school attendance. The presence of neglect required social workers to consider physical, emotional, and behavioural harm, as defined under the</w:t>
            </w:r>
            <w:r w:rsidR="002D61AB">
              <w:t xml:space="preserve"> </w:t>
            </w:r>
            <w:r w:rsidR="002D61AB" w:rsidRPr="002D61AB">
              <w:rPr>
                <w:rFonts w:asciiTheme="minorHAnsi" w:hAnsiTheme="minorHAnsi" w:cstheme="minorHAnsi"/>
                <w:iCs/>
                <w:color w:val="auto"/>
                <w:sz w:val="24"/>
                <w:szCs w:val="24"/>
              </w:rPr>
              <w:t>SSWB(W)A2014</w:t>
            </w:r>
            <w:r w:rsidRPr="00EC27D6">
              <w:rPr>
                <w:rFonts w:asciiTheme="minorHAnsi" w:hAnsiTheme="minorHAnsi" w:cstheme="minorHAnsi"/>
                <w:iCs/>
                <w:color w:val="auto"/>
                <w:sz w:val="24"/>
                <w:szCs w:val="24"/>
              </w:rPr>
              <w:t xml:space="preserve"> and the Children Act (1989, s.31(9)). Additionally, domestic abuse exposure was a concern, as the children’s wellbeing was compromised both directly and indirectly through parental conflict. </w:t>
            </w:r>
            <w:r w:rsidRPr="00EC27D6">
              <w:rPr>
                <w:rFonts w:asciiTheme="minorHAnsi" w:hAnsiTheme="minorHAnsi" w:cstheme="minorHAnsi"/>
                <w:iCs/>
                <w:color w:val="auto"/>
                <w:sz w:val="24"/>
                <w:szCs w:val="24"/>
              </w:rPr>
              <w:lastRenderedPageBreak/>
              <w:t>Understanding these risk factors demanded professional judgment and reflective practice, ensuring that interventions were proportionate and evidence-based (Murphy &amp; Rogers, 2019). The complexity of the case was further compounded by alleged parental</w:t>
            </w:r>
            <w:r w:rsidR="00302C7F">
              <w:rPr>
                <w:rFonts w:asciiTheme="minorHAnsi" w:hAnsiTheme="minorHAnsi" w:cstheme="minorHAnsi"/>
                <w:iCs/>
                <w:color w:val="auto"/>
                <w:sz w:val="24"/>
                <w:szCs w:val="24"/>
              </w:rPr>
              <w:t xml:space="preserve"> </w:t>
            </w:r>
            <w:r w:rsidR="000E1069">
              <w:rPr>
                <w:rFonts w:asciiTheme="minorHAnsi" w:hAnsiTheme="minorHAnsi" w:cstheme="minorHAnsi"/>
                <w:iCs/>
                <w:color w:val="auto"/>
                <w:sz w:val="24"/>
                <w:szCs w:val="24"/>
              </w:rPr>
              <w:t>attention deficit hyperactivity disorder</w:t>
            </w:r>
            <w:r w:rsidRPr="00EC27D6">
              <w:rPr>
                <w:rFonts w:asciiTheme="minorHAnsi" w:hAnsiTheme="minorHAnsi" w:cstheme="minorHAnsi"/>
                <w:iCs/>
                <w:color w:val="auto"/>
                <w:sz w:val="24"/>
                <w:szCs w:val="24"/>
              </w:rPr>
              <w:t xml:space="preserve"> </w:t>
            </w:r>
            <w:r w:rsidR="00B61511">
              <w:rPr>
                <w:rFonts w:asciiTheme="minorHAnsi" w:hAnsiTheme="minorHAnsi" w:cstheme="minorHAnsi"/>
                <w:iCs/>
                <w:color w:val="auto"/>
                <w:sz w:val="24"/>
                <w:szCs w:val="24"/>
              </w:rPr>
              <w:t>(</w:t>
            </w:r>
            <w:r w:rsidRPr="00EC27D6">
              <w:rPr>
                <w:rFonts w:asciiTheme="minorHAnsi" w:hAnsiTheme="minorHAnsi" w:cstheme="minorHAnsi"/>
                <w:iCs/>
                <w:color w:val="auto"/>
                <w:sz w:val="24"/>
                <w:szCs w:val="24"/>
              </w:rPr>
              <w:t>ADHD</w:t>
            </w:r>
            <w:r w:rsidR="00B61511">
              <w:rPr>
                <w:rFonts w:asciiTheme="minorHAnsi" w:hAnsiTheme="minorHAnsi" w:cstheme="minorHAnsi"/>
                <w:iCs/>
                <w:color w:val="auto"/>
                <w:sz w:val="24"/>
                <w:szCs w:val="24"/>
              </w:rPr>
              <w:t>)</w:t>
            </w:r>
            <w:r w:rsidRPr="00EC27D6">
              <w:rPr>
                <w:rFonts w:asciiTheme="minorHAnsi" w:hAnsiTheme="minorHAnsi" w:cstheme="minorHAnsi"/>
                <w:iCs/>
                <w:color w:val="auto"/>
                <w:sz w:val="24"/>
                <w:szCs w:val="24"/>
              </w:rPr>
              <w:t xml:space="preserve">, which required careful consideration of cognitive and behavioural capacity in parenting. While not a determinant of poor care, understanding potential neurodevelopmental factors informed both assessment and engagement strategies, particularly using motivational interviewing to support reflective </w:t>
            </w:r>
            <w:r w:rsidR="000E1069" w:rsidRPr="00EC27D6">
              <w:rPr>
                <w:rFonts w:asciiTheme="minorHAnsi" w:hAnsiTheme="minorHAnsi" w:cstheme="minorHAnsi"/>
                <w:iCs/>
                <w:color w:val="auto"/>
                <w:sz w:val="24"/>
                <w:szCs w:val="24"/>
              </w:rPr>
              <w:t>change.</w:t>
            </w:r>
            <w:r w:rsidR="000E1069">
              <w:rPr>
                <w:rFonts w:asciiTheme="minorHAnsi" w:hAnsiTheme="minorHAnsi" w:cstheme="minorHAnsi"/>
                <w:iCs/>
                <w:color w:val="auto"/>
                <w:sz w:val="24"/>
                <w:szCs w:val="24"/>
              </w:rPr>
              <w:t xml:space="preserve"> (</w:t>
            </w:r>
            <w:proofErr w:type="spellStart"/>
            <w:r w:rsidR="005102F4" w:rsidRPr="005102F4">
              <w:rPr>
                <w:rFonts w:asciiTheme="minorHAnsi" w:hAnsiTheme="minorHAnsi" w:cstheme="minorHAnsi"/>
                <w:iCs/>
                <w:color w:val="auto"/>
                <w:sz w:val="24"/>
                <w:szCs w:val="24"/>
              </w:rPr>
              <w:t>Sonuga</w:t>
            </w:r>
            <w:proofErr w:type="spellEnd"/>
            <w:r w:rsidR="005102F4" w:rsidRPr="005102F4">
              <w:rPr>
                <w:rFonts w:ascii="Cambria Math" w:hAnsi="Cambria Math" w:cs="Cambria Math"/>
                <w:iCs/>
                <w:color w:val="auto"/>
                <w:sz w:val="24"/>
                <w:szCs w:val="24"/>
              </w:rPr>
              <w:t>‑</w:t>
            </w:r>
            <w:r w:rsidR="005102F4" w:rsidRPr="005102F4">
              <w:rPr>
                <w:rFonts w:asciiTheme="minorHAnsi" w:hAnsiTheme="minorHAnsi" w:cstheme="minorHAnsi"/>
                <w:iCs/>
                <w:color w:val="auto"/>
                <w:sz w:val="24"/>
                <w:szCs w:val="24"/>
              </w:rPr>
              <w:t>Barke</w:t>
            </w:r>
            <w:r w:rsidR="000E1069">
              <w:rPr>
                <w:rFonts w:asciiTheme="minorHAnsi" w:hAnsiTheme="minorHAnsi" w:cstheme="minorHAnsi"/>
                <w:iCs/>
                <w:color w:val="auto"/>
                <w:sz w:val="24"/>
                <w:szCs w:val="24"/>
              </w:rPr>
              <w:t xml:space="preserve">, </w:t>
            </w:r>
            <w:r w:rsidR="005102F4" w:rsidRPr="005102F4">
              <w:rPr>
                <w:rFonts w:asciiTheme="minorHAnsi" w:hAnsiTheme="minorHAnsi" w:cstheme="minorHAnsi"/>
                <w:iCs/>
                <w:color w:val="auto"/>
                <w:sz w:val="24"/>
                <w:szCs w:val="24"/>
              </w:rPr>
              <w:t>&amp; colleagues</w:t>
            </w:r>
            <w:r w:rsidR="000E1069">
              <w:rPr>
                <w:rFonts w:asciiTheme="minorHAnsi" w:hAnsiTheme="minorHAnsi" w:cstheme="minorHAnsi"/>
                <w:iCs/>
                <w:color w:val="auto"/>
                <w:sz w:val="24"/>
                <w:szCs w:val="24"/>
              </w:rPr>
              <w:t xml:space="preserve">, </w:t>
            </w:r>
            <w:r w:rsidR="005102F4" w:rsidRPr="005102F4">
              <w:rPr>
                <w:rFonts w:asciiTheme="minorHAnsi" w:hAnsiTheme="minorHAnsi" w:cstheme="minorHAnsi"/>
                <w:iCs/>
                <w:color w:val="auto"/>
                <w:sz w:val="24"/>
                <w:szCs w:val="24"/>
              </w:rPr>
              <w:t>2015</w:t>
            </w:r>
            <w:r w:rsidR="000E1069">
              <w:rPr>
                <w:rFonts w:asciiTheme="minorHAnsi" w:hAnsiTheme="minorHAnsi" w:cstheme="minorHAnsi"/>
                <w:iCs/>
                <w:color w:val="auto"/>
                <w:sz w:val="24"/>
                <w:szCs w:val="24"/>
              </w:rPr>
              <w:t>)</w:t>
            </w:r>
          </w:p>
          <w:p w14:paraId="541934BA" w14:textId="77777777" w:rsidR="00B326E1" w:rsidRDefault="00B326E1" w:rsidP="00EC27D6">
            <w:pPr>
              <w:jc w:val="both"/>
              <w:rPr>
                <w:rFonts w:asciiTheme="minorHAnsi" w:hAnsiTheme="minorHAnsi" w:cstheme="minorHAnsi"/>
                <w:iCs/>
                <w:color w:val="auto"/>
                <w:sz w:val="24"/>
                <w:szCs w:val="24"/>
              </w:rPr>
            </w:pPr>
          </w:p>
          <w:p w14:paraId="730FFC60" w14:textId="48C66522" w:rsidR="00B326E1" w:rsidRDefault="00B326E1" w:rsidP="00EC27D6">
            <w:pPr>
              <w:jc w:val="both"/>
              <w:rPr>
                <w:rFonts w:asciiTheme="minorHAnsi" w:hAnsiTheme="minorHAnsi" w:cstheme="minorHAnsi"/>
                <w:iCs/>
                <w:color w:val="auto"/>
                <w:sz w:val="24"/>
                <w:szCs w:val="24"/>
              </w:rPr>
            </w:pPr>
            <w:r w:rsidRPr="00B326E1">
              <w:rPr>
                <w:rFonts w:asciiTheme="minorHAnsi" w:hAnsiTheme="minorHAnsi" w:cstheme="minorHAnsi"/>
                <w:iCs/>
                <w:color w:val="auto"/>
                <w:sz w:val="24"/>
                <w:szCs w:val="24"/>
              </w:rPr>
              <w:t>While not in itself indicative of poor parenting or inadequate care, recognising possible neurodevelopmental factors helped shape both the assessment and the approach to engagement. This understanding supported a more nuanced interpretation of behaviours, reducing the risk of misattributing them to parental intent or capacity. It also guided the use of tailored strategies—particularly motivational interviewing—to enhance collaboration, promote reflective thinking, and facilitate behaviour change. Drawing on evidence that neurodevelopmental differences can influence emotional regulation, executive functioning, and responsiveness to conventional interventions, the assessment intentionally incorporated approaches shown to improve engagement and autonomy in decision</w:t>
            </w:r>
            <w:r w:rsidRPr="00B326E1">
              <w:rPr>
                <w:rFonts w:ascii="Cambria Math" w:hAnsi="Cambria Math" w:cs="Cambria Math"/>
                <w:iCs/>
                <w:color w:val="auto"/>
                <w:sz w:val="24"/>
                <w:szCs w:val="24"/>
              </w:rPr>
              <w:t>‑</w:t>
            </w:r>
            <w:r w:rsidRPr="00B326E1">
              <w:rPr>
                <w:rFonts w:asciiTheme="minorHAnsi" w:hAnsiTheme="minorHAnsi" w:cstheme="minorHAnsi"/>
                <w:iCs/>
                <w:color w:val="auto"/>
                <w:sz w:val="24"/>
                <w:szCs w:val="24"/>
              </w:rPr>
              <w:t>making (</w:t>
            </w:r>
            <w:proofErr w:type="spellStart"/>
            <w:r w:rsidRPr="00B326E1">
              <w:rPr>
                <w:rFonts w:asciiTheme="minorHAnsi" w:hAnsiTheme="minorHAnsi" w:cstheme="minorHAnsi"/>
                <w:iCs/>
                <w:color w:val="auto"/>
                <w:sz w:val="24"/>
                <w:szCs w:val="24"/>
              </w:rPr>
              <w:t>Sonuga</w:t>
            </w:r>
            <w:proofErr w:type="spellEnd"/>
            <w:r w:rsidRPr="00B326E1">
              <w:rPr>
                <w:rFonts w:ascii="Cambria Math" w:hAnsi="Cambria Math" w:cs="Cambria Math"/>
                <w:iCs/>
                <w:color w:val="auto"/>
                <w:sz w:val="24"/>
                <w:szCs w:val="24"/>
              </w:rPr>
              <w:t>‑</w:t>
            </w:r>
            <w:r w:rsidRPr="00B326E1">
              <w:rPr>
                <w:rFonts w:asciiTheme="minorHAnsi" w:hAnsiTheme="minorHAnsi" w:cstheme="minorHAnsi"/>
                <w:iCs/>
                <w:color w:val="auto"/>
                <w:sz w:val="24"/>
                <w:szCs w:val="24"/>
              </w:rPr>
              <w:t>Barke &amp; colleagues, 2015).</w:t>
            </w:r>
          </w:p>
          <w:p w14:paraId="3FF96ADB" w14:textId="77777777" w:rsidR="00845C54" w:rsidRPr="00EC27D6" w:rsidRDefault="00845C54" w:rsidP="00EC27D6">
            <w:pPr>
              <w:jc w:val="both"/>
              <w:rPr>
                <w:rFonts w:asciiTheme="minorHAnsi" w:hAnsiTheme="minorHAnsi" w:cstheme="minorHAnsi"/>
                <w:iCs/>
                <w:color w:val="auto"/>
                <w:sz w:val="24"/>
                <w:szCs w:val="24"/>
              </w:rPr>
            </w:pPr>
          </w:p>
          <w:p w14:paraId="09CBA7F5" w14:textId="77777777" w:rsidR="00436757"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 xml:space="preserve">Attachment theory provides a lens to understand the children’s emotional development in the context of parental care. </w:t>
            </w:r>
            <w:r w:rsidRPr="00C6602A">
              <w:rPr>
                <w:rFonts w:asciiTheme="minorHAnsi" w:hAnsiTheme="minorHAnsi" w:cstheme="minorHAnsi"/>
                <w:iCs/>
                <w:color w:val="auto"/>
                <w:sz w:val="24"/>
                <w:szCs w:val="24"/>
              </w:rPr>
              <w:t>Bowlby (1988)</w:t>
            </w:r>
            <w:r w:rsidRPr="00EC27D6">
              <w:rPr>
                <w:rFonts w:asciiTheme="minorHAnsi" w:hAnsiTheme="minorHAnsi" w:cstheme="minorHAnsi"/>
                <w:iCs/>
                <w:color w:val="auto"/>
                <w:sz w:val="24"/>
                <w:szCs w:val="24"/>
              </w:rPr>
              <w:t xml:space="preserve"> emphasi</w:t>
            </w:r>
            <w:r w:rsidR="006E08D4">
              <w:rPr>
                <w:rFonts w:asciiTheme="minorHAnsi" w:hAnsiTheme="minorHAnsi" w:cstheme="minorHAnsi"/>
                <w:iCs/>
                <w:color w:val="auto"/>
                <w:sz w:val="24"/>
                <w:szCs w:val="24"/>
              </w:rPr>
              <w:t>s</w:t>
            </w:r>
            <w:r w:rsidRPr="00EC27D6">
              <w:rPr>
                <w:rFonts w:asciiTheme="minorHAnsi" w:hAnsiTheme="minorHAnsi" w:cstheme="minorHAnsi"/>
                <w:iCs/>
                <w:color w:val="auto"/>
                <w:sz w:val="24"/>
                <w:szCs w:val="24"/>
              </w:rPr>
              <w:t xml:space="preserve">ed the importance of a caregiver’s availability in forming secure attachments. Ainsworth (1978) further categorised attachment styles, highlighting secure, insecure-avoidant, insecure-ambivalent, and disorganised attachments (Main &amp; Solomon, 1990). In this case, the mother’s inconsistent parenting, substance use, and relationships with </w:t>
            </w:r>
            <w:r w:rsidR="000E1069">
              <w:rPr>
                <w:rFonts w:asciiTheme="minorHAnsi" w:hAnsiTheme="minorHAnsi" w:cstheme="minorHAnsi"/>
                <w:iCs/>
                <w:color w:val="auto"/>
                <w:sz w:val="24"/>
                <w:szCs w:val="24"/>
              </w:rPr>
              <w:t xml:space="preserve">abusive and violent </w:t>
            </w:r>
            <w:r w:rsidRPr="00EC27D6">
              <w:rPr>
                <w:rFonts w:asciiTheme="minorHAnsi" w:hAnsiTheme="minorHAnsi" w:cstheme="minorHAnsi"/>
                <w:iCs/>
                <w:color w:val="auto"/>
                <w:sz w:val="24"/>
                <w:szCs w:val="24"/>
              </w:rPr>
              <w:t>partners posed a risk to the children’s attachment security. Although caution is needed in applying attachment theory in legal contexts (</w:t>
            </w:r>
            <w:proofErr w:type="spellStart"/>
            <w:r w:rsidRPr="00EC27D6">
              <w:rPr>
                <w:rFonts w:asciiTheme="minorHAnsi" w:hAnsiTheme="minorHAnsi" w:cstheme="minorHAnsi"/>
                <w:iCs/>
                <w:color w:val="auto"/>
                <w:sz w:val="24"/>
                <w:szCs w:val="24"/>
              </w:rPr>
              <w:t>Shemmings</w:t>
            </w:r>
            <w:proofErr w:type="spellEnd"/>
            <w:r w:rsidRPr="00EC27D6">
              <w:rPr>
                <w:rFonts w:asciiTheme="minorHAnsi" w:hAnsiTheme="minorHAnsi" w:cstheme="minorHAnsi"/>
                <w:iCs/>
                <w:color w:val="auto"/>
                <w:sz w:val="24"/>
                <w:szCs w:val="24"/>
              </w:rPr>
              <w:t xml:space="preserve">, 2018), it provides a framework for understanding behaviours and guiding interventions to support permanency and emotional stability. </w:t>
            </w:r>
          </w:p>
          <w:p w14:paraId="7686FB46" w14:textId="77777777" w:rsidR="00436757" w:rsidRDefault="00436757" w:rsidP="00EC27D6">
            <w:pPr>
              <w:jc w:val="both"/>
              <w:rPr>
                <w:rFonts w:asciiTheme="minorHAnsi" w:hAnsiTheme="minorHAnsi" w:cstheme="minorHAnsi"/>
                <w:iCs/>
                <w:color w:val="auto"/>
                <w:sz w:val="24"/>
                <w:szCs w:val="24"/>
              </w:rPr>
            </w:pPr>
          </w:p>
          <w:p w14:paraId="222C607B" w14:textId="64F71900" w:rsidR="00EC27D6" w:rsidRPr="00EC27D6"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 xml:space="preserve">Attachment theory also informed the supervised contact arrangements, aiming to maintain emotional bonds while safeguarding the children. Psychosocial theory further contributed to the assessment, emphasizing the interaction between social context, culture, and individual life histories (Teater, 2014). Applying psychosocial theory allowed recognition of </w:t>
            </w:r>
            <w:r w:rsidR="003D158C">
              <w:rPr>
                <w:rFonts w:asciiTheme="minorHAnsi" w:hAnsiTheme="minorHAnsi" w:cstheme="minorHAnsi"/>
                <w:iCs/>
                <w:color w:val="auto"/>
                <w:sz w:val="24"/>
                <w:szCs w:val="24"/>
              </w:rPr>
              <w:t>person 3</w:t>
            </w:r>
            <w:r w:rsidRPr="00EC27D6">
              <w:rPr>
                <w:rFonts w:asciiTheme="minorHAnsi" w:hAnsiTheme="minorHAnsi" w:cstheme="minorHAnsi"/>
                <w:iCs/>
                <w:color w:val="auto"/>
                <w:sz w:val="24"/>
                <w:szCs w:val="24"/>
              </w:rPr>
              <w:t>’s potential past trauma and how power dynamics could affect engagement, consistent with Turney and Ruch’s (2019) observations regarding trust-building with families who have experienced complex trauma.</w:t>
            </w:r>
            <w:r w:rsidR="002D35D9">
              <w:rPr>
                <w:rFonts w:asciiTheme="minorHAnsi" w:hAnsiTheme="minorHAnsi" w:cstheme="minorHAnsi"/>
                <w:iCs/>
                <w:color w:val="auto"/>
                <w:sz w:val="24"/>
                <w:szCs w:val="24"/>
              </w:rPr>
              <w:t xml:space="preserve"> </w:t>
            </w:r>
            <w:r w:rsidRPr="00EC27D6">
              <w:rPr>
                <w:rFonts w:asciiTheme="minorHAnsi" w:hAnsiTheme="minorHAnsi" w:cstheme="minorHAnsi"/>
                <w:iCs/>
                <w:color w:val="auto"/>
                <w:sz w:val="24"/>
                <w:szCs w:val="24"/>
              </w:rPr>
              <w:t>Motivational interviewing techniques were also utilised to engage the mother in reflective practice, particularly in addressing inconsistent compliance with previous support plans. Motivational interviewing facilitated navigation of disguised compliance, ambivalence, and deflection of responsibility, fostering intrinsic motivation to support the mother in acknowledging risks and taking ownership of her children’s needs, while balancing care and control in a complex professional relationship</w:t>
            </w:r>
            <w:r w:rsidR="00753247">
              <w:rPr>
                <w:rFonts w:asciiTheme="minorHAnsi" w:hAnsiTheme="minorHAnsi" w:cstheme="minorHAnsi"/>
                <w:iCs/>
                <w:color w:val="auto"/>
                <w:sz w:val="24"/>
                <w:szCs w:val="24"/>
              </w:rPr>
              <w:t xml:space="preserve"> (</w:t>
            </w:r>
            <w:r w:rsidR="00753247" w:rsidRPr="00753247">
              <w:rPr>
                <w:rFonts w:asciiTheme="minorHAnsi" w:hAnsiTheme="minorHAnsi" w:cstheme="minorHAnsi"/>
                <w:iCs/>
                <w:color w:val="auto"/>
                <w:sz w:val="24"/>
                <w:szCs w:val="24"/>
              </w:rPr>
              <w:t>Teater, 2014</w:t>
            </w:r>
            <w:r w:rsidR="006415A8">
              <w:rPr>
                <w:rFonts w:asciiTheme="minorHAnsi" w:hAnsiTheme="minorHAnsi" w:cstheme="minorHAnsi"/>
                <w:iCs/>
                <w:color w:val="auto"/>
                <w:sz w:val="24"/>
                <w:szCs w:val="24"/>
              </w:rPr>
              <w:t xml:space="preserve">; </w:t>
            </w:r>
            <w:r w:rsidR="00B231C7" w:rsidRPr="00B231C7">
              <w:rPr>
                <w:rFonts w:asciiTheme="minorHAnsi" w:hAnsiTheme="minorHAnsi" w:cstheme="minorHAnsi"/>
                <w:iCs/>
                <w:color w:val="auto"/>
                <w:sz w:val="24"/>
                <w:szCs w:val="24"/>
              </w:rPr>
              <w:t>Turney</w:t>
            </w:r>
            <w:r w:rsidR="00B231C7">
              <w:rPr>
                <w:rFonts w:asciiTheme="minorHAnsi" w:hAnsiTheme="minorHAnsi" w:cstheme="minorHAnsi"/>
                <w:iCs/>
                <w:color w:val="auto"/>
                <w:sz w:val="24"/>
                <w:szCs w:val="24"/>
              </w:rPr>
              <w:t xml:space="preserve"> </w:t>
            </w:r>
            <w:r w:rsidR="00B231C7" w:rsidRPr="00B231C7">
              <w:rPr>
                <w:rFonts w:asciiTheme="minorHAnsi" w:hAnsiTheme="minorHAnsi" w:cstheme="minorHAnsi"/>
                <w:iCs/>
                <w:color w:val="auto"/>
                <w:sz w:val="24"/>
                <w:szCs w:val="24"/>
              </w:rPr>
              <w:t>&amp; Ruch, 2019)</w:t>
            </w:r>
          </w:p>
          <w:p w14:paraId="1B7E12DF" w14:textId="77777777" w:rsidR="00EC27D6" w:rsidRDefault="00EC27D6" w:rsidP="00EC27D6">
            <w:pPr>
              <w:jc w:val="both"/>
              <w:rPr>
                <w:rFonts w:asciiTheme="minorHAnsi" w:hAnsiTheme="minorHAnsi" w:cstheme="minorHAnsi"/>
                <w:iCs/>
                <w:color w:val="auto"/>
                <w:sz w:val="24"/>
                <w:szCs w:val="24"/>
              </w:rPr>
            </w:pPr>
          </w:p>
          <w:p w14:paraId="379D5C11" w14:textId="16ACDB4B" w:rsidR="002F7F0E" w:rsidRPr="002F7F0E" w:rsidRDefault="002F7F0E" w:rsidP="002F7F0E">
            <w:pPr>
              <w:jc w:val="both"/>
              <w:rPr>
                <w:rFonts w:asciiTheme="minorHAnsi" w:hAnsiTheme="minorHAnsi" w:cstheme="minorHAnsi"/>
                <w:iCs/>
                <w:color w:val="auto"/>
                <w:sz w:val="24"/>
                <w:szCs w:val="24"/>
              </w:rPr>
            </w:pPr>
            <w:r w:rsidRPr="002F7F0E">
              <w:rPr>
                <w:rFonts w:asciiTheme="minorHAnsi" w:hAnsiTheme="minorHAnsi" w:cstheme="minorHAnsi"/>
                <w:iCs/>
                <w:color w:val="auto"/>
                <w:sz w:val="24"/>
                <w:szCs w:val="24"/>
              </w:rPr>
              <w:t>Motivational interviewing (MI) was key in exploring the mother’s ambivalence, especially where disguised compliance was present.</w:t>
            </w:r>
            <w:r w:rsidR="005929B9">
              <w:rPr>
                <w:rFonts w:asciiTheme="minorHAnsi" w:hAnsiTheme="minorHAnsi" w:cstheme="minorHAnsi"/>
                <w:iCs/>
                <w:color w:val="auto"/>
                <w:sz w:val="24"/>
                <w:szCs w:val="24"/>
              </w:rPr>
              <w:t xml:space="preserve"> </w:t>
            </w:r>
            <w:r w:rsidRPr="002F7F0E">
              <w:rPr>
                <w:rFonts w:asciiTheme="minorHAnsi" w:hAnsiTheme="minorHAnsi" w:cstheme="minorHAnsi"/>
                <w:iCs/>
                <w:color w:val="auto"/>
                <w:sz w:val="24"/>
                <w:szCs w:val="24"/>
              </w:rPr>
              <w:t>In practice:</w:t>
            </w:r>
            <w:r w:rsidR="005929B9">
              <w:rPr>
                <w:rFonts w:asciiTheme="minorHAnsi" w:hAnsiTheme="minorHAnsi" w:cstheme="minorHAnsi"/>
                <w:iCs/>
                <w:color w:val="auto"/>
                <w:sz w:val="24"/>
                <w:szCs w:val="24"/>
              </w:rPr>
              <w:t xml:space="preserve"> </w:t>
            </w:r>
            <w:r w:rsidRPr="002F7F0E">
              <w:rPr>
                <w:rFonts w:asciiTheme="minorHAnsi" w:hAnsiTheme="minorHAnsi" w:cstheme="minorHAnsi"/>
                <w:iCs/>
                <w:color w:val="auto"/>
                <w:sz w:val="24"/>
                <w:szCs w:val="24"/>
              </w:rPr>
              <w:t>When asked about the state of the home, Person 3 externalised responsibility (“the kids make it messy,” “I don’t have time”).</w:t>
            </w:r>
            <w:r w:rsidR="005929B9">
              <w:rPr>
                <w:rFonts w:asciiTheme="minorHAnsi" w:hAnsiTheme="minorHAnsi" w:cstheme="minorHAnsi"/>
                <w:iCs/>
                <w:color w:val="auto"/>
                <w:sz w:val="24"/>
                <w:szCs w:val="24"/>
              </w:rPr>
              <w:t xml:space="preserve"> </w:t>
            </w:r>
            <w:r w:rsidRPr="002F7F0E">
              <w:rPr>
                <w:rFonts w:asciiTheme="minorHAnsi" w:hAnsiTheme="minorHAnsi" w:cstheme="minorHAnsi"/>
                <w:iCs/>
                <w:color w:val="auto"/>
                <w:sz w:val="24"/>
                <w:szCs w:val="24"/>
              </w:rPr>
              <w:t xml:space="preserve">Using MI techniques, I guided her to link her behaviour to the children’s welfare (“How do you think the children feel going </w:t>
            </w:r>
            <w:r w:rsidRPr="002F7F0E">
              <w:rPr>
                <w:rFonts w:asciiTheme="minorHAnsi" w:hAnsiTheme="minorHAnsi" w:cstheme="minorHAnsi"/>
                <w:iCs/>
                <w:color w:val="auto"/>
                <w:sz w:val="24"/>
                <w:szCs w:val="24"/>
              </w:rPr>
              <w:lastRenderedPageBreak/>
              <w:t>to school unwashed?”).</w:t>
            </w:r>
            <w:r w:rsidR="005929B9">
              <w:rPr>
                <w:rFonts w:asciiTheme="minorHAnsi" w:hAnsiTheme="minorHAnsi" w:cstheme="minorHAnsi"/>
                <w:iCs/>
                <w:color w:val="auto"/>
                <w:sz w:val="24"/>
                <w:szCs w:val="24"/>
              </w:rPr>
              <w:t xml:space="preserve"> </w:t>
            </w:r>
            <w:r w:rsidRPr="002F7F0E">
              <w:rPr>
                <w:rFonts w:asciiTheme="minorHAnsi" w:hAnsiTheme="minorHAnsi" w:cstheme="minorHAnsi"/>
                <w:iCs/>
                <w:color w:val="auto"/>
                <w:sz w:val="24"/>
                <w:szCs w:val="24"/>
              </w:rPr>
              <w:t>This sometimes resulted in short-term improvements, but the lack of sustained action informed my assessment that insight was limited and intrinsic motivation for change remained low.</w:t>
            </w:r>
            <w:r w:rsidR="005929B9">
              <w:rPr>
                <w:rFonts w:asciiTheme="minorHAnsi" w:hAnsiTheme="minorHAnsi" w:cstheme="minorHAnsi"/>
                <w:iCs/>
                <w:color w:val="auto"/>
                <w:sz w:val="24"/>
                <w:szCs w:val="24"/>
              </w:rPr>
              <w:t xml:space="preserve"> </w:t>
            </w:r>
            <w:r w:rsidRPr="002F7F0E">
              <w:rPr>
                <w:rFonts w:asciiTheme="minorHAnsi" w:hAnsiTheme="minorHAnsi" w:cstheme="minorHAnsi"/>
                <w:iCs/>
                <w:color w:val="auto"/>
                <w:sz w:val="24"/>
                <w:szCs w:val="24"/>
              </w:rPr>
              <w:t>My professional judgment was that MI confirmed:</w:t>
            </w:r>
            <w:r w:rsidR="005929B9">
              <w:rPr>
                <w:rFonts w:asciiTheme="minorHAnsi" w:hAnsiTheme="minorHAnsi" w:cstheme="minorHAnsi"/>
                <w:iCs/>
                <w:color w:val="auto"/>
                <w:sz w:val="24"/>
                <w:szCs w:val="24"/>
              </w:rPr>
              <w:t xml:space="preserve"> </w:t>
            </w:r>
            <w:r w:rsidRPr="002F7F0E">
              <w:rPr>
                <w:rFonts w:asciiTheme="minorHAnsi" w:hAnsiTheme="minorHAnsi" w:cstheme="minorHAnsi"/>
                <w:iCs/>
                <w:color w:val="auto"/>
                <w:sz w:val="24"/>
                <w:szCs w:val="24"/>
              </w:rPr>
              <w:t>capacity for short bursts of change existed</w:t>
            </w:r>
            <w:r w:rsidR="005929B9">
              <w:rPr>
                <w:rFonts w:asciiTheme="minorHAnsi" w:hAnsiTheme="minorHAnsi" w:cstheme="minorHAnsi"/>
                <w:iCs/>
                <w:color w:val="auto"/>
                <w:sz w:val="24"/>
                <w:szCs w:val="24"/>
              </w:rPr>
              <w:t xml:space="preserve">, </w:t>
            </w:r>
            <w:r w:rsidRPr="002F7F0E">
              <w:rPr>
                <w:rFonts w:asciiTheme="minorHAnsi" w:hAnsiTheme="minorHAnsi" w:cstheme="minorHAnsi"/>
                <w:iCs/>
                <w:color w:val="auto"/>
                <w:sz w:val="24"/>
                <w:szCs w:val="24"/>
              </w:rPr>
              <w:t>but the ability to sustain safety and stability long</w:t>
            </w:r>
            <w:r w:rsidRPr="002F7F0E">
              <w:rPr>
                <w:rFonts w:ascii="Cambria Math" w:hAnsi="Cambria Math" w:cs="Cambria Math"/>
                <w:iCs/>
                <w:color w:val="auto"/>
                <w:sz w:val="24"/>
                <w:szCs w:val="24"/>
              </w:rPr>
              <w:t>‑</w:t>
            </w:r>
            <w:r w:rsidRPr="002F7F0E">
              <w:rPr>
                <w:rFonts w:asciiTheme="minorHAnsi" w:hAnsiTheme="minorHAnsi" w:cstheme="minorHAnsi"/>
                <w:iCs/>
                <w:color w:val="auto"/>
                <w:sz w:val="24"/>
                <w:szCs w:val="24"/>
              </w:rPr>
              <w:t>term was compromised,</w:t>
            </w:r>
            <w:r w:rsidR="005929B9">
              <w:rPr>
                <w:rFonts w:asciiTheme="minorHAnsi" w:hAnsiTheme="minorHAnsi" w:cstheme="minorHAnsi"/>
                <w:iCs/>
                <w:color w:val="auto"/>
                <w:sz w:val="24"/>
                <w:szCs w:val="24"/>
              </w:rPr>
              <w:t xml:space="preserve"> </w:t>
            </w:r>
            <w:r w:rsidRPr="002F7F0E">
              <w:rPr>
                <w:rFonts w:asciiTheme="minorHAnsi" w:hAnsiTheme="minorHAnsi" w:cstheme="minorHAnsi"/>
                <w:iCs/>
                <w:color w:val="auto"/>
                <w:sz w:val="24"/>
                <w:szCs w:val="24"/>
              </w:rPr>
              <w:t>reinforcing the need for court</w:t>
            </w:r>
            <w:r w:rsidRPr="002F7F0E">
              <w:rPr>
                <w:rFonts w:ascii="Cambria Math" w:hAnsi="Cambria Math" w:cs="Cambria Math"/>
                <w:iCs/>
                <w:color w:val="auto"/>
                <w:sz w:val="24"/>
                <w:szCs w:val="24"/>
              </w:rPr>
              <w:t>‑</w:t>
            </w:r>
            <w:r w:rsidRPr="002F7F0E">
              <w:rPr>
                <w:rFonts w:asciiTheme="minorHAnsi" w:hAnsiTheme="minorHAnsi" w:cstheme="minorHAnsi"/>
                <w:iCs/>
                <w:color w:val="auto"/>
                <w:sz w:val="24"/>
                <w:szCs w:val="24"/>
              </w:rPr>
              <w:t>led oversight.</w:t>
            </w:r>
          </w:p>
          <w:p w14:paraId="60B0524D" w14:textId="77777777" w:rsidR="002F7F0E" w:rsidRDefault="002F7F0E" w:rsidP="00EC27D6">
            <w:pPr>
              <w:jc w:val="both"/>
              <w:rPr>
                <w:rFonts w:asciiTheme="minorHAnsi" w:hAnsiTheme="minorHAnsi" w:cstheme="minorHAnsi"/>
                <w:iCs/>
                <w:color w:val="auto"/>
                <w:sz w:val="24"/>
                <w:szCs w:val="24"/>
              </w:rPr>
            </w:pPr>
          </w:p>
          <w:p w14:paraId="28746073" w14:textId="3304859C" w:rsidR="00436757" w:rsidRPr="00436757" w:rsidRDefault="00436757" w:rsidP="00436757">
            <w:pPr>
              <w:jc w:val="both"/>
              <w:rPr>
                <w:rFonts w:asciiTheme="minorHAnsi" w:hAnsiTheme="minorHAnsi" w:cstheme="minorHAnsi"/>
                <w:iCs/>
                <w:color w:val="auto"/>
                <w:sz w:val="24"/>
                <w:szCs w:val="24"/>
              </w:rPr>
            </w:pPr>
            <w:r w:rsidRPr="00436757">
              <w:rPr>
                <w:rFonts w:asciiTheme="minorHAnsi" w:hAnsiTheme="minorHAnsi" w:cstheme="minorHAnsi"/>
                <w:iCs/>
                <w:color w:val="auto"/>
                <w:sz w:val="24"/>
                <w:szCs w:val="24"/>
              </w:rPr>
              <w:t>Attachment theory (Bowlby, Ainsworth, Main &amp; Solomon) helps explain how inconsistent or unsafe caregiving shapes children’s emotional and behavioural responses. In this case:</w:t>
            </w:r>
            <w:r>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Child 1 displayed emotional hypervigilance: constantly scanning adult reactions, asking repeatedly whether they were “in trouble.”</w:t>
            </w:r>
            <w:r>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This behaviour is consistent with insecure</w:t>
            </w:r>
            <w:r w:rsidRPr="00436757">
              <w:rPr>
                <w:rFonts w:ascii="Cambria Math" w:hAnsi="Cambria Math" w:cs="Cambria Math"/>
                <w:iCs/>
                <w:color w:val="auto"/>
                <w:sz w:val="24"/>
                <w:szCs w:val="24"/>
              </w:rPr>
              <w:t>‑</w:t>
            </w:r>
            <w:r w:rsidRPr="00436757">
              <w:rPr>
                <w:rFonts w:asciiTheme="minorHAnsi" w:hAnsiTheme="minorHAnsi" w:cstheme="minorHAnsi"/>
                <w:iCs/>
                <w:color w:val="auto"/>
                <w:sz w:val="24"/>
                <w:szCs w:val="24"/>
              </w:rPr>
              <w:t>ambivalent attachment, where children experience unpredictable care.</w:t>
            </w:r>
            <w:r>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Child 2 showed withdrawal and avoidance, rarely initiating interaction and becoming distressed when routines changed.</w:t>
            </w:r>
            <w:r>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This aligns with insecure</w:t>
            </w:r>
            <w:r w:rsidRPr="00436757">
              <w:rPr>
                <w:rFonts w:ascii="Cambria Math" w:hAnsi="Cambria Math" w:cs="Cambria Math"/>
                <w:iCs/>
                <w:color w:val="auto"/>
                <w:sz w:val="24"/>
                <w:szCs w:val="24"/>
              </w:rPr>
              <w:t>‑</w:t>
            </w:r>
            <w:r w:rsidRPr="00436757">
              <w:rPr>
                <w:rFonts w:asciiTheme="minorHAnsi" w:hAnsiTheme="minorHAnsi" w:cstheme="minorHAnsi"/>
                <w:iCs/>
                <w:color w:val="auto"/>
                <w:sz w:val="24"/>
                <w:szCs w:val="24"/>
              </w:rPr>
              <w:t>avoidant patterns, common where emotional needs have been dismissed or inconsistently met.</w:t>
            </w:r>
            <w:r w:rsidR="0059723D">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My professional judgment was that the children’s presentation could not be understood purely as a reaction to parental conflict — there were clear, developmentally significant signs of emotional insecurity linked to the home environment.</w:t>
            </w:r>
            <w:r>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This</w:t>
            </w:r>
            <w:r w:rsidR="0059723D">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directly informed my recommendation for:</w:t>
            </w:r>
            <w:r>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supervised contact for the mother,</w:t>
            </w:r>
            <w:r>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stability and routine under the father’s care,</w:t>
            </w:r>
            <w:r>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ongoing therapeutic emotional support</w:t>
            </w:r>
          </w:p>
          <w:p w14:paraId="13A4F46C" w14:textId="77777777" w:rsidR="00436757" w:rsidRPr="00436757" w:rsidRDefault="00436757" w:rsidP="00436757">
            <w:pPr>
              <w:jc w:val="both"/>
              <w:rPr>
                <w:rFonts w:asciiTheme="minorHAnsi" w:hAnsiTheme="minorHAnsi" w:cstheme="minorHAnsi"/>
                <w:iCs/>
                <w:color w:val="auto"/>
                <w:sz w:val="24"/>
                <w:szCs w:val="24"/>
              </w:rPr>
            </w:pPr>
          </w:p>
          <w:p w14:paraId="6B2C7888" w14:textId="45F4DE9D" w:rsidR="00436757" w:rsidRPr="00EC27D6" w:rsidRDefault="00436757" w:rsidP="00436757">
            <w:pPr>
              <w:jc w:val="both"/>
              <w:rPr>
                <w:rFonts w:asciiTheme="minorHAnsi" w:hAnsiTheme="minorHAnsi" w:cstheme="minorHAnsi"/>
                <w:iCs/>
                <w:color w:val="auto"/>
                <w:sz w:val="24"/>
                <w:szCs w:val="24"/>
              </w:rPr>
            </w:pPr>
            <w:r w:rsidRPr="00436757">
              <w:rPr>
                <w:rFonts w:asciiTheme="minorHAnsi" w:hAnsiTheme="minorHAnsi" w:cstheme="minorHAnsi"/>
                <w:iCs/>
                <w:color w:val="auto"/>
                <w:sz w:val="24"/>
                <w:szCs w:val="24"/>
              </w:rPr>
              <w:t>Psychosocial theory emphasises how wider socio</w:t>
            </w:r>
            <w:r w:rsidRPr="00436757">
              <w:rPr>
                <w:rFonts w:ascii="Cambria Math" w:hAnsi="Cambria Math" w:cs="Cambria Math"/>
                <w:iCs/>
                <w:color w:val="auto"/>
                <w:sz w:val="24"/>
                <w:szCs w:val="24"/>
              </w:rPr>
              <w:t>‑</w:t>
            </w:r>
            <w:r w:rsidRPr="00436757">
              <w:rPr>
                <w:rFonts w:asciiTheme="minorHAnsi" w:hAnsiTheme="minorHAnsi" w:cstheme="minorHAnsi"/>
                <w:iCs/>
                <w:color w:val="auto"/>
                <w:sz w:val="24"/>
                <w:szCs w:val="24"/>
              </w:rPr>
              <w:t>economic stressors, trauma history, and environment influence behaviour.</w:t>
            </w:r>
            <w:r w:rsidR="0059723D">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In this case:</w:t>
            </w:r>
            <w:r w:rsidR="0059723D">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Person 3’s reported mental health challenges, financial instability, and lack of support networks likely interacted with past trauma and unhealthy relationships.</w:t>
            </w:r>
            <w:r w:rsidR="0059723D">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Her inability to sustain home improvements over time suggested environmentally exacerbated executive</w:t>
            </w:r>
            <w:r w:rsidRPr="00436757">
              <w:rPr>
                <w:rFonts w:ascii="Cambria Math" w:hAnsi="Cambria Math" w:cs="Cambria Math"/>
                <w:iCs/>
                <w:color w:val="auto"/>
                <w:sz w:val="24"/>
                <w:szCs w:val="24"/>
              </w:rPr>
              <w:t>‑</w:t>
            </w:r>
            <w:r w:rsidRPr="00436757">
              <w:rPr>
                <w:rFonts w:asciiTheme="minorHAnsi" w:hAnsiTheme="minorHAnsi" w:cstheme="minorHAnsi"/>
                <w:iCs/>
                <w:color w:val="auto"/>
                <w:sz w:val="24"/>
                <w:szCs w:val="24"/>
              </w:rPr>
              <w:t>function struggles, not simply a lack of willingness.</w:t>
            </w:r>
            <w:r w:rsidR="0059723D">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My professional judgment therefore included:</w:t>
            </w:r>
            <w:r w:rsidR="0059723D">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 xml:space="preserve">avoiding a punitive </w:t>
            </w:r>
            <w:r w:rsidR="0059723D" w:rsidRPr="00436757">
              <w:rPr>
                <w:rFonts w:asciiTheme="minorHAnsi" w:hAnsiTheme="minorHAnsi" w:cstheme="minorHAnsi"/>
                <w:iCs/>
                <w:color w:val="auto"/>
                <w:sz w:val="24"/>
                <w:szCs w:val="24"/>
              </w:rPr>
              <w:t>approach, recognising</w:t>
            </w:r>
            <w:r w:rsidRPr="00436757">
              <w:rPr>
                <w:rFonts w:asciiTheme="minorHAnsi" w:hAnsiTheme="minorHAnsi" w:cstheme="minorHAnsi"/>
                <w:iCs/>
                <w:color w:val="auto"/>
                <w:sz w:val="24"/>
                <w:szCs w:val="24"/>
              </w:rPr>
              <w:t xml:space="preserve"> unmet support </w:t>
            </w:r>
            <w:r w:rsidR="0059723D" w:rsidRPr="00436757">
              <w:rPr>
                <w:rFonts w:asciiTheme="minorHAnsi" w:hAnsiTheme="minorHAnsi" w:cstheme="minorHAnsi"/>
                <w:iCs/>
                <w:color w:val="auto"/>
                <w:sz w:val="24"/>
                <w:szCs w:val="24"/>
              </w:rPr>
              <w:t>needs,</w:t>
            </w:r>
            <w:r w:rsidR="0059723D">
              <w:rPr>
                <w:rFonts w:asciiTheme="minorHAnsi" w:hAnsiTheme="minorHAnsi" w:cstheme="minorHAnsi"/>
                <w:iCs/>
                <w:color w:val="auto"/>
                <w:sz w:val="24"/>
                <w:szCs w:val="24"/>
              </w:rPr>
              <w:t xml:space="preserve"> balancing</w:t>
            </w:r>
            <w:r w:rsidRPr="00436757">
              <w:rPr>
                <w:rFonts w:asciiTheme="minorHAnsi" w:hAnsiTheme="minorHAnsi" w:cstheme="minorHAnsi"/>
                <w:iCs/>
                <w:color w:val="auto"/>
                <w:sz w:val="24"/>
                <w:szCs w:val="24"/>
              </w:rPr>
              <w:t xml:space="preserve"> empathy for her circumstances with clear safeguarding boundaries,</w:t>
            </w:r>
            <w:r w:rsidR="0059723D">
              <w:rPr>
                <w:rFonts w:asciiTheme="minorHAnsi" w:hAnsiTheme="minorHAnsi" w:cstheme="minorHAnsi"/>
                <w:iCs/>
                <w:color w:val="auto"/>
                <w:sz w:val="24"/>
                <w:szCs w:val="24"/>
              </w:rPr>
              <w:t xml:space="preserve"> </w:t>
            </w:r>
            <w:r w:rsidRPr="00436757">
              <w:rPr>
                <w:rFonts w:asciiTheme="minorHAnsi" w:hAnsiTheme="minorHAnsi" w:cstheme="minorHAnsi"/>
                <w:iCs/>
                <w:color w:val="auto"/>
                <w:sz w:val="24"/>
                <w:szCs w:val="24"/>
              </w:rPr>
              <w:t>acknowledging that the children’s wellbeing could not be compromised while parental change remained inconsistent.</w:t>
            </w:r>
          </w:p>
          <w:p w14:paraId="200FC0EA" w14:textId="77777777" w:rsidR="0059723D" w:rsidRDefault="0059723D" w:rsidP="00EC27D6">
            <w:pPr>
              <w:jc w:val="both"/>
              <w:rPr>
                <w:rFonts w:asciiTheme="minorHAnsi" w:hAnsiTheme="minorHAnsi" w:cstheme="minorHAnsi"/>
                <w:iCs/>
                <w:color w:val="auto"/>
                <w:sz w:val="24"/>
                <w:szCs w:val="24"/>
              </w:rPr>
            </w:pPr>
          </w:p>
          <w:p w14:paraId="4EA6B3BA" w14:textId="1108F79B" w:rsidR="00EC27D6"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 xml:space="preserve">Effective safeguarding in Wales relies on multi-agency collaboration, combining the efforts of social services, police, health services, and the judiciary. In this case, collaboration was essential as the situation involved both criminal neglect and family court proceedings. Whittington (2003) differentiates partnership, understood as a relationship-based process, from collaboration, an action-based approach, both of which were evident. Collaboration was critical under the Pathfinder programme (Ministry of Justice, 2025), which prioritises the child’s voice and welfare in private law proceedings. Cafcass Cymru (2023) introduced the Child Impact Report (CIR) to ensure courts receive comprehensive assessments, integrating observations, professional recommendations, and the child’s expressed views. The joint investigation with the police exemplifies operational collaboration, ensuring children’s immediate safety while respecting procedural requirements. This aligns with the Wales Safeguarding Procedures (2019, s.2), which place safeguarding responsibility on all professionals. The case also reflects the interface between Welsh safeguarding legislation and broader UK legal frameworks, particularly in cross-border contexts, requiring social workers to navigate Welsh law </w:t>
            </w:r>
            <w:r w:rsidRPr="002D0CFA">
              <w:rPr>
                <w:rFonts w:asciiTheme="minorHAnsi" w:hAnsiTheme="minorHAnsi" w:cstheme="minorHAnsi"/>
                <w:iCs/>
                <w:color w:val="auto"/>
                <w:sz w:val="24"/>
                <w:szCs w:val="24"/>
              </w:rPr>
              <w:t>(</w:t>
            </w:r>
            <w:r w:rsidR="002D0CFA" w:rsidRPr="002D0CFA">
              <w:rPr>
                <w:rFonts w:asciiTheme="minorHAnsi" w:hAnsiTheme="minorHAnsi" w:cstheme="minorHAnsi"/>
                <w:iCs/>
                <w:color w:val="auto"/>
                <w:sz w:val="24"/>
                <w:szCs w:val="24"/>
              </w:rPr>
              <w:t>SSWB(W)A2014</w:t>
            </w:r>
            <w:r w:rsidRPr="002D0CFA">
              <w:rPr>
                <w:rFonts w:asciiTheme="minorHAnsi" w:hAnsiTheme="minorHAnsi" w:cstheme="minorHAnsi"/>
                <w:iCs/>
                <w:color w:val="auto"/>
                <w:sz w:val="24"/>
                <w:szCs w:val="24"/>
              </w:rPr>
              <w:t>)</w:t>
            </w:r>
            <w:r w:rsidRPr="00EC27D6">
              <w:rPr>
                <w:rFonts w:asciiTheme="minorHAnsi" w:hAnsiTheme="minorHAnsi" w:cstheme="minorHAnsi"/>
                <w:iCs/>
                <w:color w:val="auto"/>
                <w:sz w:val="24"/>
                <w:szCs w:val="24"/>
              </w:rPr>
              <w:t xml:space="preserve"> alongside UK-wide legislation while considering obligations under the EU Charter of Fundamental Rights and international conventions like the UNCRC.</w:t>
            </w:r>
          </w:p>
          <w:p w14:paraId="46D4730D" w14:textId="77777777" w:rsidR="00EC27D6" w:rsidRPr="00EC27D6" w:rsidRDefault="00EC27D6" w:rsidP="00EC27D6">
            <w:pPr>
              <w:jc w:val="both"/>
              <w:rPr>
                <w:rFonts w:asciiTheme="minorHAnsi" w:hAnsiTheme="minorHAnsi" w:cstheme="minorHAnsi"/>
                <w:iCs/>
                <w:color w:val="auto"/>
                <w:sz w:val="24"/>
                <w:szCs w:val="24"/>
              </w:rPr>
            </w:pPr>
          </w:p>
          <w:p w14:paraId="6C49C1AE" w14:textId="4FA583B9" w:rsidR="00EC27D6"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lastRenderedPageBreak/>
              <w:t xml:space="preserve">Balancing the rights of the children with </w:t>
            </w:r>
            <w:r w:rsidR="00E41A42">
              <w:rPr>
                <w:rFonts w:asciiTheme="minorHAnsi" w:hAnsiTheme="minorHAnsi" w:cstheme="minorHAnsi"/>
                <w:iCs/>
                <w:color w:val="auto"/>
                <w:sz w:val="24"/>
                <w:szCs w:val="24"/>
              </w:rPr>
              <w:t>person 3</w:t>
            </w:r>
            <w:r w:rsidRPr="00EC27D6">
              <w:rPr>
                <w:rFonts w:asciiTheme="minorHAnsi" w:hAnsiTheme="minorHAnsi" w:cstheme="minorHAnsi"/>
                <w:iCs/>
                <w:color w:val="auto"/>
                <w:sz w:val="24"/>
                <w:szCs w:val="24"/>
              </w:rPr>
              <w:t xml:space="preserve">’s Human Rights Act (1998) protections created an ethical dilemma. Article 8 protects the right to a family life, while Article 3 of the European Convention on Human Rights (ECHR) ensures freedom from harm. In this case, the children’s right to safety superseded the mother’s right to immediate care, reflecting </w:t>
            </w:r>
            <w:proofErr w:type="spellStart"/>
            <w:r w:rsidRPr="00EC27D6">
              <w:rPr>
                <w:rFonts w:asciiTheme="minorHAnsi" w:hAnsiTheme="minorHAnsi" w:cstheme="minorHAnsi"/>
                <w:iCs/>
                <w:color w:val="auto"/>
                <w:sz w:val="24"/>
                <w:szCs w:val="24"/>
              </w:rPr>
              <w:t>Kemshall</w:t>
            </w:r>
            <w:proofErr w:type="spellEnd"/>
            <w:r w:rsidRPr="00EC27D6">
              <w:rPr>
                <w:rFonts w:asciiTheme="minorHAnsi" w:hAnsiTheme="minorHAnsi" w:cstheme="minorHAnsi"/>
                <w:iCs/>
                <w:color w:val="auto"/>
                <w:sz w:val="24"/>
                <w:szCs w:val="24"/>
              </w:rPr>
              <w:t>, Wilkinson, and Baker’s (2013) principle that the rights of the poser of risk can be limited in the interests of protecting others. Banks (2012) asserts that social work is a human rights profession, requiring practitioners to navigate competing rights while maintaining professional integrity. The no-order rule under the Children Act 1989 reinforces the principle that interventions must provide a net benefit to the child. Ethical considerations extend beyond legal compliance, with reflection on power imbalances in safeguarding interventions to ensure decisions are proportionate, justified, and sensitive to parental needs.</w:t>
            </w:r>
          </w:p>
          <w:p w14:paraId="6745CD0A" w14:textId="77777777" w:rsidR="00EC27D6" w:rsidRPr="00EC27D6" w:rsidRDefault="00EC27D6" w:rsidP="00EC27D6">
            <w:pPr>
              <w:jc w:val="both"/>
              <w:rPr>
                <w:rFonts w:asciiTheme="minorHAnsi" w:hAnsiTheme="minorHAnsi" w:cstheme="minorHAnsi"/>
                <w:iCs/>
                <w:color w:val="auto"/>
                <w:sz w:val="24"/>
                <w:szCs w:val="24"/>
              </w:rPr>
            </w:pPr>
          </w:p>
          <w:p w14:paraId="64982B9E" w14:textId="1A3BC8B7" w:rsidR="00EC27D6"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In Wales, social work practice also requires sensitivity to cultural and linguistic needs. Under the Welsh Language (Wales) Measure 2011 and the More Than Just Words framework (2012), professionals must provide services in the preferred language of children and families. In this case, the family’s preferred language was English, and all communication respected this requirement, aligning with Welsh Government guidance on safeguarding and wellbeing. Consideration of culture and diversity informs assessment and intervention, as</w:t>
            </w:r>
            <w:r w:rsidR="002D0CFA">
              <w:t xml:space="preserve"> </w:t>
            </w:r>
            <w:r w:rsidR="002D0CFA" w:rsidRPr="002D0CFA">
              <w:rPr>
                <w:rFonts w:asciiTheme="minorHAnsi" w:hAnsiTheme="minorHAnsi" w:cstheme="minorHAnsi"/>
                <w:iCs/>
                <w:color w:val="auto"/>
                <w:sz w:val="24"/>
                <w:szCs w:val="24"/>
              </w:rPr>
              <w:t>SSWB(W)A</w:t>
            </w:r>
            <w:r w:rsidR="002D0CFA">
              <w:rPr>
                <w:rFonts w:asciiTheme="minorHAnsi" w:hAnsiTheme="minorHAnsi" w:cstheme="minorHAnsi"/>
                <w:iCs/>
                <w:color w:val="auto"/>
                <w:sz w:val="24"/>
                <w:szCs w:val="24"/>
              </w:rPr>
              <w:t xml:space="preserve"> (</w:t>
            </w:r>
            <w:r w:rsidR="002D0CFA" w:rsidRPr="002D0CFA">
              <w:rPr>
                <w:rFonts w:asciiTheme="minorHAnsi" w:hAnsiTheme="minorHAnsi" w:cstheme="minorHAnsi"/>
                <w:iCs/>
                <w:color w:val="auto"/>
                <w:sz w:val="24"/>
                <w:szCs w:val="24"/>
              </w:rPr>
              <w:t>2014</w:t>
            </w:r>
            <w:r w:rsidRPr="002D0CFA">
              <w:rPr>
                <w:rFonts w:asciiTheme="minorHAnsi" w:hAnsiTheme="minorHAnsi" w:cstheme="minorHAnsi"/>
                <w:iCs/>
                <w:color w:val="auto"/>
                <w:sz w:val="24"/>
                <w:szCs w:val="24"/>
              </w:rPr>
              <w:t xml:space="preserve"> s.6.2b)</w:t>
            </w:r>
            <w:r w:rsidRPr="00EC27D6">
              <w:rPr>
                <w:rFonts w:asciiTheme="minorHAnsi" w:hAnsiTheme="minorHAnsi" w:cstheme="minorHAnsi"/>
                <w:iCs/>
                <w:color w:val="auto"/>
                <w:sz w:val="24"/>
                <w:szCs w:val="24"/>
              </w:rPr>
              <w:t xml:space="preserve"> emphasizes understanding the child’s characteristics, culture, and beliefs to avoid oppression or disadvantage. Awareness of socio-economic and cultural factors enabled a holistic assessment of the children’s needs, ensuring interventions were equitable, strengths-based, and culturally sensitive.</w:t>
            </w:r>
          </w:p>
          <w:p w14:paraId="244FFF7F" w14:textId="77777777" w:rsidR="00EC27D6" w:rsidRPr="00EC27D6" w:rsidRDefault="00EC27D6" w:rsidP="00EC27D6">
            <w:pPr>
              <w:jc w:val="both"/>
              <w:rPr>
                <w:rFonts w:asciiTheme="minorHAnsi" w:hAnsiTheme="minorHAnsi" w:cstheme="minorHAnsi"/>
                <w:iCs/>
                <w:color w:val="auto"/>
                <w:sz w:val="24"/>
                <w:szCs w:val="24"/>
              </w:rPr>
            </w:pPr>
          </w:p>
          <w:p w14:paraId="3CCE2C88" w14:textId="4667B574" w:rsidR="00EC27D6"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 xml:space="preserve">This case highlights the integration of theoretical knowledge, legislation, professional judgment, and collaborative working. Reflection on practice reveals the challenge of balancing empathy for the mother with the imperative to protect the children. Power dynamics, ethical dilemmas, and complex family relationships required sensitivity and consistent application of safeguarding principles. Using frameworks such as attachment theory, psychosocial theory, and motivational interviewing, </w:t>
            </w:r>
            <w:r w:rsidR="002D0CFA">
              <w:rPr>
                <w:rFonts w:asciiTheme="minorHAnsi" w:hAnsiTheme="minorHAnsi" w:cstheme="minorHAnsi"/>
                <w:iCs/>
                <w:color w:val="auto"/>
                <w:sz w:val="24"/>
                <w:szCs w:val="24"/>
              </w:rPr>
              <w:t xml:space="preserve">I </w:t>
            </w:r>
            <w:r w:rsidRPr="00EC27D6">
              <w:rPr>
                <w:rFonts w:asciiTheme="minorHAnsi" w:hAnsiTheme="minorHAnsi" w:cstheme="minorHAnsi"/>
                <w:iCs/>
                <w:color w:val="auto"/>
                <w:sz w:val="24"/>
                <w:szCs w:val="24"/>
              </w:rPr>
              <w:t>was able to analyse risk, understand behaviours, and guide interventions effectively. Collaborative working with police, courts, and other agencies demonstrated the operationalisation of safeguarding legislation in Wales. This case further emphasizes the significance of preventative approaches, the structured use of support services, and the prioritisation of child welfare and wellbeing over parental preference when immediate safety is at risk. It reinforced the responsibility to advocate for children’s voices while managing parental rights and expectations.</w:t>
            </w:r>
          </w:p>
          <w:p w14:paraId="4902967B" w14:textId="77777777" w:rsidR="00AF6E2F" w:rsidRDefault="00AF6E2F" w:rsidP="00EC27D6">
            <w:pPr>
              <w:jc w:val="both"/>
              <w:rPr>
                <w:rFonts w:asciiTheme="minorHAnsi" w:hAnsiTheme="minorHAnsi" w:cstheme="minorHAnsi"/>
                <w:iCs/>
                <w:color w:val="auto"/>
                <w:sz w:val="24"/>
                <w:szCs w:val="24"/>
              </w:rPr>
            </w:pPr>
          </w:p>
          <w:p w14:paraId="40C70139" w14:textId="43EF4564" w:rsidR="006805DE" w:rsidRPr="006805DE" w:rsidRDefault="00AF6E2F" w:rsidP="006805DE">
            <w:pPr>
              <w:jc w:val="both"/>
              <w:rPr>
                <w:rFonts w:asciiTheme="minorHAnsi" w:hAnsiTheme="minorHAnsi" w:cstheme="minorHAnsi"/>
                <w:iCs/>
                <w:color w:val="auto"/>
                <w:sz w:val="24"/>
                <w:szCs w:val="24"/>
              </w:rPr>
            </w:pPr>
            <w:r w:rsidRPr="00AF6E2F">
              <w:rPr>
                <w:rFonts w:asciiTheme="minorHAnsi" w:hAnsiTheme="minorHAnsi" w:cstheme="minorHAnsi"/>
                <w:iCs/>
                <w:color w:val="auto"/>
                <w:sz w:val="24"/>
                <w:szCs w:val="24"/>
              </w:rPr>
              <w:t>Interprofessional practice involves collaborative work between professionals from different disciplines to deliver comprehensive care or achieve common goals. It emphasizes shared responsibility, mutual respect, and coordinated communication. This approach is common in healthcare, social services, education, and other complex systems where no single profession can address all aspects of a client’s needs.</w:t>
            </w:r>
            <w:r w:rsidR="00C24896">
              <w:rPr>
                <w:rFonts w:asciiTheme="minorHAnsi" w:hAnsiTheme="minorHAnsi" w:cstheme="minorHAnsi"/>
                <w:iCs/>
                <w:color w:val="auto"/>
                <w:sz w:val="24"/>
                <w:szCs w:val="24"/>
              </w:rPr>
              <w:t xml:space="preserve"> </w:t>
            </w:r>
            <w:r w:rsidR="006805DE" w:rsidRPr="006805DE">
              <w:rPr>
                <w:rFonts w:asciiTheme="minorHAnsi" w:hAnsiTheme="minorHAnsi" w:cstheme="minorHAnsi"/>
                <w:iCs/>
                <w:color w:val="auto"/>
                <w:sz w:val="24"/>
                <w:szCs w:val="24"/>
              </w:rPr>
              <w:t>The importance of interprofessional practice in child protection under Section 47 of the Children Act 1989 is central to safeguarding children who may be suffering or at risk of significant harm. In social work, effective collaboration between professionals ensures that concerns are identified early, assessed accurately, and responded to appropriately.</w:t>
            </w:r>
            <w:r w:rsidR="00C24896">
              <w:rPr>
                <w:rFonts w:asciiTheme="minorHAnsi" w:hAnsiTheme="minorHAnsi" w:cstheme="minorHAnsi"/>
                <w:iCs/>
                <w:color w:val="auto"/>
                <w:sz w:val="24"/>
                <w:szCs w:val="24"/>
              </w:rPr>
              <w:t xml:space="preserve"> </w:t>
            </w:r>
            <w:r w:rsidR="006805DE" w:rsidRPr="006805DE">
              <w:rPr>
                <w:rFonts w:asciiTheme="minorHAnsi" w:hAnsiTheme="minorHAnsi" w:cstheme="minorHAnsi"/>
                <w:iCs/>
                <w:color w:val="auto"/>
                <w:sz w:val="24"/>
                <w:szCs w:val="24"/>
              </w:rPr>
              <w:t>Comprehensive Assessment of Risk</w:t>
            </w:r>
            <w:r w:rsidR="006805DE">
              <w:rPr>
                <w:rFonts w:asciiTheme="minorHAnsi" w:hAnsiTheme="minorHAnsi" w:cstheme="minorHAnsi"/>
                <w:iCs/>
                <w:color w:val="auto"/>
                <w:sz w:val="24"/>
                <w:szCs w:val="24"/>
              </w:rPr>
              <w:t xml:space="preserve"> – </w:t>
            </w:r>
            <w:r w:rsidR="006805DE" w:rsidRPr="006805DE">
              <w:rPr>
                <w:rFonts w:asciiTheme="minorHAnsi" w:hAnsiTheme="minorHAnsi" w:cstheme="minorHAnsi"/>
                <w:iCs/>
                <w:color w:val="auto"/>
                <w:sz w:val="24"/>
                <w:szCs w:val="24"/>
              </w:rPr>
              <w:t>Under Children Act 1989 Section 47, local authorities must investigate when there is reasonable cause to suspect a child is suffering or likely to suffer significant harm.</w:t>
            </w:r>
            <w:r w:rsidR="006805DE">
              <w:rPr>
                <w:rFonts w:asciiTheme="minorHAnsi" w:hAnsiTheme="minorHAnsi" w:cstheme="minorHAnsi"/>
                <w:iCs/>
                <w:color w:val="auto"/>
                <w:sz w:val="24"/>
                <w:szCs w:val="24"/>
              </w:rPr>
              <w:t xml:space="preserve"> </w:t>
            </w:r>
            <w:r w:rsidR="006805DE" w:rsidRPr="006805DE">
              <w:rPr>
                <w:rFonts w:asciiTheme="minorHAnsi" w:hAnsiTheme="minorHAnsi" w:cstheme="minorHAnsi"/>
                <w:iCs/>
                <w:color w:val="auto"/>
                <w:sz w:val="24"/>
                <w:szCs w:val="24"/>
              </w:rPr>
              <w:t>Interprofessional practice allows different professionals to contribute their expertise:</w:t>
            </w:r>
            <w:r w:rsidR="006805DE">
              <w:rPr>
                <w:rFonts w:asciiTheme="minorHAnsi" w:hAnsiTheme="minorHAnsi" w:cstheme="minorHAnsi"/>
                <w:iCs/>
                <w:color w:val="auto"/>
                <w:sz w:val="24"/>
                <w:szCs w:val="24"/>
              </w:rPr>
              <w:t xml:space="preserve"> </w:t>
            </w:r>
            <w:r w:rsidR="006805DE" w:rsidRPr="006805DE">
              <w:rPr>
                <w:rFonts w:asciiTheme="minorHAnsi" w:hAnsiTheme="minorHAnsi" w:cstheme="minorHAnsi"/>
                <w:iCs/>
                <w:color w:val="auto"/>
                <w:sz w:val="24"/>
                <w:szCs w:val="24"/>
              </w:rPr>
              <w:t xml:space="preserve">Social workers </w:t>
            </w:r>
            <w:r w:rsidR="006805DE" w:rsidRPr="006805DE">
              <w:rPr>
                <w:rFonts w:asciiTheme="minorHAnsi" w:hAnsiTheme="minorHAnsi" w:cstheme="minorHAnsi"/>
                <w:iCs/>
                <w:color w:val="auto"/>
                <w:sz w:val="24"/>
                <w:szCs w:val="24"/>
              </w:rPr>
              <w:lastRenderedPageBreak/>
              <w:t>– coordinate safeguarding investigations and assess family circumstances.</w:t>
            </w:r>
            <w:r w:rsidR="006805DE">
              <w:rPr>
                <w:rFonts w:asciiTheme="minorHAnsi" w:hAnsiTheme="minorHAnsi" w:cstheme="minorHAnsi"/>
                <w:iCs/>
                <w:color w:val="auto"/>
                <w:sz w:val="24"/>
                <w:szCs w:val="24"/>
              </w:rPr>
              <w:t xml:space="preserve"> </w:t>
            </w:r>
            <w:r w:rsidR="006805DE" w:rsidRPr="006805DE">
              <w:rPr>
                <w:rFonts w:asciiTheme="minorHAnsi" w:hAnsiTheme="minorHAnsi" w:cstheme="minorHAnsi"/>
                <w:iCs/>
                <w:color w:val="auto"/>
                <w:sz w:val="24"/>
                <w:szCs w:val="24"/>
              </w:rPr>
              <w:t>Police – investigate potential criminal offences such as abuse or neglect.</w:t>
            </w:r>
            <w:r w:rsidR="006805DE">
              <w:rPr>
                <w:rFonts w:asciiTheme="minorHAnsi" w:hAnsiTheme="minorHAnsi" w:cstheme="minorHAnsi"/>
                <w:iCs/>
                <w:color w:val="auto"/>
                <w:sz w:val="24"/>
                <w:szCs w:val="24"/>
              </w:rPr>
              <w:t xml:space="preserve"> </w:t>
            </w:r>
            <w:r w:rsidR="006805DE" w:rsidRPr="006805DE">
              <w:rPr>
                <w:rFonts w:asciiTheme="minorHAnsi" w:hAnsiTheme="minorHAnsi" w:cstheme="minorHAnsi"/>
                <w:iCs/>
                <w:color w:val="auto"/>
                <w:sz w:val="24"/>
                <w:szCs w:val="24"/>
              </w:rPr>
              <w:t>Health professionals (GPs, paediatricians, health visitors) – identify medical indicators of abuse or neglect.</w:t>
            </w:r>
            <w:r w:rsidR="006805DE">
              <w:rPr>
                <w:rFonts w:asciiTheme="minorHAnsi" w:hAnsiTheme="minorHAnsi" w:cstheme="minorHAnsi"/>
                <w:iCs/>
                <w:color w:val="auto"/>
                <w:sz w:val="24"/>
                <w:szCs w:val="24"/>
              </w:rPr>
              <w:t xml:space="preserve"> </w:t>
            </w:r>
            <w:r w:rsidR="006805DE" w:rsidRPr="006805DE">
              <w:rPr>
                <w:rFonts w:asciiTheme="minorHAnsi" w:hAnsiTheme="minorHAnsi" w:cstheme="minorHAnsi"/>
                <w:iCs/>
                <w:color w:val="auto"/>
                <w:sz w:val="24"/>
                <w:szCs w:val="24"/>
              </w:rPr>
              <w:t>Teachers and school staff – observe behavioural or developmental concerns.</w:t>
            </w:r>
          </w:p>
          <w:p w14:paraId="2D86ADD7" w14:textId="77777777" w:rsidR="006805DE" w:rsidRPr="006805DE" w:rsidRDefault="006805DE" w:rsidP="006805DE">
            <w:pPr>
              <w:jc w:val="both"/>
              <w:rPr>
                <w:rFonts w:asciiTheme="minorHAnsi" w:hAnsiTheme="minorHAnsi" w:cstheme="minorHAnsi"/>
                <w:iCs/>
                <w:color w:val="auto"/>
                <w:sz w:val="24"/>
                <w:szCs w:val="24"/>
              </w:rPr>
            </w:pPr>
          </w:p>
          <w:p w14:paraId="172A7DA7" w14:textId="3D7C1D8B" w:rsidR="00FF33C0" w:rsidRDefault="006805DE" w:rsidP="00EC27D6">
            <w:pPr>
              <w:jc w:val="both"/>
              <w:rPr>
                <w:rFonts w:asciiTheme="minorHAnsi" w:hAnsiTheme="minorHAnsi" w:cstheme="minorHAnsi"/>
                <w:iCs/>
                <w:color w:val="auto"/>
                <w:sz w:val="24"/>
                <w:szCs w:val="24"/>
              </w:rPr>
            </w:pPr>
            <w:r w:rsidRPr="006805DE">
              <w:rPr>
                <w:rFonts w:asciiTheme="minorHAnsi" w:hAnsiTheme="minorHAnsi" w:cstheme="minorHAnsi"/>
                <w:iCs/>
                <w:color w:val="auto"/>
                <w:sz w:val="24"/>
                <w:szCs w:val="24"/>
              </w:rPr>
              <w:t>Combining these perspectives leads to a more accurate and holistic risk assessment.</w:t>
            </w:r>
            <w:r>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Information Sharing</w:t>
            </w:r>
            <w:r>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Child protection often relies on pieces of information held by different agencies. Interprofessional working ensures</w:t>
            </w:r>
            <w:r>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concerns are shared quickly and safely</w:t>
            </w:r>
            <w:r>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patterns of harm are identified</w:t>
            </w:r>
            <w:r>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professionals avoid working in isolation</w:t>
            </w:r>
            <w:r>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Failures in information sharing have historically contributed to serious case reviews in the UK, demonstrating why coordinated communication is essential.</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Early Identification and Prevention</w:t>
            </w:r>
            <w:r w:rsidR="00342599">
              <w:rPr>
                <w:rFonts w:asciiTheme="minorHAnsi" w:hAnsiTheme="minorHAnsi" w:cstheme="minorHAnsi"/>
                <w:iCs/>
                <w:color w:val="auto"/>
                <w:sz w:val="24"/>
                <w:szCs w:val="24"/>
              </w:rPr>
              <w:t xml:space="preserve">, </w:t>
            </w:r>
            <w:r w:rsidR="00342599" w:rsidRPr="006805DE">
              <w:rPr>
                <w:rFonts w:asciiTheme="minorHAnsi" w:hAnsiTheme="minorHAnsi" w:cstheme="minorHAnsi"/>
                <w:iCs/>
                <w:color w:val="auto"/>
                <w:sz w:val="24"/>
                <w:szCs w:val="24"/>
              </w:rPr>
              <w:t>when</w:t>
            </w:r>
            <w:r w:rsidRPr="006805DE">
              <w:rPr>
                <w:rFonts w:asciiTheme="minorHAnsi" w:hAnsiTheme="minorHAnsi" w:cstheme="minorHAnsi"/>
                <w:iCs/>
                <w:color w:val="auto"/>
                <w:sz w:val="24"/>
                <w:szCs w:val="24"/>
              </w:rPr>
              <w:t xml:space="preserve"> professionals collaborate, early warning signs can be recognised sooner. For example:</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teachers noticing behavioural changes</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health professionals identifying injuries or developmental delays</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police responding to domestic incidents</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Through joint work, agencies can intervene before harm escalates.</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Coordinated Safeguarding Plans</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 xml:space="preserve">If risk is confirmed during a Section 47 enquiry, agencies work together to create child protection plans. Interprofessional practice helps </w:t>
            </w:r>
            <w:r w:rsidR="00AA76CD" w:rsidRPr="006805DE">
              <w:rPr>
                <w:rFonts w:asciiTheme="minorHAnsi" w:hAnsiTheme="minorHAnsi" w:cstheme="minorHAnsi"/>
                <w:iCs/>
                <w:color w:val="auto"/>
                <w:sz w:val="24"/>
                <w:szCs w:val="24"/>
              </w:rPr>
              <w:t>to</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allocate responsibilities between agencies</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provide support to the child and family</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monitor progress and safety over time</w:t>
            </w:r>
            <w:r w:rsidR="00342599">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This coordinated approach improves the likelihood that safeguarding measures are effective.</w:t>
            </w:r>
            <w:r w:rsidR="00AA76CD">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Legal and Policy Requirements</w:t>
            </w:r>
            <w:r w:rsidR="00AA76CD">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Guidance such as Working Together to Safeguard Children requires agencies to cooperate in child protection investigations. Social workers rely on collaboration to fulfil their statutory duties under Section 47.</w:t>
            </w:r>
            <w:r w:rsidR="00AA76CD">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Accountability and Professional Challenge</w:t>
            </w:r>
            <w:r w:rsidR="00D849E4">
              <w:rPr>
                <w:rFonts w:asciiTheme="minorHAnsi" w:hAnsiTheme="minorHAnsi" w:cstheme="minorHAnsi"/>
                <w:iCs/>
                <w:color w:val="auto"/>
                <w:sz w:val="24"/>
                <w:szCs w:val="24"/>
              </w:rPr>
              <w:t>,</w:t>
            </w:r>
            <w:r w:rsidR="00AA76CD">
              <w:rPr>
                <w:rFonts w:asciiTheme="minorHAnsi" w:hAnsiTheme="minorHAnsi" w:cstheme="minorHAnsi"/>
                <w:iCs/>
                <w:color w:val="auto"/>
                <w:sz w:val="24"/>
                <w:szCs w:val="24"/>
              </w:rPr>
              <w:t xml:space="preserve"> </w:t>
            </w:r>
            <w:r w:rsidR="00D849E4">
              <w:rPr>
                <w:rFonts w:asciiTheme="minorHAnsi" w:hAnsiTheme="minorHAnsi" w:cstheme="minorHAnsi"/>
                <w:iCs/>
                <w:color w:val="auto"/>
                <w:sz w:val="24"/>
                <w:szCs w:val="24"/>
              </w:rPr>
              <w:t>w</w:t>
            </w:r>
            <w:r w:rsidRPr="006805DE">
              <w:rPr>
                <w:rFonts w:asciiTheme="minorHAnsi" w:hAnsiTheme="minorHAnsi" w:cstheme="minorHAnsi"/>
                <w:iCs/>
                <w:color w:val="auto"/>
                <w:sz w:val="24"/>
                <w:szCs w:val="24"/>
              </w:rPr>
              <w:t xml:space="preserve">orking across professions also </w:t>
            </w:r>
            <w:r w:rsidR="00AA76CD" w:rsidRPr="006805DE">
              <w:rPr>
                <w:rFonts w:asciiTheme="minorHAnsi" w:hAnsiTheme="minorHAnsi" w:cstheme="minorHAnsi"/>
                <w:iCs/>
                <w:color w:val="auto"/>
                <w:sz w:val="24"/>
                <w:szCs w:val="24"/>
              </w:rPr>
              <w:t>promotes</w:t>
            </w:r>
            <w:r w:rsidR="00AA76CD">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professional challenge</w:t>
            </w:r>
            <w:r w:rsidR="00D849E4">
              <w:rPr>
                <w:rFonts w:asciiTheme="minorHAnsi" w:hAnsiTheme="minorHAnsi" w:cstheme="minorHAnsi"/>
                <w:iCs/>
                <w:color w:val="auto"/>
                <w:sz w:val="24"/>
                <w:szCs w:val="24"/>
              </w:rPr>
              <w:t>,</w:t>
            </w:r>
            <w:r w:rsidRPr="006805DE">
              <w:rPr>
                <w:rFonts w:asciiTheme="minorHAnsi" w:hAnsiTheme="minorHAnsi" w:cstheme="minorHAnsi"/>
                <w:iCs/>
                <w:color w:val="auto"/>
                <w:sz w:val="24"/>
                <w:szCs w:val="24"/>
              </w:rPr>
              <w:t xml:space="preserve"> if concerns are minimised</w:t>
            </w:r>
            <w:r w:rsidR="00AA76CD">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shared accountability for decisions</w:t>
            </w:r>
            <w:r w:rsidR="00AA76CD">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improved safeguarding standards</w:t>
            </w:r>
            <w:r w:rsidR="00BA55C8">
              <w:rPr>
                <w:rFonts w:asciiTheme="minorHAnsi" w:hAnsiTheme="minorHAnsi" w:cstheme="minorHAnsi"/>
                <w:iCs/>
                <w:color w:val="auto"/>
                <w:sz w:val="24"/>
                <w:szCs w:val="24"/>
              </w:rPr>
              <w:t>.</w:t>
            </w:r>
            <w:r w:rsidR="00AA76CD">
              <w:rPr>
                <w:rFonts w:asciiTheme="minorHAnsi" w:hAnsiTheme="minorHAnsi" w:cstheme="minorHAnsi"/>
                <w:iCs/>
                <w:color w:val="auto"/>
                <w:sz w:val="24"/>
                <w:szCs w:val="24"/>
              </w:rPr>
              <w:t xml:space="preserve"> </w:t>
            </w:r>
            <w:r w:rsidRPr="006805DE">
              <w:rPr>
                <w:rFonts w:asciiTheme="minorHAnsi" w:hAnsiTheme="minorHAnsi" w:cstheme="minorHAnsi"/>
                <w:iCs/>
                <w:color w:val="auto"/>
                <w:sz w:val="24"/>
                <w:szCs w:val="24"/>
              </w:rPr>
              <w:t>This helps prevent mistakes caused by single-agency decision-making.</w:t>
            </w:r>
          </w:p>
          <w:p w14:paraId="0310D861" w14:textId="77777777" w:rsidR="00A45833" w:rsidRPr="00EC27D6" w:rsidRDefault="00A45833" w:rsidP="00EC27D6">
            <w:pPr>
              <w:jc w:val="both"/>
              <w:rPr>
                <w:rFonts w:asciiTheme="minorHAnsi" w:hAnsiTheme="minorHAnsi" w:cstheme="minorHAnsi"/>
                <w:iCs/>
                <w:color w:val="auto"/>
                <w:sz w:val="24"/>
                <w:szCs w:val="24"/>
              </w:rPr>
            </w:pPr>
          </w:p>
          <w:p w14:paraId="4B8C89C6" w14:textId="4B497008" w:rsidR="005110B8" w:rsidRDefault="00EC27D6" w:rsidP="00EC27D6">
            <w:pPr>
              <w:jc w:val="both"/>
              <w:rPr>
                <w:rFonts w:asciiTheme="minorHAnsi" w:hAnsiTheme="minorHAnsi" w:cstheme="minorHAnsi"/>
                <w:iCs/>
                <w:color w:val="auto"/>
                <w:sz w:val="24"/>
                <w:szCs w:val="24"/>
              </w:rPr>
            </w:pPr>
            <w:r w:rsidRPr="00EC27D6">
              <w:rPr>
                <w:rFonts w:asciiTheme="minorHAnsi" w:hAnsiTheme="minorHAnsi" w:cstheme="minorHAnsi"/>
                <w:iCs/>
                <w:color w:val="auto"/>
                <w:sz w:val="24"/>
                <w:szCs w:val="24"/>
              </w:rPr>
              <w:t xml:space="preserve">Overall, this case underscores the multifaceted nature of safeguarding in social work, demonstrating the integration of legislation, policy, theory, and professional judgment. Effective practice requires balancing child welfare with parental rights, navigating complex power dynamics, and ensuring multi-agency collaboration. In Wales, the </w:t>
            </w:r>
            <w:r w:rsidR="005D5728" w:rsidRPr="005D5728">
              <w:rPr>
                <w:rFonts w:asciiTheme="minorHAnsi" w:hAnsiTheme="minorHAnsi" w:cstheme="minorHAnsi"/>
                <w:iCs/>
                <w:color w:val="auto"/>
                <w:sz w:val="24"/>
                <w:szCs w:val="24"/>
              </w:rPr>
              <w:t>SSWB(W)A</w:t>
            </w:r>
            <w:r w:rsidR="005D5728">
              <w:rPr>
                <w:rFonts w:asciiTheme="minorHAnsi" w:hAnsiTheme="minorHAnsi" w:cstheme="minorHAnsi"/>
                <w:iCs/>
                <w:color w:val="auto"/>
                <w:sz w:val="24"/>
                <w:szCs w:val="24"/>
              </w:rPr>
              <w:t xml:space="preserve"> </w:t>
            </w:r>
            <w:r w:rsidRPr="00EC27D6">
              <w:rPr>
                <w:rFonts w:asciiTheme="minorHAnsi" w:hAnsiTheme="minorHAnsi" w:cstheme="minorHAnsi"/>
                <w:iCs/>
                <w:color w:val="auto"/>
                <w:sz w:val="24"/>
                <w:szCs w:val="24"/>
              </w:rPr>
              <w:t xml:space="preserve">(2014), Children Act (1989), UNCRC (2022), and reforms such as Pathfinder provide a legislative and procedural foundation for child protection, safeguarding, and collaborative practice. Critically, social workers must maintain reflexivity, ethical awareness, and theoretical insight to manage the competing demands of protecting children, supporting families, and adhering to statutory requirements. The ongoing challenge lies in ensuring that interventions are proportionate, culturally sensitive, and grounded in evidence-based practice while </w:t>
            </w:r>
            <w:proofErr w:type="spellStart"/>
            <w:r w:rsidRPr="00EC27D6">
              <w:rPr>
                <w:rFonts w:asciiTheme="minorHAnsi" w:hAnsiTheme="minorHAnsi" w:cstheme="minorHAnsi"/>
                <w:iCs/>
                <w:color w:val="auto"/>
                <w:sz w:val="24"/>
                <w:szCs w:val="24"/>
              </w:rPr>
              <w:t>centering</w:t>
            </w:r>
            <w:proofErr w:type="spellEnd"/>
            <w:r w:rsidRPr="00EC27D6">
              <w:rPr>
                <w:rFonts w:asciiTheme="minorHAnsi" w:hAnsiTheme="minorHAnsi" w:cstheme="minorHAnsi"/>
                <w:iCs/>
                <w:color w:val="auto"/>
                <w:sz w:val="24"/>
                <w:szCs w:val="24"/>
              </w:rPr>
              <w:t xml:space="preserve"> the child’s voice. This case highlights the importance of balancing rights-based practice, preventative work, and collaborative interventions, reflecting the complex realities of contemporary social work in Wales.</w:t>
            </w:r>
          </w:p>
          <w:p w14:paraId="4FDF6B41" w14:textId="77777777" w:rsidR="001F748B" w:rsidRDefault="001F748B" w:rsidP="00EC27D6">
            <w:pPr>
              <w:jc w:val="both"/>
              <w:rPr>
                <w:rFonts w:asciiTheme="minorHAnsi" w:hAnsiTheme="minorHAnsi" w:cstheme="minorHAnsi"/>
                <w:iCs/>
                <w:color w:val="auto"/>
                <w:sz w:val="24"/>
                <w:szCs w:val="24"/>
              </w:rPr>
            </w:pPr>
          </w:p>
          <w:p w14:paraId="4DC7880A" w14:textId="7FAA3D3C" w:rsidR="001F748B" w:rsidRDefault="00A45833" w:rsidP="00A45833">
            <w:pPr>
              <w:jc w:val="both"/>
              <w:rPr>
                <w:rFonts w:asciiTheme="minorHAnsi" w:hAnsiTheme="minorHAnsi" w:cstheme="minorHAnsi"/>
                <w:iCs/>
                <w:color w:val="auto"/>
                <w:sz w:val="24"/>
                <w:szCs w:val="24"/>
              </w:rPr>
            </w:pPr>
            <w:r w:rsidRPr="00A45833">
              <w:rPr>
                <w:rFonts w:asciiTheme="minorHAnsi" w:hAnsiTheme="minorHAnsi" w:cstheme="minorHAnsi"/>
                <w:iCs/>
                <w:color w:val="auto"/>
                <w:sz w:val="24"/>
                <w:szCs w:val="24"/>
              </w:rPr>
              <w:t xml:space="preserve">Throughout the case, my professional judgment was shaped </w:t>
            </w:r>
            <w:r w:rsidR="006805A4" w:rsidRPr="00A45833">
              <w:rPr>
                <w:rFonts w:asciiTheme="minorHAnsi" w:hAnsiTheme="minorHAnsi" w:cstheme="minorHAnsi"/>
                <w:iCs/>
                <w:color w:val="auto"/>
                <w:sz w:val="24"/>
                <w:szCs w:val="24"/>
              </w:rPr>
              <w:t>by</w:t>
            </w:r>
            <w:r w:rsidR="00995904">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the pattern and persistence of neglect,</w:t>
            </w:r>
            <w:r w:rsidR="00995904">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 xml:space="preserve">the </w:t>
            </w:r>
            <w:proofErr w:type="gramStart"/>
            <w:r w:rsidR="003C251C" w:rsidRPr="00A45833">
              <w:rPr>
                <w:rFonts w:asciiTheme="minorHAnsi" w:hAnsiTheme="minorHAnsi" w:cstheme="minorHAnsi"/>
                <w:iCs/>
                <w:color w:val="auto"/>
                <w:sz w:val="24"/>
                <w:szCs w:val="24"/>
              </w:rPr>
              <w:t>children</w:t>
            </w:r>
            <w:r w:rsidR="003C251C">
              <w:rPr>
                <w:rFonts w:asciiTheme="minorHAnsi" w:hAnsiTheme="minorHAnsi" w:cstheme="minorHAnsi"/>
                <w:iCs/>
                <w:color w:val="auto"/>
                <w:sz w:val="24"/>
                <w:szCs w:val="24"/>
              </w:rPr>
              <w:t>’s</w:t>
            </w:r>
            <w:proofErr w:type="gramEnd"/>
            <w:r w:rsidRPr="00A45833">
              <w:rPr>
                <w:rFonts w:asciiTheme="minorHAnsi" w:hAnsiTheme="minorHAnsi" w:cstheme="minorHAnsi"/>
                <w:iCs/>
                <w:color w:val="auto"/>
                <w:sz w:val="24"/>
                <w:szCs w:val="24"/>
              </w:rPr>
              <w:t xml:space="preserve"> lived experiences over time,</w:t>
            </w:r>
            <w:r w:rsidR="00995904">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the inconsistency of improvements,</w:t>
            </w:r>
            <w:r w:rsidR="00995904">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and the cumulative risk rather than isolated incidents.</w:t>
            </w:r>
            <w:r w:rsidR="003C251C">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Key Judgments Made:</w:t>
            </w:r>
            <w:r w:rsidR="003C251C">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The threshold for significant harm was clearly met, given the combination of chronic neglect, unsafe conditions, emotional insecurity, and educational impact.</w:t>
            </w:r>
            <w:r w:rsidR="003C251C">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The children required immediate safety and stability, which could no longer be reliably provided by Person 3.</w:t>
            </w:r>
            <w:r w:rsidR="003C251C">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Multi</w:t>
            </w:r>
            <w:r w:rsidRPr="00A45833">
              <w:rPr>
                <w:rFonts w:ascii="Cambria Math" w:hAnsi="Cambria Math" w:cs="Cambria Math"/>
                <w:iCs/>
                <w:color w:val="auto"/>
                <w:sz w:val="24"/>
                <w:szCs w:val="24"/>
              </w:rPr>
              <w:t>‑</w:t>
            </w:r>
            <w:r w:rsidRPr="00A45833">
              <w:rPr>
                <w:rFonts w:asciiTheme="minorHAnsi" w:hAnsiTheme="minorHAnsi" w:cstheme="minorHAnsi"/>
                <w:iCs/>
                <w:color w:val="auto"/>
                <w:sz w:val="24"/>
                <w:szCs w:val="24"/>
              </w:rPr>
              <w:t>agency information was consistent, reinforcing the validity of safeguarding concerns.</w:t>
            </w:r>
            <w:r w:rsidR="003C251C">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 xml:space="preserve">The father’s care was protective, stable, and met the children’s basic and </w:t>
            </w:r>
            <w:r w:rsidRPr="00A45833">
              <w:rPr>
                <w:rFonts w:asciiTheme="minorHAnsi" w:hAnsiTheme="minorHAnsi" w:cstheme="minorHAnsi"/>
                <w:iCs/>
                <w:color w:val="auto"/>
                <w:sz w:val="24"/>
                <w:szCs w:val="24"/>
              </w:rPr>
              <w:lastRenderedPageBreak/>
              <w:t>emotional needs without evidence of risk.</w:t>
            </w:r>
            <w:r w:rsidR="003C251C">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Escalation was proportionate and necessary, and had the father not made a private law application, social services would have needed to progress the case to an LGM given habitual neglect.</w:t>
            </w:r>
            <w:r w:rsidR="00E81687">
              <w:rPr>
                <w:rFonts w:asciiTheme="minorHAnsi" w:hAnsiTheme="minorHAnsi" w:cstheme="minorHAnsi"/>
                <w:iCs/>
                <w:color w:val="auto"/>
                <w:sz w:val="24"/>
                <w:szCs w:val="24"/>
              </w:rPr>
              <w:t xml:space="preserve"> </w:t>
            </w:r>
            <w:r w:rsidRPr="00A45833">
              <w:rPr>
                <w:rFonts w:asciiTheme="minorHAnsi" w:hAnsiTheme="minorHAnsi" w:cstheme="minorHAnsi"/>
                <w:iCs/>
                <w:color w:val="auto"/>
                <w:sz w:val="24"/>
                <w:szCs w:val="24"/>
              </w:rPr>
              <w:t>My advocacy was grounded in the principle that the children’s rights to safety, stability, and reliable caregiving outweighed the mother’s Article 8 rights in this context.</w:t>
            </w:r>
          </w:p>
          <w:p w14:paraId="562877EA" w14:textId="77777777" w:rsidR="00995904" w:rsidRDefault="00995904" w:rsidP="00654E7A">
            <w:pPr>
              <w:jc w:val="both"/>
              <w:rPr>
                <w:rFonts w:asciiTheme="minorHAnsi" w:hAnsiTheme="minorHAnsi" w:cstheme="minorHAnsi"/>
                <w:iCs/>
                <w:color w:val="auto"/>
                <w:sz w:val="24"/>
                <w:szCs w:val="24"/>
              </w:rPr>
            </w:pPr>
          </w:p>
          <w:p w14:paraId="3DCA42DE" w14:textId="12BB917C" w:rsidR="00382BB1" w:rsidRPr="00382BB1" w:rsidRDefault="00382BB1" w:rsidP="00382BB1">
            <w:pPr>
              <w:jc w:val="both"/>
              <w:rPr>
                <w:rFonts w:asciiTheme="minorHAnsi" w:hAnsiTheme="minorHAnsi" w:cstheme="minorHAnsi"/>
                <w:iCs/>
                <w:color w:val="auto"/>
                <w:sz w:val="24"/>
                <w:szCs w:val="24"/>
              </w:rPr>
            </w:pPr>
            <w:r w:rsidRPr="00382BB1">
              <w:rPr>
                <w:rFonts w:asciiTheme="minorHAnsi" w:hAnsiTheme="minorHAnsi" w:cstheme="minorHAnsi"/>
                <w:iCs/>
                <w:color w:val="auto"/>
                <w:sz w:val="24"/>
                <w:szCs w:val="24"/>
              </w:rPr>
              <w:t>Multi</w:t>
            </w:r>
            <w:r w:rsidRPr="00382BB1">
              <w:rPr>
                <w:rFonts w:ascii="Cambria Math" w:hAnsi="Cambria Math" w:cs="Cambria Math"/>
                <w:iCs/>
                <w:color w:val="auto"/>
                <w:sz w:val="24"/>
                <w:szCs w:val="24"/>
              </w:rPr>
              <w:t>‑</w:t>
            </w:r>
            <w:r w:rsidRPr="00382BB1">
              <w:rPr>
                <w:rFonts w:asciiTheme="minorHAnsi" w:hAnsiTheme="minorHAnsi" w:cstheme="minorHAnsi"/>
                <w:iCs/>
                <w:color w:val="auto"/>
                <w:sz w:val="24"/>
                <w:szCs w:val="24"/>
              </w:rPr>
              <w:t>agency collaboration was central to the outcome of this case.</w:t>
            </w:r>
            <w:r w:rsidR="007360D1">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School staff provided consistent evidence of neglect patterns (lateness, hunger, hygiene concerns).</w:t>
            </w:r>
            <w:r w:rsidR="007360D1">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Police involvement acted as a catalyst for protective action after the domestic incident and subsequent arrest.</w:t>
            </w:r>
            <w:r w:rsidR="007360D1">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Health professionals shared concerns regarding physical presentation and emotional wellbeing.</w:t>
            </w:r>
            <w:r w:rsidR="007360D1">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 xml:space="preserve">Cafcass Cymru </w:t>
            </w:r>
            <w:r w:rsidR="00897152">
              <w:rPr>
                <w:rFonts w:asciiTheme="minorHAnsi" w:hAnsiTheme="minorHAnsi" w:cstheme="minorHAnsi"/>
                <w:iCs/>
                <w:color w:val="auto"/>
                <w:sz w:val="24"/>
                <w:szCs w:val="24"/>
              </w:rPr>
              <w:t xml:space="preserve">working </w:t>
            </w:r>
            <w:r w:rsidR="00286AA5">
              <w:rPr>
                <w:rFonts w:asciiTheme="minorHAnsi" w:hAnsiTheme="minorHAnsi" w:cstheme="minorHAnsi"/>
                <w:iCs/>
                <w:color w:val="auto"/>
                <w:sz w:val="24"/>
                <w:szCs w:val="24"/>
              </w:rPr>
              <w:t xml:space="preserve">in partnership </w:t>
            </w:r>
            <w:r w:rsidRPr="00382BB1">
              <w:rPr>
                <w:rFonts w:asciiTheme="minorHAnsi" w:hAnsiTheme="minorHAnsi" w:cstheme="minorHAnsi"/>
                <w:iCs/>
                <w:color w:val="auto"/>
                <w:sz w:val="24"/>
                <w:szCs w:val="24"/>
              </w:rPr>
              <w:t>contributed analysis through the Child Impact Report, ensuring the children’s voices were central.</w:t>
            </w:r>
            <w:r w:rsidR="00286AA5">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Th</w:t>
            </w:r>
            <w:r w:rsidR="00286AA5">
              <w:rPr>
                <w:rFonts w:asciiTheme="minorHAnsi" w:hAnsiTheme="minorHAnsi" w:cstheme="minorHAnsi"/>
                <w:iCs/>
                <w:color w:val="auto"/>
                <w:sz w:val="24"/>
                <w:szCs w:val="24"/>
              </w:rPr>
              <w:t>e</w:t>
            </w:r>
            <w:r w:rsidRPr="00382BB1">
              <w:rPr>
                <w:rFonts w:asciiTheme="minorHAnsi" w:hAnsiTheme="minorHAnsi" w:cstheme="minorHAnsi"/>
                <w:iCs/>
                <w:color w:val="auto"/>
                <w:sz w:val="24"/>
                <w:szCs w:val="24"/>
              </w:rPr>
              <w:t xml:space="preserve"> family court relied on multi</w:t>
            </w:r>
            <w:r w:rsidRPr="00382BB1">
              <w:rPr>
                <w:rFonts w:ascii="Cambria Math" w:hAnsi="Cambria Math" w:cs="Cambria Math"/>
                <w:iCs/>
                <w:color w:val="auto"/>
                <w:sz w:val="24"/>
                <w:szCs w:val="24"/>
              </w:rPr>
              <w:t>‑</w:t>
            </w:r>
            <w:r w:rsidRPr="00382BB1">
              <w:rPr>
                <w:rFonts w:asciiTheme="minorHAnsi" w:hAnsiTheme="minorHAnsi" w:cstheme="minorHAnsi"/>
                <w:iCs/>
                <w:color w:val="auto"/>
                <w:sz w:val="24"/>
                <w:szCs w:val="24"/>
              </w:rPr>
              <w:t xml:space="preserve">agency evidence to </w:t>
            </w:r>
            <w:proofErr w:type="gramStart"/>
            <w:r w:rsidRPr="00382BB1">
              <w:rPr>
                <w:rFonts w:asciiTheme="minorHAnsi" w:hAnsiTheme="minorHAnsi" w:cstheme="minorHAnsi"/>
                <w:iCs/>
                <w:color w:val="auto"/>
                <w:sz w:val="24"/>
                <w:szCs w:val="24"/>
              </w:rPr>
              <w:t>make a decision</w:t>
            </w:r>
            <w:proofErr w:type="gramEnd"/>
            <w:r w:rsidRPr="00382BB1">
              <w:rPr>
                <w:rFonts w:asciiTheme="minorHAnsi" w:hAnsiTheme="minorHAnsi" w:cstheme="minorHAnsi"/>
                <w:iCs/>
                <w:color w:val="auto"/>
                <w:sz w:val="24"/>
                <w:szCs w:val="24"/>
              </w:rPr>
              <w:t xml:space="preserve"> based firmly on welfare.</w:t>
            </w:r>
          </w:p>
          <w:p w14:paraId="137419D7" w14:textId="77777777" w:rsidR="00382BB1" w:rsidRPr="00382BB1" w:rsidRDefault="00382BB1" w:rsidP="00382BB1">
            <w:pPr>
              <w:jc w:val="both"/>
              <w:rPr>
                <w:rFonts w:asciiTheme="minorHAnsi" w:hAnsiTheme="minorHAnsi" w:cstheme="minorHAnsi"/>
                <w:iCs/>
                <w:color w:val="auto"/>
                <w:sz w:val="24"/>
                <w:szCs w:val="24"/>
              </w:rPr>
            </w:pPr>
          </w:p>
          <w:p w14:paraId="420F1280" w14:textId="0973C70E" w:rsidR="00382BB1" w:rsidRPr="00382BB1" w:rsidRDefault="00382BB1" w:rsidP="00382BB1">
            <w:pPr>
              <w:jc w:val="both"/>
              <w:rPr>
                <w:rFonts w:asciiTheme="minorHAnsi" w:hAnsiTheme="minorHAnsi" w:cstheme="minorHAnsi"/>
                <w:iCs/>
                <w:color w:val="auto"/>
                <w:sz w:val="24"/>
                <w:szCs w:val="24"/>
              </w:rPr>
            </w:pPr>
            <w:r w:rsidRPr="00382BB1">
              <w:rPr>
                <w:rFonts w:asciiTheme="minorHAnsi" w:hAnsiTheme="minorHAnsi" w:cstheme="minorHAnsi"/>
                <w:iCs/>
                <w:color w:val="auto"/>
                <w:sz w:val="24"/>
                <w:szCs w:val="24"/>
              </w:rPr>
              <w:t>This collaboration ensured the assessment was robust, transparent, and child</w:t>
            </w:r>
            <w:r w:rsidRPr="00382BB1">
              <w:rPr>
                <w:rFonts w:ascii="Cambria Math" w:hAnsi="Cambria Math" w:cs="Cambria Math"/>
                <w:iCs/>
                <w:color w:val="auto"/>
                <w:sz w:val="24"/>
                <w:szCs w:val="24"/>
              </w:rPr>
              <w:t>‑</w:t>
            </w:r>
            <w:r w:rsidRPr="00382BB1">
              <w:rPr>
                <w:rFonts w:asciiTheme="minorHAnsi" w:hAnsiTheme="minorHAnsi" w:cstheme="minorHAnsi"/>
                <w:iCs/>
                <w:color w:val="auto"/>
                <w:sz w:val="24"/>
                <w:szCs w:val="24"/>
              </w:rPr>
              <w:t xml:space="preserve">centred. No single agency held the full picture </w:t>
            </w:r>
            <w:r w:rsidRPr="00382BB1">
              <w:rPr>
                <w:rFonts w:ascii="Calibri" w:hAnsi="Calibri" w:cs="Calibri"/>
                <w:iCs/>
                <w:color w:val="auto"/>
                <w:sz w:val="24"/>
                <w:szCs w:val="24"/>
              </w:rPr>
              <w:t>—</w:t>
            </w:r>
            <w:r w:rsidRPr="00382BB1">
              <w:rPr>
                <w:rFonts w:asciiTheme="minorHAnsi" w:hAnsiTheme="minorHAnsi" w:cstheme="minorHAnsi"/>
                <w:iCs/>
                <w:color w:val="auto"/>
                <w:sz w:val="24"/>
                <w:szCs w:val="24"/>
              </w:rPr>
              <w:t xml:space="preserve"> each contributed essential elements that shaped my final professional recommendations.</w:t>
            </w:r>
            <w:r w:rsidR="0043342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The court granted the father primary residence of both children.</w:t>
            </w:r>
            <w:r w:rsidR="0043342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The children reported feeling safer, more settled, and less anxious in the father’s care.</w:t>
            </w:r>
            <w:r w:rsidR="0043342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School attendance, hygiene, and emotional presentation improved significantly within weeks.</w:t>
            </w:r>
            <w:r w:rsidR="0043342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 xml:space="preserve">Emotional stability increased, as evidenced </w:t>
            </w:r>
            <w:r w:rsidR="00433426" w:rsidRPr="00382BB1">
              <w:rPr>
                <w:rFonts w:asciiTheme="minorHAnsi" w:hAnsiTheme="minorHAnsi" w:cstheme="minorHAnsi"/>
                <w:iCs/>
                <w:color w:val="auto"/>
                <w:sz w:val="24"/>
                <w:szCs w:val="24"/>
              </w:rPr>
              <w:t>by</w:t>
            </w:r>
            <w:r w:rsidR="0043342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reduced behavioural issues,</w:t>
            </w:r>
            <w:r w:rsidR="0043342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better engagement in learning,</w:t>
            </w:r>
            <w:r w:rsidR="0043342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stronger peer relationships.</w:t>
            </w:r>
          </w:p>
          <w:p w14:paraId="24CEA9FE" w14:textId="75125E2F" w:rsidR="00382BB1" w:rsidRPr="00382BB1" w:rsidRDefault="00382BB1" w:rsidP="00382BB1">
            <w:pPr>
              <w:jc w:val="both"/>
              <w:rPr>
                <w:rFonts w:asciiTheme="minorHAnsi" w:hAnsiTheme="minorHAnsi" w:cstheme="minorHAnsi"/>
                <w:iCs/>
                <w:color w:val="auto"/>
                <w:sz w:val="24"/>
                <w:szCs w:val="24"/>
              </w:rPr>
            </w:pPr>
            <w:r w:rsidRPr="00382BB1">
              <w:rPr>
                <w:rFonts w:asciiTheme="minorHAnsi" w:hAnsiTheme="minorHAnsi" w:cstheme="minorHAnsi"/>
                <w:iCs/>
                <w:color w:val="auto"/>
                <w:sz w:val="24"/>
                <w:szCs w:val="24"/>
              </w:rPr>
              <w:t>Outcomes for Person 3</w:t>
            </w:r>
            <w:r w:rsidR="00F81866">
              <w:rPr>
                <w:rFonts w:asciiTheme="minorHAnsi" w:hAnsiTheme="minorHAnsi" w:cstheme="minorHAnsi"/>
                <w:iCs/>
                <w:color w:val="auto"/>
                <w:sz w:val="24"/>
                <w:szCs w:val="24"/>
              </w:rPr>
              <w:t>,</w:t>
            </w:r>
            <w:r w:rsidRPr="00382BB1">
              <w:rPr>
                <w:rFonts w:asciiTheme="minorHAnsi" w:hAnsiTheme="minorHAnsi" w:cstheme="minorHAnsi"/>
                <w:iCs/>
                <w:color w:val="auto"/>
                <w:sz w:val="24"/>
                <w:szCs w:val="24"/>
              </w:rPr>
              <w:t xml:space="preserve"> She was required to complete preventative work following the caution.</w:t>
            </w:r>
            <w:r w:rsidR="00F8186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She was offered ongoing parenting support and domestic abuse services.</w:t>
            </w:r>
            <w:r w:rsidR="00F8186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Contact was initially supervised due to concerns, with the intention to increase as safety and consistency improved.</w:t>
            </w:r>
            <w:r w:rsidR="00F8186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She retained parental responsibility, but the court placed safeguards to ensure the children’s wellbeing remained the priority.</w:t>
            </w:r>
          </w:p>
          <w:p w14:paraId="275C45C0" w14:textId="77777777" w:rsidR="00382BB1" w:rsidRPr="00382BB1" w:rsidRDefault="00382BB1" w:rsidP="00382BB1">
            <w:pPr>
              <w:jc w:val="both"/>
              <w:rPr>
                <w:rFonts w:asciiTheme="minorHAnsi" w:hAnsiTheme="minorHAnsi" w:cstheme="minorHAnsi"/>
                <w:iCs/>
                <w:color w:val="auto"/>
                <w:sz w:val="24"/>
                <w:szCs w:val="24"/>
              </w:rPr>
            </w:pPr>
          </w:p>
          <w:p w14:paraId="63D65668" w14:textId="32D65E6C" w:rsidR="00382BB1" w:rsidRPr="00382BB1" w:rsidRDefault="00382BB1" w:rsidP="00382BB1">
            <w:pPr>
              <w:jc w:val="both"/>
              <w:rPr>
                <w:rFonts w:asciiTheme="minorHAnsi" w:hAnsiTheme="minorHAnsi" w:cstheme="minorHAnsi"/>
                <w:iCs/>
                <w:color w:val="auto"/>
                <w:sz w:val="24"/>
                <w:szCs w:val="24"/>
              </w:rPr>
            </w:pPr>
            <w:r w:rsidRPr="00382BB1">
              <w:rPr>
                <w:rFonts w:asciiTheme="minorHAnsi" w:hAnsiTheme="minorHAnsi" w:cstheme="minorHAnsi"/>
                <w:iCs/>
                <w:color w:val="auto"/>
                <w:sz w:val="24"/>
                <w:szCs w:val="24"/>
              </w:rPr>
              <w:t>Professional Judgement on the Final Outcome</w:t>
            </w:r>
            <w:r w:rsidR="00F8186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 xml:space="preserve">My final recommendation — that the children reside with their father — was guided </w:t>
            </w:r>
            <w:r w:rsidR="009008A4" w:rsidRPr="00382BB1">
              <w:rPr>
                <w:rFonts w:asciiTheme="minorHAnsi" w:hAnsiTheme="minorHAnsi" w:cstheme="minorHAnsi"/>
                <w:iCs/>
                <w:color w:val="auto"/>
                <w:sz w:val="24"/>
                <w:szCs w:val="24"/>
              </w:rPr>
              <w:t>by</w:t>
            </w:r>
            <w:r w:rsidR="00F8186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cumulative risk,</w:t>
            </w:r>
            <w:r w:rsidR="00F8186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emotional and physical safety needs,</w:t>
            </w:r>
            <w:r w:rsidR="00F8186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attachment considerations,</w:t>
            </w:r>
            <w:r w:rsidR="00F8186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multi</w:t>
            </w:r>
            <w:r w:rsidRPr="00382BB1">
              <w:rPr>
                <w:rFonts w:ascii="Cambria Math" w:hAnsi="Cambria Math" w:cs="Cambria Math"/>
                <w:iCs/>
                <w:color w:val="auto"/>
                <w:sz w:val="24"/>
                <w:szCs w:val="24"/>
              </w:rPr>
              <w:t>‑</w:t>
            </w:r>
            <w:r w:rsidRPr="00382BB1">
              <w:rPr>
                <w:rFonts w:asciiTheme="minorHAnsi" w:hAnsiTheme="minorHAnsi" w:cstheme="minorHAnsi"/>
                <w:iCs/>
                <w:color w:val="auto"/>
                <w:sz w:val="24"/>
                <w:szCs w:val="24"/>
              </w:rPr>
              <w:t>agency evidence,</w:t>
            </w:r>
            <w:r w:rsidR="00F81866">
              <w:rPr>
                <w:rFonts w:asciiTheme="minorHAnsi" w:hAnsiTheme="minorHAnsi" w:cstheme="minorHAnsi"/>
                <w:iCs/>
                <w:color w:val="auto"/>
                <w:sz w:val="24"/>
                <w:szCs w:val="24"/>
              </w:rPr>
              <w:t xml:space="preserve"> </w:t>
            </w:r>
            <w:r w:rsidRPr="00382BB1">
              <w:rPr>
                <w:rFonts w:asciiTheme="minorHAnsi" w:hAnsiTheme="minorHAnsi" w:cstheme="minorHAnsi"/>
                <w:iCs/>
                <w:color w:val="auto"/>
                <w:sz w:val="24"/>
                <w:szCs w:val="24"/>
              </w:rPr>
              <w:t xml:space="preserve">and the </w:t>
            </w:r>
            <w:proofErr w:type="gramStart"/>
            <w:r w:rsidRPr="00382BB1">
              <w:rPr>
                <w:rFonts w:asciiTheme="minorHAnsi" w:hAnsiTheme="minorHAnsi" w:cstheme="minorHAnsi"/>
                <w:iCs/>
                <w:color w:val="auto"/>
                <w:sz w:val="24"/>
                <w:szCs w:val="24"/>
              </w:rPr>
              <w:t>children’s</w:t>
            </w:r>
            <w:proofErr w:type="gramEnd"/>
            <w:r w:rsidRPr="00382BB1">
              <w:rPr>
                <w:rFonts w:asciiTheme="minorHAnsi" w:hAnsiTheme="minorHAnsi" w:cstheme="minorHAnsi"/>
                <w:iCs/>
                <w:color w:val="auto"/>
                <w:sz w:val="24"/>
                <w:szCs w:val="24"/>
              </w:rPr>
              <w:t xml:space="preserve"> clearly expressed wishes and feelings.</w:t>
            </w:r>
          </w:p>
          <w:p w14:paraId="66C0E9B3" w14:textId="30BDCEF7" w:rsidR="00995904" w:rsidRDefault="00382BB1" w:rsidP="00382BB1">
            <w:pPr>
              <w:jc w:val="both"/>
              <w:rPr>
                <w:rFonts w:asciiTheme="minorHAnsi" w:hAnsiTheme="minorHAnsi" w:cstheme="minorHAnsi"/>
                <w:iCs/>
                <w:color w:val="auto"/>
                <w:sz w:val="24"/>
                <w:szCs w:val="24"/>
              </w:rPr>
            </w:pPr>
            <w:r w:rsidRPr="00382BB1">
              <w:rPr>
                <w:rFonts w:asciiTheme="minorHAnsi" w:hAnsiTheme="minorHAnsi" w:cstheme="minorHAnsi"/>
                <w:iCs/>
                <w:color w:val="auto"/>
                <w:sz w:val="24"/>
                <w:szCs w:val="24"/>
              </w:rPr>
              <w:t>The decision ultimately upheld the children’s rights under the UNCRC, ensured their wellbeing under the SSWB(W)A 2014, and aligned with the Children Act 1989 principle that their welfare is paramount.</w:t>
            </w:r>
          </w:p>
          <w:p w14:paraId="5C51915E" w14:textId="76BFE5E8" w:rsidR="00EC27D6" w:rsidRPr="005E0C2F" w:rsidRDefault="00654E7A" w:rsidP="00DC3BBD">
            <w:pPr>
              <w:jc w:val="both"/>
              <w:rPr>
                <w:rFonts w:asciiTheme="minorHAnsi" w:hAnsiTheme="minorHAnsi" w:cstheme="minorHAnsi"/>
                <w:iCs/>
                <w:color w:val="auto"/>
                <w:sz w:val="24"/>
                <w:szCs w:val="24"/>
              </w:rPr>
            </w:pPr>
            <w:r w:rsidRPr="00654E7A">
              <w:rPr>
                <w:rFonts w:asciiTheme="minorHAnsi" w:hAnsiTheme="minorHAnsi" w:cstheme="minorHAnsi"/>
                <w:iCs/>
                <w:color w:val="auto"/>
                <w:sz w:val="24"/>
                <w:szCs w:val="24"/>
              </w:rPr>
              <w:t>Several key legal and professional frameworks underpin this case:</w:t>
            </w:r>
            <w:r w:rsidR="009008A4">
              <w:rPr>
                <w:rFonts w:asciiTheme="minorHAnsi" w:hAnsiTheme="minorHAnsi" w:cstheme="minorHAnsi"/>
                <w:iCs/>
                <w:color w:val="auto"/>
                <w:sz w:val="24"/>
                <w:szCs w:val="24"/>
              </w:rPr>
              <w:t xml:space="preserve"> </w:t>
            </w:r>
            <w:r w:rsidRPr="00654E7A">
              <w:rPr>
                <w:rFonts w:asciiTheme="minorHAnsi" w:hAnsiTheme="minorHAnsi" w:cstheme="minorHAnsi"/>
                <w:iCs/>
                <w:color w:val="auto"/>
                <w:sz w:val="24"/>
                <w:szCs w:val="24"/>
              </w:rPr>
              <w:t>Children Act 1989 – establishes that the child’s welfare is the paramount consideration</w:t>
            </w:r>
            <w:r>
              <w:rPr>
                <w:rFonts w:asciiTheme="minorHAnsi" w:hAnsiTheme="minorHAnsi" w:cstheme="minorHAnsi"/>
                <w:iCs/>
                <w:color w:val="auto"/>
                <w:sz w:val="24"/>
                <w:szCs w:val="24"/>
              </w:rPr>
              <w:t xml:space="preserve"> </w:t>
            </w:r>
            <w:r w:rsidRPr="00654E7A">
              <w:rPr>
                <w:rFonts w:asciiTheme="minorHAnsi" w:hAnsiTheme="minorHAnsi" w:cstheme="minorHAnsi"/>
                <w:iCs/>
                <w:color w:val="auto"/>
                <w:sz w:val="24"/>
                <w:szCs w:val="24"/>
              </w:rPr>
              <w:t>in decisions made by courts and professionals.</w:t>
            </w:r>
            <w:r>
              <w:rPr>
                <w:rFonts w:asciiTheme="minorHAnsi" w:hAnsiTheme="minorHAnsi" w:cstheme="minorHAnsi"/>
                <w:iCs/>
                <w:color w:val="auto"/>
                <w:sz w:val="24"/>
                <w:szCs w:val="24"/>
              </w:rPr>
              <w:t xml:space="preserve"> </w:t>
            </w:r>
            <w:r w:rsidRPr="00654E7A">
              <w:rPr>
                <w:rFonts w:asciiTheme="minorHAnsi" w:hAnsiTheme="minorHAnsi" w:cstheme="minorHAnsi"/>
                <w:iCs/>
                <w:color w:val="auto"/>
                <w:sz w:val="24"/>
                <w:szCs w:val="24"/>
              </w:rPr>
              <w:t>Children Act 2004 – reinforces duties for agencies to cooperate in safeguarding children.</w:t>
            </w:r>
            <w:r>
              <w:rPr>
                <w:rFonts w:asciiTheme="minorHAnsi" w:hAnsiTheme="minorHAnsi" w:cstheme="minorHAnsi"/>
                <w:iCs/>
                <w:color w:val="auto"/>
                <w:sz w:val="24"/>
                <w:szCs w:val="24"/>
              </w:rPr>
              <w:t xml:space="preserve"> </w:t>
            </w:r>
            <w:r w:rsidRPr="00654E7A">
              <w:rPr>
                <w:rFonts w:asciiTheme="minorHAnsi" w:hAnsiTheme="minorHAnsi" w:cstheme="minorHAnsi"/>
                <w:iCs/>
                <w:color w:val="auto"/>
                <w:sz w:val="24"/>
                <w:szCs w:val="24"/>
              </w:rPr>
              <w:t>Working Together to Safeguard Children – outlines expectations for multi-agency collaboration in child protection.</w:t>
            </w:r>
            <w:r>
              <w:rPr>
                <w:rFonts w:asciiTheme="minorHAnsi" w:hAnsiTheme="minorHAnsi" w:cstheme="minorHAnsi"/>
                <w:iCs/>
                <w:color w:val="auto"/>
                <w:sz w:val="24"/>
                <w:szCs w:val="24"/>
              </w:rPr>
              <w:t xml:space="preserve"> </w:t>
            </w:r>
            <w:r w:rsidRPr="00654E7A">
              <w:rPr>
                <w:rFonts w:asciiTheme="minorHAnsi" w:hAnsiTheme="minorHAnsi" w:cstheme="minorHAnsi"/>
                <w:iCs/>
                <w:color w:val="auto"/>
                <w:sz w:val="24"/>
                <w:szCs w:val="24"/>
              </w:rPr>
              <w:t>Family Court of England and Wales – responsible for determining Child Arrangements Orders.</w:t>
            </w:r>
            <w:r>
              <w:rPr>
                <w:rFonts w:asciiTheme="minorHAnsi" w:hAnsiTheme="minorHAnsi" w:cstheme="minorHAnsi"/>
                <w:iCs/>
                <w:color w:val="auto"/>
                <w:sz w:val="24"/>
                <w:szCs w:val="24"/>
              </w:rPr>
              <w:t xml:space="preserve"> </w:t>
            </w:r>
            <w:r w:rsidRPr="00654E7A">
              <w:rPr>
                <w:rFonts w:asciiTheme="minorHAnsi" w:hAnsiTheme="minorHAnsi" w:cstheme="minorHAnsi"/>
                <w:iCs/>
                <w:color w:val="auto"/>
                <w:sz w:val="24"/>
                <w:szCs w:val="24"/>
              </w:rPr>
              <w:t>Social Work England – sets professional standards requiring social workers to use</w:t>
            </w:r>
            <w:r>
              <w:rPr>
                <w:rFonts w:asciiTheme="minorHAnsi" w:hAnsiTheme="minorHAnsi" w:cstheme="minorHAnsi"/>
                <w:iCs/>
                <w:color w:val="auto"/>
                <w:sz w:val="24"/>
                <w:szCs w:val="24"/>
              </w:rPr>
              <w:t xml:space="preserve"> </w:t>
            </w:r>
            <w:r w:rsidRPr="00654E7A">
              <w:rPr>
                <w:rFonts w:asciiTheme="minorHAnsi" w:hAnsiTheme="minorHAnsi" w:cstheme="minorHAnsi"/>
                <w:iCs/>
                <w:color w:val="auto"/>
                <w:sz w:val="24"/>
                <w:szCs w:val="24"/>
              </w:rPr>
              <w:t>professional judgement, evidence-based practice, and interprofessional collaboration.</w:t>
            </w:r>
          </w:p>
          <w:p w14:paraId="4E0726F6" w14:textId="77777777" w:rsidR="003B1FCE" w:rsidRDefault="003B1FCE" w:rsidP="00DC3BBD">
            <w:pPr>
              <w:jc w:val="both"/>
              <w:rPr>
                <w:rFonts w:asciiTheme="minorHAnsi" w:hAnsiTheme="minorHAnsi" w:cstheme="minorHAnsi"/>
                <w:sz w:val="24"/>
                <w:szCs w:val="24"/>
              </w:rPr>
            </w:pPr>
          </w:p>
          <w:p w14:paraId="430D0783" w14:textId="77777777" w:rsidR="003B1FCE" w:rsidRDefault="003B1FCE" w:rsidP="00DC3BBD">
            <w:pPr>
              <w:jc w:val="both"/>
              <w:rPr>
                <w:rFonts w:asciiTheme="minorHAnsi" w:hAnsiTheme="minorHAnsi" w:cstheme="minorHAnsi"/>
                <w:sz w:val="24"/>
                <w:szCs w:val="24"/>
              </w:rPr>
            </w:pPr>
          </w:p>
          <w:p w14:paraId="01213CF5" w14:textId="036E8C67" w:rsidR="008875E7" w:rsidRDefault="000E5E6F" w:rsidP="00DC3BBD">
            <w:pPr>
              <w:jc w:val="both"/>
              <w:rPr>
                <w:rFonts w:asciiTheme="minorHAnsi" w:hAnsiTheme="minorHAnsi" w:cstheme="minorHAnsi"/>
                <w:sz w:val="24"/>
                <w:szCs w:val="24"/>
              </w:rPr>
            </w:pPr>
            <w:r>
              <w:rPr>
                <w:rFonts w:asciiTheme="minorHAnsi" w:hAnsiTheme="minorHAnsi" w:cstheme="minorHAnsi"/>
                <w:sz w:val="24"/>
                <w:szCs w:val="24"/>
              </w:rPr>
              <w:t>3</w:t>
            </w:r>
            <w:r w:rsidR="005E0C2F">
              <w:rPr>
                <w:rFonts w:asciiTheme="minorHAnsi" w:hAnsiTheme="minorHAnsi" w:cstheme="minorHAnsi"/>
                <w:sz w:val="24"/>
                <w:szCs w:val="24"/>
              </w:rPr>
              <w:t xml:space="preserve">772 </w:t>
            </w:r>
            <w:r w:rsidR="008875E7">
              <w:rPr>
                <w:rFonts w:asciiTheme="minorHAnsi" w:hAnsiTheme="minorHAnsi" w:cstheme="minorHAnsi"/>
                <w:sz w:val="24"/>
                <w:szCs w:val="24"/>
              </w:rPr>
              <w:t>words</w:t>
            </w:r>
          </w:p>
          <w:p w14:paraId="47F21B6A" w14:textId="45BBCD1E" w:rsidR="005401A9" w:rsidRPr="008B28E7" w:rsidRDefault="005401A9" w:rsidP="00AE3937">
            <w:pPr>
              <w:jc w:val="both"/>
              <w:rPr>
                <w:sz w:val="24"/>
                <w:szCs w:val="24"/>
              </w:rPr>
            </w:pPr>
          </w:p>
        </w:tc>
      </w:tr>
    </w:tbl>
    <w:p w14:paraId="71B02E9F" w14:textId="77777777" w:rsidR="00DD31C5" w:rsidRPr="008B28E7" w:rsidRDefault="00DD31C5" w:rsidP="003E737B">
      <w:pPr>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E33B2" w14:textId="77777777" w:rsidR="00D94284" w:rsidRDefault="00D94284">
      <w:r>
        <w:separator/>
      </w:r>
    </w:p>
  </w:endnote>
  <w:endnote w:type="continuationSeparator" w:id="0">
    <w:p w14:paraId="77229B06" w14:textId="77777777" w:rsidR="00D94284" w:rsidRDefault="00D94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A9667" w14:textId="77777777" w:rsidR="00D94284" w:rsidRDefault="00D94284">
      <w:r>
        <w:separator/>
      </w:r>
    </w:p>
  </w:footnote>
  <w:footnote w:type="continuationSeparator" w:id="0">
    <w:p w14:paraId="752A780F" w14:textId="77777777" w:rsidR="00D94284" w:rsidRDefault="00D94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D23"/>
    <w:rsid w:val="00007E11"/>
    <w:rsid w:val="00012B16"/>
    <w:rsid w:val="00014495"/>
    <w:rsid w:val="00020EEC"/>
    <w:rsid w:val="0002440E"/>
    <w:rsid w:val="0002759A"/>
    <w:rsid w:val="00027B1F"/>
    <w:rsid w:val="0003088B"/>
    <w:rsid w:val="00030914"/>
    <w:rsid w:val="000325D9"/>
    <w:rsid w:val="00034294"/>
    <w:rsid w:val="0003550F"/>
    <w:rsid w:val="000372B2"/>
    <w:rsid w:val="0004079F"/>
    <w:rsid w:val="00043543"/>
    <w:rsid w:val="000451D1"/>
    <w:rsid w:val="00045B87"/>
    <w:rsid w:val="00045C07"/>
    <w:rsid w:val="00045C40"/>
    <w:rsid w:val="00046861"/>
    <w:rsid w:val="00050155"/>
    <w:rsid w:val="000505AB"/>
    <w:rsid w:val="00054A07"/>
    <w:rsid w:val="00055D43"/>
    <w:rsid w:val="00056FAC"/>
    <w:rsid w:val="00057751"/>
    <w:rsid w:val="000602B7"/>
    <w:rsid w:val="00062E39"/>
    <w:rsid w:val="00064063"/>
    <w:rsid w:val="0006581A"/>
    <w:rsid w:val="00074461"/>
    <w:rsid w:val="00074575"/>
    <w:rsid w:val="00074EC2"/>
    <w:rsid w:val="00075293"/>
    <w:rsid w:val="000766EC"/>
    <w:rsid w:val="00080E58"/>
    <w:rsid w:val="00082977"/>
    <w:rsid w:val="00083D99"/>
    <w:rsid w:val="00084DA6"/>
    <w:rsid w:val="00085699"/>
    <w:rsid w:val="00090100"/>
    <w:rsid w:val="00090160"/>
    <w:rsid w:val="00091F52"/>
    <w:rsid w:val="00092970"/>
    <w:rsid w:val="00092A30"/>
    <w:rsid w:val="000933C6"/>
    <w:rsid w:val="00093720"/>
    <w:rsid w:val="000938E6"/>
    <w:rsid w:val="00093B3C"/>
    <w:rsid w:val="00093E9D"/>
    <w:rsid w:val="00094191"/>
    <w:rsid w:val="0009488C"/>
    <w:rsid w:val="00095C1B"/>
    <w:rsid w:val="00095ECA"/>
    <w:rsid w:val="00096DEA"/>
    <w:rsid w:val="000A0DCB"/>
    <w:rsid w:val="000A4240"/>
    <w:rsid w:val="000A469A"/>
    <w:rsid w:val="000A584A"/>
    <w:rsid w:val="000A6458"/>
    <w:rsid w:val="000A67AA"/>
    <w:rsid w:val="000B4E41"/>
    <w:rsid w:val="000C378F"/>
    <w:rsid w:val="000C5568"/>
    <w:rsid w:val="000C6892"/>
    <w:rsid w:val="000C6FFE"/>
    <w:rsid w:val="000D0BB6"/>
    <w:rsid w:val="000D2CA5"/>
    <w:rsid w:val="000D2ED2"/>
    <w:rsid w:val="000D6653"/>
    <w:rsid w:val="000D72AD"/>
    <w:rsid w:val="000E0D51"/>
    <w:rsid w:val="000E1069"/>
    <w:rsid w:val="000E26B0"/>
    <w:rsid w:val="000E37C2"/>
    <w:rsid w:val="000E38C3"/>
    <w:rsid w:val="000E5E6F"/>
    <w:rsid w:val="000F1599"/>
    <w:rsid w:val="000F1769"/>
    <w:rsid w:val="000F1A97"/>
    <w:rsid w:val="000F42AE"/>
    <w:rsid w:val="000F6196"/>
    <w:rsid w:val="000F6BC3"/>
    <w:rsid w:val="0010312C"/>
    <w:rsid w:val="00105026"/>
    <w:rsid w:val="0010662B"/>
    <w:rsid w:val="00106DC7"/>
    <w:rsid w:val="00112391"/>
    <w:rsid w:val="00112B8F"/>
    <w:rsid w:val="00112D2B"/>
    <w:rsid w:val="00114F52"/>
    <w:rsid w:val="0012100A"/>
    <w:rsid w:val="00130119"/>
    <w:rsid w:val="00130338"/>
    <w:rsid w:val="00132812"/>
    <w:rsid w:val="0013405C"/>
    <w:rsid w:val="001347F8"/>
    <w:rsid w:val="00134BF0"/>
    <w:rsid w:val="001359EE"/>
    <w:rsid w:val="00137BB5"/>
    <w:rsid w:val="00137E05"/>
    <w:rsid w:val="00142F5C"/>
    <w:rsid w:val="001447F6"/>
    <w:rsid w:val="00147DE3"/>
    <w:rsid w:val="001506DD"/>
    <w:rsid w:val="00150794"/>
    <w:rsid w:val="00151DA6"/>
    <w:rsid w:val="001608C4"/>
    <w:rsid w:val="001614D8"/>
    <w:rsid w:val="001625BA"/>
    <w:rsid w:val="00164684"/>
    <w:rsid w:val="00164832"/>
    <w:rsid w:val="00165EC4"/>
    <w:rsid w:val="00171418"/>
    <w:rsid w:val="00172BB7"/>
    <w:rsid w:val="001772BF"/>
    <w:rsid w:val="001772DE"/>
    <w:rsid w:val="00184866"/>
    <w:rsid w:val="00186901"/>
    <w:rsid w:val="00186D97"/>
    <w:rsid w:val="00191655"/>
    <w:rsid w:val="00193938"/>
    <w:rsid w:val="001946E7"/>
    <w:rsid w:val="0019496C"/>
    <w:rsid w:val="001961CF"/>
    <w:rsid w:val="00197CC1"/>
    <w:rsid w:val="001A0102"/>
    <w:rsid w:val="001A3AA3"/>
    <w:rsid w:val="001A4987"/>
    <w:rsid w:val="001A59BB"/>
    <w:rsid w:val="001A607E"/>
    <w:rsid w:val="001A60F5"/>
    <w:rsid w:val="001A6A51"/>
    <w:rsid w:val="001A79C4"/>
    <w:rsid w:val="001B331A"/>
    <w:rsid w:val="001C0237"/>
    <w:rsid w:val="001C0E74"/>
    <w:rsid w:val="001C4DB8"/>
    <w:rsid w:val="001C50B8"/>
    <w:rsid w:val="001C687F"/>
    <w:rsid w:val="001D229F"/>
    <w:rsid w:val="001E2EB6"/>
    <w:rsid w:val="001E42C6"/>
    <w:rsid w:val="001F1A49"/>
    <w:rsid w:val="001F4552"/>
    <w:rsid w:val="001F748B"/>
    <w:rsid w:val="002019EB"/>
    <w:rsid w:val="00203356"/>
    <w:rsid w:val="00204B58"/>
    <w:rsid w:val="00205051"/>
    <w:rsid w:val="00210E67"/>
    <w:rsid w:val="00211F65"/>
    <w:rsid w:val="00212CF2"/>
    <w:rsid w:val="00214047"/>
    <w:rsid w:val="0021613C"/>
    <w:rsid w:val="00216563"/>
    <w:rsid w:val="0021792F"/>
    <w:rsid w:val="00220D06"/>
    <w:rsid w:val="002246A0"/>
    <w:rsid w:val="00230439"/>
    <w:rsid w:val="00232A09"/>
    <w:rsid w:val="00235176"/>
    <w:rsid w:val="00236061"/>
    <w:rsid w:val="0024100E"/>
    <w:rsid w:val="00241729"/>
    <w:rsid w:val="00241C1B"/>
    <w:rsid w:val="0024288B"/>
    <w:rsid w:val="00243DB0"/>
    <w:rsid w:val="00247265"/>
    <w:rsid w:val="002522AC"/>
    <w:rsid w:val="0025548F"/>
    <w:rsid w:val="002557D7"/>
    <w:rsid w:val="00260663"/>
    <w:rsid w:val="00260E44"/>
    <w:rsid w:val="002657E9"/>
    <w:rsid w:val="0026665E"/>
    <w:rsid w:val="0027147E"/>
    <w:rsid w:val="00275B13"/>
    <w:rsid w:val="002761F4"/>
    <w:rsid w:val="002775E1"/>
    <w:rsid w:val="00277979"/>
    <w:rsid w:val="00285CEE"/>
    <w:rsid w:val="0028638D"/>
    <w:rsid w:val="00286AA5"/>
    <w:rsid w:val="00291ADD"/>
    <w:rsid w:val="002920DF"/>
    <w:rsid w:val="00292F3D"/>
    <w:rsid w:val="00293465"/>
    <w:rsid w:val="00295CA1"/>
    <w:rsid w:val="002A0E51"/>
    <w:rsid w:val="002A1A44"/>
    <w:rsid w:val="002A1B96"/>
    <w:rsid w:val="002A291A"/>
    <w:rsid w:val="002A2C54"/>
    <w:rsid w:val="002A3172"/>
    <w:rsid w:val="002A4E2E"/>
    <w:rsid w:val="002A5604"/>
    <w:rsid w:val="002B01E4"/>
    <w:rsid w:val="002B1701"/>
    <w:rsid w:val="002B23C3"/>
    <w:rsid w:val="002B443A"/>
    <w:rsid w:val="002B4AEE"/>
    <w:rsid w:val="002B5B35"/>
    <w:rsid w:val="002B7AEE"/>
    <w:rsid w:val="002C2536"/>
    <w:rsid w:val="002C256A"/>
    <w:rsid w:val="002C3031"/>
    <w:rsid w:val="002C4233"/>
    <w:rsid w:val="002C496D"/>
    <w:rsid w:val="002C59F2"/>
    <w:rsid w:val="002D05EB"/>
    <w:rsid w:val="002D0CFA"/>
    <w:rsid w:val="002D11A8"/>
    <w:rsid w:val="002D2F29"/>
    <w:rsid w:val="002D35D9"/>
    <w:rsid w:val="002D400B"/>
    <w:rsid w:val="002D46C0"/>
    <w:rsid w:val="002D5A92"/>
    <w:rsid w:val="002D5B46"/>
    <w:rsid w:val="002D61AB"/>
    <w:rsid w:val="002D65D2"/>
    <w:rsid w:val="002D6B31"/>
    <w:rsid w:val="002E158A"/>
    <w:rsid w:val="002E4DA1"/>
    <w:rsid w:val="002E6D17"/>
    <w:rsid w:val="002E7017"/>
    <w:rsid w:val="002E7E88"/>
    <w:rsid w:val="002E7F2C"/>
    <w:rsid w:val="002F1FC7"/>
    <w:rsid w:val="002F2185"/>
    <w:rsid w:val="002F4F6E"/>
    <w:rsid w:val="002F7F0E"/>
    <w:rsid w:val="003015C3"/>
    <w:rsid w:val="00302C7F"/>
    <w:rsid w:val="00305DDF"/>
    <w:rsid w:val="003105F8"/>
    <w:rsid w:val="003106DB"/>
    <w:rsid w:val="0031350A"/>
    <w:rsid w:val="00316815"/>
    <w:rsid w:val="003168CA"/>
    <w:rsid w:val="003179F3"/>
    <w:rsid w:val="00321255"/>
    <w:rsid w:val="0032230D"/>
    <w:rsid w:val="00322A0B"/>
    <w:rsid w:val="00324D1E"/>
    <w:rsid w:val="00330881"/>
    <w:rsid w:val="00331CD2"/>
    <w:rsid w:val="00332426"/>
    <w:rsid w:val="00333DCE"/>
    <w:rsid w:val="00335C41"/>
    <w:rsid w:val="00335FC5"/>
    <w:rsid w:val="0033771E"/>
    <w:rsid w:val="00337FEF"/>
    <w:rsid w:val="00340C93"/>
    <w:rsid w:val="00342599"/>
    <w:rsid w:val="0034520F"/>
    <w:rsid w:val="00350710"/>
    <w:rsid w:val="00354B6D"/>
    <w:rsid w:val="00355210"/>
    <w:rsid w:val="003552E2"/>
    <w:rsid w:val="00355CFD"/>
    <w:rsid w:val="00360D10"/>
    <w:rsid w:val="0036172B"/>
    <w:rsid w:val="003637B2"/>
    <w:rsid w:val="00365DF9"/>
    <w:rsid w:val="00366293"/>
    <w:rsid w:val="0037066E"/>
    <w:rsid w:val="00372DB4"/>
    <w:rsid w:val="00373A36"/>
    <w:rsid w:val="0037419E"/>
    <w:rsid w:val="00375AF5"/>
    <w:rsid w:val="003761BD"/>
    <w:rsid w:val="00377448"/>
    <w:rsid w:val="00377884"/>
    <w:rsid w:val="003826BD"/>
    <w:rsid w:val="00382BB1"/>
    <w:rsid w:val="00385414"/>
    <w:rsid w:val="00390074"/>
    <w:rsid w:val="00392F73"/>
    <w:rsid w:val="00393600"/>
    <w:rsid w:val="00396676"/>
    <w:rsid w:val="0039762B"/>
    <w:rsid w:val="003A0C37"/>
    <w:rsid w:val="003A1B6B"/>
    <w:rsid w:val="003A24AF"/>
    <w:rsid w:val="003A46C0"/>
    <w:rsid w:val="003A5099"/>
    <w:rsid w:val="003A600E"/>
    <w:rsid w:val="003A6513"/>
    <w:rsid w:val="003A6AEF"/>
    <w:rsid w:val="003B16C7"/>
    <w:rsid w:val="003B1CF4"/>
    <w:rsid w:val="003B1FCE"/>
    <w:rsid w:val="003B29BC"/>
    <w:rsid w:val="003B3115"/>
    <w:rsid w:val="003C19F1"/>
    <w:rsid w:val="003C251C"/>
    <w:rsid w:val="003C3C67"/>
    <w:rsid w:val="003C4186"/>
    <w:rsid w:val="003C452E"/>
    <w:rsid w:val="003C58F5"/>
    <w:rsid w:val="003C6185"/>
    <w:rsid w:val="003D0553"/>
    <w:rsid w:val="003D0D2D"/>
    <w:rsid w:val="003D158C"/>
    <w:rsid w:val="003D1885"/>
    <w:rsid w:val="003D1BC0"/>
    <w:rsid w:val="003D20F1"/>
    <w:rsid w:val="003D4710"/>
    <w:rsid w:val="003E0408"/>
    <w:rsid w:val="003E16D7"/>
    <w:rsid w:val="003E197E"/>
    <w:rsid w:val="003E2B23"/>
    <w:rsid w:val="003E2C41"/>
    <w:rsid w:val="003E3C6A"/>
    <w:rsid w:val="003E4B70"/>
    <w:rsid w:val="003E54CF"/>
    <w:rsid w:val="003E5FBA"/>
    <w:rsid w:val="003E737B"/>
    <w:rsid w:val="003F1233"/>
    <w:rsid w:val="003F67A4"/>
    <w:rsid w:val="00400786"/>
    <w:rsid w:val="00401FDA"/>
    <w:rsid w:val="004046F0"/>
    <w:rsid w:val="0040668F"/>
    <w:rsid w:val="00411EF7"/>
    <w:rsid w:val="00411FD9"/>
    <w:rsid w:val="00412677"/>
    <w:rsid w:val="004132AD"/>
    <w:rsid w:val="004202A0"/>
    <w:rsid w:val="00422B88"/>
    <w:rsid w:val="00422E2D"/>
    <w:rsid w:val="00425160"/>
    <w:rsid w:val="00430DE3"/>
    <w:rsid w:val="00433426"/>
    <w:rsid w:val="004348AE"/>
    <w:rsid w:val="00436757"/>
    <w:rsid w:val="0043723A"/>
    <w:rsid w:val="004376C0"/>
    <w:rsid w:val="00441143"/>
    <w:rsid w:val="0044223A"/>
    <w:rsid w:val="00442F33"/>
    <w:rsid w:val="0044782F"/>
    <w:rsid w:val="00450B67"/>
    <w:rsid w:val="00451851"/>
    <w:rsid w:val="0045189A"/>
    <w:rsid w:val="00453343"/>
    <w:rsid w:val="004538C3"/>
    <w:rsid w:val="0045511A"/>
    <w:rsid w:val="004608B9"/>
    <w:rsid w:val="004611C1"/>
    <w:rsid w:val="004630F5"/>
    <w:rsid w:val="00463B55"/>
    <w:rsid w:val="00465947"/>
    <w:rsid w:val="004667B1"/>
    <w:rsid w:val="00467F66"/>
    <w:rsid w:val="00470461"/>
    <w:rsid w:val="00470BB1"/>
    <w:rsid w:val="00473153"/>
    <w:rsid w:val="0047350F"/>
    <w:rsid w:val="004743AF"/>
    <w:rsid w:val="00475BFF"/>
    <w:rsid w:val="00482198"/>
    <w:rsid w:val="00482C17"/>
    <w:rsid w:val="00484CE3"/>
    <w:rsid w:val="00490D69"/>
    <w:rsid w:val="004911B4"/>
    <w:rsid w:val="0049196A"/>
    <w:rsid w:val="004923DA"/>
    <w:rsid w:val="00492EEB"/>
    <w:rsid w:val="00493434"/>
    <w:rsid w:val="004940CE"/>
    <w:rsid w:val="00495FBE"/>
    <w:rsid w:val="004962F4"/>
    <w:rsid w:val="004968E2"/>
    <w:rsid w:val="004A2A49"/>
    <w:rsid w:val="004A5A64"/>
    <w:rsid w:val="004B5553"/>
    <w:rsid w:val="004B600B"/>
    <w:rsid w:val="004B67C9"/>
    <w:rsid w:val="004B6822"/>
    <w:rsid w:val="004B69F6"/>
    <w:rsid w:val="004C2D3A"/>
    <w:rsid w:val="004D03C4"/>
    <w:rsid w:val="004D0BF1"/>
    <w:rsid w:val="004D0F4E"/>
    <w:rsid w:val="004D3278"/>
    <w:rsid w:val="004D35A4"/>
    <w:rsid w:val="004D445F"/>
    <w:rsid w:val="004D592F"/>
    <w:rsid w:val="004E087B"/>
    <w:rsid w:val="004E44A4"/>
    <w:rsid w:val="004E7B8B"/>
    <w:rsid w:val="004E7BDD"/>
    <w:rsid w:val="004F1966"/>
    <w:rsid w:val="004F1E21"/>
    <w:rsid w:val="004F2542"/>
    <w:rsid w:val="004F4E33"/>
    <w:rsid w:val="004F740D"/>
    <w:rsid w:val="004F7B8F"/>
    <w:rsid w:val="00500748"/>
    <w:rsid w:val="005011D6"/>
    <w:rsid w:val="005028F5"/>
    <w:rsid w:val="00502A14"/>
    <w:rsid w:val="005042F1"/>
    <w:rsid w:val="005042F3"/>
    <w:rsid w:val="0050481B"/>
    <w:rsid w:val="00507700"/>
    <w:rsid w:val="005102F4"/>
    <w:rsid w:val="005110B8"/>
    <w:rsid w:val="005113D4"/>
    <w:rsid w:val="00511961"/>
    <w:rsid w:val="0051287D"/>
    <w:rsid w:val="00513C7D"/>
    <w:rsid w:val="00520B13"/>
    <w:rsid w:val="00521123"/>
    <w:rsid w:val="00521221"/>
    <w:rsid w:val="0052250B"/>
    <w:rsid w:val="005305C6"/>
    <w:rsid w:val="0053174E"/>
    <w:rsid w:val="005401A9"/>
    <w:rsid w:val="00540EEC"/>
    <w:rsid w:val="005414F4"/>
    <w:rsid w:val="005454BD"/>
    <w:rsid w:val="00546187"/>
    <w:rsid w:val="005469DD"/>
    <w:rsid w:val="00547B11"/>
    <w:rsid w:val="00552726"/>
    <w:rsid w:val="00552ED3"/>
    <w:rsid w:val="00556356"/>
    <w:rsid w:val="00557507"/>
    <w:rsid w:val="00557D77"/>
    <w:rsid w:val="00562EAA"/>
    <w:rsid w:val="00563B58"/>
    <w:rsid w:val="005640C4"/>
    <w:rsid w:val="00564CD2"/>
    <w:rsid w:val="0056684C"/>
    <w:rsid w:val="00574A0C"/>
    <w:rsid w:val="00574A21"/>
    <w:rsid w:val="0057780F"/>
    <w:rsid w:val="00577A98"/>
    <w:rsid w:val="00577CA9"/>
    <w:rsid w:val="00581E0A"/>
    <w:rsid w:val="0058309A"/>
    <w:rsid w:val="005847EF"/>
    <w:rsid w:val="00586D89"/>
    <w:rsid w:val="005877C8"/>
    <w:rsid w:val="00587923"/>
    <w:rsid w:val="005929B9"/>
    <w:rsid w:val="005935B5"/>
    <w:rsid w:val="00594F9F"/>
    <w:rsid w:val="0059723D"/>
    <w:rsid w:val="005A1B4C"/>
    <w:rsid w:val="005A545C"/>
    <w:rsid w:val="005B271A"/>
    <w:rsid w:val="005B3A2D"/>
    <w:rsid w:val="005B670D"/>
    <w:rsid w:val="005C1567"/>
    <w:rsid w:val="005C28D3"/>
    <w:rsid w:val="005C2F67"/>
    <w:rsid w:val="005C6CE5"/>
    <w:rsid w:val="005C7297"/>
    <w:rsid w:val="005D3F07"/>
    <w:rsid w:val="005D4A1E"/>
    <w:rsid w:val="005D4F72"/>
    <w:rsid w:val="005D5728"/>
    <w:rsid w:val="005E0C2F"/>
    <w:rsid w:val="005E13EA"/>
    <w:rsid w:val="005E17F1"/>
    <w:rsid w:val="005E3A22"/>
    <w:rsid w:val="005F01D9"/>
    <w:rsid w:val="005F123B"/>
    <w:rsid w:val="005F64AA"/>
    <w:rsid w:val="005F7851"/>
    <w:rsid w:val="0060100D"/>
    <w:rsid w:val="00606E27"/>
    <w:rsid w:val="006108C9"/>
    <w:rsid w:val="00612DDD"/>
    <w:rsid w:val="00614DF7"/>
    <w:rsid w:val="006179BB"/>
    <w:rsid w:val="006208C3"/>
    <w:rsid w:val="0062158D"/>
    <w:rsid w:val="006216A1"/>
    <w:rsid w:val="0062231E"/>
    <w:rsid w:val="006223FD"/>
    <w:rsid w:val="00623D64"/>
    <w:rsid w:val="00624683"/>
    <w:rsid w:val="006326D1"/>
    <w:rsid w:val="00632E0A"/>
    <w:rsid w:val="00633165"/>
    <w:rsid w:val="00636CE2"/>
    <w:rsid w:val="00637FA4"/>
    <w:rsid w:val="006404AA"/>
    <w:rsid w:val="006415A8"/>
    <w:rsid w:val="00643B00"/>
    <w:rsid w:val="006447DE"/>
    <w:rsid w:val="00644889"/>
    <w:rsid w:val="00646420"/>
    <w:rsid w:val="0065276E"/>
    <w:rsid w:val="00654329"/>
    <w:rsid w:val="00654CEC"/>
    <w:rsid w:val="00654E7A"/>
    <w:rsid w:val="00655507"/>
    <w:rsid w:val="006579FD"/>
    <w:rsid w:val="006635E3"/>
    <w:rsid w:val="00666618"/>
    <w:rsid w:val="006669F3"/>
    <w:rsid w:val="006712A7"/>
    <w:rsid w:val="00672CED"/>
    <w:rsid w:val="00674FC2"/>
    <w:rsid w:val="00676E35"/>
    <w:rsid w:val="00677E42"/>
    <w:rsid w:val="006805A4"/>
    <w:rsid w:val="006805DE"/>
    <w:rsid w:val="00681370"/>
    <w:rsid w:val="00682334"/>
    <w:rsid w:val="00684732"/>
    <w:rsid w:val="00684B16"/>
    <w:rsid w:val="00687016"/>
    <w:rsid w:val="006872A0"/>
    <w:rsid w:val="0069625A"/>
    <w:rsid w:val="00696A88"/>
    <w:rsid w:val="00696F65"/>
    <w:rsid w:val="00697572"/>
    <w:rsid w:val="006B4496"/>
    <w:rsid w:val="006B5E67"/>
    <w:rsid w:val="006B6612"/>
    <w:rsid w:val="006B6752"/>
    <w:rsid w:val="006C2EB5"/>
    <w:rsid w:val="006C2FFB"/>
    <w:rsid w:val="006D18A3"/>
    <w:rsid w:val="006D2607"/>
    <w:rsid w:val="006D3DE2"/>
    <w:rsid w:val="006D58AE"/>
    <w:rsid w:val="006D5970"/>
    <w:rsid w:val="006E08D4"/>
    <w:rsid w:val="006E17A2"/>
    <w:rsid w:val="006E2501"/>
    <w:rsid w:val="006E2ADF"/>
    <w:rsid w:val="006E2B9C"/>
    <w:rsid w:val="006E481E"/>
    <w:rsid w:val="006E795F"/>
    <w:rsid w:val="006F00E8"/>
    <w:rsid w:val="006F0862"/>
    <w:rsid w:val="006F1438"/>
    <w:rsid w:val="006F2A9E"/>
    <w:rsid w:val="006F3E9F"/>
    <w:rsid w:val="006F5ED3"/>
    <w:rsid w:val="00700249"/>
    <w:rsid w:val="007069CD"/>
    <w:rsid w:val="00706BB5"/>
    <w:rsid w:val="00707CE7"/>
    <w:rsid w:val="0071231A"/>
    <w:rsid w:val="00712E90"/>
    <w:rsid w:val="00713B7E"/>
    <w:rsid w:val="0071724E"/>
    <w:rsid w:val="0072678F"/>
    <w:rsid w:val="007276E5"/>
    <w:rsid w:val="00727C4C"/>
    <w:rsid w:val="0073007A"/>
    <w:rsid w:val="00734809"/>
    <w:rsid w:val="007360D1"/>
    <w:rsid w:val="0073714E"/>
    <w:rsid w:val="007374EF"/>
    <w:rsid w:val="007406E1"/>
    <w:rsid w:val="00742B7E"/>
    <w:rsid w:val="00743E40"/>
    <w:rsid w:val="00745016"/>
    <w:rsid w:val="007470EB"/>
    <w:rsid w:val="0075031F"/>
    <w:rsid w:val="00751263"/>
    <w:rsid w:val="00753247"/>
    <w:rsid w:val="007544FC"/>
    <w:rsid w:val="00754590"/>
    <w:rsid w:val="00755427"/>
    <w:rsid w:val="00756548"/>
    <w:rsid w:val="0075673A"/>
    <w:rsid w:val="0075704F"/>
    <w:rsid w:val="00763B2D"/>
    <w:rsid w:val="00764C84"/>
    <w:rsid w:val="0076581D"/>
    <w:rsid w:val="007710AD"/>
    <w:rsid w:val="00772924"/>
    <w:rsid w:val="007731BE"/>
    <w:rsid w:val="0077611D"/>
    <w:rsid w:val="007778BF"/>
    <w:rsid w:val="0078112D"/>
    <w:rsid w:val="00786014"/>
    <w:rsid w:val="007872F2"/>
    <w:rsid w:val="007873F9"/>
    <w:rsid w:val="007879FF"/>
    <w:rsid w:val="007908E0"/>
    <w:rsid w:val="00793EB3"/>
    <w:rsid w:val="00794205"/>
    <w:rsid w:val="0079422A"/>
    <w:rsid w:val="007979F5"/>
    <w:rsid w:val="007A1F6A"/>
    <w:rsid w:val="007A628F"/>
    <w:rsid w:val="007A638F"/>
    <w:rsid w:val="007A7A7D"/>
    <w:rsid w:val="007B0DE3"/>
    <w:rsid w:val="007B1BFD"/>
    <w:rsid w:val="007B7191"/>
    <w:rsid w:val="007B79B6"/>
    <w:rsid w:val="007B7A78"/>
    <w:rsid w:val="007C1D94"/>
    <w:rsid w:val="007C556F"/>
    <w:rsid w:val="007C5ABE"/>
    <w:rsid w:val="007C6A87"/>
    <w:rsid w:val="007D0A07"/>
    <w:rsid w:val="007D0F11"/>
    <w:rsid w:val="007D133D"/>
    <w:rsid w:val="007D3EB4"/>
    <w:rsid w:val="007D3F16"/>
    <w:rsid w:val="007D704A"/>
    <w:rsid w:val="007E07B1"/>
    <w:rsid w:val="007E7FD9"/>
    <w:rsid w:val="007F10BD"/>
    <w:rsid w:val="007F312E"/>
    <w:rsid w:val="007F3ABA"/>
    <w:rsid w:val="007F3F7E"/>
    <w:rsid w:val="007F4BA4"/>
    <w:rsid w:val="007F4F7C"/>
    <w:rsid w:val="00801404"/>
    <w:rsid w:val="0080632C"/>
    <w:rsid w:val="008076CC"/>
    <w:rsid w:val="00813CEC"/>
    <w:rsid w:val="0081534C"/>
    <w:rsid w:val="00816CE7"/>
    <w:rsid w:val="008171E4"/>
    <w:rsid w:val="0082087C"/>
    <w:rsid w:val="008208EA"/>
    <w:rsid w:val="008212C0"/>
    <w:rsid w:val="00822B44"/>
    <w:rsid w:val="00824E67"/>
    <w:rsid w:val="00825A64"/>
    <w:rsid w:val="00826F48"/>
    <w:rsid w:val="008308AE"/>
    <w:rsid w:val="00830DD1"/>
    <w:rsid w:val="0083166E"/>
    <w:rsid w:val="00831DC3"/>
    <w:rsid w:val="00832168"/>
    <w:rsid w:val="008322C7"/>
    <w:rsid w:val="00833DA5"/>
    <w:rsid w:val="008340BA"/>
    <w:rsid w:val="00834F1D"/>
    <w:rsid w:val="00836FEC"/>
    <w:rsid w:val="00841F9D"/>
    <w:rsid w:val="008420E1"/>
    <w:rsid w:val="00844D98"/>
    <w:rsid w:val="00845C54"/>
    <w:rsid w:val="00846D84"/>
    <w:rsid w:val="00850233"/>
    <w:rsid w:val="0085097D"/>
    <w:rsid w:val="008519BE"/>
    <w:rsid w:val="0085230E"/>
    <w:rsid w:val="008550A1"/>
    <w:rsid w:val="00861038"/>
    <w:rsid w:val="00865B58"/>
    <w:rsid w:val="00866B50"/>
    <w:rsid w:val="00867A63"/>
    <w:rsid w:val="008708F1"/>
    <w:rsid w:val="00871960"/>
    <w:rsid w:val="00872BC9"/>
    <w:rsid w:val="0087369F"/>
    <w:rsid w:val="00880539"/>
    <w:rsid w:val="00880C53"/>
    <w:rsid w:val="008859E8"/>
    <w:rsid w:val="0088737B"/>
    <w:rsid w:val="008874C7"/>
    <w:rsid w:val="008875E7"/>
    <w:rsid w:val="00891078"/>
    <w:rsid w:val="00892716"/>
    <w:rsid w:val="00893067"/>
    <w:rsid w:val="00893260"/>
    <w:rsid w:val="008933DE"/>
    <w:rsid w:val="00895FCE"/>
    <w:rsid w:val="00897152"/>
    <w:rsid w:val="00897F3E"/>
    <w:rsid w:val="008A11C8"/>
    <w:rsid w:val="008A21B4"/>
    <w:rsid w:val="008A7261"/>
    <w:rsid w:val="008B07DE"/>
    <w:rsid w:val="008B1309"/>
    <w:rsid w:val="008B28E7"/>
    <w:rsid w:val="008B2AC5"/>
    <w:rsid w:val="008B67F6"/>
    <w:rsid w:val="008C14C7"/>
    <w:rsid w:val="008C1990"/>
    <w:rsid w:val="008C2FFB"/>
    <w:rsid w:val="008C633F"/>
    <w:rsid w:val="008C6EEA"/>
    <w:rsid w:val="008C7770"/>
    <w:rsid w:val="008C79C7"/>
    <w:rsid w:val="008D03B0"/>
    <w:rsid w:val="008D2150"/>
    <w:rsid w:val="008D4683"/>
    <w:rsid w:val="008D5813"/>
    <w:rsid w:val="008D5999"/>
    <w:rsid w:val="008D634E"/>
    <w:rsid w:val="008D778A"/>
    <w:rsid w:val="008D78C9"/>
    <w:rsid w:val="008E3195"/>
    <w:rsid w:val="008E5A35"/>
    <w:rsid w:val="008F127E"/>
    <w:rsid w:val="008F32D9"/>
    <w:rsid w:val="008F3533"/>
    <w:rsid w:val="009008A4"/>
    <w:rsid w:val="00902A65"/>
    <w:rsid w:val="00903932"/>
    <w:rsid w:val="00904642"/>
    <w:rsid w:val="00905E05"/>
    <w:rsid w:val="00905FA7"/>
    <w:rsid w:val="009075F0"/>
    <w:rsid w:val="009079BD"/>
    <w:rsid w:val="00912BD9"/>
    <w:rsid w:val="00912D29"/>
    <w:rsid w:val="009139C8"/>
    <w:rsid w:val="00915B85"/>
    <w:rsid w:val="00916E2C"/>
    <w:rsid w:val="00916FB2"/>
    <w:rsid w:val="00920E5B"/>
    <w:rsid w:val="00924271"/>
    <w:rsid w:val="00926436"/>
    <w:rsid w:val="00926C53"/>
    <w:rsid w:val="0093018C"/>
    <w:rsid w:val="00940713"/>
    <w:rsid w:val="00941874"/>
    <w:rsid w:val="00941FA3"/>
    <w:rsid w:val="0094495F"/>
    <w:rsid w:val="00952684"/>
    <w:rsid w:val="009544C0"/>
    <w:rsid w:val="00954FA4"/>
    <w:rsid w:val="00956AE9"/>
    <w:rsid w:val="0096134D"/>
    <w:rsid w:val="009636AB"/>
    <w:rsid w:val="00964B8A"/>
    <w:rsid w:val="00964CC6"/>
    <w:rsid w:val="00965966"/>
    <w:rsid w:val="00967BFA"/>
    <w:rsid w:val="0098262C"/>
    <w:rsid w:val="0098427C"/>
    <w:rsid w:val="00986B43"/>
    <w:rsid w:val="00986C0B"/>
    <w:rsid w:val="00986D46"/>
    <w:rsid w:val="00991FDA"/>
    <w:rsid w:val="00992ACA"/>
    <w:rsid w:val="00995904"/>
    <w:rsid w:val="00997F7D"/>
    <w:rsid w:val="009A5F3B"/>
    <w:rsid w:val="009A5F79"/>
    <w:rsid w:val="009A6F87"/>
    <w:rsid w:val="009B0B61"/>
    <w:rsid w:val="009B2737"/>
    <w:rsid w:val="009B28C0"/>
    <w:rsid w:val="009B3178"/>
    <w:rsid w:val="009B37EC"/>
    <w:rsid w:val="009B3E46"/>
    <w:rsid w:val="009B6C00"/>
    <w:rsid w:val="009B7136"/>
    <w:rsid w:val="009C074B"/>
    <w:rsid w:val="009C11CB"/>
    <w:rsid w:val="009C337F"/>
    <w:rsid w:val="009C53E7"/>
    <w:rsid w:val="009C6092"/>
    <w:rsid w:val="009C7342"/>
    <w:rsid w:val="009C7A43"/>
    <w:rsid w:val="009D32F1"/>
    <w:rsid w:val="009D4365"/>
    <w:rsid w:val="009D477B"/>
    <w:rsid w:val="009D4E3B"/>
    <w:rsid w:val="009D59C2"/>
    <w:rsid w:val="009D7BC9"/>
    <w:rsid w:val="009E0624"/>
    <w:rsid w:val="009E122F"/>
    <w:rsid w:val="009E1982"/>
    <w:rsid w:val="009E19EE"/>
    <w:rsid w:val="009E4D2C"/>
    <w:rsid w:val="009E5065"/>
    <w:rsid w:val="009E7F95"/>
    <w:rsid w:val="009F0978"/>
    <w:rsid w:val="009F3AEC"/>
    <w:rsid w:val="009F6801"/>
    <w:rsid w:val="00A00081"/>
    <w:rsid w:val="00A06422"/>
    <w:rsid w:val="00A10D56"/>
    <w:rsid w:val="00A12AAE"/>
    <w:rsid w:val="00A12F22"/>
    <w:rsid w:val="00A16DD1"/>
    <w:rsid w:val="00A212C7"/>
    <w:rsid w:val="00A22441"/>
    <w:rsid w:val="00A23DF5"/>
    <w:rsid w:val="00A23F3B"/>
    <w:rsid w:val="00A24406"/>
    <w:rsid w:val="00A25F64"/>
    <w:rsid w:val="00A275F6"/>
    <w:rsid w:val="00A303B9"/>
    <w:rsid w:val="00A37416"/>
    <w:rsid w:val="00A3773C"/>
    <w:rsid w:val="00A40ED6"/>
    <w:rsid w:val="00A429E2"/>
    <w:rsid w:val="00A45833"/>
    <w:rsid w:val="00A47621"/>
    <w:rsid w:val="00A479CD"/>
    <w:rsid w:val="00A50CFC"/>
    <w:rsid w:val="00A54D67"/>
    <w:rsid w:val="00A55A3F"/>
    <w:rsid w:val="00A5656A"/>
    <w:rsid w:val="00A60103"/>
    <w:rsid w:val="00A62668"/>
    <w:rsid w:val="00A63F41"/>
    <w:rsid w:val="00A652F6"/>
    <w:rsid w:val="00A65861"/>
    <w:rsid w:val="00A65CCD"/>
    <w:rsid w:val="00A732EA"/>
    <w:rsid w:val="00A7489E"/>
    <w:rsid w:val="00A8015F"/>
    <w:rsid w:val="00A82816"/>
    <w:rsid w:val="00A82E7E"/>
    <w:rsid w:val="00A84BC8"/>
    <w:rsid w:val="00A85039"/>
    <w:rsid w:val="00A906AA"/>
    <w:rsid w:val="00A906BD"/>
    <w:rsid w:val="00A92468"/>
    <w:rsid w:val="00A94C5E"/>
    <w:rsid w:val="00A959FB"/>
    <w:rsid w:val="00A970DE"/>
    <w:rsid w:val="00A9733D"/>
    <w:rsid w:val="00AA252C"/>
    <w:rsid w:val="00AA666E"/>
    <w:rsid w:val="00AA76CD"/>
    <w:rsid w:val="00AA7960"/>
    <w:rsid w:val="00AB5518"/>
    <w:rsid w:val="00AC3A0E"/>
    <w:rsid w:val="00AC4A04"/>
    <w:rsid w:val="00AC5679"/>
    <w:rsid w:val="00AD336F"/>
    <w:rsid w:val="00AE134C"/>
    <w:rsid w:val="00AE1868"/>
    <w:rsid w:val="00AE2564"/>
    <w:rsid w:val="00AE301F"/>
    <w:rsid w:val="00AE3302"/>
    <w:rsid w:val="00AE3937"/>
    <w:rsid w:val="00AE5BA6"/>
    <w:rsid w:val="00AE6231"/>
    <w:rsid w:val="00AE7077"/>
    <w:rsid w:val="00AF591B"/>
    <w:rsid w:val="00AF61C2"/>
    <w:rsid w:val="00AF6CC6"/>
    <w:rsid w:val="00AF6E2F"/>
    <w:rsid w:val="00B0296A"/>
    <w:rsid w:val="00B07E79"/>
    <w:rsid w:val="00B11904"/>
    <w:rsid w:val="00B12295"/>
    <w:rsid w:val="00B12B01"/>
    <w:rsid w:val="00B137BE"/>
    <w:rsid w:val="00B15998"/>
    <w:rsid w:val="00B16872"/>
    <w:rsid w:val="00B17FA0"/>
    <w:rsid w:val="00B20431"/>
    <w:rsid w:val="00B2292C"/>
    <w:rsid w:val="00B22C3C"/>
    <w:rsid w:val="00B2308D"/>
    <w:rsid w:val="00B231C7"/>
    <w:rsid w:val="00B24344"/>
    <w:rsid w:val="00B26769"/>
    <w:rsid w:val="00B2754B"/>
    <w:rsid w:val="00B31C91"/>
    <w:rsid w:val="00B326E1"/>
    <w:rsid w:val="00B36E33"/>
    <w:rsid w:val="00B3747F"/>
    <w:rsid w:val="00B407FE"/>
    <w:rsid w:val="00B42992"/>
    <w:rsid w:val="00B42E76"/>
    <w:rsid w:val="00B43194"/>
    <w:rsid w:val="00B436BF"/>
    <w:rsid w:val="00B469FF"/>
    <w:rsid w:val="00B47734"/>
    <w:rsid w:val="00B478C7"/>
    <w:rsid w:val="00B50A7B"/>
    <w:rsid w:val="00B50FBA"/>
    <w:rsid w:val="00B558EB"/>
    <w:rsid w:val="00B571E5"/>
    <w:rsid w:val="00B577D3"/>
    <w:rsid w:val="00B60466"/>
    <w:rsid w:val="00B61511"/>
    <w:rsid w:val="00B6474F"/>
    <w:rsid w:val="00B6548F"/>
    <w:rsid w:val="00B71A32"/>
    <w:rsid w:val="00B7502A"/>
    <w:rsid w:val="00B77305"/>
    <w:rsid w:val="00B774BD"/>
    <w:rsid w:val="00B82CC2"/>
    <w:rsid w:val="00B84A89"/>
    <w:rsid w:val="00B91F3C"/>
    <w:rsid w:val="00B9256C"/>
    <w:rsid w:val="00B92BEF"/>
    <w:rsid w:val="00B94443"/>
    <w:rsid w:val="00B9689A"/>
    <w:rsid w:val="00B97056"/>
    <w:rsid w:val="00BA531E"/>
    <w:rsid w:val="00BA55C8"/>
    <w:rsid w:val="00BA728B"/>
    <w:rsid w:val="00BA774E"/>
    <w:rsid w:val="00BB06CB"/>
    <w:rsid w:val="00BB261F"/>
    <w:rsid w:val="00BB2887"/>
    <w:rsid w:val="00BB3B56"/>
    <w:rsid w:val="00BB5EAA"/>
    <w:rsid w:val="00BB5F11"/>
    <w:rsid w:val="00BB6638"/>
    <w:rsid w:val="00BB7F75"/>
    <w:rsid w:val="00BB7FD2"/>
    <w:rsid w:val="00BC04FA"/>
    <w:rsid w:val="00BC1C22"/>
    <w:rsid w:val="00BC460B"/>
    <w:rsid w:val="00BC4ED3"/>
    <w:rsid w:val="00BC5725"/>
    <w:rsid w:val="00BD30B1"/>
    <w:rsid w:val="00BE0F7B"/>
    <w:rsid w:val="00BE10C2"/>
    <w:rsid w:val="00BF0D6C"/>
    <w:rsid w:val="00BF485C"/>
    <w:rsid w:val="00C01203"/>
    <w:rsid w:val="00C01D14"/>
    <w:rsid w:val="00C01D97"/>
    <w:rsid w:val="00C025B4"/>
    <w:rsid w:val="00C029EC"/>
    <w:rsid w:val="00C0542B"/>
    <w:rsid w:val="00C13979"/>
    <w:rsid w:val="00C15A28"/>
    <w:rsid w:val="00C15EFC"/>
    <w:rsid w:val="00C161FD"/>
    <w:rsid w:val="00C17C9F"/>
    <w:rsid w:val="00C23F17"/>
    <w:rsid w:val="00C246F2"/>
    <w:rsid w:val="00C24896"/>
    <w:rsid w:val="00C26D0D"/>
    <w:rsid w:val="00C27A6A"/>
    <w:rsid w:val="00C27C95"/>
    <w:rsid w:val="00C300D2"/>
    <w:rsid w:val="00C3270F"/>
    <w:rsid w:val="00C3278B"/>
    <w:rsid w:val="00C33375"/>
    <w:rsid w:val="00C34BB0"/>
    <w:rsid w:val="00C34C23"/>
    <w:rsid w:val="00C368FA"/>
    <w:rsid w:val="00C42005"/>
    <w:rsid w:val="00C45E4D"/>
    <w:rsid w:val="00C4664D"/>
    <w:rsid w:val="00C472AA"/>
    <w:rsid w:val="00C50A05"/>
    <w:rsid w:val="00C54AED"/>
    <w:rsid w:val="00C555FC"/>
    <w:rsid w:val="00C55E9B"/>
    <w:rsid w:val="00C56D09"/>
    <w:rsid w:val="00C57D24"/>
    <w:rsid w:val="00C604D6"/>
    <w:rsid w:val="00C61A8C"/>
    <w:rsid w:val="00C62109"/>
    <w:rsid w:val="00C63CAB"/>
    <w:rsid w:val="00C63D00"/>
    <w:rsid w:val="00C6441B"/>
    <w:rsid w:val="00C65921"/>
    <w:rsid w:val="00C6602A"/>
    <w:rsid w:val="00C66F86"/>
    <w:rsid w:val="00C70D27"/>
    <w:rsid w:val="00C7108B"/>
    <w:rsid w:val="00C710E6"/>
    <w:rsid w:val="00C72D42"/>
    <w:rsid w:val="00C73516"/>
    <w:rsid w:val="00C75883"/>
    <w:rsid w:val="00C77FA5"/>
    <w:rsid w:val="00C8089F"/>
    <w:rsid w:val="00C835FE"/>
    <w:rsid w:val="00C836CC"/>
    <w:rsid w:val="00C852D6"/>
    <w:rsid w:val="00C87A74"/>
    <w:rsid w:val="00C92C71"/>
    <w:rsid w:val="00C93F8F"/>
    <w:rsid w:val="00C973D7"/>
    <w:rsid w:val="00CA0894"/>
    <w:rsid w:val="00CA1844"/>
    <w:rsid w:val="00CA2C8F"/>
    <w:rsid w:val="00CA3593"/>
    <w:rsid w:val="00CA4FA1"/>
    <w:rsid w:val="00CA5726"/>
    <w:rsid w:val="00CA7E6A"/>
    <w:rsid w:val="00CB258E"/>
    <w:rsid w:val="00CB3C8F"/>
    <w:rsid w:val="00CB70CB"/>
    <w:rsid w:val="00CB7402"/>
    <w:rsid w:val="00CC02F1"/>
    <w:rsid w:val="00CC1122"/>
    <w:rsid w:val="00CC11A6"/>
    <w:rsid w:val="00CC135E"/>
    <w:rsid w:val="00CC7226"/>
    <w:rsid w:val="00CD0735"/>
    <w:rsid w:val="00CD437B"/>
    <w:rsid w:val="00CD45E3"/>
    <w:rsid w:val="00CD4771"/>
    <w:rsid w:val="00CD5089"/>
    <w:rsid w:val="00CD5996"/>
    <w:rsid w:val="00CD5D3F"/>
    <w:rsid w:val="00CD7652"/>
    <w:rsid w:val="00CD7E1F"/>
    <w:rsid w:val="00CE16FE"/>
    <w:rsid w:val="00CE4BC4"/>
    <w:rsid w:val="00CE7DA2"/>
    <w:rsid w:val="00CF2F05"/>
    <w:rsid w:val="00CF2F8A"/>
    <w:rsid w:val="00CF3DB3"/>
    <w:rsid w:val="00CF4B6F"/>
    <w:rsid w:val="00D0274B"/>
    <w:rsid w:val="00D0503D"/>
    <w:rsid w:val="00D052BC"/>
    <w:rsid w:val="00D07026"/>
    <w:rsid w:val="00D139D8"/>
    <w:rsid w:val="00D146AE"/>
    <w:rsid w:val="00D221EC"/>
    <w:rsid w:val="00D22C8F"/>
    <w:rsid w:val="00D2583C"/>
    <w:rsid w:val="00D267FA"/>
    <w:rsid w:val="00D3203C"/>
    <w:rsid w:val="00D33491"/>
    <w:rsid w:val="00D3442D"/>
    <w:rsid w:val="00D36F00"/>
    <w:rsid w:val="00D42539"/>
    <w:rsid w:val="00D4415C"/>
    <w:rsid w:val="00D44B67"/>
    <w:rsid w:val="00D44F8E"/>
    <w:rsid w:val="00D4614E"/>
    <w:rsid w:val="00D51FD5"/>
    <w:rsid w:val="00D55DE0"/>
    <w:rsid w:val="00D607EF"/>
    <w:rsid w:val="00D60F88"/>
    <w:rsid w:val="00D6111C"/>
    <w:rsid w:val="00D6114A"/>
    <w:rsid w:val="00D646BD"/>
    <w:rsid w:val="00D6535A"/>
    <w:rsid w:val="00D65558"/>
    <w:rsid w:val="00D71201"/>
    <w:rsid w:val="00D720C7"/>
    <w:rsid w:val="00D819FF"/>
    <w:rsid w:val="00D84841"/>
    <w:rsid w:val="00D849E4"/>
    <w:rsid w:val="00D876E6"/>
    <w:rsid w:val="00D90958"/>
    <w:rsid w:val="00D94284"/>
    <w:rsid w:val="00D96456"/>
    <w:rsid w:val="00DA1025"/>
    <w:rsid w:val="00DA1E11"/>
    <w:rsid w:val="00DA22EC"/>
    <w:rsid w:val="00DA5682"/>
    <w:rsid w:val="00DA57EF"/>
    <w:rsid w:val="00DA5860"/>
    <w:rsid w:val="00DA5C0C"/>
    <w:rsid w:val="00DA6CA9"/>
    <w:rsid w:val="00DB2767"/>
    <w:rsid w:val="00DB3240"/>
    <w:rsid w:val="00DC1B10"/>
    <w:rsid w:val="00DC2924"/>
    <w:rsid w:val="00DC3BBD"/>
    <w:rsid w:val="00DC4729"/>
    <w:rsid w:val="00DC671E"/>
    <w:rsid w:val="00DD31C5"/>
    <w:rsid w:val="00DD5020"/>
    <w:rsid w:val="00DD63BE"/>
    <w:rsid w:val="00DE321C"/>
    <w:rsid w:val="00DE4296"/>
    <w:rsid w:val="00DE7C98"/>
    <w:rsid w:val="00DF049E"/>
    <w:rsid w:val="00DF2469"/>
    <w:rsid w:val="00DF7899"/>
    <w:rsid w:val="00E00584"/>
    <w:rsid w:val="00E015AC"/>
    <w:rsid w:val="00E0524C"/>
    <w:rsid w:val="00E064DE"/>
    <w:rsid w:val="00E127A1"/>
    <w:rsid w:val="00E15751"/>
    <w:rsid w:val="00E16DFD"/>
    <w:rsid w:val="00E17160"/>
    <w:rsid w:val="00E17D41"/>
    <w:rsid w:val="00E231D1"/>
    <w:rsid w:val="00E3288D"/>
    <w:rsid w:val="00E35112"/>
    <w:rsid w:val="00E35BEC"/>
    <w:rsid w:val="00E41A42"/>
    <w:rsid w:val="00E41A6A"/>
    <w:rsid w:val="00E45991"/>
    <w:rsid w:val="00E50821"/>
    <w:rsid w:val="00E51F91"/>
    <w:rsid w:val="00E5498A"/>
    <w:rsid w:val="00E559CE"/>
    <w:rsid w:val="00E60F42"/>
    <w:rsid w:val="00E64EB9"/>
    <w:rsid w:val="00E6746C"/>
    <w:rsid w:val="00E7086E"/>
    <w:rsid w:val="00E71248"/>
    <w:rsid w:val="00E73C41"/>
    <w:rsid w:val="00E75911"/>
    <w:rsid w:val="00E7598F"/>
    <w:rsid w:val="00E75C5B"/>
    <w:rsid w:val="00E76F60"/>
    <w:rsid w:val="00E812B5"/>
    <w:rsid w:val="00E81687"/>
    <w:rsid w:val="00E82AB3"/>
    <w:rsid w:val="00E82EF3"/>
    <w:rsid w:val="00E83D90"/>
    <w:rsid w:val="00E83F91"/>
    <w:rsid w:val="00E86299"/>
    <w:rsid w:val="00E9107A"/>
    <w:rsid w:val="00E91F62"/>
    <w:rsid w:val="00E929FD"/>
    <w:rsid w:val="00E93240"/>
    <w:rsid w:val="00E9479B"/>
    <w:rsid w:val="00E94E22"/>
    <w:rsid w:val="00E95F08"/>
    <w:rsid w:val="00E9685B"/>
    <w:rsid w:val="00E97171"/>
    <w:rsid w:val="00EA4D48"/>
    <w:rsid w:val="00EA5FF9"/>
    <w:rsid w:val="00EA7ADF"/>
    <w:rsid w:val="00EB1DB7"/>
    <w:rsid w:val="00EB1F67"/>
    <w:rsid w:val="00EB2173"/>
    <w:rsid w:val="00EB62E6"/>
    <w:rsid w:val="00EB695F"/>
    <w:rsid w:val="00EC27D6"/>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43C"/>
    <w:rsid w:val="00F062EC"/>
    <w:rsid w:val="00F06573"/>
    <w:rsid w:val="00F103B5"/>
    <w:rsid w:val="00F10A08"/>
    <w:rsid w:val="00F11087"/>
    <w:rsid w:val="00F1204F"/>
    <w:rsid w:val="00F15354"/>
    <w:rsid w:val="00F22986"/>
    <w:rsid w:val="00F22AC5"/>
    <w:rsid w:val="00F254D1"/>
    <w:rsid w:val="00F32B82"/>
    <w:rsid w:val="00F33931"/>
    <w:rsid w:val="00F33960"/>
    <w:rsid w:val="00F34C86"/>
    <w:rsid w:val="00F4043E"/>
    <w:rsid w:val="00F41795"/>
    <w:rsid w:val="00F41BBC"/>
    <w:rsid w:val="00F444F0"/>
    <w:rsid w:val="00F446FF"/>
    <w:rsid w:val="00F45521"/>
    <w:rsid w:val="00F50847"/>
    <w:rsid w:val="00F50E2C"/>
    <w:rsid w:val="00F52D8D"/>
    <w:rsid w:val="00F5318C"/>
    <w:rsid w:val="00F53F27"/>
    <w:rsid w:val="00F546D1"/>
    <w:rsid w:val="00F60281"/>
    <w:rsid w:val="00F66272"/>
    <w:rsid w:val="00F709C0"/>
    <w:rsid w:val="00F81866"/>
    <w:rsid w:val="00F81FEC"/>
    <w:rsid w:val="00F84247"/>
    <w:rsid w:val="00F927A1"/>
    <w:rsid w:val="00F92E4D"/>
    <w:rsid w:val="00F95D08"/>
    <w:rsid w:val="00FA23BD"/>
    <w:rsid w:val="00FA3764"/>
    <w:rsid w:val="00FA41C7"/>
    <w:rsid w:val="00FA4A79"/>
    <w:rsid w:val="00FA4DE8"/>
    <w:rsid w:val="00FA56ED"/>
    <w:rsid w:val="00FB05DD"/>
    <w:rsid w:val="00FB0F7C"/>
    <w:rsid w:val="00FB24EA"/>
    <w:rsid w:val="00FB5FA6"/>
    <w:rsid w:val="00FC0334"/>
    <w:rsid w:val="00FC1310"/>
    <w:rsid w:val="00FC2FF3"/>
    <w:rsid w:val="00FC3263"/>
    <w:rsid w:val="00FC51F9"/>
    <w:rsid w:val="00FC5B40"/>
    <w:rsid w:val="00FC5FF8"/>
    <w:rsid w:val="00FD03FB"/>
    <w:rsid w:val="00FD271B"/>
    <w:rsid w:val="00FD3D7C"/>
    <w:rsid w:val="00FD4F8F"/>
    <w:rsid w:val="00FD6368"/>
    <w:rsid w:val="00FE06B7"/>
    <w:rsid w:val="00FE0C16"/>
    <w:rsid w:val="00FE14B1"/>
    <w:rsid w:val="00FE2237"/>
    <w:rsid w:val="00FE4D97"/>
    <w:rsid w:val="00FE5F90"/>
    <w:rsid w:val="00FE6BB9"/>
    <w:rsid w:val="00FF0070"/>
    <w:rsid w:val="00FF07C3"/>
    <w:rsid w:val="00FF0FF4"/>
    <w:rsid w:val="00FF33C0"/>
    <w:rsid w:val="00FF5F6A"/>
    <w:rsid w:val="00FF716D"/>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9</Pages>
  <Words>4523</Words>
  <Characters>24791</Characters>
  <Application>Microsoft Office Word</Application>
  <DocSecurity>0</DocSecurity>
  <Lines>1458</Lines>
  <Paragraphs>553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Gillian Sherfield</cp:lastModifiedBy>
  <cp:revision>85</cp:revision>
  <cp:lastPrinted>2020-02-11T19:20:00Z</cp:lastPrinted>
  <dcterms:created xsi:type="dcterms:W3CDTF">2026-03-12T00:32:00Z</dcterms:created>
  <dcterms:modified xsi:type="dcterms:W3CDTF">2026-03-12T22:42:00Z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