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29153" w14:textId="77777777" w:rsidR="00C6554A" w:rsidRPr="008B5277" w:rsidRDefault="002554CD" w:rsidP="00C6554A">
      <w:pPr>
        <w:pStyle w:val="Photo"/>
      </w:pPr>
      <w:bookmarkStart w:id="0" w:name="_Toc321147149"/>
      <w:bookmarkStart w:id="1" w:name="_Toc318188227"/>
      <w:bookmarkStart w:id="2" w:name="_Toc318188327"/>
      <w:bookmarkStart w:id="3" w:name="_Toc318189312"/>
      <w:bookmarkStart w:id="4" w:name="_Toc321147011"/>
      <w:r w:rsidRPr="008B5277">
        <w:rPr>
          <w:noProof/>
        </w:rPr>
        <w:drawing>
          <wp:inline distT="0" distB="0" distL="0" distR="0" wp14:anchorId="28B17780" wp14:editId="3B423EFE">
            <wp:extent cx="3657600" cy="5486400"/>
            <wp:effectExtent l="0" t="0" r="0" b="0"/>
            <wp:docPr id="22" name="Picture 1" descr="Bright blue glacial lake surrounded by white ice on a dark mount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5486400"/>
                    </a:xfrm>
                    <a:prstGeom prst="rect">
                      <a:avLst/>
                    </a:prstGeom>
                    <a:noFill/>
                    <a:ln w="254000" cap="rnd"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bookmarkEnd w:id="0"/>
    <w:bookmarkEnd w:id="1"/>
    <w:bookmarkEnd w:id="2"/>
    <w:bookmarkEnd w:id="3"/>
    <w:bookmarkEnd w:id="4"/>
    <w:p w14:paraId="064DEFCD" w14:textId="43F4E2C0" w:rsidR="00C6554A" w:rsidRPr="00BC656C" w:rsidRDefault="00BC656C" w:rsidP="00BC656C">
      <w:pPr>
        <w:pStyle w:val="Title"/>
        <w:jc w:val="left"/>
      </w:pPr>
      <w:r>
        <w:t xml:space="preserve">Non-Native English Students Learning </w:t>
      </w:r>
      <w:r>
        <w:rPr>
          <w:i/>
        </w:rPr>
        <w:t xml:space="preserve">in </w:t>
      </w:r>
      <w:r>
        <w:t>English</w:t>
      </w:r>
      <w:r w:rsidR="0092209D">
        <w:t>: Reviewing an</w:t>
      </w:r>
      <w:r w:rsidR="00180E9F">
        <w:t>d</w:t>
      </w:r>
      <w:r w:rsidR="0092209D">
        <w:t xml:space="preserve"> Reflecting on the Research.</w:t>
      </w:r>
    </w:p>
    <w:p w14:paraId="76F54C5C" w14:textId="2742AD08" w:rsidR="00C6554A" w:rsidRPr="00D5413C" w:rsidRDefault="0092209D" w:rsidP="00C6554A">
      <w:pPr>
        <w:pStyle w:val="Subtitle"/>
      </w:pPr>
      <w:r>
        <w:t xml:space="preserve">A </w:t>
      </w:r>
      <w:r w:rsidR="00180E9F">
        <w:t>Critical Review</w:t>
      </w:r>
    </w:p>
    <w:p w14:paraId="0889C75A" w14:textId="1C426EA6" w:rsidR="00FE43E5" w:rsidRDefault="00180E9F" w:rsidP="00CB0B62">
      <w:pPr>
        <w:pStyle w:val="ContactInfo"/>
      </w:pPr>
      <w:r>
        <w:t>Jacqueline Burke 160</w:t>
      </w:r>
      <w:r w:rsidR="007D4672">
        <w:t>2454</w:t>
      </w:r>
      <w:r w:rsidR="00C6554A">
        <w:t xml:space="preserve"> | </w:t>
      </w:r>
      <w:r w:rsidR="00985C4B">
        <w:t>ECAD 6006C</w:t>
      </w:r>
      <w:r w:rsidR="00C6554A">
        <w:t xml:space="preserve"> |</w:t>
      </w:r>
      <w:r w:rsidR="00C6554A" w:rsidRPr="00D5413C">
        <w:t xml:space="preserve"> </w:t>
      </w:r>
      <w:r w:rsidR="007D4672">
        <w:t>28/01/2019</w:t>
      </w:r>
      <w:bookmarkStart w:id="5" w:name="_GoBack"/>
      <w:bookmarkEnd w:id="5"/>
      <w:r w:rsidR="00C6554A">
        <w:br w:type="page"/>
      </w:r>
    </w:p>
    <w:p w14:paraId="5F73AB1C" w14:textId="77777777" w:rsidR="00A6009D" w:rsidRDefault="00B22941" w:rsidP="00FB344B">
      <w:pPr>
        <w:spacing w:line="360" w:lineRule="auto"/>
      </w:pPr>
      <w:r>
        <w:lastRenderedPageBreak/>
        <w:tab/>
      </w:r>
      <w:r w:rsidR="00DD34E3">
        <w:t xml:space="preserve">The Welsh Government (2017) has set the Welsh nation an ambitious goal to reach </w:t>
      </w:r>
      <w:r w:rsidR="005B1663">
        <w:t>one</w:t>
      </w:r>
      <w:r w:rsidR="00DD34E3">
        <w:t xml:space="preserve"> million Welsh Speakers by 2050</w:t>
      </w:r>
      <w:r w:rsidR="00BF03F0">
        <w:t xml:space="preserve">. </w:t>
      </w:r>
      <w:r w:rsidR="008827F8">
        <w:t>As of l</w:t>
      </w:r>
      <w:r w:rsidR="000D6BA4">
        <w:t xml:space="preserve">ast </w:t>
      </w:r>
      <w:r w:rsidR="00CC5C90">
        <w:t>year,</w:t>
      </w:r>
      <w:r w:rsidR="000D6BA4">
        <w:t xml:space="preserve"> Stats Wales (2018) reports that Wales still has a long way</w:t>
      </w:r>
      <w:r w:rsidR="00876D59">
        <w:t xml:space="preserve"> to go with only </w:t>
      </w:r>
      <w:r w:rsidR="007E1D26">
        <w:t xml:space="preserve">29.7% of the Welsh population </w:t>
      </w:r>
      <w:r w:rsidR="001F5F5A">
        <w:t xml:space="preserve">able to speak Welsh which is equivalent to </w:t>
      </w:r>
      <w:r w:rsidR="00811EA5">
        <w:t>885,100</w:t>
      </w:r>
      <w:r w:rsidR="00B8516D">
        <w:t xml:space="preserve"> people.</w:t>
      </w:r>
      <w:r w:rsidR="00422B8C">
        <w:t xml:space="preserve"> </w:t>
      </w:r>
      <w:r w:rsidR="00CC5C90">
        <w:t xml:space="preserve">Despite the seemingly uphill battle </w:t>
      </w:r>
      <w:r w:rsidR="00BC5F0C">
        <w:t>that these statistics propose, there has been measurable progress made over the la</w:t>
      </w:r>
      <w:r w:rsidR="00F72EDE">
        <w:t>st few years and the number of Welsh speakers has risen</w:t>
      </w:r>
      <w:r w:rsidR="00146B3E">
        <w:t>;</w:t>
      </w:r>
      <w:r w:rsidR="00F72EDE">
        <w:t xml:space="preserve"> for </w:t>
      </w:r>
      <w:r w:rsidR="008D713A">
        <w:t>example,</w:t>
      </w:r>
      <w:r w:rsidR="00F72EDE">
        <w:t xml:space="preserve"> in 2015 there were only </w:t>
      </w:r>
      <w:r w:rsidR="00146B3E">
        <w:t xml:space="preserve">821,600 Welsh Speakers, equivalent </w:t>
      </w:r>
      <w:r w:rsidR="008D713A">
        <w:t xml:space="preserve">to </w:t>
      </w:r>
      <w:r w:rsidR="00217BD6">
        <w:t>27.8% of the population</w:t>
      </w:r>
      <w:r w:rsidR="00D85DE9">
        <w:t xml:space="preserve"> </w:t>
      </w:r>
      <w:sdt>
        <w:sdtPr>
          <w:id w:val="749315104"/>
          <w:citation/>
        </w:sdtPr>
        <w:sdtContent>
          <w:r w:rsidR="00874C37">
            <w:fldChar w:fldCharType="begin"/>
          </w:r>
          <w:r w:rsidR="00874C37">
            <w:rPr>
              <w:lang w:val="en-US"/>
            </w:rPr>
            <w:instrText xml:space="preserve"> CITATION Sta15 \l 1033 </w:instrText>
          </w:r>
          <w:r w:rsidR="00874C37">
            <w:fldChar w:fldCharType="separate"/>
          </w:r>
          <w:r w:rsidR="00874C37" w:rsidRPr="00874C37">
            <w:rPr>
              <w:noProof/>
              <w:lang w:val="en-US"/>
            </w:rPr>
            <w:t>(Stats Wales, 2015)</w:t>
          </w:r>
          <w:r w:rsidR="00874C37">
            <w:fldChar w:fldCharType="end"/>
          </w:r>
        </w:sdtContent>
      </w:sdt>
      <w:r w:rsidR="00D85DE9">
        <w:t>. If Wales can continue to make these strides</w:t>
      </w:r>
      <w:r w:rsidR="00874C37">
        <w:t xml:space="preserve"> the ambitious goal becomes surmountable.</w:t>
      </w:r>
      <w:r w:rsidR="00ED5730">
        <w:t xml:space="preserve"> In order to support Wales’ </w:t>
      </w:r>
      <w:r w:rsidR="002E6EDF">
        <w:t>to reach their target emphasis</w:t>
      </w:r>
      <w:r w:rsidR="0048341B">
        <w:t xml:space="preserve"> is being placed on understanding how children learn a second language. This </w:t>
      </w:r>
      <w:r w:rsidR="003731D2">
        <w:t>essay will be critically analysing the article ‘Non-Native</w:t>
      </w:r>
      <w:r w:rsidR="00ED33D9">
        <w:t xml:space="preserve"> English Students learning in English: Review and Reflecting on Research’ </w:t>
      </w:r>
      <w:sdt>
        <w:sdtPr>
          <w:id w:val="1441345385"/>
          <w:citation/>
        </w:sdtPr>
        <w:sdtContent>
          <w:r w:rsidR="001462C9">
            <w:fldChar w:fldCharType="begin"/>
          </w:r>
          <w:r w:rsidR="0024169B">
            <w:rPr>
              <w:lang w:val="en-US"/>
            </w:rPr>
            <w:instrText xml:space="preserve">CITATION Ber11 \l 1033 </w:instrText>
          </w:r>
          <w:r w:rsidR="001462C9">
            <w:fldChar w:fldCharType="separate"/>
          </w:r>
          <w:r w:rsidR="0024169B" w:rsidRPr="0024169B">
            <w:rPr>
              <w:noProof/>
              <w:lang w:val="en-US"/>
            </w:rPr>
            <w:t>(Bernardo &amp; Gaerlan, 2011)</w:t>
          </w:r>
          <w:r w:rsidR="001462C9">
            <w:fldChar w:fldCharType="end"/>
          </w:r>
        </w:sdtContent>
      </w:sdt>
      <w:r w:rsidR="00796771">
        <w:t>, a research article written to evaluate research into the psycholinguistic and sociolinguistic</w:t>
      </w:r>
      <w:r w:rsidR="00116A89">
        <w:t xml:space="preserve"> perspectives on bilingualism</w:t>
      </w:r>
      <w:r w:rsidR="00BF2115">
        <w:t xml:space="preserve">. The critical analysis will not only focus on the article but </w:t>
      </w:r>
      <w:r w:rsidR="00DD0E48">
        <w:t xml:space="preserve">how </w:t>
      </w:r>
      <w:r w:rsidR="001C46BE">
        <w:t>its findings can be</w:t>
      </w:r>
      <w:r w:rsidR="00D435E4">
        <w:t xml:space="preserve"> applied in Wales when teach</w:t>
      </w:r>
      <w:r w:rsidR="00BA2BF1">
        <w:t>ing Welsh as a second-language.</w:t>
      </w:r>
      <w:r w:rsidR="001C46BE">
        <w:t xml:space="preserve"> </w:t>
      </w:r>
      <w:r w:rsidR="00116A89">
        <w:t xml:space="preserve"> </w:t>
      </w:r>
    </w:p>
    <w:p w14:paraId="43D5A930" w14:textId="36B1D636" w:rsidR="00CB0B62" w:rsidRDefault="00116A89" w:rsidP="00A6009D">
      <w:pPr>
        <w:spacing w:line="360" w:lineRule="auto"/>
        <w:ind w:firstLine="720"/>
      </w:pPr>
      <w:r>
        <w:t xml:space="preserve">Bernardo is a cognitive and educational psychologist in the Philippines, he has conducted research across a broad range </w:t>
      </w:r>
      <w:r w:rsidR="00095E20">
        <w:t>of topics including the role of language on learning achievements and linguistical approaches to mathematical learning specifically looking at bilingualism</w:t>
      </w:r>
      <w:sdt>
        <w:sdtPr>
          <w:id w:val="1892233875"/>
          <w:citation/>
        </w:sdtPr>
        <w:sdtContent>
          <w:r w:rsidR="009D4C32">
            <w:fldChar w:fldCharType="begin"/>
          </w:r>
          <w:r w:rsidR="009D4C32">
            <w:rPr>
              <w:lang w:val="en-US"/>
            </w:rPr>
            <w:instrText xml:space="preserve"> CITATION Cen19 \l 1033 </w:instrText>
          </w:r>
          <w:r w:rsidR="009D4C32">
            <w:fldChar w:fldCharType="separate"/>
          </w:r>
          <w:r w:rsidR="009D4C32">
            <w:rPr>
              <w:noProof/>
              <w:lang w:val="en-US"/>
            </w:rPr>
            <w:t xml:space="preserve"> </w:t>
          </w:r>
          <w:r w:rsidR="009D4C32" w:rsidRPr="009D4C32">
            <w:rPr>
              <w:noProof/>
              <w:lang w:val="en-US"/>
            </w:rPr>
            <w:t>(Centre for Applied Cross-cultural Research., 2019)</w:t>
          </w:r>
          <w:r w:rsidR="009D4C32">
            <w:fldChar w:fldCharType="end"/>
          </w:r>
        </w:sdtContent>
      </w:sdt>
      <w:r w:rsidR="00FC5FC3">
        <w:t>.</w:t>
      </w:r>
      <w:r w:rsidR="00850FF3">
        <w:t xml:space="preserve"> At the time of writing this article</w:t>
      </w:r>
      <w:r w:rsidR="00FC5FC3">
        <w:t xml:space="preserve"> </w:t>
      </w:r>
      <w:proofErr w:type="spellStart"/>
      <w:r w:rsidR="00FC5FC3">
        <w:t>Gaerlan</w:t>
      </w:r>
      <w:proofErr w:type="spellEnd"/>
      <w:r w:rsidR="00FC5FC3">
        <w:t xml:space="preserve"> work</w:t>
      </w:r>
      <w:r w:rsidR="00850FF3">
        <w:t xml:space="preserve">ed </w:t>
      </w:r>
      <w:r w:rsidR="00FC5FC3">
        <w:t>for Bernardo and is a specialist in English and Applied Linguistics</w:t>
      </w:r>
      <w:r w:rsidR="00850FF3">
        <w:t xml:space="preserve"> at the De La Salle University</w:t>
      </w:r>
      <w:sdt>
        <w:sdtPr>
          <w:id w:val="-944763369"/>
          <w:citation/>
        </w:sdtPr>
        <w:sdtContent>
          <w:r w:rsidR="00F062D4">
            <w:fldChar w:fldCharType="begin"/>
          </w:r>
          <w:r w:rsidR="00F062D4">
            <w:rPr>
              <w:lang w:val="en-US"/>
            </w:rPr>
            <w:instrText xml:space="preserve"> CITATION Aca19 \l 1033 </w:instrText>
          </w:r>
          <w:r w:rsidR="00F062D4">
            <w:fldChar w:fldCharType="separate"/>
          </w:r>
          <w:r w:rsidR="00F062D4">
            <w:rPr>
              <w:noProof/>
              <w:lang w:val="en-US"/>
            </w:rPr>
            <w:t xml:space="preserve"> </w:t>
          </w:r>
          <w:r w:rsidR="00F062D4" w:rsidRPr="00F062D4">
            <w:rPr>
              <w:noProof/>
              <w:lang w:val="en-US"/>
            </w:rPr>
            <w:t>(Academia, 2019)</w:t>
          </w:r>
          <w:r w:rsidR="00F062D4">
            <w:fldChar w:fldCharType="end"/>
          </w:r>
        </w:sdtContent>
      </w:sdt>
      <w:r w:rsidR="006038DC">
        <w:t>.</w:t>
      </w:r>
      <w:r w:rsidR="005E6149">
        <w:t xml:space="preserve"> Bernardo and </w:t>
      </w:r>
      <w:proofErr w:type="spellStart"/>
      <w:r w:rsidR="005E6149">
        <w:t>Gaerl</w:t>
      </w:r>
      <w:r w:rsidR="0025765D">
        <w:t>an</w:t>
      </w:r>
      <w:proofErr w:type="spellEnd"/>
      <w:r w:rsidR="0025765D">
        <w:t xml:space="preserve"> use a variety of subject specific references to support their work, however th</w:t>
      </w:r>
      <w:r w:rsidR="00A040A7">
        <w:t>ey</w:t>
      </w:r>
      <w:r w:rsidR="004C3E0C">
        <w:t xml:space="preserve"> also</w:t>
      </w:r>
      <w:r w:rsidR="00A040A7">
        <w:t xml:space="preserve"> used a substantial amount of their own research to support their claims</w:t>
      </w:r>
      <w:r w:rsidR="0028617E">
        <w:t xml:space="preserve">, including the use of </w:t>
      </w:r>
      <w:r w:rsidR="000F5812">
        <w:t>an unpublished doctoral dissertation.</w:t>
      </w:r>
      <w:r w:rsidR="005308D5">
        <w:t xml:space="preserve"> Whilst the article does make some keen </w:t>
      </w:r>
      <w:r w:rsidR="003B291E">
        <w:t xml:space="preserve">observations the main difficulty presented when applying the findings to a Welsh curriculum is </w:t>
      </w:r>
      <w:r w:rsidR="0095098C">
        <w:t xml:space="preserve">the ability to </w:t>
      </w:r>
      <w:r w:rsidR="00522DC6">
        <w:t xml:space="preserve">apply the findings from the sociolinguistic research. This is mainly due to the difficulties encountered </w:t>
      </w:r>
      <w:r w:rsidR="005F3C18">
        <w:t xml:space="preserve">when </w:t>
      </w:r>
      <w:r w:rsidR="004C453E">
        <w:t>learning a second language that is a minority world language</w:t>
      </w:r>
      <w:r w:rsidR="00EF7909">
        <w:t xml:space="preserve"> as it lacks th</w:t>
      </w:r>
      <w:r w:rsidR="007C62E6">
        <w:t>e social support needed to encourage the learning</w:t>
      </w:r>
      <w:r w:rsidR="001D05AD">
        <w:t xml:space="preserve"> not only inside but</w:t>
      </w:r>
      <w:r w:rsidR="007C62E6">
        <w:t xml:space="preserve"> outside of the classroom</w:t>
      </w:r>
      <w:r w:rsidR="00EB39E9">
        <w:t xml:space="preserve"> </w:t>
      </w:r>
      <w:sdt>
        <w:sdtPr>
          <w:id w:val="-239325788"/>
          <w:citation/>
        </w:sdtPr>
        <w:sdtContent>
          <w:r w:rsidR="007429F0">
            <w:fldChar w:fldCharType="begin"/>
          </w:r>
          <w:r w:rsidR="007429F0">
            <w:rPr>
              <w:lang w:val="en-US"/>
            </w:rPr>
            <w:instrText xml:space="preserve"> CITATION Sle11 \l 1033 </w:instrText>
          </w:r>
          <w:r w:rsidR="007429F0">
            <w:fldChar w:fldCharType="separate"/>
          </w:r>
          <w:r w:rsidR="007429F0" w:rsidRPr="007429F0">
            <w:rPr>
              <w:noProof/>
              <w:lang w:val="en-US"/>
            </w:rPr>
            <w:t>(Sleeter, 2011)</w:t>
          </w:r>
          <w:r w:rsidR="007429F0">
            <w:fldChar w:fldCharType="end"/>
          </w:r>
        </w:sdtContent>
      </w:sdt>
      <w:r w:rsidR="001D05AD">
        <w:t>.</w:t>
      </w:r>
      <w:r w:rsidR="008B4162">
        <w:t xml:space="preserve"> It </w:t>
      </w:r>
      <w:r w:rsidR="002255C3">
        <w:t xml:space="preserve">is also </w:t>
      </w:r>
      <w:r w:rsidR="0076274B">
        <w:t>important to note that</w:t>
      </w:r>
      <w:r w:rsidR="006176E7">
        <w:t xml:space="preserve"> their research </w:t>
      </w:r>
      <w:r w:rsidR="00496EA8">
        <w:t xml:space="preserve">does not </w:t>
      </w:r>
      <w:r w:rsidR="003D0AA8">
        <w:t xml:space="preserve">offer concrete support on how students learn a second </w:t>
      </w:r>
      <w:r w:rsidR="003D0AA8">
        <w:lastRenderedPageBreak/>
        <w:t>language</w:t>
      </w:r>
      <w:r w:rsidR="00766AB1">
        <w:t xml:space="preserve"> as was stated</w:t>
      </w:r>
      <w:r w:rsidR="00323D20">
        <w:t xml:space="preserve"> in the closing discussion </w:t>
      </w:r>
      <w:r w:rsidR="001A367C">
        <w:t xml:space="preserve"> ‘As we make these suggestions</w:t>
      </w:r>
      <w:r w:rsidR="00801DA6">
        <w:t xml:space="preserve"> for the ESL and EFL teachers, we should acknowledge that we did not directly address the problem</w:t>
      </w:r>
      <w:r w:rsidR="00FB1183">
        <w:t xml:space="preserve"> of how these students learn in English</w:t>
      </w:r>
      <w:r w:rsidR="00F753F4">
        <w:t xml:space="preserve">’ </w:t>
      </w:r>
      <w:sdt>
        <w:sdtPr>
          <w:id w:val="681166986"/>
          <w:citation/>
        </w:sdtPr>
        <w:sdtContent>
          <w:r w:rsidR="00F753F4">
            <w:fldChar w:fldCharType="begin"/>
          </w:r>
          <w:r w:rsidR="0024169B">
            <w:rPr>
              <w:lang w:val="en-US"/>
            </w:rPr>
            <w:instrText xml:space="preserve">CITATION Ber11 \p 7 \l 1033 </w:instrText>
          </w:r>
          <w:r w:rsidR="00F753F4">
            <w:fldChar w:fldCharType="separate"/>
          </w:r>
          <w:r w:rsidR="0024169B" w:rsidRPr="0024169B">
            <w:rPr>
              <w:noProof/>
              <w:lang w:val="en-US"/>
            </w:rPr>
            <w:t>(Bernardo &amp; Gaerlan, 2011, p. 7)</w:t>
          </w:r>
          <w:r w:rsidR="00F753F4">
            <w:fldChar w:fldCharType="end"/>
          </w:r>
        </w:sdtContent>
      </w:sdt>
      <w:r w:rsidR="00C35AA6">
        <w:t>.</w:t>
      </w:r>
    </w:p>
    <w:p w14:paraId="6E65D025" w14:textId="075B7912" w:rsidR="00E06E0E" w:rsidRDefault="00071086" w:rsidP="00C35AA6">
      <w:pPr>
        <w:spacing w:line="360" w:lineRule="auto"/>
        <w:ind w:firstLine="720"/>
      </w:pPr>
      <w:r>
        <w:t xml:space="preserve">This article </w:t>
      </w:r>
      <w:r w:rsidR="008424DA">
        <w:t xml:space="preserve">has been divided into three main parts, psycholinguistic </w:t>
      </w:r>
      <w:r w:rsidR="006D0C0E">
        <w:t xml:space="preserve">perspectives on bilingualism, sociolinguistic </w:t>
      </w:r>
      <w:r w:rsidR="006C7C0B">
        <w:t xml:space="preserve">perspectives on </w:t>
      </w:r>
      <w:r w:rsidR="00916043">
        <w:t xml:space="preserve">bilingualism, and the concluding discussions which </w:t>
      </w:r>
      <w:r w:rsidR="000A07F4">
        <w:t>highlight their recommendation</w:t>
      </w:r>
      <w:r w:rsidR="00564EB8">
        <w:t xml:space="preserve"> to </w:t>
      </w:r>
      <w:r w:rsidR="0080661B">
        <w:t>teachers</w:t>
      </w:r>
      <w:r w:rsidR="009A75BF">
        <w:t>.</w:t>
      </w:r>
      <w:r w:rsidR="000E1057">
        <w:t xml:space="preserve"> </w:t>
      </w:r>
      <w:r w:rsidR="000C4406">
        <w:t>When looking at the psy</w:t>
      </w:r>
      <w:r w:rsidR="00F51F2F">
        <w:t xml:space="preserve">cholinguistic perspectives </w:t>
      </w:r>
      <w:r w:rsidR="008B1393">
        <w:t xml:space="preserve">Bernardo and </w:t>
      </w:r>
      <w:proofErr w:type="spellStart"/>
      <w:r w:rsidR="008B1393">
        <w:t>Gaer</w:t>
      </w:r>
      <w:r w:rsidR="00DF44F9">
        <w:t>lan</w:t>
      </w:r>
      <w:proofErr w:type="spellEnd"/>
      <w:r w:rsidR="00DF44F9">
        <w:t xml:space="preserve"> (2011) </w:t>
      </w:r>
      <w:r w:rsidR="00B513DB">
        <w:t xml:space="preserve">chose to look specifically at </w:t>
      </w:r>
      <w:r w:rsidR="00F01996">
        <w:t xml:space="preserve">the application </w:t>
      </w:r>
      <w:r w:rsidR="00057AE6">
        <w:t xml:space="preserve">of second language learning </w:t>
      </w:r>
      <w:r w:rsidR="00B95C1C">
        <w:t>to mathematics</w:t>
      </w:r>
      <w:r w:rsidR="00E24D86">
        <w:t>. This was chosen</w:t>
      </w:r>
      <w:r w:rsidR="00EC12E4">
        <w:t xml:space="preserve"> as mathematical problem solving can be broken down </w:t>
      </w:r>
      <w:r w:rsidR="00BB63BE">
        <w:t>into different cognitive processes allowing</w:t>
      </w:r>
      <w:r w:rsidR="00AD54F0">
        <w:t xml:space="preserve"> for the learning to not just be measured as an achievement outcome. </w:t>
      </w:r>
      <w:sdt>
        <w:sdtPr>
          <w:id w:val="-1761907928"/>
          <w:citation/>
        </w:sdtPr>
        <w:sdtContent>
          <w:r w:rsidR="00A97B1B">
            <w:fldChar w:fldCharType="begin"/>
          </w:r>
          <w:r w:rsidR="0024169B">
            <w:rPr>
              <w:lang w:val="en-US"/>
            </w:rPr>
            <w:instrText xml:space="preserve">CITATION Ber11 \l 1033 </w:instrText>
          </w:r>
          <w:r w:rsidR="00A97B1B">
            <w:fldChar w:fldCharType="separate"/>
          </w:r>
          <w:r w:rsidR="0024169B" w:rsidRPr="0024169B">
            <w:rPr>
              <w:noProof/>
              <w:lang w:val="en-US"/>
            </w:rPr>
            <w:t>(Bernardo &amp; Gaerlan, 2011)</w:t>
          </w:r>
          <w:r w:rsidR="00A97B1B">
            <w:fldChar w:fldCharType="end"/>
          </w:r>
        </w:sdtContent>
      </w:sdt>
      <w:r w:rsidR="00A97B1B">
        <w:t xml:space="preserve">. </w:t>
      </w:r>
      <w:r w:rsidR="00F6063E">
        <w:t xml:space="preserve">The findings of the research </w:t>
      </w:r>
      <w:r w:rsidR="00AA6141">
        <w:t>noted that when presented with word problems students performed better when using their first language</w:t>
      </w:r>
      <w:r w:rsidR="001D0860">
        <w:t xml:space="preserve"> and tended to have more comprehension errors when the problems were completed in their second language.</w:t>
      </w:r>
      <w:r w:rsidR="00A86614">
        <w:t xml:space="preserve"> However, when looking at problem solving tasks</w:t>
      </w:r>
      <w:r w:rsidR="002B2CD4">
        <w:t xml:space="preserve">, it was found that when </w:t>
      </w:r>
      <w:r w:rsidR="004B34AB">
        <w:t xml:space="preserve">completing </w:t>
      </w:r>
      <w:r w:rsidR="00E10486">
        <w:t xml:space="preserve">the </w:t>
      </w:r>
      <w:r w:rsidR="00E00303">
        <w:t>tasks,</w:t>
      </w:r>
      <w:r w:rsidR="00E10486">
        <w:t xml:space="preserve"> </w:t>
      </w:r>
      <w:r w:rsidR="008F0DED">
        <w:t>they did better in their second language if they were originally taught how to do the tasks in their second language</w:t>
      </w:r>
      <w:r w:rsidR="004459F8">
        <w:t xml:space="preserve">. This is attributed to </w:t>
      </w:r>
      <w:r w:rsidR="00902A66">
        <w:t xml:space="preserve">recall being easier to complete in the language in which </w:t>
      </w:r>
      <w:r w:rsidR="00E00303">
        <w:t xml:space="preserve">it was originally learned </w:t>
      </w:r>
      <w:sdt>
        <w:sdtPr>
          <w:id w:val="923304670"/>
          <w:citation/>
        </w:sdtPr>
        <w:sdtContent>
          <w:r w:rsidR="00E00303">
            <w:fldChar w:fldCharType="begin"/>
          </w:r>
          <w:r w:rsidR="0024169B">
            <w:rPr>
              <w:lang w:val="en-US"/>
            </w:rPr>
            <w:instrText xml:space="preserve">CITATION Ber11 \l 1033 </w:instrText>
          </w:r>
          <w:r w:rsidR="00E00303">
            <w:fldChar w:fldCharType="separate"/>
          </w:r>
          <w:r w:rsidR="0024169B" w:rsidRPr="0024169B">
            <w:rPr>
              <w:noProof/>
              <w:lang w:val="en-US"/>
            </w:rPr>
            <w:t>(Bernardo &amp; Gaerlan, 2011)</w:t>
          </w:r>
          <w:r w:rsidR="00E00303">
            <w:fldChar w:fldCharType="end"/>
          </w:r>
        </w:sdtContent>
      </w:sdt>
      <w:r w:rsidR="00114818">
        <w:t>.</w:t>
      </w:r>
      <w:r w:rsidR="003E45E4">
        <w:t xml:space="preserve"> This is interesting to think about when considering how Welsh is currently taught in English-medium schools, how much consistency of language exists</w:t>
      </w:r>
      <w:r w:rsidR="00DC0171">
        <w:t xml:space="preserve">? Would it be beneficial to </w:t>
      </w:r>
      <w:r w:rsidR="00036E1A">
        <w:t xml:space="preserve">teach Welsh </w:t>
      </w:r>
      <w:proofErr w:type="gramStart"/>
      <w:r w:rsidR="00036E1A">
        <w:t>as a whole school</w:t>
      </w:r>
      <w:proofErr w:type="gramEnd"/>
      <w:r w:rsidR="00036E1A">
        <w:t xml:space="preserve"> approach where the classes work in con</w:t>
      </w:r>
      <w:r w:rsidR="00155E07">
        <w:t>junction</w:t>
      </w:r>
      <w:r w:rsidR="00807273">
        <w:t>; for example</w:t>
      </w:r>
      <w:r w:rsidR="00710C12">
        <w:t>,</w:t>
      </w:r>
      <w:r w:rsidR="00807273">
        <w:t xml:space="preserve"> if every maths lesson was taught in Welsh in every class would the consistency of </w:t>
      </w:r>
      <w:r w:rsidR="0073313A">
        <w:t>subject specific language</w:t>
      </w:r>
      <w:r w:rsidR="007A0980">
        <w:t xml:space="preserve"> ensure better </w:t>
      </w:r>
      <w:r w:rsidR="00040640">
        <w:t>retention of information</w:t>
      </w:r>
      <w:r w:rsidR="0073313A">
        <w:t xml:space="preserve"> enabl</w:t>
      </w:r>
      <w:r w:rsidR="00040640">
        <w:t>ing</w:t>
      </w:r>
      <w:r w:rsidR="0073313A">
        <w:t xml:space="preserve"> students to develop their Welsh language skill</w:t>
      </w:r>
      <w:r w:rsidR="0080274F">
        <w:t>s for academic purposes</w:t>
      </w:r>
      <w:r w:rsidR="0034416F">
        <w:t xml:space="preserve"> to a more comprehensive leve</w:t>
      </w:r>
      <w:r w:rsidR="00A34976">
        <w:t>l</w:t>
      </w:r>
      <w:r w:rsidR="000904AC">
        <w:t xml:space="preserve">? </w:t>
      </w:r>
    </w:p>
    <w:p w14:paraId="2EC9A7F7" w14:textId="1181273B" w:rsidR="00FD75D8" w:rsidRDefault="007D5D67" w:rsidP="00FB344B">
      <w:pPr>
        <w:spacing w:line="360" w:lineRule="auto"/>
      </w:pPr>
      <w:r>
        <w:tab/>
        <w:t xml:space="preserve">When Bernardo &amp; </w:t>
      </w:r>
      <w:proofErr w:type="spellStart"/>
      <w:r>
        <w:t>Gaerlan</w:t>
      </w:r>
      <w:proofErr w:type="spellEnd"/>
      <w:r>
        <w:t xml:space="preserve"> (2011) then look at the cognitive benefits </w:t>
      </w:r>
      <w:r w:rsidR="00610DE6">
        <w:t xml:space="preserve">of being bilingual, they </w:t>
      </w:r>
      <w:r w:rsidR="00C42047">
        <w:t xml:space="preserve">draw attention to studies that show </w:t>
      </w:r>
      <w:r w:rsidR="001C7E64">
        <w:t>bilingual students more enhanced executive control skills</w:t>
      </w:r>
      <w:r w:rsidR="005F5059">
        <w:t xml:space="preserve"> which relate to selective attention. These skills allow bilingual students to outperform</w:t>
      </w:r>
      <w:r w:rsidR="00702200">
        <w:t xml:space="preserve"> monolingual students in various cognitive tasks including non-verbal problem solving</w:t>
      </w:r>
      <w:r w:rsidR="0012365B">
        <w:t xml:space="preserve"> (Bialystok, 2010; </w:t>
      </w:r>
      <w:proofErr w:type="spellStart"/>
      <w:r w:rsidR="0012365B">
        <w:t>Bialystock</w:t>
      </w:r>
      <w:proofErr w:type="spellEnd"/>
      <w:r w:rsidR="0012365B">
        <w:t xml:space="preserve"> &amp; Ma</w:t>
      </w:r>
      <w:r w:rsidR="00EF09C8">
        <w:t>jumder, 1998)</w:t>
      </w:r>
      <w:r w:rsidR="00FF6057">
        <w:t xml:space="preserve">. </w:t>
      </w:r>
      <w:r w:rsidR="0015336F">
        <w:t>Bernardo</w:t>
      </w:r>
      <w:r w:rsidR="00A14D91">
        <w:t xml:space="preserve"> &amp; </w:t>
      </w:r>
      <w:proofErr w:type="spellStart"/>
      <w:r w:rsidR="00A14D91">
        <w:lastRenderedPageBreak/>
        <w:t>Gaerlan</w:t>
      </w:r>
      <w:proofErr w:type="spellEnd"/>
      <w:r w:rsidR="00A14D91">
        <w:t xml:space="preserve"> (2011) also </w:t>
      </w:r>
      <w:r w:rsidR="00FF6057">
        <w:t>looked at</w:t>
      </w:r>
      <w:r w:rsidR="00A14D91">
        <w:t xml:space="preserve"> research </w:t>
      </w:r>
      <w:r w:rsidR="004424D9">
        <w:t>by</w:t>
      </w:r>
      <w:r w:rsidR="00FF6057">
        <w:t xml:space="preserve"> Blot</w:t>
      </w:r>
      <w:r w:rsidR="0015336F">
        <w:t xml:space="preserve"> et al.</w:t>
      </w:r>
      <w:r w:rsidR="00FF6057">
        <w:t xml:space="preserve"> (2003)</w:t>
      </w:r>
      <w:r w:rsidR="004424D9">
        <w:t xml:space="preserve">; who </w:t>
      </w:r>
      <w:r w:rsidR="000E4E2D">
        <w:t xml:space="preserve">found that bilingual students benefit from being able to switch </w:t>
      </w:r>
      <w:r w:rsidR="00A30A3D">
        <w:t>between two languages when performing cognitive tasks such as brainstorming</w:t>
      </w:r>
      <w:r w:rsidR="004E0B6A">
        <w:t>. However, when reading the research</w:t>
      </w:r>
      <w:r w:rsidR="00E352EF">
        <w:t xml:space="preserve"> paper</w:t>
      </w:r>
      <w:r w:rsidR="00C96D99">
        <w:t xml:space="preserve"> ‘</w:t>
      </w:r>
      <w:r w:rsidR="004D57B4">
        <w:t>Code-</w:t>
      </w:r>
      <w:r w:rsidR="00A926B8">
        <w:t>switching across brainstorming sessions: Implications</w:t>
      </w:r>
      <w:r w:rsidR="00614270">
        <w:t xml:space="preserve"> for the revised hierarchical model of bilingual</w:t>
      </w:r>
      <w:r w:rsidR="000717E6">
        <w:t xml:space="preserve"> language processing’</w:t>
      </w:r>
      <w:r w:rsidR="00E352EF">
        <w:t xml:space="preserve"> Blot et al. (2003)</w:t>
      </w:r>
      <w:r w:rsidR="00043090">
        <w:t xml:space="preserve">, </w:t>
      </w:r>
      <w:r w:rsidR="000F71CC">
        <w:t xml:space="preserve">drew attention to the fact that </w:t>
      </w:r>
      <w:r w:rsidR="009D12A8">
        <w:t>their results were inconsisten</w:t>
      </w:r>
      <w:r w:rsidR="0002510C">
        <w:t xml:space="preserve">t. When students switched </w:t>
      </w:r>
      <w:r w:rsidR="00301A34">
        <w:t>language,</w:t>
      </w:r>
      <w:r w:rsidR="0002510C">
        <w:t xml:space="preserve"> </w:t>
      </w:r>
      <w:r w:rsidR="008A59A2">
        <w:t xml:space="preserve">they did have higher productivity rate; however, </w:t>
      </w:r>
      <w:r w:rsidR="00301A34">
        <w:t xml:space="preserve">this was only the case when switching from their second language to their first. If they were switching from their first to second language </w:t>
      </w:r>
      <w:r w:rsidR="00553C57">
        <w:t xml:space="preserve">no advantage was seen to be had as access </w:t>
      </w:r>
      <w:r w:rsidR="00A8185F">
        <w:t>to new concepts were weak</w:t>
      </w:r>
      <w:r w:rsidR="00473F6E">
        <w:t>. Blot et al</w:t>
      </w:r>
      <w:r w:rsidR="00230800">
        <w:t>. (2003)</w:t>
      </w:r>
      <w:r w:rsidR="000F3549">
        <w:t xml:space="preserve"> also noted that there were threats to the internal validity </w:t>
      </w:r>
      <w:r w:rsidR="00B76045">
        <w:t>of</w:t>
      </w:r>
      <w:r w:rsidR="00051BA3">
        <w:t xml:space="preserve"> their study</w:t>
      </w:r>
      <w:r w:rsidR="00843E06">
        <w:t>, such as: effects of time, switching tasks, comfort in working in their first language, the language in which their instruction was given</w:t>
      </w:r>
      <w:r w:rsidR="000B0998">
        <w:t>, and if working in partners, their partners language background</w:t>
      </w:r>
      <w:r w:rsidR="00056152">
        <w:t>. Finally Blot et al</w:t>
      </w:r>
      <w:r w:rsidR="00701955">
        <w:t xml:space="preserve">. (2003) acknowledged the fact that the participants of the study </w:t>
      </w:r>
      <w:r w:rsidR="000B6C89">
        <w:t xml:space="preserve">very rarely switched between languages within a session of their </w:t>
      </w:r>
      <w:r w:rsidR="007D404F">
        <w:t>volition</w:t>
      </w:r>
      <w:r w:rsidR="00CE0F35">
        <w:t>.</w:t>
      </w:r>
      <w:r w:rsidR="00501DF6">
        <w:t xml:space="preserve"> Thus, on closer examination </w:t>
      </w:r>
      <w:r w:rsidR="00F44C00">
        <w:t xml:space="preserve">of this </w:t>
      </w:r>
      <w:proofErr w:type="gramStart"/>
      <w:r w:rsidR="00F44C00">
        <w:t>particular reference</w:t>
      </w:r>
      <w:proofErr w:type="gramEnd"/>
      <w:r w:rsidR="00F44C00">
        <w:t xml:space="preserve"> </w:t>
      </w:r>
      <w:r w:rsidR="00314814">
        <w:t xml:space="preserve">it is </w:t>
      </w:r>
      <w:r w:rsidR="00F44C00">
        <w:t>demonstrate</w:t>
      </w:r>
      <w:r w:rsidR="00314814">
        <w:t>d</w:t>
      </w:r>
      <w:r w:rsidR="00F44C00">
        <w:t xml:space="preserve"> that Bernardo and </w:t>
      </w:r>
      <w:proofErr w:type="spellStart"/>
      <w:r w:rsidR="00F44C00">
        <w:t>Gaerl</w:t>
      </w:r>
      <w:r w:rsidR="00571C16">
        <w:t>an’s</w:t>
      </w:r>
      <w:proofErr w:type="spellEnd"/>
      <w:r w:rsidR="00571C16">
        <w:t xml:space="preserve"> (2011) </w:t>
      </w:r>
      <w:r w:rsidR="008703F9">
        <w:t>proposed</w:t>
      </w:r>
      <w:r w:rsidR="00DE0ACC">
        <w:t xml:space="preserve"> psycholinguistic </w:t>
      </w:r>
      <w:r w:rsidR="008703F9">
        <w:t xml:space="preserve">benefits of bilingualism are not as </w:t>
      </w:r>
      <w:r w:rsidR="00C95A0E">
        <w:t>substantial as they claim.</w:t>
      </w:r>
      <w:r w:rsidR="00962B02">
        <w:t xml:space="preserve"> </w:t>
      </w:r>
      <w:r w:rsidR="00D45362">
        <w:t xml:space="preserve"> </w:t>
      </w:r>
    </w:p>
    <w:p w14:paraId="0E51547A" w14:textId="3194D217" w:rsidR="00FA1B3D" w:rsidRDefault="004F6E12" w:rsidP="00FB344B">
      <w:pPr>
        <w:spacing w:line="360" w:lineRule="auto"/>
      </w:pPr>
      <w:r>
        <w:tab/>
      </w:r>
      <w:r w:rsidR="000E4E18">
        <w:t xml:space="preserve">Looking at the psycholinguistic research </w:t>
      </w:r>
      <w:proofErr w:type="gramStart"/>
      <w:r w:rsidR="000E4E18">
        <w:t>as a whole it</w:t>
      </w:r>
      <w:proofErr w:type="gramEnd"/>
      <w:r w:rsidR="000E4E18">
        <w:t xml:space="preserve"> is inarguable that there are cognitive benefits to being bilingual</w:t>
      </w:r>
      <w:r w:rsidR="00E60FE6">
        <w:t>. However, when looking at Wales</w:t>
      </w:r>
      <w:r w:rsidR="00C95182">
        <w:t xml:space="preserve"> </w:t>
      </w:r>
      <w:r w:rsidR="00736E61">
        <w:t>it could be beneficial to ensure that these</w:t>
      </w:r>
      <w:r w:rsidR="004654A5">
        <w:t xml:space="preserve"> psycholinguistic </w:t>
      </w:r>
      <w:r w:rsidR="00736E61">
        <w:t>benefits are highlighted</w:t>
      </w:r>
      <w:r w:rsidR="002B5769">
        <w:t>, to teachers, parents and the students themselves,</w:t>
      </w:r>
      <w:r w:rsidR="00637D72">
        <w:t xml:space="preserve"> in order</w:t>
      </w:r>
      <w:r w:rsidR="00736E61">
        <w:t xml:space="preserve"> </w:t>
      </w:r>
      <w:r w:rsidR="00996FC1">
        <w:t>to develop external and intrinsic motivation towards learning Welsh as a second language</w:t>
      </w:r>
      <w:r w:rsidR="00EB633D">
        <w:t xml:space="preserve">. </w:t>
      </w:r>
      <w:r w:rsidR="001B71A5">
        <w:t xml:space="preserve">The Welsh Government has already considered </w:t>
      </w:r>
      <w:r w:rsidR="00E95E88">
        <w:t>the impact of</w:t>
      </w:r>
      <w:r w:rsidR="003C3F5B">
        <w:t xml:space="preserve"> demonstrating the benefits of learning Welsh as a second language</w:t>
      </w:r>
      <w:r w:rsidR="00776890">
        <w:t xml:space="preserve"> and has included it as a part of</w:t>
      </w:r>
      <w:r w:rsidR="00FB35EB">
        <w:t xml:space="preserve"> theme three of </w:t>
      </w:r>
      <w:r w:rsidR="00D27AB6">
        <w:t xml:space="preserve">their plan </w:t>
      </w:r>
      <w:r w:rsidR="00B22480">
        <w:t>to reach the target of one million Welsh Speakers. Theme three</w:t>
      </w:r>
      <w:r w:rsidR="00AA76EC">
        <w:t xml:space="preserve"> is ‘Creating Favourable Conditions’ and </w:t>
      </w:r>
      <w:r w:rsidR="00943DCC">
        <w:t xml:space="preserve">it states that the Welsh Government </w:t>
      </w:r>
      <w:r w:rsidR="00E6609F">
        <w:t>needs to “Develop a national programme to increase understanding of bilingualism.”</w:t>
      </w:r>
      <w:r w:rsidR="00214611">
        <w:t xml:space="preserve"> </w:t>
      </w:r>
      <w:sdt>
        <w:sdtPr>
          <w:id w:val="186412287"/>
          <w:citation/>
        </w:sdtPr>
        <w:sdtContent>
          <w:r w:rsidR="00D875C9">
            <w:fldChar w:fldCharType="begin"/>
          </w:r>
          <w:r w:rsidR="00D875C9">
            <w:rPr>
              <w:lang w:val="en-US"/>
            </w:rPr>
            <w:instrText xml:space="preserve"> CITATION Wel171 \l 1033 </w:instrText>
          </w:r>
          <w:r w:rsidR="00D875C9">
            <w:fldChar w:fldCharType="separate"/>
          </w:r>
          <w:r w:rsidR="00D875C9" w:rsidRPr="00D875C9">
            <w:rPr>
              <w:noProof/>
              <w:lang w:val="en-US"/>
            </w:rPr>
            <w:t>(Welsh Government, 2017)</w:t>
          </w:r>
          <w:r w:rsidR="00D875C9">
            <w:fldChar w:fldCharType="end"/>
          </w:r>
        </w:sdtContent>
      </w:sdt>
      <w:r w:rsidR="00574787">
        <w:t>.</w:t>
      </w:r>
    </w:p>
    <w:p w14:paraId="49A14882" w14:textId="5A0776E7" w:rsidR="00A9519A" w:rsidRDefault="00FA1B3D" w:rsidP="00A9519A">
      <w:pPr>
        <w:spacing w:line="360" w:lineRule="auto"/>
      </w:pPr>
      <w:r>
        <w:tab/>
        <w:t xml:space="preserve">After considering </w:t>
      </w:r>
      <w:r w:rsidR="00CF0D2B">
        <w:t xml:space="preserve">the psycholinguistic perspectives of bilingualism Bernardo and </w:t>
      </w:r>
      <w:proofErr w:type="spellStart"/>
      <w:r w:rsidR="00CF0D2B">
        <w:t>Gaerlan</w:t>
      </w:r>
      <w:proofErr w:type="spellEnd"/>
      <w:r w:rsidR="00CF0D2B">
        <w:t xml:space="preserve"> (2011) directed their attentions to Sociolinguistic perspectives. The </w:t>
      </w:r>
      <w:r w:rsidR="00CF0D2B">
        <w:lastRenderedPageBreak/>
        <w:t>sociolinguistic approaches</w:t>
      </w:r>
      <w:r w:rsidR="00546EB0">
        <w:t xml:space="preserve"> look at aspects of the learning experience of bilingual students </w:t>
      </w:r>
      <w:r w:rsidR="000F5D0E">
        <w:t>such as relationships, experiences and how language relates to their identity.</w:t>
      </w:r>
      <w:r w:rsidR="00DB4678">
        <w:t xml:space="preserve"> </w:t>
      </w:r>
      <w:r w:rsidR="00C751EC">
        <w:t xml:space="preserve">Research of second language learning proposes that learning a second language </w:t>
      </w:r>
      <w:r w:rsidR="00572B5D">
        <w:t xml:space="preserve">must </w:t>
      </w:r>
      <w:r w:rsidR="00F820C0">
        <w:t>consider</w:t>
      </w:r>
      <w:r w:rsidR="00572B5D">
        <w:t xml:space="preserve"> social, political</w:t>
      </w:r>
      <w:r w:rsidR="00CD13EB">
        <w:t xml:space="preserve">, and cultural issues as well as those relating to </w:t>
      </w:r>
      <w:r w:rsidR="007F6C37">
        <w:t>cognitive and linguistic processes</w:t>
      </w:r>
      <w:r w:rsidR="00C83606">
        <w:t xml:space="preserve"> (Firth &amp; Wagner, 1997; Lar</w:t>
      </w:r>
      <w:r w:rsidR="00A33496">
        <w:t>s</w:t>
      </w:r>
      <w:r w:rsidR="00C83606">
        <w:t>en-Freeman, 2007</w:t>
      </w:r>
      <w:r w:rsidR="008E198D">
        <w:t xml:space="preserve">; Long, 2007; </w:t>
      </w:r>
      <w:proofErr w:type="spellStart"/>
      <w:r w:rsidR="008E198D">
        <w:t>Zuengler</w:t>
      </w:r>
      <w:proofErr w:type="spellEnd"/>
      <w:r w:rsidR="008E198D">
        <w:t xml:space="preserve"> &amp; Miller</w:t>
      </w:r>
      <w:r w:rsidR="00BA685C">
        <w:t>, 2006</w:t>
      </w:r>
      <w:r w:rsidR="00F820C0">
        <w:t xml:space="preserve">). </w:t>
      </w:r>
      <w:r w:rsidR="002461DC">
        <w:t>Research</w:t>
      </w:r>
      <w:r w:rsidR="003B687C">
        <w:t xml:space="preserve"> suggests tha</w:t>
      </w:r>
      <w:r w:rsidR="000E4DA8">
        <w:t xml:space="preserve">t the meaning of learning is a social process that is able transform the ability to </w:t>
      </w:r>
      <w:r w:rsidR="001366A0">
        <w:t>participate in the world in which we live and to become valid members of our communities</w:t>
      </w:r>
      <w:r w:rsidR="00D635D5">
        <w:t>.</w:t>
      </w:r>
      <w:r w:rsidR="00944B66">
        <w:t xml:space="preserve"> Learning is the result of social interactions</w:t>
      </w:r>
      <w:r w:rsidR="007A73D8">
        <w:t xml:space="preserve"> and this </w:t>
      </w:r>
      <w:r w:rsidR="00AC4637">
        <w:t>is an important consideration when considering second language learning</w:t>
      </w:r>
      <w:r w:rsidR="00520EE0">
        <w:t xml:space="preserve"> as </w:t>
      </w:r>
      <w:r w:rsidR="00A1020D">
        <w:t>students will construct new language through social interactions</w:t>
      </w:r>
      <w:r w:rsidR="00096160">
        <w:t xml:space="preserve">. </w:t>
      </w:r>
      <w:r w:rsidR="00D635D5">
        <w:t xml:space="preserve">This </w:t>
      </w:r>
      <w:r w:rsidR="0065765C">
        <w:t>implies</w:t>
      </w:r>
      <w:r w:rsidR="00D635D5">
        <w:t xml:space="preserve"> that the</w:t>
      </w:r>
      <w:r w:rsidR="00922145">
        <w:t xml:space="preserve"> ambition of education </w:t>
      </w:r>
      <w:r w:rsidR="00DA6BAA">
        <w:t>should</w:t>
      </w:r>
      <w:r w:rsidR="001E4065">
        <w:t xml:space="preserve"> move away from conveying bodies of knowledge in favour</w:t>
      </w:r>
      <w:r w:rsidR="00DA6BAA">
        <w:t xml:space="preserve"> of </w:t>
      </w:r>
      <w:r w:rsidR="00037993">
        <w:t>developing students</w:t>
      </w:r>
      <w:r w:rsidR="00F74413">
        <w:t>’</w:t>
      </w:r>
      <w:r w:rsidR="00037993">
        <w:t xml:space="preserve"> knowledge in a way that prepares them to participate in the world and engage in society</w:t>
      </w:r>
      <w:r w:rsidR="004742ED">
        <w:t xml:space="preserve"> as </w:t>
      </w:r>
      <w:r w:rsidR="00963832">
        <w:t xml:space="preserve">social interaction and reflection can be </w:t>
      </w:r>
      <w:r w:rsidR="003A1609">
        <w:t>intricately linked with language development</w:t>
      </w:r>
      <w:r w:rsidR="00CE189A">
        <w:t xml:space="preserve"> (</w:t>
      </w:r>
      <w:r w:rsidR="003B078A">
        <w:t>Vygotsky</w:t>
      </w:r>
      <w:r w:rsidR="000455BC">
        <w:t xml:space="preserve">, 1978; McMahon, 1997; </w:t>
      </w:r>
      <w:r w:rsidR="00CE189A">
        <w:t xml:space="preserve">Wenger, 1998; </w:t>
      </w:r>
      <w:r w:rsidR="0065765C">
        <w:t>Shu-Fen, 2017</w:t>
      </w:r>
      <w:r w:rsidR="000455BC">
        <w:t>).</w:t>
      </w:r>
      <w:r w:rsidR="00C0285D">
        <w:t xml:space="preserve"> Relating this information to learning Welsh </w:t>
      </w:r>
      <w:r w:rsidR="00BD1D47">
        <w:t>as a second language</w:t>
      </w:r>
      <w:r w:rsidR="00AB0F05">
        <w:t xml:space="preserve"> </w:t>
      </w:r>
      <w:r w:rsidR="00F56E4A">
        <w:t xml:space="preserve">the Welsh Government has </w:t>
      </w:r>
      <w:r w:rsidR="004F746C">
        <w:t xml:space="preserve">set itself </w:t>
      </w:r>
      <w:r w:rsidR="008F6F17">
        <w:t>four</w:t>
      </w:r>
      <w:r w:rsidR="004F746C">
        <w:t xml:space="preserve"> goals:</w:t>
      </w:r>
    </w:p>
    <w:p w14:paraId="6B697201" w14:textId="6B05FEDE" w:rsidR="00A9519A" w:rsidRDefault="00C266BD" w:rsidP="00A9519A">
      <w:pPr>
        <w:pStyle w:val="ListParagraph"/>
        <w:numPr>
          <w:ilvl w:val="0"/>
          <w:numId w:val="22"/>
        </w:numPr>
        <w:spacing w:line="360" w:lineRule="auto"/>
      </w:pPr>
      <w:r>
        <w:t xml:space="preserve">To transform how Welsh is taught to all learners </w:t>
      </w:r>
      <w:r w:rsidR="008B73E9">
        <w:t xml:space="preserve">to ensure that at least 70% </w:t>
      </w:r>
      <w:r w:rsidR="00C50E34">
        <w:t>can report that can speak Welsh by 2050.</w:t>
      </w:r>
    </w:p>
    <w:p w14:paraId="600F8E25" w14:textId="49DFC986" w:rsidR="00C50E34" w:rsidRDefault="00D85BAE" w:rsidP="00A9519A">
      <w:pPr>
        <w:pStyle w:val="ListParagraph"/>
        <w:numPr>
          <w:ilvl w:val="0"/>
          <w:numId w:val="22"/>
        </w:numPr>
        <w:spacing w:line="360" w:lineRule="auto"/>
      </w:pPr>
      <w:r>
        <w:t>Review legislation to ensure that it promotes and facilitates the use of Welsh.</w:t>
      </w:r>
    </w:p>
    <w:p w14:paraId="2943043B" w14:textId="0D566E35" w:rsidR="00D85BAE" w:rsidRDefault="00365355" w:rsidP="00A9519A">
      <w:pPr>
        <w:pStyle w:val="ListParagraph"/>
        <w:numPr>
          <w:ilvl w:val="0"/>
          <w:numId w:val="22"/>
        </w:numPr>
        <w:spacing w:line="360" w:lineRule="auto"/>
      </w:pPr>
      <w:r>
        <w:t>Facilitate the increased use of Welsh within the workforce.</w:t>
      </w:r>
    </w:p>
    <w:p w14:paraId="738B012B" w14:textId="061753C2" w:rsidR="00B24537" w:rsidRDefault="00B24537" w:rsidP="00F52CDA">
      <w:pPr>
        <w:pStyle w:val="ListParagraph"/>
        <w:numPr>
          <w:ilvl w:val="0"/>
          <w:numId w:val="22"/>
        </w:numPr>
        <w:spacing w:line="360" w:lineRule="auto"/>
      </w:pPr>
      <w:r>
        <w:t xml:space="preserve">Develop regional focuses </w:t>
      </w:r>
      <w:r w:rsidR="00300A2C">
        <w:t>to economic development to encourage all</w:t>
      </w:r>
      <w:r w:rsidR="00F52CDA">
        <w:t xml:space="preserve"> areas</w:t>
      </w:r>
      <w:r w:rsidR="00300A2C">
        <w:t xml:space="preserve"> of Wales to benefit </w:t>
      </w:r>
      <w:proofErr w:type="spellStart"/>
      <w:r w:rsidR="00300A2C">
        <w:t>form</w:t>
      </w:r>
      <w:proofErr w:type="spellEnd"/>
      <w:r w:rsidR="00300A2C">
        <w:t xml:space="preserve"> prosperity </w:t>
      </w:r>
      <w:r w:rsidR="00F52CDA">
        <w:t>and develop its own distinctive identity</w:t>
      </w:r>
      <w:r w:rsidR="00EB7513">
        <w:t xml:space="preserve">. </w:t>
      </w:r>
      <w:sdt>
        <w:sdtPr>
          <w:id w:val="649335370"/>
          <w:citation/>
        </w:sdtPr>
        <w:sdtContent>
          <w:r w:rsidR="00EB7513">
            <w:fldChar w:fldCharType="begin"/>
          </w:r>
          <w:r w:rsidR="00EB7513">
            <w:rPr>
              <w:lang w:val="en-US"/>
            </w:rPr>
            <w:instrText xml:space="preserve"> CITATION Wel171 \l 1033 </w:instrText>
          </w:r>
          <w:r w:rsidR="00EB7513">
            <w:fldChar w:fldCharType="separate"/>
          </w:r>
          <w:r w:rsidR="00EB7513" w:rsidRPr="00EB7513">
            <w:rPr>
              <w:noProof/>
              <w:lang w:val="en-US"/>
            </w:rPr>
            <w:t>(Welsh Government, 2017)</w:t>
          </w:r>
          <w:r w:rsidR="00EB7513">
            <w:fldChar w:fldCharType="end"/>
          </w:r>
        </w:sdtContent>
      </w:sdt>
      <w:r w:rsidR="001B35A4">
        <w:t>.</w:t>
      </w:r>
    </w:p>
    <w:p w14:paraId="47F4E0BD" w14:textId="085DAB9C" w:rsidR="001B35A4" w:rsidRDefault="001B35A4" w:rsidP="001B35A4">
      <w:pPr>
        <w:spacing w:line="360" w:lineRule="auto"/>
      </w:pPr>
      <w:r>
        <w:t xml:space="preserve">When giving consideration to </w:t>
      </w:r>
      <w:r w:rsidR="009A40ED">
        <w:t>national identity census data has revealed that people who speak Welsh are more likely to describe their nationality as Welsh (77</w:t>
      </w:r>
      <w:r w:rsidR="002B309C">
        <w:t>%) in comparison to those who do not speak Welsh (53%)</w:t>
      </w:r>
      <w:sdt>
        <w:sdtPr>
          <w:id w:val="-1949534479"/>
          <w:citation/>
        </w:sdtPr>
        <w:sdtContent>
          <w:r w:rsidR="002B309C">
            <w:fldChar w:fldCharType="begin"/>
          </w:r>
          <w:r w:rsidR="002B309C">
            <w:rPr>
              <w:lang w:val="en-US"/>
            </w:rPr>
            <w:instrText xml:space="preserve"> CITATION ESR14 \l 1033 </w:instrText>
          </w:r>
          <w:r w:rsidR="002B309C">
            <w:fldChar w:fldCharType="separate"/>
          </w:r>
          <w:r w:rsidR="002B309C">
            <w:rPr>
              <w:noProof/>
              <w:lang w:val="en-US"/>
            </w:rPr>
            <w:t xml:space="preserve"> </w:t>
          </w:r>
          <w:r w:rsidR="002B309C" w:rsidRPr="002B309C">
            <w:rPr>
              <w:noProof/>
              <w:lang w:val="en-US"/>
            </w:rPr>
            <w:t>(ESRC Centre of Dynamics of Ethnicity, 2014)</w:t>
          </w:r>
          <w:r w:rsidR="002B309C">
            <w:fldChar w:fldCharType="end"/>
          </w:r>
        </w:sdtContent>
      </w:sdt>
      <w:r w:rsidR="006E31D6">
        <w:t>, this would suggest that language plays an important role within national identity</w:t>
      </w:r>
      <w:r w:rsidR="002E5421">
        <w:t>;</w:t>
      </w:r>
      <w:r w:rsidR="001C4568">
        <w:t xml:space="preserve"> </w:t>
      </w:r>
      <w:r w:rsidR="002E5421">
        <w:t xml:space="preserve">by increasing the number of Welsh speakers </w:t>
      </w:r>
      <w:r w:rsidR="00200FB9">
        <w:t xml:space="preserve">it could potentially </w:t>
      </w:r>
      <w:r w:rsidR="00547FA0">
        <w:t>create</w:t>
      </w:r>
      <w:r w:rsidR="00200FB9">
        <w:t xml:space="preserve"> a united Wales </w:t>
      </w:r>
      <w:r w:rsidR="00BD3D81">
        <w:t>confident of its own identity and place within the world.</w:t>
      </w:r>
    </w:p>
    <w:p w14:paraId="72A24B15" w14:textId="5E0BDC95" w:rsidR="00200BCD" w:rsidRPr="00415039" w:rsidRDefault="00CA2FF2" w:rsidP="00415039">
      <w:pPr>
        <w:pStyle w:val="NormalWeb"/>
        <w:spacing w:before="0" w:beforeAutospacing="0" w:after="0" w:afterAutospacing="0" w:line="360" w:lineRule="auto"/>
        <w:textAlignment w:val="baseline"/>
        <w:rPr>
          <w:rFonts w:ascii="&amp;quot" w:hAnsi="&amp;quot"/>
          <w:color w:val="333333"/>
          <w:sz w:val="20"/>
          <w:szCs w:val="20"/>
        </w:rPr>
      </w:pPr>
      <w:r>
        <w:lastRenderedPageBreak/>
        <w:tab/>
      </w:r>
      <w:r w:rsidR="008B2FF2">
        <w:t xml:space="preserve">When considering </w:t>
      </w:r>
      <w:r w:rsidR="00523063">
        <w:t>the perspectives of the</w:t>
      </w:r>
      <w:r w:rsidR="00CC7B52">
        <w:t xml:space="preserve"> students</w:t>
      </w:r>
      <w:r w:rsidR="00C8793E">
        <w:t xml:space="preserve"> </w:t>
      </w:r>
      <w:r w:rsidR="008B2FF2">
        <w:t>the</w:t>
      </w:r>
      <w:r w:rsidR="007611EC">
        <w:t>re</w:t>
      </w:r>
      <w:r w:rsidR="00134FEB">
        <w:t xml:space="preserve"> were </w:t>
      </w:r>
      <w:proofErr w:type="gramStart"/>
      <w:r w:rsidR="00134FEB">
        <w:t>a number of</w:t>
      </w:r>
      <w:proofErr w:type="gramEnd"/>
      <w:r w:rsidR="008B2FF2">
        <w:t xml:space="preserve"> social factors that influence</w:t>
      </w:r>
      <w:r w:rsidR="00134FEB">
        <w:t>d</w:t>
      </w:r>
      <w:r w:rsidR="008B2FF2">
        <w:t xml:space="preserve"> successful learning in second language</w:t>
      </w:r>
      <w:r w:rsidR="00892EA4">
        <w:t>,</w:t>
      </w:r>
      <w:r w:rsidR="005358ED">
        <w:t xml:space="preserve"> </w:t>
      </w:r>
      <w:r w:rsidR="006C0E31">
        <w:t>many of which focused upon language exposure at home.</w:t>
      </w:r>
      <w:r w:rsidR="005A4602">
        <w:t xml:space="preserve"> </w:t>
      </w:r>
      <w:r w:rsidR="00B87899">
        <w:t xml:space="preserve">This highlighted such issues as the influence </w:t>
      </w:r>
      <w:r w:rsidR="000A74F4">
        <w:t xml:space="preserve">of/on family members </w:t>
      </w:r>
      <w:r w:rsidR="002E0408">
        <w:t>and their views of the second language</w:t>
      </w:r>
      <w:r w:rsidR="003E5ABB">
        <w:t>; the languages used at home</w:t>
      </w:r>
      <w:r w:rsidR="00FD1DDB">
        <w:t>; and the resources available at home that exposes and supports the learning of the second language</w:t>
      </w:r>
      <w:r w:rsidR="000468CC">
        <w:t xml:space="preserve">. </w:t>
      </w:r>
      <w:r w:rsidR="006F426B">
        <w:t>Most</w:t>
      </w:r>
      <w:r w:rsidR="001E6305">
        <w:t xml:space="preserve"> students found that their home life positively supported their learning of a second language</w:t>
      </w:r>
      <w:sdt>
        <w:sdtPr>
          <w:id w:val="2063200776"/>
          <w:citation/>
        </w:sdtPr>
        <w:sdtContent>
          <w:r w:rsidR="000468CC">
            <w:fldChar w:fldCharType="begin"/>
          </w:r>
          <w:r w:rsidR="000468CC">
            <w:rPr>
              <w:lang w:val="en-US"/>
            </w:rPr>
            <w:instrText xml:space="preserve"> CITATION Ber11 \l 1033 </w:instrText>
          </w:r>
          <w:r w:rsidR="000468CC">
            <w:fldChar w:fldCharType="separate"/>
          </w:r>
          <w:r w:rsidR="000468CC">
            <w:rPr>
              <w:noProof/>
              <w:lang w:val="en-US"/>
            </w:rPr>
            <w:t xml:space="preserve"> </w:t>
          </w:r>
          <w:r w:rsidR="000468CC" w:rsidRPr="000468CC">
            <w:rPr>
              <w:rFonts w:eastAsiaTheme="minorHAnsi"/>
              <w:noProof/>
              <w:lang w:val="en-US"/>
            </w:rPr>
            <w:t>(Bernardo &amp; Gaerlan, 2011)</w:t>
          </w:r>
          <w:r w:rsidR="000468CC">
            <w:fldChar w:fldCharType="end"/>
          </w:r>
        </w:sdtContent>
      </w:sdt>
      <w:r w:rsidR="000468CC">
        <w:t>.</w:t>
      </w:r>
      <w:r w:rsidR="00D259E2">
        <w:t xml:space="preserve"> However, when applying this to Welsh second language</w:t>
      </w:r>
      <w:r w:rsidR="00AC2B8A">
        <w:t xml:space="preserve"> learning the results may look quite different.</w:t>
      </w:r>
      <w:r w:rsidR="00176E06">
        <w:t xml:space="preserve"> </w:t>
      </w:r>
      <w:r w:rsidR="00EC37EC">
        <w:t>Due to the low level of the Welsh population being able to speak Welsh</w:t>
      </w:r>
      <w:r w:rsidR="00804CB1">
        <w:t xml:space="preserve"> would this limit the support that the family would be able to provide for the student</w:t>
      </w:r>
      <w:r w:rsidR="004D35CE">
        <w:t>? Could the lack of fluency</w:t>
      </w:r>
      <w:r w:rsidR="00C73118">
        <w:t xml:space="preserve"> and per</w:t>
      </w:r>
      <w:r w:rsidR="004F2E34">
        <w:t>haps individual family attitudes towards the Welsh language inhibit the learning of Welsh as a second language?</w:t>
      </w:r>
      <w:r w:rsidR="00200BCD">
        <w:t xml:space="preserve"> </w:t>
      </w:r>
      <w:r w:rsidR="00EB72F0">
        <w:t xml:space="preserve">Another theme that </w:t>
      </w:r>
      <w:r w:rsidR="00F86670">
        <w:t>was highlighted</w:t>
      </w:r>
      <w:r w:rsidR="00B73A0E">
        <w:t xml:space="preserve"> by </w:t>
      </w:r>
      <w:r w:rsidR="00E04957">
        <w:t xml:space="preserve">the students </w:t>
      </w:r>
      <w:r w:rsidR="00BE2AF6">
        <w:t>was that their teachers were good models for the second language use</w:t>
      </w:r>
      <w:sdt>
        <w:sdtPr>
          <w:id w:val="1772431317"/>
          <w:citation/>
        </w:sdtPr>
        <w:sdtContent>
          <w:r w:rsidR="00FE5600">
            <w:fldChar w:fldCharType="begin"/>
          </w:r>
          <w:r w:rsidR="00FE5600">
            <w:rPr>
              <w:lang w:val="en-US"/>
            </w:rPr>
            <w:instrText xml:space="preserve"> CITATION Ber11 \l 1033 </w:instrText>
          </w:r>
          <w:r w:rsidR="00FE5600">
            <w:fldChar w:fldCharType="separate"/>
          </w:r>
          <w:r w:rsidR="00FE5600">
            <w:rPr>
              <w:noProof/>
              <w:lang w:val="en-US"/>
            </w:rPr>
            <w:t xml:space="preserve"> </w:t>
          </w:r>
          <w:r w:rsidR="00FE5600" w:rsidRPr="00FE5600">
            <w:rPr>
              <w:rFonts w:eastAsiaTheme="minorHAnsi"/>
              <w:noProof/>
              <w:lang w:val="en-US"/>
            </w:rPr>
            <w:t>(Bernardo &amp; Gaerlan, 2011)</w:t>
          </w:r>
          <w:r w:rsidR="00FE5600">
            <w:fldChar w:fldCharType="end"/>
          </w:r>
        </w:sdtContent>
      </w:sdt>
      <w:r w:rsidR="008A29A3">
        <w:t>.</w:t>
      </w:r>
      <w:r w:rsidR="00820A04">
        <w:t xml:space="preserve"> When considering this </w:t>
      </w:r>
      <w:r w:rsidR="00345EF4">
        <w:t>it must acknowledged that in Wales many teachers have</w:t>
      </w:r>
      <w:r w:rsidR="00CA3C31">
        <w:t xml:space="preserve"> </w:t>
      </w:r>
      <w:r w:rsidR="00345EF4">
        <w:t xml:space="preserve">degrees </w:t>
      </w:r>
      <w:r w:rsidR="00CA3C31">
        <w:t xml:space="preserve">were completed </w:t>
      </w:r>
      <w:r w:rsidR="00345EF4">
        <w:t xml:space="preserve">in English. This prepares them </w:t>
      </w:r>
      <w:r w:rsidR="00244B80">
        <w:t>for teaching in English to students who speak English. They are not necessarily trained to teach</w:t>
      </w:r>
      <w:r w:rsidR="001A0F1F">
        <w:t xml:space="preserve"> </w:t>
      </w:r>
      <w:r w:rsidR="00104DFC">
        <w:t>Welsh as a second language</w:t>
      </w:r>
      <w:r w:rsidR="00672079">
        <w:t xml:space="preserve"> especially if their own level of Welsh </w:t>
      </w:r>
      <w:r w:rsidR="009F61E7">
        <w:t xml:space="preserve">is not proficient </w:t>
      </w:r>
      <w:sdt>
        <w:sdtPr>
          <w:id w:val="237450934"/>
          <w:citation/>
        </w:sdtPr>
        <w:sdtContent>
          <w:r w:rsidR="009F61E7">
            <w:fldChar w:fldCharType="begin"/>
          </w:r>
          <w:r w:rsidR="009F61E7">
            <w:rPr>
              <w:lang w:val="en-US"/>
            </w:rPr>
            <w:instrText xml:space="preserve"> CITATION Ufo99 \l 1033 </w:instrText>
          </w:r>
          <w:r w:rsidR="009F61E7">
            <w:fldChar w:fldCharType="separate"/>
          </w:r>
          <w:r w:rsidR="009F61E7" w:rsidRPr="009F61E7">
            <w:rPr>
              <w:noProof/>
              <w:lang w:val="en-US"/>
            </w:rPr>
            <w:t>(Ufomata, 1999)</w:t>
          </w:r>
          <w:r w:rsidR="009F61E7">
            <w:fldChar w:fldCharType="end"/>
          </w:r>
        </w:sdtContent>
      </w:sdt>
      <w:r w:rsidR="009F61E7">
        <w:t>.</w:t>
      </w:r>
      <w:r w:rsidR="005C03D2">
        <w:t xml:space="preserve"> </w:t>
      </w:r>
      <w:r w:rsidR="00920675">
        <w:t>In order to ensure that</w:t>
      </w:r>
      <w:r w:rsidR="00C57463">
        <w:t xml:space="preserve"> teachers in Wales are at a proficient enough level to be good language role models</w:t>
      </w:r>
      <w:r w:rsidR="005D0BD9">
        <w:t xml:space="preserve">, the Welsh Government have aimed </w:t>
      </w:r>
      <w:r w:rsidR="00725CC0">
        <w:t>‘</w:t>
      </w:r>
      <w:r w:rsidR="005D0BD9">
        <w:t>to increase the number of primary teachers who can</w:t>
      </w:r>
      <w:r w:rsidR="0064507F">
        <w:t xml:space="preserve"> teach in Welsh from 2,900 to 3,900 by 2031 and 5,200</w:t>
      </w:r>
      <w:r w:rsidR="002B4942">
        <w:t xml:space="preserve"> by 2050’</w:t>
      </w:r>
      <w:sdt>
        <w:sdtPr>
          <w:id w:val="1747614265"/>
          <w:citation/>
        </w:sdtPr>
        <w:sdtContent>
          <w:r w:rsidR="002B4942">
            <w:fldChar w:fldCharType="begin"/>
          </w:r>
          <w:r w:rsidR="002B4942">
            <w:rPr>
              <w:lang w:val="en-US"/>
            </w:rPr>
            <w:instrText xml:space="preserve"> CITATION Wel171 \l 1033 </w:instrText>
          </w:r>
          <w:r w:rsidR="002B4942">
            <w:fldChar w:fldCharType="separate"/>
          </w:r>
          <w:r w:rsidR="002B4942">
            <w:rPr>
              <w:noProof/>
              <w:lang w:val="en-US"/>
            </w:rPr>
            <w:t xml:space="preserve"> </w:t>
          </w:r>
          <w:r w:rsidR="002B4942" w:rsidRPr="002B4942">
            <w:rPr>
              <w:rFonts w:eastAsiaTheme="minorHAnsi"/>
              <w:noProof/>
              <w:lang w:val="en-US"/>
            </w:rPr>
            <w:t>(Welsh Government, 2017)</w:t>
          </w:r>
          <w:r w:rsidR="002B4942">
            <w:fldChar w:fldCharType="end"/>
          </w:r>
        </w:sdtContent>
      </w:sdt>
      <w:r w:rsidR="00290C5E">
        <w:t>. Surprisingly</w:t>
      </w:r>
      <w:r w:rsidR="002411F5">
        <w:t>,</w:t>
      </w:r>
      <w:r w:rsidR="00290C5E">
        <w:t xml:space="preserve"> </w:t>
      </w:r>
      <w:r w:rsidR="002411F5">
        <w:t xml:space="preserve">Bernardo and </w:t>
      </w:r>
      <w:proofErr w:type="spellStart"/>
      <w:r w:rsidR="002411F5">
        <w:t>Gaerlan</w:t>
      </w:r>
      <w:proofErr w:type="spellEnd"/>
      <w:r w:rsidR="002411F5">
        <w:t xml:space="preserve"> (2011) found that most students did not consider their community as an influence on their learning of a second language</w:t>
      </w:r>
      <w:r w:rsidR="006143F6">
        <w:t xml:space="preserve"> due </w:t>
      </w:r>
      <w:r w:rsidR="00B0004D">
        <w:t>to their communities speaking primarily in their first language. This resonates with the situation in Wales</w:t>
      </w:r>
      <w:r w:rsidR="00FC6BED">
        <w:t xml:space="preserve"> and when this is combined with the knowledge that a majority of parent’s do not have a proficient</w:t>
      </w:r>
      <w:r w:rsidR="008C0493">
        <w:t xml:space="preserve"> enough level of Welsh to support their children at home </w:t>
      </w:r>
      <w:r w:rsidR="00873F5B">
        <w:t>it places an extraor</w:t>
      </w:r>
      <w:r w:rsidR="005011DD">
        <w:t>dinary amount of pressure on schools as they are often the student’s only influence when considering the Welsh language.</w:t>
      </w:r>
    </w:p>
    <w:p w14:paraId="76C5ADA1" w14:textId="28B3BEFD" w:rsidR="004A77FA" w:rsidRDefault="004A77FA" w:rsidP="001B35A4">
      <w:pPr>
        <w:spacing w:line="360" w:lineRule="auto"/>
        <w:rPr>
          <w:color w:val="000000" w:themeColor="text1"/>
        </w:rPr>
      </w:pPr>
      <w:r>
        <w:tab/>
      </w:r>
      <w:r w:rsidR="004D318E" w:rsidRPr="007244DD">
        <w:rPr>
          <w:color w:val="000000" w:themeColor="text1"/>
        </w:rPr>
        <w:t xml:space="preserve">Despite some issues </w:t>
      </w:r>
      <w:r w:rsidR="00762290" w:rsidRPr="007244DD">
        <w:rPr>
          <w:color w:val="000000" w:themeColor="text1"/>
        </w:rPr>
        <w:t xml:space="preserve">‘Non-Native English Students Learning </w:t>
      </w:r>
      <w:r w:rsidR="00762290" w:rsidRPr="007244DD">
        <w:rPr>
          <w:i/>
          <w:color w:val="000000" w:themeColor="text1"/>
        </w:rPr>
        <w:t xml:space="preserve">in </w:t>
      </w:r>
      <w:r w:rsidR="00762290" w:rsidRPr="007244DD">
        <w:rPr>
          <w:color w:val="000000" w:themeColor="text1"/>
        </w:rPr>
        <w:t>English: Reviewing and Reflecting on the Research</w:t>
      </w:r>
      <w:r w:rsidR="005A15AA" w:rsidRPr="007244DD">
        <w:rPr>
          <w:color w:val="000000" w:themeColor="text1"/>
        </w:rPr>
        <w:t xml:space="preserve">’ </w:t>
      </w:r>
      <w:sdt>
        <w:sdtPr>
          <w:rPr>
            <w:color w:val="000000" w:themeColor="text1"/>
          </w:rPr>
          <w:id w:val="1288400711"/>
          <w:citation/>
        </w:sdtPr>
        <w:sdtContent>
          <w:r w:rsidR="005A15AA" w:rsidRPr="007244DD">
            <w:rPr>
              <w:color w:val="000000" w:themeColor="text1"/>
            </w:rPr>
            <w:fldChar w:fldCharType="begin"/>
          </w:r>
          <w:r w:rsidR="005A15AA" w:rsidRPr="007244DD">
            <w:rPr>
              <w:color w:val="000000" w:themeColor="text1"/>
              <w:lang w:val="en-US"/>
            </w:rPr>
            <w:instrText xml:space="preserve"> CITATION Ber11 \l 1033 </w:instrText>
          </w:r>
          <w:r w:rsidR="005A15AA" w:rsidRPr="007244DD">
            <w:rPr>
              <w:color w:val="000000" w:themeColor="text1"/>
            </w:rPr>
            <w:fldChar w:fldCharType="separate"/>
          </w:r>
          <w:r w:rsidR="005A15AA" w:rsidRPr="007244DD">
            <w:rPr>
              <w:noProof/>
              <w:color w:val="000000" w:themeColor="text1"/>
              <w:lang w:val="en-US"/>
            </w:rPr>
            <w:t>(Bernardo &amp; Gaerlan, 2011)</w:t>
          </w:r>
          <w:r w:rsidR="005A15AA" w:rsidRPr="007244DD">
            <w:rPr>
              <w:color w:val="000000" w:themeColor="text1"/>
            </w:rPr>
            <w:fldChar w:fldCharType="end"/>
          </w:r>
        </w:sdtContent>
      </w:sdt>
      <w:r w:rsidR="005A15AA" w:rsidRPr="007244DD">
        <w:rPr>
          <w:color w:val="000000" w:themeColor="text1"/>
        </w:rPr>
        <w:t xml:space="preserve"> offers some valuable insights into </w:t>
      </w:r>
      <w:r w:rsidR="00D8704E" w:rsidRPr="007244DD">
        <w:rPr>
          <w:color w:val="000000" w:themeColor="text1"/>
        </w:rPr>
        <w:t>the factors which influence second language learning.</w:t>
      </w:r>
      <w:r w:rsidR="00115412" w:rsidRPr="007244DD">
        <w:rPr>
          <w:color w:val="000000" w:themeColor="text1"/>
        </w:rPr>
        <w:t xml:space="preserve"> By looking </w:t>
      </w:r>
      <w:r w:rsidR="00115412" w:rsidRPr="007244DD">
        <w:rPr>
          <w:color w:val="000000" w:themeColor="text1"/>
        </w:rPr>
        <w:lastRenderedPageBreak/>
        <w:t xml:space="preserve">at the </w:t>
      </w:r>
      <w:r w:rsidR="000737B7" w:rsidRPr="007244DD">
        <w:rPr>
          <w:color w:val="000000" w:themeColor="text1"/>
        </w:rPr>
        <w:t>psycholinguistic and sociolinguistic perspectives of learning</w:t>
      </w:r>
      <w:r w:rsidR="00247401" w:rsidRPr="007244DD">
        <w:rPr>
          <w:color w:val="000000" w:themeColor="text1"/>
        </w:rPr>
        <w:t xml:space="preserve"> a </w:t>
      </w:r>
      <w:r w:rsidR="00EF3D96" w:rsidRPr="007244DD">
        <w:rPr>
          <w:color w:val="000000" w:themeColor="text1"/>
        </w:rPr>
        <w:t>second language Ber</w:t>
      </w:r>
      <w:r w:rsidR="006579F1" w:rsidRPr="007244DD">
        <w:rPr>
          <w:color w:val="000000" w:themeColor="text1"/>
        </w:rPr>
        <w:t xml:space="preserve">nardo and </w:t>
      </w:r>
      <w:proofErr w:type="spellStart"/>
      <w:r w:rsidR="006579F1" w:rsidRPr="007244DD">
        <w:rPr>
          <w:color w:val="000000" w:themeColor="text1"/>
        </w:rPr>
        <w:t>Gaerlan</w:t>
      </w:r>
      <w:proofErr w:type="spellEnd"/>
      <w:r w:rsidR="001E2047" w:rsidRPr="007244DD">
        <w:rPr>
          <w:color w:val="000000" w:themeColor="text1"/>
        </w:rPr>
        <w:t xml:space="preserve"> </w:t>
      </w:r>
      <w:r w:rsidR="005A66EC" w:rsidRPr="007244DD">
        <w:rPr>
          <w:color w:val="000000" w:themeColor="text1"/>
        </w:rPr>
        <w:t xml:space="preserve">(2011) have provided a </w:t>
      </w:r>
      <w:r w:rsidR="006D3C38" w:rsidRPr="007244DD">
        <w:rPr>
          <w:color w:val="000000" w:themeColor="text1"/>
        </w:rPr>
        <w:t>breadth of information</w:t>
      </w:r>
      <w:r w:rsidR="004C1064" w:rsidRPr="007244DD">
        <w:rPr>
          <w:color w:val="000000" w:themeColor="text1"/>
        </w:rPr>
        <w:t xml:space="preserve"> that </w:t>
      </w:r>
      <w:r w:rsidR="005F2027" w:rsidRPr="007244DD">
        <w:rPr>
          <w:color w:val="000000" w:themeColor="text1"/>
        </w:rPr>
        <w:t>considers</w:t>
      </w:r>
      <w:r w:rsidR="004C1064" w:rsidRPr="007244DD">
        <w:rPr>
          <w:color w:val="000000" w:themeColor="text1"/>
        </w:rPr>
        <w:t xml:space="preserve"> </w:t>
      </w:r>
      <w:r w:rsidR="004D591F" w:rsidRPr="007244DD">
        <w:rPr>
          <w:color w:val="000000" w:themeColor="text1"/>
        </w:rPr>
        <w:t>not just how formal education i</w:t>
      </w:r>
      <w:r w:rsidR="00020BE0" w:rsidRPr="007244DD">
        <w:rPr>
          <w:color w:val="000000" w:themeColor="text1"/>
        </w:rPr>
        <w:t xml:space="preserve">mpacts second language learning but </w:t>
      </w:r>
      <w:r w:rsidR="00DD5C6D" w:rsidRPr="007244DD">
        <w:rPr>
          <w:color w:val="000000" w:themeColor="text1"/>
        </w:rPr>
        <w:t xml:space="preserve">the role of the </w:t>
      </w:r>
      <w:r w:rsidR="00817FBB" w:rsidRPr="007244DD">
        <w:rPr>
          <w:color w:val="000000" w:themeColor="text1"/>
        </w:rPr>
        <w:t>social microsystem</w:t>
      </w:r>
      <w:r w:rsidR="0094285B" w:rsidRPr="007244DD">
        <w:rPr>
          <w:color w:val="000000" w:themeColor="text1"/>
        </w:rPr>
        <w:t xml:space="preserve"> in </w:t>
      </w:r>
      <w:r w:rsidR="00CE478F" w:rsidRPr="007244DD">
        <w:rPr>
          <w:color w:val="000000" w:themeColor="text1"/>
        </w:rPr>
        <w:t xml:space="preserve">the learning process. Whilst </w:t>
      </w:r>
      <w:r w:rsidR="00A86FDF" w:rsidRPr="007244DD">
        <w:rPr>
          <w:color w:val="000000" w:themeColor="text1"/>
        </w:rPr>
        <w:t xml:space="preserve">Bernardo and </w:t>
      </w:r>
      <w:proofErr w:type="spellStart"/>
      <w:r w:rsidR="00A86FDF" w:rsidRPr="007244DD">
        <w:rPr>
          <w:color w:val="000000" w:themeColor="text1"/>
        </w:rPr>
        <w:t>Gaerlan</w:t>
      </w:r>
      <w:proofErr w:type="spellEnd"/>
      <w:r w:rsidR="00A86FDF" w:rsidRPr="007244DD">
        <w:rPr>
          <w:color w:val="000000" w:themeColor="text1"/>
        </w:rPr>
        <w:t xml:space="preserve"> (2011) </w:t>
      </w:r>
      <w:r w:rsidR="00E9154C" w:rsidRPr="007244DD">
        <w:rPr>
          <w:color w:val="000000" w:themeColor="text1"/>
        </w:rPr>
        <w:t xml:space="preserve">provide </w:t>
      </w:r>
      <w:r w:rsidR="00C27AFF" w:rsidRPr="007244DD">
        <w:rPr>
          <w:color w:val="000000" w:themeColor="text1"/>
        </w:rPr>
        <w:t xml:space="preserve">critical insights into second language learning </w:t>
      </w:r>
      <w:r w:rsidR="007C4A4E" w:rsidRPr="007244DD">
        <w:rPr>
          <w:color w:val="000000" w:themeColor="text1"/>
        </w:rPr>
        <w:t xml:space="preserve">it must be taken into consideration that the studies they reviewed </w:t>
      </w:r>
      <w:r w:rsidR="00674CCE" w:rsidRPr="007244DD">
        <w:rPr>
          <w:color w:val="000000" w:themeColor="text1"/>
        </w:rPr>
        <w:t xml:space="preserve">only looked at the learning of English as a second language. </w:t>
      </w:r>
      <w:r w:rsidR="00D968EC" w:rsidRPr="007244DD">
        <w:rPr>
          <w:color w:val="000000" w:themeColor="text1"/>
        </w:rPr>
        <w:t>As a major language</w:t>
      </w:r>
      <w:r w:rsidR="00415039" w:rsidRPr="007244DD">
        <w:rPr>
          <w:color w:val="000000" w:themeColor="text1"/>
        </w:rPr>
        <w:t xml:space="preserve"> English boasts </w:t>
      </w:r>
      <w:proofErr w:type="gramStart"/>
      <w:r w:rsidR="00415039" w:rsidRPr="007244DD">
        <w:rPr>
          <w:color w:val="000000" w:themeColor="text1"/>
        </w:rPr>
        <w:t>a number of</w:t>
      </w:r>
      <w:proofErr w:type="gramEnd"/>
      <w:r w:rsidR="00415039" w:rsidRPr="007244DD">
        <w:rPr>
          <w:color w:val="000000" w:themeColor="text1"/>
        </w:rPr>
        <w:t xml:space="preserve"> external and </w:t>
      </w:r>
      <w:r w:rsidR="00BD6A65" w:rsidRPr="007244DD">
        <w:rPr>
          <w:color w:val="000000" w:themeColor="text1"/>
        </w:rPr>
        <w:t>intrinsic motivators</w:t>
      </w:r>
      <w:r w:rsidR="00097F07" w:rsidRPr="007244DD">
        <w:rPr>
          <w:color w:val="000000" w:themeColor="text1"/>
        </w:rPr>
        <w:t xml:space="preserve"> including prospects for higher education and employment goal</w:t>
      </w:r>
      <w:r w:rsidR="00C23BD7" w:rsidRPr="007244DD">
        <w:rPr>
          <w:color w:val="000000" w:themeColor="text1"/>
        </w:rPr>
        <w:t>s</w:t>
      </w:r>
      <w:r w:rsidR="00A13F40" w:rsidRPr="007244DD">
        <w:rPr>
          <w:color w:val="000000" w:themeColor="text1"/>
        </w:rPr>
        <w:t>,</w:t>
      </w:r>
      <w:r w:rsidR="00C21B83" w:rsidRPr="007244DD">
        <w:rPr>
          <w:color w:val="000000" w:themeColor="text1"/>
        </w:rPr>
        <w:t xml:space="preserve"> these indicate the power that the English language has </w:t>
      </w:r>
      <w:r w:rsidR="000659A6" w:rsidRPr="007244DD">
        <w:rPr>
          <w:color w:val="000000" w:themeColor="text1"/>
        </w:rPr>
        <w:t>as a global language.</w:t>
      </w:r>
      <w:r w:rsidR="00A13F40" w:rsidRPr="007244DD">
        <w:rPr>
          <w:color w:val="000000" w:themeColor="text1"/>
        </w:rPr>
        <w:t xml:space="preserve"> </w:t>
      </w:r>
      <w:r w:rsidR="000659A6" w:rsidRPr="007244DD">
        <w:rPr>
          <w:color w:val="000000" w:themeColor="text1"/>
        </w:rPr>
        <w:t>T</w:t>
      </w:r>
      <w:r w:rsidR="00A13F40" w:rsidRPr="007244DD">
        <w:rPr>
          <w:color w:val="000000" w:themeColor="text1"/>
        </w:rPr>
        <w:t>hese motivators are not necessarily prominent</w:t>
      </w:r>
      <w:r w:rsidR="000659A6" w:rsidRPr="007244DD">
        <w:rPr>
          <w:color w:val="000000" w:themeColor="text1"/>
        </w:rPr>
        <w:t xml:space="preserve"> when learning a minority language such as Welsh</w:t>
      </w:r>
      <w:r w:rsidR="00D020DC" w:rsidRPr="007244DD">
        <w:rPr>
          <w:color w:val="000000" w:themeColor="text1"/>
        </w:rPr>
        <w:t>;</w:t>
      </w:r>
      <w:r w:rsidR="0053569D" w:rsidRPr="007244DD">
        <w:rPr>
          <w:color w:val="000000" w:themeColor="text1"/>
        </w:rPr>
        <w:t xml:space="preserve"> thus</w:t>
      </w:r>
      <w:r w:rsidR="00440DCE">
        <w:rPr>
          <w:color w:val="000000" w:themeColor="text1"/>
        </w:rPr>
        <w:t>,</w:t>
      </w:r>
      <w:r w:rsidR="0053569D" w:rsidRPr="007244DD">
        <w:rPr>
          <w:color w:val="000000" w:themeColor="text1"/>
        </w:rPr>
        <w:t xml:space="preserve"> the relevance of the research </w:t>
      </w:r>
      <w:r w:rsidR="00590F15" w:rsidRPr="007244DD">
        <w:rPr>
          <w:color w:val="000000" w:themeColor="text1"/>
        </w:rPr>
        <w:t xml:space="preserve">by Bernardo and </w:t>
      </w:r>
      <w:proofErr w:type="spellStart"/>
      <w:r w:rsidR="00590F15" w:rsidRPr="007244DD">
        <w:rPr>
          <w:color w:val="000000" w:themeColor="text1"/>
        </w:rPr>
        <w:t>Gaerlan</w:t>
      </w:r>
      <w:proofErr w:type="spellEnd"/>
      <w:r w:rsidR="00590F15" w:rsidRPr="007244DD">
        <w:rPr>
          <w:color w:val="000000" w:themeColor="text1"/>
        </w:rPr>
        <w:t xml:space="preserve"> (2011)</w:t>
      </w:r>
      <w:r w:rsidR="00750361" w:rsidRPr="007244DD">
        <w:rPr>
          <w:color w:val="000000" w:themeColor="text1"/>
        </w:rPr>
        <w:t xml:space="preserve"> to Welsh second language learning must be taken into consideration.</w:t>
      </w:r>
      <w:r w:rsidR="00E268D0" w:rsidRPr="007244DD">
        <w:rPr>
          <w:color w:val="000000" w:themeColor="text1"/>
        </w:rPr>
        <w:t xml:space="preserve"> </w:t>
      </w:r>
    </w:p>
    <w:p w14:paraId="12B2ACD4" w14:textId="31783E29" w:rsidR="00440DCE" w:rsidRDefault="00440DCE" w:rsidP="001B35A4">
      <w:pPr>
        <w:spacing w:line="360" w:lineRule="auto"/>
        <w:rPr>
          <w:color w:val="000000" w:themeColor="text1"/>
        </w:rPr>
      </w:pPr>
    </w:p>
    <w:sdt>
      <w:sdtPr>
        <w:id w:val="-1633084840"/>
        <w:docPartObj>
          <w:docPartGallery w:val="Bibliographies"/>
          <w:docPartUnique/>
        </w:docPartObj>
      </w:sdtPr>
      <w:sdtEndPr>
        <w:rPr>
          <w:rFonts w:ascii="Times New Roman" w:eastAsiaTheme="minorHAnsi" w:hAnsi="Times New Roman" w:cstheme="minorBidi"/>
          <w:color w:val="595959" w:themeColor="text1" w:themeTint="A6"/>
          <w:sz w:val="24"/>
        </w:rPr>
      </w:sdtEndPr>
      <w:sdtContent>
        <w:p w14:paraId="4D5BF793" w14:textId="0C485E44" w:rsidR="00C36AC8" w:rsidRDefault="00C36AC8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19D5FE87" w14:textId="77777777" w:rsidR="00C36AC8" w:rsidRDefault="00C36AC8" w:rsidP="00C36AC8">
              <w:pPr>
                <w:pStyle w:val="Bibliography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Academia, 2019. </w:t>
              </w:r>
              <w:r>
                <w:rPr>
                  <w:i/>
                  <w:iCs/>
                  <w:noProof/>
                </w:rPr>
                <w:t xml:space="preserve">Marianne Jennifer Gaerlan, </w:t>
              </w:r>
              <w:r>
                <w:rPr>
                  <w:noProof/>
                </w:rPr>
                <w:t>http://dlsu.academia.edu/MarianneJenniferGaerlan ; Accessed: 25/01/2019: Academia.</w:t>
              </w:r>
            </w:p>
            <w:p w14:paraId="419249F3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Bernardo, A. &amp; Gaerlan, M., 2011. Non-Native English Students Learning in English: Reviewing and Reflecting on the Research.. In: R. Jaidey, et al. eds. </w:t>
              </w:r>
              <w:r>
                <w:rPr>
                  <w:i/>
                  <w:iCs/>
                  <w:noProof/>
                </w:rPr>
                <w:t xml:space="preserve">Global perspectives, local initiatives: Reflections and practices in ELT.. </w:t>
              </w:r>
              <w:r>
                <w:rPr>
                  <w:noProof/>
                </w:rPr>
                <w:t>s.l.:University of Singapore, pp. 1-9.</w:t>
              </w:r>
            </w:p>
            <w:p w14:paraId="242BBF01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Bialystok, E., 2010. Global-local and trail-making task by monolingual and bilingual children: Beyond Inhibition. </w:t>
              </w:r>
              <w:r>
                <w:rPr>
                  <w:i/>
                  <w:iCs/>
                  <w:noProof/>
                </w:rPr>
                <w:t xml:space="preserve">Developmental Psychology, </w:t>
              </w:r>
              <w:r>
                <w:rPr>
                  <w:noProof/>
                </w:rPr>
                <w:t>Volume 46, pp. 93-105.</w:t>
              </w:r>
            </w:p>
            <w:p w14:paraId="3D4B4708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Bialystok, E. &amp; Majumder, S., 1998. The relationship between bilingualism and the development of cognitive processes in problem solving.. </w:t>
              </w:r>
              <w:r>
                <w:rPr>
                  <w:i/>
                  <w:iCs/>
                  <w:noProof/>
                </w:rPr>
                <w:t xml:space="preserve">Applied Psycholinguistics, </w:t>
              </w:r>
              <w:r>
                <w:rPr>
                  <w:noProof/>
                </w:rPr>
                <w:t>Volume 19, pp. 69-85.</w:t>
              </w:r>
            </w:p>
            <w:p w14:paraId="0BF0C431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Blot, K., Zarate, M. &amp; Paulus, P., 2003. Code-switching across brainstorming sessions: Implincations for the revised hierarchical model of bilingual language processing.. </w:t>
              </w:r>
              <w:r>
                <w:rPr>
                  <w:i/>
                  <w:iCs/>
                  <w:noProof/>
                </w:rPr>
                <w:t xml:space="preserve">Experimental Psychology, </w:t>
              </w:r>
              <w:r>
                <w:rPr>
                  <w:noProof/>
                </w:rPr>
                <w:t>50(3), pp. 171-180.</w:t>
              </w:r>
            </w:p>
            <w:p w14:paraId="2EA34DD0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Centre for Applied Cross-cultural Research., 2019. </w:t>
              </w:r>
              <w:r>
                <w:rPr>
                  <w:i/>
                  <w:iCs/>
                  <w:noProof/>
                </w:rPr>
                <w:t xml:space="preserve">Dr. Allen B.I. Bernardo, </w:t>
              </w:r>
              <w:r>
                <w:rPr>
                  <w:noProof/>
                </w:rPr>
                <w:t>https://www.victoria.ac.nz/cacr/aasp-archived/executive-committee/allan-b.-i.-bernardo; Accessed: 25/01/2019: Victorial University of Wellington.</w:t>
              </w:r>
            </w:p>
            <w:p w14:paraId="49ECFF60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ESRC Centre of Dynamics of Ethnicity, 2014. </w:t>
              </w:r>
              <w:r>
                <w:rPr>
                  <w:i/>
                  <w:iCs/>
                  <w:noProof/>
                </w:rPr>
                <w:t xml:space="preserve">Dynamics of Diversity: Evidence from the 2011 Census. Who identifies as Welsh? National identities and ethinicity in Wales., </w:t>
              </w:r>
              <w:r>
                <w:rPr>
                  <w:noProof/>
                </w:rPr>
                <w:t>http://hummedia.manchester.ac.uk/institutes/code/briefings/dynamicsofdiversity/code-census-briefing-national-identity-wales.pdf ; Accessed: 30/01/2019: University of Manchester.</w:t>
              </w:r>
            </w:p>
            <w:p w14:paraId="240DE569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Firth, A. &amp; Wagner, J., 1997. On discourse, communication, and (some) fundamental concepts in SLA research.. </w:t>
              </w:r>
              <w:r>
                <w:rPr>
                  <w:i/>
                  <w:iCs/>
                  <w:noProof/>
                </w:rPr>
                <w:t xml:space="preserve">The Modern Language Journal, </w:t>
              </w:r>
              <w:r>
                <w:rPr>
                  <w:noProof/>
                </w:rPr>
                <w:t>Volume 81, pp. 237-259.</w:t>
              </w:r>
            </w:p>
            <w:p w14:paraId="4426B753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Larsen-Fremman, D., 2007. Reflecting on the cognitive-social debate in second language acquisition.. </w:t>
              </w:r>
              <w:r>
                <w:rPr>
                  <w:i/>
                  <w:iCs/>
                  <w:noProof/>
                </w:rPr>
                <w:t xml:space="preserve">The Modern Language Journal, </w:t>
              </w:r>
              <w:r>
                <w:rPr>
                  <w:noProof/>
                </w:rPr>
                <w:t>Volume 91, pp. 773-787.</w:t>
              </w:r>
            </w:p>
            <w:p w14:paraId="1C53BE40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Long, M., 2007. </w:t>
              </w:r>
              <w:r>
                <w:rPr>
                  <w:i/>
                  <w:iCs/>
                  <w:noProof/>
                </w:rPr>
                <w:t xml:space="preserve">Problems in SLA.. </w:t>
              </w:r>
              <w:r>
                <w:rPr>
                  <w:noProof/>
                </w:rPr>
                <w:t>Mahwah, NJ: Erlbaum.</w:t>
              </w:r>
            </w:p>
            <w:p w14:paraId="53B66195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McMahon, M., 1997. </w:t>
              </w:r>
              <w:r>
                <w:rPr>
                  <w:i/>
                  <w:iCs/>
                  <w:noProof/>
                </w:rPr>
                <w:t xml:space="preserve">Social Constructivism and the World Wide Web- A Paradigm for Learning. </w:t>
              </w:r>
              <w:r>
                <w:rPr>
                  <w:noProof/>
                </w:rPr>
                <w:t>Perth, Australia, ASCILITE conference.</w:t>
              </w:r>
            </w:p>
            <w:p w14:paraId="16CA8426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Shu-Fen, Y., 2017. Student Teachers' Perceptions of Second Language Teaching in the CBL Program: Identity construction and development.. </w:t>
              </w:r>
              <w:r>
                <w:rPr>
                  <w:i/>
                  <w:iCs/>
                  <w:noProof/>
                </w:rPr>
                <w:t xml:space="preserve">Advances in Language and Literary Studies, </w:t>
              </w:r>
              <w:r>
                <w:rPr>
                  <w:noProof/>
                </w:rPr>
                <w:t>8(4), pp. 21-28.</w:t>
              </w:r>
            </w:p>
            <w:p w14:paraId="723C524F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Sleeter, C., 2011. An agenda to strengthen culturally responsive pedagogy.. </w:t>
              </w:r>
              <w:r>
                <w:rPr>
                  <w:i/>
                  <w:iCs/>
                  <w:noProof/>
                </w:rPr>
                <w:t xml:space="preserve">English Teaching: Practice and Critique, </w:t>
              </w:r>
              <w:r>
                <w:rPr>
                  <w:noProof/>
                </w:rPr>
                <w:t>10(2), pp. 7-23.</w:t>
              </w:r>
            </w:p>
            <w:p w14:paraId="0F2E9CDC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Stats Wales, 2015. </w:t>
              </w:r>
              <w:r>
                <w:rPr>
                  <w:i/>
                  <w:iCs/>
                  <w:noProof/>
                </w:rPr>
                <w:t xml:space="preserve">Annual population survey estimates of persons aged 3 and over who they can speak Welsh by local authority and measure., </w:t>
              </w:r>
              <w:r>
                <w:rPr>
                  <w:noProof/>
                </w:rPr>
                <w:t>https://statswales.gov.wales/Catalogue/Welsh-Language/annualpopulationsurveyestimatesofpersonsaged3andoverwhosaytheycanspeakwelsh-by-localauthority-measure; Accessed: 28/01/2019: Stats Wales.</w:t>
              </w:r>
            </w:p>
            <w:p w14:paraId="0A4456A7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Stats Wales, 2018. </w:t>
              </w:r>
              <w:r>
                <w:rPr>
                  <w:i/>
                  <w:iCs/>
                  <w:noProof/>
                </w:rPr>
                <w:t xml:space="preserve">Annual Population Survey Estimates of persons aged 3 and over who say they can speak Welsh by local authority and measure., </w:t>
              </w:r>
              <w:r>
                <w:rPr>
                  <w:noProof/>
                </w:rPr>
                <w:t>https://statswales.gov.wales/Catalogue/Welsh-Language/annualpopulationsurveyestimatesofpersonsaged3andoverwhosaytheycanspeakwelsh-by-localauthority-measure Accessed 28/01/2018: Stats Wales.</w:t>
              </w:r>
            </w:p>
            <w:p w14:paraId="7ABCF704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Ufomata, T., 1999. Major and minor languages in complex linguistic ecologies: the Nigerian Experience.. </w:t>
              </w:r>
              <w:r>
                <w:rPr>
                  <w:i/>
                  <w:iCs/>
                  <w:noProof/>
                </w:rPr>
                <w:t xml:space="preserve">International Journal of Educational Development, </w:t>
              </w:r>
              <w:r>
                <w:rPr>
                  <w:noProof/>
                </w:rPr>
                <w:t>19(4-5), pp. 315-322.</w:t>
              </w:r>
            </w:p>
            <w:p w14:paraId="3E5D570E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Vygotsky, L., 1978. </w:t>
              </w:r>
              <w:r>
                <w:rPr>
                  <w:i/>
                  <w:iCs/>
                  <w:noProof/>
                </w:rPr>
                <w:t xml:space="preserve">Mind and society: The development of higher mental processes.. </w:t>
              </w:r>
              <w:r>
                <w:rPr>
                  <w:noProof/>
                </w:rPr>
                <w:t>Cambrige, MA.: Harvard University Press.</w:t>
              </w:r>
            </w:p>
            <w:p w14:paraId="1DE17EA4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Welsh Government, 2017. </w:t>
              </w:r>
              <w:r>
                <w:rPr>
                  <w:i/>
                  <w:iCs/>
                  <w:noProof/>
                </w:rPr>
                <w:t xml:space="preserve">Ambitious plans to almost double the number of Welsh speakers launched., </w:t>
              </w:r>
              <w:r>
                <w:rPr>
                  <w:noProof/>
                </w:rPr>
                <w:t>https://gov.wales/newsroom/welshlanguage/2017/ambitious-plans-</w:t>
              </w:r>
              <w:r>
                <w:rPr>
                  <w:noProof/>
                </w:rPr>
                <w:lastRenderedPageBreak/>
                <w:t>to-almost-double-the-number-of-welsh-speakers-launched/?lang=en; Accessed 29/01/2019: Welsh Government.</w:t>
              </w:r>
            </w:p>
            <w:p w14:paraId="6EC42926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Wenger, E., 1998. </w:t>
              </w:r>
              <w:r>
                <w:rPr>
                  <w:i/>
                  <w:iCs/>
                  <w:noProof/>
                </w:rPr>
                <w:t xml:space="preserve">Communities of practice: Learning, meaning, and identity.. </w:t>
              </w:r>
              <w:r>
                <w:rPr>
                  <w:noProof/>
                </w:rPr>
                <w:t>Cambridge: Cambridge University Press.</w:t>
              </w:r>
            </w:p>
            <w:p w14:paraId="766B9342" w14:textId="77777777" w:rsidR="00C36AC8" w:rsidRDefault="00C36AC8" w:rsidP="00C36AC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Zuengler, J. &amp; Miller, E., 2006. Cognitive and sociocultural perspectives: Two parallel worlds?. </w:t>
              </w:r>
              <w:r>
                <w:rPr>
                  <w:i/>
                  <w:iCs/>
                  <w:noProof/>
                </w:rPr>
                <w:t xml:space="preserve">TESOL Quarterly, </w:t>
              </w:r>
              <w:r>
                <w:rPr>
                  <w:noProof/>
                </w:rPr>
                <w:t>Volume 40, pp. 35-58.</w:t>
              </w:r>
            </w:p>
            <w:p w14:paraId="5C35AA2D" w14:textId="698AC8DB" w:rsidR="00C36AC8" w:rsidRDefault="00C36AC8" w:rsidP="00C36AC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CF567E3" w14:textId="77777777" w:rsidR="00440DCE" w:rsidRPr="007244DD" w:rsidRDefault="00440DCE" w:rsidP="001B35A4">
      <w:pPr>
        <w:spacing w:line="360" w:lineRule="auto"/>
        <w:rPr>
          <w:color w:val="000000" w:themeColor="text1"/>
        </w:rPr>
      </w:pPr>
    </w:p>
    <w:p w14:paraId="580401D5" w14:textId="77777777" w:rsidR="005D0BD9" w:rsidRDefault="005D0BD9" w:rsidP="00290C5E">
      <w:pPr>
        <w:pStyle w:val="NormalWeb"/>
        <w:spacing w:before="0" w:beforeAutospacing="0" w:after="0" w:afterAutospacing="0" w:line="360" w:lineRule="auto"/>
        <w:ind w:left="720"/>
        <w:textAlignment w:val="baseline"/>
        <w:rPr>
          <w:rFonts w:ascii="&amp;quot" w:hAnsi="&amp;quot"/>
          <w:color w:val="333333"/>
          <w:sz w:val="20"/>
          <w:szCs w:val="20"/>
        </w:rPr>
      </w:pPr>
    </w:p>
    <w:p w14:paraId="7204E725" w14:textId="77777777" w:rsidR="005D0BD9" w:rsidRDefault="005D0BD9" w:rsidP="00290C5E">
      <w:pPr>
        <w:pStyle w:val="NormalWeb"/>
        <w:spacing w:before="0" w:beforeAutospacing="0" w:after="0" w:afterAutospacing="0" w:line="360" w:lineRule="auto"/>
        <w:ind w:left="720"/>
        <w:textAlignment w:val="baseline"/>
        <w:rPr>
          <w:rFonts w:ascii="&amp;quot" w:hAnsi="&amp;quot"/>
          <w:color w:val="333333"/>
          <w:sz w:val="20"/>
          <w:szCs w:val="20"/>
        </w:rPr>
      </w:pPr>
    </w:p>
    <w:p w14:paraId="1D541121" w14:textId="77777777" w:rsidR="00200BCD" w:rsidRDefault="00200BCD" w:rsidP="001B35A4">
      <w:pPr>
        <w:spacing w:line="360" w:lineRule="auto"/>
      </w:pPr>
    </w:p>
    <w:p w14:paraId="3021830D" w14:textId="34F0AE44" w:rsidR="00F41E03" w:rsidRDefault="00F41E03" w:rsidP="001B35A4">
      <w:pPr>
        <w:spacing w:line="360" w:lineRule="auto"/>
      </w:pPr>
    </w:p>
    <w:p w14:paraId="105A40C5" w14:textId="717385C7" w:rsidR="00F41E03" w:rsidRDefault="00F41E03" w:rsidP="001B35A4">
      <w:pPr>
        <w:spacing w:line="360" w:lineRule="auto"/>
      </w:pPr>
    </w:p>
    <w:p w14:paraId="77E016AE" w14:textId="77777777" w:rsidR="00F41E03" w:rsidRPr="00F52CDA" w:rsidRDefault="00F41E03" w:rsidP="001B35A4">
      <w:pPr>
        <w:spacing w:line="360" w:lineRule="auto"/>
      </w:pPr>
    </w:p>
    <w:p w14:paraId="155F826C" w14:textId="3D79A15A" w:rsidR="004703E8" w:rsidRPr="00B24537" w:rsidRDefault="004703E8" w:rsidP="00B24537">
      <w:pPr>
        <w:pStyle w:val="ListParagraph"/>
        <w:spacing w:line="360" w:lineRule="auto"/>
      </w:pPr>
    </w:p>
    <w:p w14:paraId="70D9DB66" w14:textId="3FDCD05A" w:rsidR="00E6609F" w:rsidRDefault="00E6609F" w:rsidP="00FB344B">
      <w:pPr>
        <w:spacing w:line="360" w:lineRule="auto"/>
      </w:pPr>
    </w:p>
    <w:p w14:paraId="09D5BBDC" w14:textId="7C6A8C1C" w:rsidR="00E346D8" w:rsidRDefault="00652483" w:rsidP="00FB344B">
      <w:pPr>
        <w:spacing w:line="360" w:lineRule="auto"/>
      </w:pPr>
      <w:r>
        <w:t xml:space="preserve"> </w:t>
      </w:r>
    </w:p>
    <w:p w14:paraId="1AAA4360" w14:textId="0CE19908" w:rsidR="00E6609F" w:rsidRPr="00447EDB" w:rsidRDefault="00E6609F" w:rsidP="00574787">
      <w:pPr>
        <w:shd w:val="clear" w:color="auto" w:fill="FFFFFF"/>
        <w:spacing w:before="0" w:after="75" w:line="240" w:lineRule="auto"/>
        <w:rPr>
          <w:rFonts w:ascii="Arial" w:eastAsia="Times New Roman" w:hAnsi="Arial" w:cs="Arial"/>
          <w:color w:val="333333"/>
          <w:szCs w:val="24"/>
          <w:lang w:eastAsia="en-GB"/>
        </w:rPr>
      </w:pPr>
    </w:p>
    <w:p w14:paraId="75FD294C" w14:textId="0DB88214" w:rsidR="00F820C0" w:rsidRDefault="00F820C0" w:rsidP="00FB344B">
      <w:pPr>
        <w:spacing w:line="360" w:lineRule="auto"/>
      </w:pPr>
      <w:r>
        <w:t xml:space="preserve">  </w:t>
      </w:r>
    </w:p>
    <w:p w14:paraId="24B7ED68" w14:textId="77777777" w:rsidR="00AA1B1F" w:rsidRDefault="00715AA0" w:rsidP="00FB344B">
      <w:pPr>
        <w:spacing w:line="360" w:lineRule="auto"/>
      </w:pPr>
      <w:r>
        <w:tab/>
      </w:r>
    </w:p>
    <w:p w14:paraId="499D27A1" w14:textId="409D9C19" w:rsidR="00A27D3E" w:rsidRDefault="00A27D3E" w:rsidP="00FB344B">
      <w:pPr>
        <w:spacing w:line="360" w:lineRule="auto"/>
      </w:pPr>
    </w:p>
    <w:p w14:paraId="0EB6A1E7" w14:textId="7E60C038" w:rsidR="00F83F58" w:rsidRDefault="00F83F58" w:rsidP="007203B3">
      <w:pPr>
        <w:spacing w:line="360" w:lineRule="auto"/>
      </w:pPr>
    </w:p>
    <w:p w14:paraId="2283262D" w14:textId="26C6F422" w:rsidR="000733BB" w:rsidRDefault="000733BB" w:rsidP="007203B3">
      <w:pPr>
        <w:spacing w:line="360" w:lineRule="auto"/>
      </w:pPr>
    </w:p>
    <w:p w14:paraId="39907213" w14:textId="77777777" w:rsidR="00E96F72" w:rsidRDefault="00E96F72" w:rsidP="007203B3">
      <w:pPr>
        <w:spacing w:line="360" w:lineRule="auto"/>
      </w:pPr>
    </w:p>
    <w:p w14:paraId="39EF7D07" w14:textId="339C4FAF" w:rsidR="000E5022" w:rsidRDefault="000E5022" w:rsidP="007203B3">
      <w:pPr>
        <w:spacing w:line="360" w:lineRule="auto"/>
      </w:pPr>
      <w:r>
        <w:lastRenderedPageBreak/>
        <w:tab/>
      </w:r>
    </w:p>
    <w:p w14:paraId="7B9883E4" w14:textId="2508B42C" w:rsidR="007203B3" w:rsidRDefault="007203B3" w:rsidP="007203B3">
      <w:pPr>
        <w:spacing w:line="360" w:lineRule="auto"/>
      </w:pPr>
    </w:p>
    <w:p w14:paraId="0408D4B5" w14:textId="538F06EA" w:rsidR="007203B3" w:rsidRPr="00FE43E5" w:rsidRDefault="007203B3" w:rsidP="007203B3">
      <w:pPr>
        <w:spacing w:line="360" w:lineRule="auto"/>
        <w:rPr>
          <w:rFonts w:ascii="&amp;quot" w:hAnsi="&amp;quot"/>
          <w:color w:val="000000"/>
          <w:bdr w:val="none" w:sz="0" w:space="0" w:color="auto" w:frame="1"/>
        </w:rPr>
      </w:pPr>
    </w:p>
    <w:p w14:paraId="0E3F8306" w14:textId="35923D05" w:rsidR="007203B3" w:rsidRPr="007203B3" w:rsidRDefault="007203B3" w:rsidP="007203B3">
      <w:pPr>
        <w:spacing w:line="360" w:lineRule="auto"/>
      </w:pPr>
      <w:r>
        <w:tab/>
      </w:r>
    </w:p>
    <w:sectPr w:rsidR="007203B3" w:rsidRPr="007203B3">
      <w:footerReference w:type="default" r:id="rId9"/>
      <w:pgSz w:w="12240" w:h="15840"/>
      <w:pgMar w:top="1728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6571DD" w14:textId="77777777" w:rsidR="00FE43E5" w:rsidRDefault="00FE43E5" w:rsidP="00C6554A">
      <w:pPr>
        <w:spacing w:before="0" w:after="0" w:line="240" w:lineRule="auto"/>
      </w:pPr>
      <w:r>
        <w:separator/>
      </w:r>
    </w:p>
  </w:endnote>
  <w:endnote w:type="continuationSeparator" w:id="0">
    <w:p w14:paraId="48BB365F" w14:textId="77777777" w:rsidR="00FE43E5" w:rsidRDefault="00FE43E5" w:rsidP="00C655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&amp;quo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ACE6D" w14:textId="429FFF8B" w:rsidR="00D2179E" w:rsidRDefault="00D2179E">
    <w:pPr>
      <w:pStyle w:val="Footer"/>
    </w:pPr>
    <w:r>
      <w:t>1602454</w:t>
    </w:r>
  </w:p>
  <w:p w14:paraId="15BA4ABD" w14:textId="094AE048" w:rsidR="00FE43E5" w:rsidRDefault="00FE43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779C6" w14:textId="77777777" w:rsidR="00FE43E5" w:rsidRDefault="00FE43E5" w:rsidP="00C6554A">
      <w:pPr>
        <w:spacing w:before="0" w:after="0" w:line="240" w:lineRule="auto"/>
      </w:pPr>
      <w:r>
        <w:separator/>
      </w:r>
    </w:p>
  </w:footnote>
  <w:footnote w:type="continuationSeparator" w:id="0">
    <w:p w14:paraId="187F589E" w14:textId="77777777" w:rsidR="00FE43E5" w:rsidRDefault="00FE43E5" w:rsidP="00C655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61E6224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DA94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0E4E5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B4188A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E0C080A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B9E193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3A0693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3C8D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AA6FCB4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1122B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0D483622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B913EA3"/>
    <w:multiLevelType w:val="hybridMultilevel"/>
    <w:tmpl w:val="96968C42"/>
    <w:lvl w:ilvl="0" w:tplc="DC9CFB2E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F0049E"/>
    <w:multiLevelType w:val="multilevel"/>
    <w:tmpl w:val="90A6CE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B463FB"/>
    <w:multiLevelType w:val="multilevel"/>
    <w:tmpl w:val="E2742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37569A"/>
    <w:multiLevelType w:val="hybridMultilevel"/>
    <w:tmpl w:val="A6D6060C"/>
    <w:lvl w:ilvl="0" w:tplc="0BF4F01A">
      <w:start w:val="201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164D0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B275665"/>
    <w:multiLevelType w:val="hybridMultilevel"/>
    <w:tmpl w:val="381E2D48"/>
    <w:lvl w:ilvl="0" w:tplc="E6CCD0A0">
      <w:start w:val="201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934660"/>
    <w:multiLevelType w:val="multilevel"/>
    <w:tmpl w:val="216A51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B511983"/>
    <w:multiLevelType w:val="hybridMultilevel"/>
    <w:tmpl w:val="8324695A"/>
    <w:lvl w:ilvl="0" w:tplc="38160BD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8"/>
  </w:num>
  <w:num w:numId="4">
    <w:abstractNumId w:val="9"/>
  </w:num>
  <w:num w:numId="5">
    <w:abstractNumId w:val="16"/>
  </w:num>
  <w:num w:numId="6">
    <w:abstractNumId w:val="10"/>
  </w:num>
  <w:num w:numId="7">
    <w:abstractNumId w:val="11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4"/>
  </w:num>
  <w:num w:numId="18">
    <w:abstractNumId w:val="18"/>
  </w:num>
  <w:num w:numId="19">
    <w:abstractNumId w:val="19"/>
  </w:num>
  <w:num w:numId="20">
    <w:abstractNumId w:val="12"/>
  </w:num>
  <w:num w:numId="21">
    <w:abstractNumId w:val="17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3B3"/>
    <w:rsid w:val="0001466A"/>
    <w:rsid w:val="00020BE0"/>
    <w:rsid w:val="0002429A"/>
    <w:rsid w:val="0002510C"/>
    <w:rsid w:val="00035885"/>
    <w:rsid w:val="00036E1A"/>
    <w:rsid w:val="00037993"/>
    <w:rsid w:val="00040640"/>
    <w:rsid w:val="00041438"/>
    <w:rsid w:val="00043090"/>
    <w:rsid w:val="00043807"/>
    <w:rsid w:val="000455BC"/>
    <w:rsid w:val="00045897"/>
    <w:rsid w:val="000468CC"/>
    <w:rsid w:val="00051BA3"/>
    <w:rsid w:val="00056152"/>
    <w:rsid w:val="00057AE6"/>
    <w:rsid w:val="000659A6"/>
    <w:rsid w:val="00071086"/>
    <w:rsid w:val="000717E6"/>
    <w:rsid w:val="000733BB"/>
    <w:rsid w:val="000737B7"/>
    <w:rsid w:val="000904AC"/>
    <w:rsid w:val="00095E20"/>
    <w:rsid w:val="00096160"/>
    <w:rsid w:val="000963E3"/>
    <w:rsid w:val="00097F07"/>
    <w:rsid w:val="000A07F4"/>
    <w:rsid w:val="000A0A8A"/>
    <w:rsid w:val="000A74F4"/>
    <w:rsid w:val="000B0998"/>
    <w:rsid w:val="000B22E5"/>
    <w:rsid w:val="000B6C89"/>
    <w:rsid w:val="000C4406"/>
    <w:rsid w:val="000C5E43"/>
    <w:rsid w:val="000D5B7C"/>
    <w:rsid w:val="000D6BA4"/>
    <w:rsid w:val="000E1057"/>
    <w:rsid w:val="000E4DA8"/>
    <w:rsid w:val="000E4E18"/>
    <w:rsid w:val="000E4E2D"/>
    <w:rsid w:val="000E5022"/>
    <w:rsid w:val="000F3549"/>
    <w:rsid w:val="000F5812"/>
    <w:rsid w:val="000F5D0E"/>
    <w:rsid w:val="000F71CC"/>
    <w:rsid w:val="00104DFC"/>
    <w:rsid w:val="00114818"/>
    <w:rsid w:val="00115412"/>
    <w:rsid w:val="00115C07"/>
    <w:rsid w:val="00116A89"/>
    <w:rsid w:val="0012365B"/>
    <w:rsid w:val="00134FEB"/>
    <w:rsid w:val="001366A0"/>
    <w:rsid w:val="001462C9"/>
    <w:rsid w:val="00146B3E"/>
    <w:rsid w:val="0015336F"/>
    <w:rsid w:val="00155E07"/>
    <w:rsid w:val="00166141"/>
    <w:rsid w:val="00176E06"/>
    <w:rsid w:val="00180E9F"/>
    <w:rsid w:val="001819A0"/>
    <w:rsid w:val="001A0F1F"/>
    <w:rsid w:val="001A367C"/>
    <w:rsid w:val="001B327C"/>
    <w:rsid w:val="001B35A4"/>
    <w:rsid w:val="001B71A5"/>
    <w:rsid w:val="001C4568"/>
    <w:rsid w:val="001C46BE"/>
    <w:rsid w:val="001C7E64"/>
    <w:rsid w:val="001D05AD"/>
    <w:rsid w:val="001D0860"/>
    <w:rsid w:val="001E2047"/>
    <w:rsid w:val="001E4065"/>
    <w:rsid w:val="001E6305"/>
    <w:rsid w:val="001F5F5A"/>
    <w:rsid w:val="00200BCD"/>
    <w:rsid w:val="00200C80"/>
    <w:rsid w:val="00200FB9"/>
    <w:rsid w:val="00203128"/>
    <w:rsid w:val="00214611"/>
    <w:rsid w:val="00214F04"/>
    <w:rsid w:val="00217BD6"/>
    <w:rsid w:val="002255C3"/>
    <w:rsid w:val="00230800"/>
    <w:rsid w:val="002411F5"/>
    <w:rsid w:val="0024169B"/>
    <w:rsid w:val="00242116"/>
    <w:rsid w:val="00244B80"/>
    <w:rsid w:val="002461DC"/>
    <w:rsid w:val="00247401"/>
    <w:rsid w:val="002554CD"/>
    <w:rsid w:val="0025765D"/>
    <w:rsid w:val="002646E6"/>
    <w:rsid w:val="0028617E"/>
    <w:rsid w:val="002908A6"/>
    <w:rsid w:val="00290C5E"/>
    <w:rsid w:val="00293B83"/>
    <w:rsid w:val="002B2CD4"/>
    <w:rsid w:val="002B309C"/>
    <w:rsid w:val="002B4294"/>
    <w:rsid w:val="002B4942"/>
    <w:rsid w:val="002B5769"/>
    <w:rsid w:val="002B70D8"/>
    <w:rsid w:val="002E0408"/>
    <w:rsid w:val="002E5421"/>
    <w:rsid w:val="002E6EDF"/>
    <w:rsid w:val="00300A2C"/>
    <w:rsid w:val="00301A34"/>
    <w:rsid w:val="00314814"/>
    <w:rsid w:val="00323D20"/>
    <w:rsid w:val="003271E9"/>
    <w:rsid w:val="00333D0D"/>
    <w:rsid w:val="003407F0"/>
    <w:rsid w:val="0034416F"/>
    <w:rsid w:val="00345EF4"/>
    <w:rsid w:val="00365355"/>
    <w:rsid w:val="003731D2"/>
    <w:rsid w:val="00393165"/>
    <w:rsid w:val="003A1609"/>
    <w:rsid w:val="003B078A"/>
    <w:rsid w:val="003B291E"/>
    <w:rsid w:val="003B687C"/>
    <w:rsid w:val="003C3F5B"/>
    <w:rsid w:val="003D0AA8"/>
    <w:rsid w:val="003E45E4"/>
    <w:rsid w:val="003E5ABB"/>
    <w:rsid w:val="00404A7F"/>
    <w:rsid w:val="00415039"/>
    <w:rsid w:val="00422B8C"/>
    <w:rsid w:val="00431EA0"/>
    <w:rsid w:val="00440DCE"/>
    <w:rsid w:val="004424D9"/>
    <w:rsid w:val="004459F8"/>
    <w:rsid w:val="00447EDB"/>
    <w:rsid w:val="004654A5"/>
    <w:rsid w:val="004703E8"/>
    <w:rsid w:val="00473F6E"/>
    <w:rsid w:val="004742ED"/>
    <w:rsid w:val="0048341B"/>
    <w:rsid w:val="00494DC9"/>
    <w:rsid w:val="00496EA8"/>
    <w:rsid w:val="004A77FA"/>
    <w:rsid w:val="004B1758"/>
    <w:rsid w:val="004B34AB"/>
    <w:rsid w:val="004C049F"/>
    <w:rsid w:val="004C1064"/>
    <w:rsid w:val="004C3E0C"/>
    <w:rsid w:val="004C453E"/>
    <w:rsid w:val="004D318E"/>
    <w:rsid w:val="004D35CE"/>
    <w:rsid w:val="004D57B4"/>
    <w:rsid w:val="004D591F"/>
    <w:rsid w:val="004E0B6A"/>
    <w:rsid w:val="004F2074"/>
    <w:rsid w:val="004F268C"/>
    <w:rsid w:val="004F2E34"/>
    <w:rsid w:val="004F6E12"/>
    <w:rsid w:val="004F746C"/>
    <w:rsid w:val="005000E2"/>
    <w:rsid w:val="005011DD"/>
    <w:rsid w:val="00501BCF"/>
    <w:rsid w:val="00501DF6"/>
    <w:rsid w:val="00520EE0"/>
    <w:rsid w:val="00522DC6"/>
    <w:rsid w:val="00523063"/>
    <w:rsid w:val="00524D0C"/>
    <w:rsid w:val="005308D5"/>
    <w:rsid w:val="0053569D"/>
    <w:rsid w:val="005358ED"/>
    <w:rsid w:val="00546EB0"/>
    <w:rsid w:val="00547FA0"/>
    <w:rsid w:val="00553C57"/>
    <w:rsid w:val="00564EB8"/>
    <w:rsid w:val="00571C16"/>
    <w:rsid w:val="00572B5D"/>
    <w:rsid w:val="00573CC3"/>
    <w:rsid w:val="00574787"/>
    <w:rsid w:val="005756B0"/>
    <w:rsid w:val="00590F15"/>
    <w:rsid w:val="005A15AA"/>
    <w:rsid w:val="005A4602"/>
    <w:rsid w:val="005A66EC"/>
    <w:rsid w:val="005A7452"/>
    <w:rsid w:val="005B1663"/>
    <w:rsid w:val="005C03D2"/>
    <w:rsid w:val="005D0BD9"/>
    <w:rsid w:val="005E02B9"/>
    <w:rsid w:val="005E55A5"/>
    <w:rsid w:val="005E6149"/>
    <w:rsid w:val="005F2027"/>
    <w:rsid w:val="005F3C18"/>
    <w:rsid w:val="005F5059"/>
    <w:rsid w:val="006038DC"/>
    <w:rsid w:val="00610DE6"/>
    <w:rsid w:val="00614270"/>
    <w:rsid w:val="006143F6"/>
    <w:rsid w:val="006169CB"/>
    <w:rsid w:val="006176E7"/>
    <w:rsid w:val="00635E1E"/>
    <w:rsid w:val="00637D72"/>
    <w:rsid w:val="0064507F"/>
    <w:rsid w:val="006518BE"/>
    <w:rsid w:val="00652483"/>
    <w:rsid w:val="0065765C"/>
    <w:rsid w:val="006579F1"/>
    <w:rsid w:val="0066670A"/>
    <w:rsid w:val="006707E2"/>
    <w:rsid w:val="00670F40"/>
    <w:rsid w:val="00672079"/>
    <w:rsid w:val="00674CCE"/>
    <w:rsid w:val="00677B48"/>
    <w:rsid w:val="00686D65"/>
    <w:rsid w:val="006A3CE7"/>
    <w:rsid w:val="006B5917"/>
    <w:rsid w:val="006C0E31"/>
    <w:rsid w:val="006C6E38"/>
    <w:rsid w:val="006C6FE3"/>
    <w:rsid w:val="006C7C0B"/>
    <w:rsid w:val="006D0C0E"/>
    <w:rsid w:val="006D3C38"/>
    <w:rsid w:val="006D7CC7"/>
    <w:rsid w:val="006E2FF9"/>
    <w:rsid w:val="006E31D6"/>
    <w:rsid w:val="006E7109"/>
    <w:rsid w:val="006F426B"/>
    <w:rsid w:val="00701955"/>
    <w:rsid w:val="00702200"/>
    <w:rsid w:val="00705E04"/>
    <w:rsid w:val="00710C12"/>
    <w:rsid w:val="00715AA0"/>
    <w:rsid w:val="0071787B"/>
    <w:rsid w:val="007203B3"/>
    <w:rsid w:val="007244DD"/>
    <w:rsid w:val="00725CC0"/>
    <w:rsid w:val="0073313A"/>
    <w:rsid w:val="00735FD3"/>
    <w:rsid w:val="00736E61"/>
    <w:rsid w:val="007429F0"/>
    <w:rsid w:val="00745FF7"/>
    <w:rsid w:val="00750361"/>
    <w:rsid w:val="007611EC"/>
    <w:rsid w:val="00762290"/>
    <w:rsid w:val="0076274B"/>
    <w:rsid w:val="00765156"/>
    <w:rsid w:val="00766AB1"/>
    <w:rsid w:val="00776890"/>
    <w:rsid w:val="00796771"/>
    <w:rsid w:val="007A0980"/>
    <w:rsid w:val="007A73D8"/>
    <w:rsid w:val="007C2C2D"/>
    <w:rsid w:val="007C4A4E"/>
    <w:rsid w:val="007C62E6"/>
    <w:rsid w:val="007D404F"/>
    <w:rsid w:val="007D4672"/>
    <w:rsid w:val="007D5D67"/>
    <w:rsid w:val="007E1D26"/>
    <w:rsid w:val="007F6C37"/>
    <w:rsid w:val="00801DA6"/>
    <w:rsid w:val="0080274F"/>
    <w:rsid w:val="00804CB1"/>
    <w:rsid w:val="0080661B"/>
    <w:rsid w:val="00807273"/>
    <w:rsid w:val="00811EA5"/>
    <w:rsid w:val="0081247E"/>
    <w:rsid w:val="00817FBB"/>
    <w:rsid w:val="00820A04"/>
    <w:rsid w:val="00824C10"/>
    <w:rsid w:val="008424DA"/>
    <w:rsid w:val="00843E06"/>
    <w:rsid w:val="00850FF3"/>
    <w:rsid w:val="008703F9"/>
    <w:rsid w:val="00873F5B"/>
    <w:rsid w:val="00874C37"/>
    <w:rsid w:val="00876D59"/>
    <w:rsid w:val="008827F8"/>
    <w:rsid w:val="00892EA4"/>
    <w:rsid w:val="008A29A3"/>
    <w:rsid w:val="008A59A2"/>
    <w:rsid w:val="008B1393"/>
    <w:rsid w:val="008B2FF2"/>
    <w:rsid w:val="008B4162"/>
    <w:rsid w:val="008B73E9"/>
    <w:rsid w:val="008C0493"/>
    <w:rsid w:val="008D713A"/>
    <w:rsid w:val="008E198D"/>
    <w:rsid w:val="008E522A"/>
    <w:rsid w:val="008F0DED"/>
    <w:rsid w:val="008F6F17"/>
    <w:rsid w:val="00902A66"/>
    <w:rsid w:val="00916043"/>
    <w:rsid w:val="0092058A"/>
    <w:rsid w:val="00920675"/>
    <w:rsid w:val="0092209D"/>
    <w:rsid w:val="00922145"/>
    <w:rsid w:val="009274E6"/>
    <w:rsid w:val="0094285B"/>
    <w:rsid w:val="00943DCC"/>
    <w:rsid w:val="00944B66"/>
    <w:rsid w:val="0095098C"/>
    <w:rsid w:val="0095184A"/>
    <w:rsid w:val="00962B02"/>
    <w:rsid w:val="00963832"/>
    <w:rsid w:val="00985C4B"/>
    <w:rsid w:val="0099593D"/>
    <w:rsid w:val="00996FC1"/>
    <w:rsid w:val="009A40ED"/>
    <w:rsid w:val="009A75BF"/>
    <w:rsid w:val="009D12A8"/>
    <w:rsid w:val="009D4C32"/>
    <w:rsid w:val="009E3396"/>
    <w:rsid w:val="009F61E7"/>
    <w:rsid w:val="00A040A7"/>
    <w:rsid w:val="00A1020D"/>
    <w:rsid w:val="00A13F40"/>
    <w:rsid w:val="00A14D91"/>
    <w:rsid w:val="00A27D3E"/>
    <w:rsid w:val="00A30A3D"/>
    <w:rsid w:val="00A31043"/>
    <w:rsid w:val="00A33496"/>
    <w:rsid w:val="00A34976"/>
    <w:rsid w:val="00A6009D"/>
    <w:rsid w:val="00A8185F"/>
    <w:rsid w:val="00A86614"/>
    <w:rsid w:val="00A86FDF"/>
    <w:rsid w:val="00A926B8"/>
    <w:rsid w:val="00A9519A"/>
    <w:rsid w:val="00A97A4E"/>
    <w:rsid w:val="00A97B1B"/>
    <w:rsid w:val="00AA1B1F"/>
    <w:rsid w:val="00AA1C69"/>
    <w:rsid w:val="00AA6141"/>
    <w:rsid w:val="00AA76EC"/>
    <w:rsid w:val="00AB0F05"/>
    <w:rsid w:val="00AC2B8A"/>
    <w:rsid w:val="00AC4637"/>
    <w:rsid w:val="00AD54F0"/>
    <w:rsid w:val="00AE61AC"/>
    <w:rsid w:val="00B0004D"/>
    <w:rsid w:val="00B22480"/>
    <w:rsid w:val="00B22941"/>
    <w:rsid w:val="00B24537"/>
    <w:rsid w:val="00B513DB"/>
    <w:rsid w:val="00B55D05"/>
    <w:rsid w:val="00B72337"/>
    <w:rsid w:val="00B73A0E"/>
    <w:rsid w:val="00B76045"/>
    <w:rsid w:val="00B8516D"/>
    <w:rsid w:val="00B87899"/>
    <w:rsid w:val="00B95C1C"/>
    <w:rsid w:val="00BA2BF1"/>
    <w:rsid w:val="00BA685C"/>
    <w:rsid w:val="00BB5C3C"/>
    <w:rsid w:val="00BB63BE"/>
    <w:rsid w:val="00BC5F0C"/>
    <w:rsid w:val="00BC656C"/>
    <w:rsid w:val="00BD1D47"/>
    <w:rsid w:val="00BD3D81"/>
    <w:rsid w:val="00BD567E"/>
    <w:rsid w:val="00BD6A65"/>
    <w:rsid w:val="00BE0C6B"/>
    <w:rsid w:val="00BE2AF6"/>
    <w:rsid w:val="00BE73B5"/>
    <w:rsid w:val="00BF03F0"/>
    <w:rsid w:val="00BF2115"/>
    <w:rsid w:val="00C0285D"/>
    <w:rsid w:val="00C126D4"/>
    <w:rsid w:val="00C21B83"/>
    <w:rsid w:val="00C23BD7"/>
    <w:rsid w:val="00C266BD"/>
    <w:rsid w:val="00C26744"/>
    <w:rsid w:val="00C27AFF"/>
    <w:rsid w:val="00C31903"/>
    <w:rsid w:val="00C35AA6"/>
    <w:rsid w:val="00C36AC8"/>
    <w:rsid w:val="00C42047"/>
    <w:rsid w:val="00C47E9F"/>
    <w:rsid w:val="00C50E34"/>
    <w:rsid w:val="00C57463"/>
    <w:rsid w:val="00C6554A"/>
    <w:rsid w:val="00C73118"/>
    <w:rsid w:val="00C751EC"/>
    <w:rsid w:val="00C83606"/>
    <w:rsid w:val="00C8793E"/>
    <w:rsid w:val="00C95182"/>
    <w:rsid w:val="00C95A0E"/>
    <w:rsid w:val="00C96D99"/>
    <w:rsid w:val="00CA2FF2"/>
    <w:rsid w:val="00CA3C31"/>
    <w:rsid w:val="00CA616B"/>
    <w:rsid w:val="00CA62B1"/>
    <w:rsid w:val="00CB0B62"/>
    <w:rsid w:val="00CB4DCC"/>
    <w:rsid w:val="00CB5C4D"/>
    <w:rsid w:val="00CC5C90"/>
    <w:rsid w:val="00CC7B52"/>
    <w:rsid w:val="00CD13EB"/>
    <w:rsid w:val="00CE0F35"/>
    <w:rsid w:val="00CE189A"/>
    <w:rsid w:val="00CE2DEF"/>
    <w:rsid w:val="00CE478F"/>
    <w:rsid w:val="00CF0D2B"/>
    <w:rsid w:val="00D020DC"/>
    <w:rsid w:val="00D110C0"/>
    <w:rsid w:val="00D15839"/>
    <w:rsid w:val="00D2177B"/>
    <w:rsid w:val="00D2179E"/>
    <w:rsid w:val="00D259E2"/>
    <w:rsid w:val="00D27AB6"/>
    <w:rsid w:val="00D435E4"/>
    <w:rsid w:val="00D45362"/>
    <w:rsid w:val="00D62F73"/>
    <w:rsid w:val="00D635D5"/>
    <w:rsid w:val="00D6521D"/>
    <w:rsid w:val="00D718D9"/>
    <w:rsid w:val="00D85BAE"/>
    <w:rsid w:val="00D85DE9"/>
    <w:rsid w:val="00D86D4C"/>
    <w:rsid w:val="00D8704E"/>
    <w:rsid w:val="00D875C9"/>
    <w:rsid w:val="00D93796"/>
    <w:rsid w:val="00D968EC"/>
    <w:rsid w:val="00DA6BAA"/>
    <w:rsid w:val="00DB4678"/>
    <w:rsid w:val="00DC0171"/>
    <w:rsid w:val="00DC2EAA"/>
    <w:rsid w:val="00DD0E48"/>
    <w:rsid w:val="00DD34E3"/>
    <w:rsid w:val="00DD5C6D"/>
    <w:rsid w:val="00DE0ACC"/>
    <w:rsid w:val="00DF19A3"/>
    <w:rsid w:val="00DF44F9"/>
    <w:rsid w:val="00E00303"/>
    <w:rsid w:val="00E03339"/>
    <w:rsid w:val="00E04957"/>
    <w:rsid w:val="00E06E0E"/>
    <w:rsid w:val="00E10486"/>
    <w:rsid w:val="00E24D86"/>
    <w:rsid w:val="00E268D0"/>
    <w:rsid w:val="00E346D8"/>
    <w:rsid w:val="00E352EF"/>
    <w:rsid w:val="00E51CBC"/>
    <w:rsid w:val="00E60FE6"/>
    <w:rsid w:val="00E619BD"/>
    <w:rsid w:val="00E6609F"/>
    <w:rsid w:val="00E9154C"/>
    <w:rsid w:val="00E95E88"/>
    <w:rsid w:val="00E96F72"/>
    <w:rsid w:val="00EB39E9"/>
    <w:rsid w:val="00EB633D"/>
    <w:rsid w:val="00EB72F0"/>
    <w:rsid w:val="00EB7513"/>
    <w:rsid w:val="00EC12E4"/>
    <w:rsid w:val="00EC37EC"/>
    <w:rsid w:val="00ED18E1"/>
    <w:rsid w:val="00ED1BBA"/>
    <w:rsid w:val="00ED33D9"/>
    <w:rsid w:val="00ED5730"/>
    <w:rsid w:val="00ED7C44"/>
    <w:rsid w:val="00EE723E"/>
    <w:rsid w:val="00EF09C8"/>
    <w:rsid w:val="00EF3390"/>
    <w:rsid w:val="00EF3D96"/>
    <w:rsid w:val="00EF7909"/>
    <w:rsid w:val="00F01996"/>
    <w:rsid w:val="00F04D6E"/>
    <w:rsid w:val="00F061BE"/>
    <w:rsid w:val="00F062D4"/>
    <w:rsid w:val="00F2184E"/>
    <w:rsid w:val="00F26D7E"/>
    <w:rsid w:val="00F41E03"/>
    <w:rsid w:val="00F44B84"/>
    <w:rsid w:val="00F44C00"/>
    <w:rsid w:val="00F4515E"/>
    <w:rsid w:val="00F51F2F"/>
    <w:rsid w:val="00F52CDA"/>
    <w:rsid w:val="00F56E4A"/>
    <w:rsid w:val="00F6063E"/>
    <w:rsid w:val="00F72EDE"/>
    <w:rsid w:val="00F74413"/>
    <w:rsid w:val="00F753F4"/>
    <w:rsid w:val="00F820C0"/>
    <w:rsid w:val="00F83F58"/>
    <w:rsid w:val="00F85938"/>
    <w:rsid w:val="00F86670"/>
    <w:rsid w:val="00FA1B3D"/>
    <w:rsid w:val="00FA3333"/>
    <w:rsid w:val="00FB1183"/>
    <w:rsid w:val="00FB344B"/>
    <w:rsid w:val="00FB35EB"/>
    <w:rsid w:val="00FC5FC3"/>
    <w:rsid w:val="00FC6BED"/>
    <w:rsid w:val="00FD1DDB"/>
    <w:rsid w:val="00FD4AFB"/>
    <w:rsid w:val="00FD75D8"/>
    <w:rsid w:val="00FE43E5"/>
    <w:rsid w:val="00FE5600"/>
    <w:rsid w:val="00FF4A1B"/>
    <w:rsid w:val="00FF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BF6FCE"/>
  <w15:chartTrackingRefBased/>
  <w15:docId w15:val="{031D8B10-415C-425D-B019-D55775F5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color w:val="595959" w:themeColor="text1" w:themeTint="A6"/>
        <w:sz w:val="24"/>
        <w:szCs w:val="22"/>
        <w:lang w:val="en-US" w:eastAsia="en-US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0" w:unhideWhenUsed="1" w:qFormat="1"/>
    <w:lsdException w:name="List Number" w:semiHidden="1" w:uiPriority="1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2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3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3D0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D0D"/>
    <w:pPr>
      <w:keepNext/>
      <w:keepLines/>
      <w:spacing w:before="600" w:after="60"/>
      <w:contextualSpacing/>
      <w:outlineLvl w:val="0"/>
    </w:pPr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33D0D"/>
    <w:pPr>
      <w:keepNext/>
      <w:keepLines/>
      <w:spacing w:before="240" w:after="0"/>
      <w:contextualSpacing/>
      <w:outlineLvl w:val="1"/>
    </w:pPr>
    <w:rPr>
      <w:rFonts w:asciiTheme="majorHAnsi" w:eastAsiaTheme="majorEastAsia" w:hAnsiTheme="majorHAnsi" w:cstheme="majorBidi"/>
      <w:caps/>
      <w:color w:val="007789" w:themeColor="accent1" w:themeShade="BF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54C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4F5B" w:themeColor="accent1" w:themeShade="7F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54C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004F5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54C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54C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54C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0D"/>
    <w:rPr>
      <w:rFonts w:asciiTheme="majorHAnsi" w:eastAsiaTheme="majorEastAsia" w:hAnsiTheme="majorHAnsi" w:cstheme="majorBidi"/>
      <w:color w:val="007789" w:themeColor="accent1" w:themeShade="BF"/>
      <w:sz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33D0D"/>
    <w:rPr>
      <w:rFonts w:asciiTheme="majorHAnsi" w:eastAsiaTheme="majorEastAsia" w:hAnsiTheme="majorHAnsi" w:cstheme="majorBidi"/>
      <w:caps/>
      <w:color w:val="007789" w:themeColor="accent1" w:themeShade="BF"/>
      <w:sz w:val="24"/>
    </w:rPr>
  </w:style>
  <w:style w:type="paragraph" w:customStyle="1" w:styleId="ContactInfo">
    <w:name w:val="Contact Info"/>
    <w:basedOn w:val="Normal"/>
    <w:uiPriority w:val="4"/>
    <w:qFormat/>
    <w:rsid w:val="00C6554A"/>
    <w:pPr>
      <w:spacing w:before="0" w:after="0"/>
      <w:jc w:val="center"/>
    </w:pPr>
  </w:style>
  <w:style w:type="paragraph" w:styleId="ListBullet">
    <w:name w:val="List Bullet"/>
    <w:basedOn w:val="Normal"/>
    <w:uiPriority w:val="10"/>
    <w:unhideWhenUsed/>
    <w:qFormat/>
    <w:rsid w:val="00C6554A"/>
    <w:pPr>
      <w:numPr>
        <w:numId w:val="4"/>
      </w:numPr>
    </w:pPr>
  </w:style>
  <w:style w:type="paragraph" w:styleId="Title">
    <w:name w:val="Title"/>
    <w:basedOn w:val="Normal"/>
    <w:link w:val="TitleChar"/>
    <w:uiPriority w:val="2"/>
    <w:unhideWhenUsed/>
    <w:qFormat/>
    <w:rsid w:val="00333D0D"/>
    <w:pPr>
      <w:spacing w:before="480" w:after="40" w:line="240" w:lineRule="auto"/>
      <w:contextualSpacing/>
      <w:jc w:val="center"/>
    </w:pPr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2"/>
    <w:rsid w:val="00333D0D"/>
    <w:rPr>
      <w:rFonts w:asciiTheme="majorHAnsi" w:eastAsiaTheme="majorEastAsia" w:hAnsiTheme="majorHAnsi" w:cstheme="majorBidi"/>
      <w:color w:val="007789" w:themeColor="accent1" w:themeShade="BF"/>
      <w:kern w:val="28"/>
      <w:sz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333D0D"/>
    <w:pPr>
      <w:numPr>
        <w:ilvl w:val="1"/>
      </w:numPr>
      <w:spacing w:before="0" w:after="480"/>
      <w:contextualSpacing/>
      <w:jc w:val="center"/>
    </w:pPr>
    <w:rPr>
      <w:rFonts w:asciiTheme="majorHAnsi" w:eastAsiaTheme="majorEastAsia" w:hAnsiTheme="majorHAnsi" w:cstheme="majorBidi"/>
      <w:caps/>
      <w:sz w:val="26"/>
    </w:rPr>
  </w:style>
  <w:style w:type="character" w:customStyle="1" w:styleId="SubtitleChar">
    <w:name w:val="Subtitle Char"/>
    <w:basedOn w:val="DefaultParagraphFont"/>
    <w:link w:val="Subtitle"/>
    <w:uiPriority w:val="3"/>
    <w:rsid w:val="00333D0D"/>
    <w:rPr>
      <w:rFonts w:asciiTheme="majorHAnsi" w:eastAsiaTheme="majorEastAsia" w:hAnsiTheme="majorHAnsi" w:cstheme="majorBidi"/>
      <w:caps/>
      <w:sz w:val="26"/>
    </w:rPr>
  </w:style>
  <w:style w:type="paragraph" w:styleId="Footer">
    <w:name w:val="footer"/>
    <w:basedOn w:val="Normal"/>
    <w:link w:val="FooterChar"/>
    <w:uiPriority w:val="99"/>
    <w:unhideWhenUsed/>
    <w:rsid w:val="00C6554A"/>
    <w:pPr>
      <w:spacing w:before="0" w:after="0" w:line="240" w:lineRule="auto"/>
      <w:jc w:val="right"/>
    </w:pPr>
    <w:rPr>
      <w:caps/>
    </w:rPr>
  </w:style>
  <w:style w:type="character" w:customStyle="1" w:styleId="FooterChar">
    <w:name w:val="Footer Char"/>
    <w:basedOn w:val="DefaultParagraphFont"/>
    <w:link w:val="Footer"/>
    <w:uiPriority w:val="99"/>
    <w:rsid w:val="00C6554A"/>
    <w:rPr>
      <w:caps/>
    </w:rPr>
  </w:style>
  <w:style w:type="paragraph" w:customStyle="1" w:styleId="Photo">
    <w:name w:val="Photo"/>
    <w:basedOn w:val="Normal"/>
    <w:uiPriority w:val="1"/>
    <w:qFormat/>
    <w:rsid w:val="00C6554A"/>
    <w:pPr>
      <w:spacing w:before="0" w:after="0" w:line="240" w:lineRule="auto"/>
      <w:jc w:val="center"/>
    </w:pPr>
  </w:style>
  <w:style w:type="paragraph" w:styleId="Header">
    <w:name w:val="header"/>
    <w:basedOn w:val="Normal"/>
    <w:link w:val="HeaderChar"/>
    <w:uiPriority w:val="99"/>
    <w:unhideWhenUsed/>
    <w:rsid w:val="00C6554A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554A"/>
    <w:rPr>
      <w:color w:val="595959" w:themeColor="text1" w:themeTint="A6"/>
      <w:sz w:val="20"/>
      <w:szCs w:val="20"/>
      <w:lang w:eastAsia="ja-JP"/>
    </w:rPr>
  </w:style>
  <w:style w:type="paragraph" w:styleId="ListNumber">
    <w:name w:val="List Number"/>
    <w:basedOn w:val="Normal"/>
    <w:uiPriority w:val="11"/>
    <w:unhideWhenUsed/>
    <w:qFormat/>
    <w:rsid w:val="00C6554A"/>
    <w:pPr>
      <w:numPr>
        <w:numId w:val="3"/>
      </w:numPr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6554A"/>
    <w:rPr>
      <w:rFonts w:asciiTheme="majorHAnsi" w:eastAsiaTheme="majorEastAsia" w:hAnsiTheme="majorHAnsi" w:cstheme="majorBidi"/>
      <w:color w:val="004F5B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554A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554A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C6554A"/>
    <w:rPr>
      <w:i/>
      <w:iCs/>
      <w:color w:val="007789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6554A"/>
    <w:pPr>
      <w:pBdr>
        <w:top w:val="single" w:sz="4" w:space="10" w:color="007789" w:themeColor="accent1" w:themeShade="BF"/>
        <w:bottom w:val="single" w:sz="4" w:space="10" w:color="007789" w:themeColor="accent1" w:themeShade="BF"/>
      </w:pBdr>
      <w:spacing w:before="360" w:after="360"/>
      <w:ind w:left="864" w:right="864"/>
      <w:jc w:val="center"/>
    </w:pPr>
    <w:rPr>
      <w:i/>
      <w:iCs/>
      <w:color w:val="007789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C6554A"/>
    <w:rPr>
      <w:i/>
      <w:iCs/>
      <w:color w:val="007789" w:themeColor="accent1" w:themeShade="BF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C6554A"/>
    <w:rPr>
      <w:b/>
      <w:bCs/>
      <w:caps w:val="0"/>
      <w:smallCaps/>
      <w:color w:val="007789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C6554A"/>
    <w:pPr>
      <w:spacing w:before="0" w:line="240" w:lineRule="auto"/>
    </w:pPr>
    <w:rPr>
      <w:i/>
      <w:iCs/>
      <w:color w:val="4E5B6F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54A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C6554A"/>
    <w:pPr>
      <w:pBdr>
        <w:top w:val="single" w:sz="2" w:space="10" w:color="007789" w:themeColor="accent1" w:themeShade="BF"/>
        <w:left w:val="single" w:sz="2" w:space="10" w:color="007789" w:themeColor="accent1" w:themeShade="BF"/>
        <w:bottom w:val="single" w:sz="2" w:space="10" w:color="007789" w:themeColor="accent1" w:themeShade="BF"/>
        <w:right w:val="single" w:sz="2" w:space="10" w:color="007789" w:themeColor="accent1" w:themeShade="BF"/>
      </w:pBdr>
      <w:ind w:left="1152" w:right="1152"/>
    </w:pPr>
    <w:rPr>
      <w:rFonts w:eastAsiaTheme="minorEastAsia"/>
      <w:i/>
      <w:iCs/>
      <w:color w:val="007789" w:themeColor="accent1" w:themeShade="BF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C6554A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554A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6554A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6554A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C6554A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554A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554A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554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554A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C6554A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6554A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6554A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C6554A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C6554A"/>
    <w:rPr>
      <w:color w:val="007789" w:themeColor="accent1" w:themeShade="B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554A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554A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6554A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C6554A"/>
    <w:rPr>
      <w:rFonts w:ascii="Consolas" w:hAnsi="Consolas"/>
      <w:sz w:val="22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C6554A"/>
    <w:rPr>
      <w:color w:val="835D00" w:themeColor="accent3" w:themeShade="80"/>
      <w:u w:val="single"/>
    </w:rPr>
  </w:style>
  <w:style w:type="paragraph" w:styleId="MacroText">
    <w:name w:val="macro"/>
    <w:link w:val="MacroTextChar"/>
    <w:uiPriority w:val="99"/>
    <w:semiHidden/>
    <w:unhideWhenUsed/>
    <w:rsid w:val="00C6554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C6554A"/>
    <w:rPr>
      <w:rFonts w:ascii="Consolas" w:hAnsi="Consolas"/>
      <w:szCs w:val="20"/>
    </w:rPr>
  </w:style>
  <w:style w:type="character" w:styleId="PlaceholderText">
    <w:name w:val="Placeholder Text"/>
    <w:basedOn w:val="DefaultParagraphFont"/>
    <w:uiPriority w:val="99"/>
    <w:semiHidden/>
    <w:rsid w:val="00C6554A"/>
    <w:rPr>
      <w:color w:val="595959" w:themeColor="text1" w:themeTint="A6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6554A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6554A"/>
    <w:rPr>
      <w:rFonts w:ascii="Consolas" w:hAnsi="Consolas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54CD"/>
    <w:rPr>
      <w:rFonts w:asciiTheme="majorHAnsi" w:eastAsiaTheme="majorEastAsia" w:hAnsiTheme="majorHAnsi" w:cstheme="majorBidi"/>
      <w:i/>
      <w:iCs/>
      <w:color w:val="004F5B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54CD"/>
    <w:rPr>
      <w:rFonts w:asciiTheme="majorHAnsi" w:eastAsiaTheme="majorEastAsia" w:hAnsiTheme="majorHAnsi" w:cstheme="majorBidi"/>
      <w:color w:val="004F5B" w:themeColor="accent1" w:themeShade="7F"/>
    </w:rPr>
  </w:style>
  <w:style w:type="paragraph" w:styleId="NormalWeb">
    <w:name w:val="Normal (Web)"/>
    <w:basedOn w:val="Normal"/>
    <w:uiPriority w:val="99"/>
    <w:unhideWhenUsed/>
    <w:rsid w:val="00735FD3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en-GB"/>
    </w:rPr>
  </w:style>
  <w:style w:type="paragraph" w:styleId="ListParagraph">
    <w:name w:val="List Paragraph"/>
    <w:basedOn w:val="Normal"/>
    <w:uiPriority w:val="34"/>
    <w:unhideWhenUsed/>
    <w:qFormat/>
    <w:rsid w:val="004F746C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C36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8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3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4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9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6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3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9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5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cki\AppData\Roaming\Microsoft\Templates\Student%20report%20with%20cover%20photo.dotx" TargetMode="External"/></Relationships>
</file>

<file path=word/theme/theme1.xml><?xml version="1.0" encoding="utf-8"?>
<a:theme xmlns:a="http://schemas.openxmlformats.org/drawingml/2006/main" name="Theme1">
  <a:themeElements>
    <a:clrScheme name="Report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00A0B8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Sta18</b:Tag>
    <b:SourceType>Report</b:SourceType>
    <b:Guid>{ADE37424-1B6D-4A9E-98EE-44B6E8084C2A}</b:Guid>
    <b:Title>Annual Population Survey Estimates of persons aged 3 and over who say they can speak Welsh by local authority and measure.</b:Title>
    <b:Year>2018</b:Year>
    <b:Author>
      <b:Author>
        <b:Corporate>Stats Wales</b:Corporate>
      </b:Author>
    </b:Author>
    <b:Publisher>Stats Wales</b:Publisher>
    <b:City>https://statswales.gov.wales/Catalogue/Welsh-Language/annualpopulationsurveyestimatesofpersonsaged3andoverwhosaytheycanspeakwelsh-by-localauthority-measure  Accessed 28/01/2018</b:City>
    <b:RefOrder>9</b:RefOrder>
  </b:Source>
  <b:Source>
    <b:Tag>Wel171</b:Tag>
    <b:SourceType>Report</b:SourceType>
    <b:Guid>{AA416686-7F7E-462F-9410-83390ED2BBCD}</b:Guid>
    <b:Author>
      <b:Author>
        <b:Corporate>Welsh Government</b:Corporate>
      </b:Author>
    </b:Author>
    <b:Title>Ambitious plans to almost double the number of Welsh speakers launched.</b:Title>
    <b:Year>2017</b:Year>
    <b:Publisher>Welsh Government</b:Publisher>
    <b:City>https://gov.wales/newsroom/welshlanguage/2017/ambitious-plans-to-almost-double-the-number-of-welsh-speakers-launched/?lang=en; Accessed 29/01/2019</b:City>
    <b:RefOrder>6</b:RefOrder>
  </b:Source>
  <b:Source>
    <b:Tag>Sta15</b:Tag>
    <b:SourceType>Report</b:SourceType>
    <b:Guid>{FA4C2D49-7BCA-45A5-A789-7BF7785EB111}</b:Guid>
    <b:Author>
      <b:Author>
        <b:Corporate>Stats Wales</b:Corporate>
      </b:Author>
    </b:Author>
    <b:Title>Annual population survey estimates of persons aged 3 and over who they can speak Welsh by local authority and measure.</b:Title>
    <b:Year>2015</b:Year>
    <b:Publisher>Stats Wales</b:Publisher>
    <b:City>https://statswales.gov.wales/Catalogue/Welsh-Language/annualpopulationsurveyestimatesofpersonsaged3andoverwhosaytheycanspeakwelsh-by-localauthority-measure; Accessed: 28/01/2019</b:City>
    <b:RefOrder>1</b:RefOrder>
  </b:Source>
  <b:Source>
    <b:Tag>Cen19</b:Tag>
    <b:SourceType>Report</b:SourceType>
    <b:Guid>{8B3B766D-1770-47BC-A5D8-1B37C3962859}</b:Guid>
    <b:Title>Dr. Allen B.I. Bernardo</b:Title>
    <b:Year>2019</b:Year>
    <b:Author>
      <b:Author>
        <b:Corporate>Centre for Applied Cross-cultural Research.</b:Corporate>
      </b:Author>
    </b:Author>
    <b:Publisher>Victorial University of Wellington</b:Publisher>
    <b:City>https://www.victoria.ac.nz/cacr/aasp-archived/executive-committee/allan-b.-i.-bernardo; Accessed: 25/01/2019</b:City>
    <b:RefOrder>3</b:RefOrder>
  </b:Source>
  <b:Source>
    <b:Tag>Aca19</b:Tag>
    <b:SourceType>Report</b:SourceType>
    <b:Guid>{2262CB74-2DC5-4451-9F42-4B13A9B3E080}</b:Guid>
    <b:Author>
      <b:Author>
        <b:Corporate>Academia</b:Corporate>
      </b:Author>
    </b:Author>
    <b:Title>Marianne Jennifer Gaerlan</b:Title>
    <b:Year>2019</b:Year>
    <b:Publisher>Academia</b:Publisher>
    <b:City>http://dlsu.academia.edu/MarianneJenniferGaerlan ; Accessed: 25/01/2019</b:City>
    <b:RefOrder>4</b:RefOrder>
  </b:Source>
  <b:Source>
    <b:Tag>Sle11</b:Tag>
    <b:SourceType>JournalArticle</b:SourceType>
    <b:Guid>{0574A74E-16AC-47C2-BB10-734680327C29}</b:Guid>
    <b:Title>An agenda to strengthen culturally responsive pedagogy.</b:Title>
    <b:Year>2011</b:Year>
    <b:Author>
      <b:Author>
        <b:NameList>
          <b:Person>
            <b:Last>Sleeter</b:Last>
            <b:First>C.E.</b:First>
          </b:Person>
        </b:NameList>
      </b:Author>
    </b:Author>
    <b:JournalName>English Teaching: Practice and Critique</b:JournalName>
    <b:Pages>7-23</b:Pages>
    <b:Volume>10</b:Volume>
    <b:Issue>2</b:Issue>
    <b:RefOrder>5</b:RefOrder>
  </b:Source>
  <b:Source>
    <b:Tag>Bia10</b:Tag>
    <b:SourceType>JournalArticle</b:SourceType>
    <b:Guid>{DA29A8CA-0220-4654-A770-F3160FB8CB85}</b:Guid>
    <b:Author>
      <b:Author>
        <b:NameList>
          <b:Person>
            <b:Last>Bialystok</b:Last>
            <b:First>E.</b:First>
          </b:Person>
        </b:NameList>
      </b:Author>
    </b:Author>
    <b:Title>Global-local and trail-making task by monolingual and bilingual children: Beyond Inhibition</b:Title>
    <b:JournalName>Developmental Psychology</b:JournalName>
    <b:Year>2010</b:Year>
    <b:Pages>93-105</b:Pages>
    <b:Volume>46</b:Volume>
    <b:RefOrder>10</b:RefOrder>
  </b:Source>
  <b:Source>
    <b:Tag>Bia98</b:Tag>
    <b:SourceType>JournalArticle</b:SourceType>
    <b:Guid>{FBFC93A2-7F14-4400-98CE-734B7F62AF75}</b:Guid>
    <b:Author>
      <b:Author>
        <b:NameList>
          <b:Person>
            <b:Last>Bialystok</b:Last>
            <b:First>E.</b:First>
          </b:Person>
          <b:Person>
            <b:Last>Majumder</b:Last>
            <b:First>S.</b:First>
          </b:Person>
        </b:NameList>
      </b:Author>
    </b:Author>
    <b:Title>The relationship between bilingualism and the development of cognitive processes in problem solving.</b:Title>
    <b:JournalName>Applied Psycholinguistics</b:JournalName>
    <b:Year>1998</b:Year>
    <b:Pages>69-85</b:Pages>
    <b:Volume>19</b:Volume>
    <b:RefOrder>11</b:RefOrder>
  </b:Source>
  <b:Source>
    <b:Tag>Blo03</b:Tag>
    <b:SourceType>JournalArticle</b:SourceType>
    <b:Guid>{6E8F07D2-2732-4CA1-A862-DF943D081059}</b:Guid>
    <b:Author>
      <b:Author>
        <b:NameList>
          <b:Person>
            <b:Last>Blot</b:Last>
            <b:First>K.J.</b:First>
          </b:Person>
          <b:Person>
            <b:Last>Zarate</b:Last>
            <b:First>M.A.</b:First>
          </b:Person>
          <b:Person>
            <b:Last>Paulus</b:Last>
            <b:First>P.B.</b:First>
          </b:Person>
        </b:NameList>
      </b:Author>
    </b:Author>
    <b:Title>Code-switching across brainstorming sessions: Implincations for the revised hierarchical model of bilingual language processing.</b:Title>
    <b:JournalName>Experimental Psychology</b:JournalName>
    <b:Year>2003</b:Year>
    <b:Pages>171-180</b:Pages>
    <b:Volume>50</b:Volume>
    <b:Issue>3</b:Issue>
    <b:RefOrder>12</b:RefOrder>
  </b:Source>
  <b:Source>
    <b:Tag>ESR14</b:Tag>
    <b:SourceType>Report</b:SourceType>
    <b:Guid>{E7486451-A68F-4A87-B679-F297609E33F4}</b:Guid>
    <b:Title>Dynamics of Diversity: Evidence from the 2011 Census. Who identifies as Welsh? National identities and ethinicity in Wales.</b:Title>
    <b:Year>2014</b:Year>
    <b:Author>
      <b:Author>
        <b:Corporate>ESRC Centre of Dynamics of Ethnicity</b:Corporate>
      </b:Author>
    </b:Author>
    <b:Publisher>University of Manchester</b:Publisher>
    <b:City>http://hummedia.manchester.ac.uk/institutes/code/briefings/dynamicsofdiversity/code-census-briefing-national-identity-wales.pdf ; Accessed: 30/01/2019</b:City>
    <b:RefOrder>7</b:RefOrder>
  </b:Source>
  <b:Source>
    <b:Tag>Fir97</b:Tag>
    <b:SourceType>JournalArticle</b:SourceType>
    <b:Guid>{4BC731C2-087A-4337-860B-EB2156F07004}</b:Guid>
    <b:Title>On discourse, communication, and (some) fundamental concepts in SLA research.</b:Title>
    <b:Year>1997</b:Year>
    <b:Author>
      <b:Author>
        <b:NameList>
          <b:Person>
            <b:Last>Firth</b:Last>
            <b:First>A.</b:First>
          </b:Person>
          <b:Person>
            <b:Last>Wagner</b:Last>
            <b:First>J.</b:First>
          </b:Person>
        </b:NameList>
      </b:Author>
    </b:Author>
    <b:JournalName>The Modern Language Journal</b:JournalName>
    <b:Pages>237-259</b:Pages>
    <b:Volume>81</b:Volume>
    <b:RefOrder>13</b:RefOrder>
  </b:Source>
  <b:Source>
    <b:Tag>Lar07</b:Tag>
    <b:SourceType>JournalArticle</b:SourceType>
    <b:Guid>{DCD07942-A433-42BB-B4B2-4A483D1EDAC6}</b:Guid>
    <b:Author>
      <b:Author>
        <b:NameList>
          <b:Person>
            <b:Last>Larsen-Fremman</b:Last>
            <b:First>D.</b:First>
          </b:Person>
        </b:NameList>
      </b:Author>
    </b:Author>
    <b:Title>Reflecting on the cognitive-social debate in second language acquisition.</b:Title>
    <b:JournalName>The Modern Language Journal</b:JournalName>
    <b:Year>2007</b:Year>
    <b:Pages>773-787</b:Pages>
    <b:Volume>91</b:Volume>
    <b:RefOrder>14</b:RefOrder>
  </b:Source>
  <b:Source>
    <b:Tag>Lon07</b:Tag>
    <b:SourceType>Book</b:SourceType>
    <b:Guid>{8724AF23-40B0-499D-8D56-384B57824388}</b:Guid>
    <b:Title>Problems in SLA.</b:Title>
    <b:Year>2007</b:Year>
    <b:Author>
      <b:Author>
        <b:NameList>
          <b:Person>
            <b:Last>Long</b:Last>
            <b:First>M.</b:First>
          </b:Person>
        </b:NameList>
      </b:Author>
    </b:Author>
    <b:City>Mahwah, NJ</b:City>
    <b:Publisher>Erlbaum</b:Publisher>
    <b:RefOrder>15</b:RefOrder>
  </b:Source>
  <b:Source>
    <b:Tag>Zue06</b:Tag>
    <b:SourceType>JournalArticle</b:SourceType>
    <b:Guid>{6038024F-A338-4082-9987-F0F99AEE9A41}</b:Guid>
    <b:Title>Cognitive and sociocultural perspectives: Two parallel worlds?</b:Title>
    <b:Year>2006</b:Year>
    <b:Author>
      <b:Author>
        <b:NameList>
          <b:Person>
            <b:Last>Zuengler</b:Last>
            <b:First>J.</b:First>
          </b:Person>
          <b:Person>
            <b:Last>Miller</b:Last>
            <b:First>E.</b:First>
          </b:Person>
        </b:NameList>
      </b:Author>
    </b:Author>
    <b:JournalName>TESOL Quarterly</b:JournalName>
    <b:Pages>35-58</b:Pages>
    <b:Volume>40</b:Volume>
    <b:RefOrder>16</b:RefOrder>
  </b:Source>
  <b:Source>
    <b:Tag>Ber11</b:Tag>
    <b:SourceType>BookSection</b:SourceType>
    <b:Guid>{15315CF5-575D-42B3-A8D0-4CBD6C884134}</b:Guid>
    <b:Title>Non-Native English Students Learning in English: Reviewing and Reflecting on the Research.</b:Title>
    <b:Year>2011</b:Year>
    <b:Author>
      <b:Author>
        <b:NameList>
          <b:Person>
            <b:Last>Bernardo</b:Last>
            <b:First>A.B.I.</b:First>
          </b:Person>
          <b:Person>
            <b:Last>Gaerlan</b:Last>
            <b:First>M.J.M.</b:First>
          </b:Person>
        </b:NameList>
      </b:Author>
      <b:Editor>
        <b:NameList>
          <b:Person>
            <b:Last>Jaidey</b:Last>
            <b:First>R.</b:First>
          </b:Person>
          <b:Person>
            <b:Last>Sadorra</b:Last>
            <b:First>M.L.C.</b:First>
          </b:Person>
          <b:Person>
            <b:Last>Wong</b:Last>
            <b:First>J.O.</b:First>
          </b:Person>
          <b:Person>
            <b:Last>Lee</b:Last>
            <b:First>M.C.</b:First>
          </b:Person>
          <b:Person>
            <b:Last>Lorente</b:Last>
            <b:First>M.C.</b:First>
          </b:Person>
        </b:NameList>
      </b:Editor>
    </b:Author>
    <b:JournalName>Global perspectives, local initiatives: Reflections and practices in ELT.</b:JournalName>
    <b:Pages>1-9</b:Pages>
    <b:BookTitle>Global perspectives, local initiatives: Reflections and practices in ELT.</b:BookTitle>
    <b:Publisher>University of Singapore</b:Publisher>
    <b:RefOrder>2</b:RefOrder>
  </b:Source>
  <b:Source>
    <b:Tag>Wen98</b:Tag>
    <b:SourceType>Book</b:SourceType>
    <b:Guid>{A68AB468-42A7-460F-8BD5-BAF71B3EE89B}</b:Guid>
    <b:Title>Communities of practice: Learning, meaning, and identity.</b:Title>
    <b:Year>1998</b:Year>
    <b:City>Cambridge</b:City>
    <b:Publisher>Cambridge University Press</b:Publisher>
    <b:Author>
      <b:Author>
        <b:NameList>
          <b:Person>
            <b:Last>Wenger</b:Last>
            <b:First>E.</b:First>
          </b:Person>
        </b:NameList>
      </b:Author>
    </b:Author>
    <b:RefOrder>17</b:RefOrder>
  </b:Source>
  <b:Source>
    <b:Tag>Shu17</b:Tag>
    <b:SourceType>JournalArticle</b:SourceType>
    <b:Guid>{42B4588A-71FC-4B2C-8A6F-5D0040F0BA09}</b:Guid>
    <b:Title>Student Teachers' Perceptions of Second Language Teaching in the CBL Program: Identity construction and development.</b:Title>
    <b:Year>2017</b:Year>
    <b:Author>
      <b:Author>
        <b:NameList>
          <b:Person>
            <b:Last>Shu-Fen</b:Last>
            <b:First>Y.</b:First>
          </b:Person>
        </b:NameList>
      </b:Author>
    </b:Author>
    <b:JournalName>Advances in Language and Literary Studies</b:JournalName>
    <b:Pages>21-28</b:Pages>
    <b:Volume>8</b:Volume>
    <b:Issue>4</b:Issue>
    <b:RefOrder>18</b:RefOrder>
  </b:Source>
  <b:Source>
    <b:Tag>Vyg78</b:Tag>
    <b:SourceType>Book</b:SourceType>
    <b:Guid>{A3FE2667-53FE-4F37-92B3-C51A4A43B730}</b:Guid>
    <b:Title>Mind and society: The development of higher mental processes.</b:Title>
    <b:Year>1978</b:Year>
    <b:Author>
      <b:Author>
        <b:NameList>
          <b:Person>
            <b:Last>Vygotsky</b:Last>
            <b:First>L.S.</b:First>
          </b:Person>
        </b:NameList>
      </b:Author>
    </b:Author>
    <b:City>Cambrige, MA.</b:City>
    <b:Publisher>Harvard University Press</b:Publisher>
    <b:RefOrder>19</b:RefOrder>
  </b:Source>
  <b:Source>
    <b:Tag>McM97</b:Tag>
    <b:SourceType>ConferenceProceedings</b:SourceType>
    <b:Guid>{9E3F447C-04F3-4862-9C0A-1B8937119A63}</b:Guid>
    <b:Title>Social Constructivism and the World Wide Web- A Paradigm for Learning</b:Title>
    <b:Year>1997</b:Year>
    <b:City>Perth, Australia</b:City>
    <b:Publisher>ASCILITE conference</b:Publisher>
    <b:Author>
      <b:Author>
        <b:NameList>
          <b:Person>
            <b:Last>McMahon</b:Last>
            <b:First>M.</b:First>
          </b:Person>
        </b:NameList>
      </b:Author>
    </b:Author>
    <b:RefOrder>20</b:RefOrder>
  </b:Source>
  <b:Source>
    <b:Tag>Ufo99</b:Tag>
    <b:SourceType>JournalArticle</b:SourceType>
    <b:Guid>{AC1C5B1A-F751-41AA-8B81-52252EE54CBE}</b:Guid>
    <b:Author>
      <b:Author>
        <b:NameList>
          <b:Person>
            <b:Last>Ufomata</b:Last>
            <b:First>T.</b:First>
          </b:Person>
        </b:NameList>
      </b:Author>
    </b:Author>
    <b:Title>Major and minor languages in complex linguistic ecologies: the Nigerian Experience.</b:Title>
    <b:JournalName>International Journal of Educational Development</b:JournalName>
    <b:Year>1999</b:Year>
    <b:Pages>315-322</b:Pages>
    <b:Volume>19</b:Volume>
    <b:Issue>4-5</b:Issue>
    <b:RefOrder>8</b:RefOrder>
  </b:Source>
</b:Sources>
</file>

<file path=customXml/itemProps1.xml><?xml version="1.0" encoding="utf-8"?>
<ds:datastoreItem xmlns:ds="http://schemas.openxmlformats.org/officeDocument/2006/customXml" ds:itemID="{525B3701-CF02-47C3-8A45-8C6197960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Student report with cover photo</Template>
  <TotalTime>1</TotalTime>
  <Pages>10</Pages>
  <Words>2621</Words>
  <Characters>14945</Characters>
  <Application>Microsoft Office Word</Application>
  <DocSecurity>0</DocSecurity>
  <Lines>124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Burke</dc:creator>
  <cp:keywords/>
  <dc:description/>
  <cp:lastModifiedBy>Jacqueline Burke (1602454)</cp:lastModifiedBy>
  <cp:revision>2</cp:revision>
  <dcterms:created xsi:type="dcterms:W3CDTF">2019-02-04T13:38:00Z</dcterms:created>
  <dcterms:modified xsi:type="dcterms:W3CDTF">2019-02-04T13:38:00Z</dcterms:modified>
</cp:coreProperties>
</file>