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1447479"/>
        <w:docPartObj>
          <w:docPartGallery w:val="Cover Pages"/>
          <w:docPartUnique/>
        </w:docPartObj>
      </w:sdtPr>
      <w:sdtContent>
        <w:p w14:paraId="7CFA3FF9" w14:textId="723EC505" w:rsidR="00CD6B8E" w:rsidRDefault="00CD6B8E">
          <w:r>
            <w:rPr>
              <w:noProof/>
            </w:rPr>
            <mc:AlternateContent>
              <mc:Choice Requires="wpg">
                <w:drawing>
                  <wp:anchor distT="0" distB="0" distL="114300" distR="114300" simplePos="0" relativeHeight="251662336" behindDoc="0" locked="0" layoutInCell="1" allowOverlap="1" wp14:anchorId="2775311D" wp14:editId="55E9F0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B27CB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BDB128" wp14:editId="2A4208E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ap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A0A3C3" w14:textId="5F122501" w:rsidR="00FA08E5" w:rsidRPr="00CD6B8E" w:rsidRDefault="00FA08E5" w:rsidP="00CD6B8E">
                                    <w:pPr>
                                      <w:pStyle w:val="NoSpacing"/>
                                      <w:jc w:val="right"/>
                                      <w:rPr>
                                        <w:rFonts w:cstheme="minorHAnsi"/>
                                        <w:color w:val="595959" w:themeColor="text1" w:themeTint="A6"/>
                                        <w:sz w:val="28"/>
                                        <w:szCs w:val="28"/>
                                      </w:rPr>
                                    </w:pPr>
                                    <w:r w:rsidRPr="00CD6B8E">
                                      <w:rPr>
                                        <w:rFonts w:cstheme="minorHAnsi"/>
                                        <w:color w:val="595959" w:themeColor="text1" w:themeTint="A6"/>
                                        <w:sz w:val="24"/>
                                        <w:szCs w:val="24"/>
                                      </w:rPr>
                                      <w:t>Corporate Governance and Social Responsibility</w:t>
                                    </w:r>
                                  </w:p>
                                </w:sdtContent>
                              </w:sdt>
                              <w:p w14:paraId="5BB71C0C" w14:textId="4CF046E6" w:rsidR="00FA08E5" w:rsidRPr="00CD6B8E" w:rsidRDefault="00FA08E5">
                                <w:pPr>
                                  <w:pStyle w:val="NoSpacing"/>
                                  <w:jc w:val="right"/>
                                  <w:rPr>
                                    <w:rFonts w:cstheme="minorHAnsi"/>
                                    <w:color w:val="595959" w:themeColor="text1" w:themeTint="A6"/>
                                    <w:sz w:val="18"/>
                                    <w:szCs w:val="18"/>
                                  </w:rPr>
                                </w:pPr>
                                <w:sdt>
                                  <w:sdtPr>
                                    <w:rPr>
                                      <w:rFonts w:cstheme="minorHAnsi"/>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CD6B8E">
                                      <w:rPr>
                                        <w:rFonts w:cstheme="minorHAnsi"/>
                                        <w:color w:val="595959" w:themeColor="text1" w:themeTint="A6"/>
                                        <w:sz w:val="24"/>
                                        <w:szCs w:val="24"/>
                                      </w:rPr>
                                      <w:t xml:space="preserve">Manjit </w:t>
                                    </w:r>
                                    <w:proofErr w:type="spellStart"/>
                                    <w:r w:rsidRPr="00CD6B8E">
                                      <w:rPr>
                                        <w:rFonts w:cstheme="minorHAnsi"/>
                                        <w:color w:val="595959" w:themeColor="text1" w:themeTint="A6"/>
                                        <w:sz w:val="24"/>
                                        <w:szCs w:val="24"/>
                                      </w:rPr>
                                      <w:t>Biant</w:t>
                                    </w:r>
                                    <w:proofErr w:type="spell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BDB12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cstheme="minorHAnsi"/>
                              <w:cap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A0A3C3" w14:textId="5F122501" w:rsidR="00FA08E5" w:rsidRPr="00CD6B8E" w:rsidRDefault="00FA08E5" w:rsidP="00CD6B8E">
                              <w:pPr>
                                <w:pStyle w:val="NoSpacing"/>
                                <w:jc w:val="right"/>
                                <w:rPr>
                                  <w:rFonts w:cstheme="minorHAnsi"/>
                                  <w:color w:val="595959" w:themeColor="text1" w:themeTint="A6"/>
                                  <w:sz w:val="28"/>
                                  <w:szCs w:val="28"/>
                                </w:rPr>
                              </w:pPr>
                              <w:r w:rsidRPr="00CD6B8E">
                                <w:rPr>
                                  <w:rFonts w:cstheme="minorHAnsi"/>
                                  <w:color w:val="595959" w:themeColor="text1" w:themeTint="A6"/>
                                  <w:sz w:val="24"/>
                                  <w:szCs w:val="24"/>
                                </w:rPr>
                                <w:t>Corporate Governance and Social Responsibility</w:t>
                              </w:r>
                            </w:p>
                          </w:sdtContent>
                        </w:sdt>
                        <w:p w14:paraId="5BB71C0C" w14:textId="4CF046E6" w:rsidR="00FA08E5" w:rsidRPr="00CD6B8E" w:rsidRDefault="00FA08E5">
                          <w:pPr>
                            <w:pStyle w:val="NoSpacing"/>
                            <w:jc w:val="right"/>
                            <w:rPr>
                              <w:rFonts w:cstheme="minorHAnsi"/>
                              <w:color w:val="595959" w:themeColor="text1" w:themeTint="A6"/>
                              <w:sz w:val="18"/>
                              <w:szCs w:val="18"/>
                            </w:rPr>
                          </w:pPr>
                          <w:sdt>
                            <w:sdtPr>
                              <w:rPr>
                                <w:rFonts w:cstheme="minorHAnsi"/>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CD6B8E">
                                <w:rPr>
                                  <w:rFonts w:cstheme="minorHAnsi"/>
                                  <w:color w:val="595959" w:themeColor="text1" w:themeTint="A6"/>
                                  <w:sz w:val="24"/>
                                  <w:szCs w:val="24"/>
                                </w:rPr>
                                <w:t xml:space="preserve">Manjit </w:t>
                              </w:r>
                              <w:proofErr w:type="spellStart"/>
                              <w:r w:rsidRPr="00CD6B8E">
                                <w:rPr>
                                  <w:rFonts w:cstheme="minorHAnsi"/>
                                  <w:color w:val="595959" w:themeColor="text1" w:themeTint="A6"/>
                                  <w:sz w:val="24"/>
                                  <w:szCs w:val="24"/>
                                </w:rPr>
                                <w:t>Biant</w:t>
                              </w:r>
                              <w:proofErr w:type="spellEnd"/>
                            </w:sdtContent>
                          </w:sdt>
                        </w:p>
                      </w:txbxContent>
                    </v:textbox>
                    <w10:wrap type="square" anchorx="page" anchory="page"/>
                  </v:shape>
                </w:pict>
              </mc:Fallback>
            </mc:AlternateContent>
          </w:r>
        </w:p>
        <w:p w14:paraId="61CA68E5" w14:textId="6D193D9C" w:rsidR="00CD6B8E" w:rsidRDefault="00CD6B8E">
          <w:r>
            <w:rPr>
              <w:noProof/>
            </w:rPr>
            <mc:AlternateContent>
              <mc:Choice Requires="wps">
                <w:drawing>
                  <wp:anchor distT="0" distB="0" distL="114300" distR="114300" simplePos="0" relativeHeight="251659264" behindDoc="0" locked="0" layoutInCell="1" allowOverlap="1" wp14:anchorId="32B02168" wp14:editId="4C60575B">
                    <wp:simplePos x="0" y="0"/>
                    <wp:positionH relativeFrom="page">
                      <wp:posOffset>895349</wp:posOffset>
                    </wp:positionH>
                    <wp:positionV relativeFrom="page">
                      <wp:posOffset>3209925</wp:posOffset>
                    </wp:positionV>
                    <wp:extent cx="6438265"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643826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5C911" w14:textId="374D78E0" w:rsidR="00FA08E5" w:rsidRDefault="00FA08E5">
                                <w:pPr>
                                  <w:jc w:val="right"/>
                                  <w:rPr>
                                    <w:color w:val="4F81BD" w:themeColor="accent1"/>
                                    <w:sz w:val="64"/>
                                    <w:szCs w:val="64"/>
                                  </w:rPr>
                                </w:pPr>
                                <w:sdt>
                                  <w:sdtPr>
                                    <w:rPr>
                                      <w:caps/>
                                      <w:color w:val="4F81BD" w:themeColor="accent1"/>
                                      <w:sz w:val="64"/>
                                      <w:szCs w:val="64"/>
                                    </w:rPr>
                                    <w:alias w:val="Title"/>
                                    <w:tag w:val=""/>
                                    <w:id w:val="196238054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4F81BD" w:themeColor="accent1"/>
                                        <w:sz w:val="64"/>
                                        <w:szCs w:val="64"/>
                                      </w:rPr>
                                      <w:t>Analysis of Corporate Governance through the Careers of Rockefeller and Carnegie</w:t>
                                    </w:r>
                                  </w:sdtContent>
                                </w:sdt>
                              </w:p>
                              <w:sdt>
                                <w:sdtPr>
                                  <w:rPr>
                                    <w:color w:val="404040" w:themeColor="text1" w:themeTint="BF"/>
                                    <w:sz w:val="24"/>
                                    <w:szCs w:val="24"/>
                                  </w:rPr>
                                  <w:alias w:val="Subtitle"/>
                                  <w:tag w:val=""/>
                                  <w:id w:val="345827731"/>
                                  <w:dataBinding w:prefixMappings="xmlns:ns0='http://purl.org/dc/elements/1.1/' xmlns:ns1='http://schemas.openxmlformats.org/package/2006/metadata/core-properties' " w:xpath="/ns1:coreProperties[1]/ns0:subject[1]" w:storeItemID="{6C3C8BC8-F283-45AE-878A-BAB7291924A1}"/>
                                  <w:text/>
                                </w:sdtPr>
                                <w:sdtContent>
                                  <w:p w14:paraId="2F9F7C2D" w14:textId="51F3AA7F" w:rsidR="00FA08E5" w:rsidRPr="00CD6B8E" w:rsidRDefault="00FA08E5">
                                    <w:pPr>
                                      <w:jc w:val="right"/>
                                      <w:rPr>
                                        <w:smallCaps/>
                                        <w:color w:val="404040" w:themeColor="text1" w:themeTint="BF"/>
                                        <w:sz w:val="24"/>
                                        <w:szCs w:val="24"/>
                                      </w:rPr>
                                    </w:pPr>
                                    <w:r w:rsidRPr="00CD6B8E">
                                      <w:rPr>
                                        <w:color w:val="404040" w:themeColor="text1" w:themeTint="BF"/>
                                        <w:sz w:val="24"/>
                                        <w:szCs w:val="24"/>
                                      </w:rPr>
                                      <w:t>Lewis Rhys Jones – P143227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32B02168" id="Text Box 154" o:spid="_x0000_s1027" type="#_x0000_t202" style="position:absolute;margin-left:70.5pt;margin-top:252.75pt;width:506.9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" filled="f" stroked="f" strokeweight=".5pt">
                    <v:textbox inset="126pt,0,54pt,0">
                      <w:txbxContent>
                        <w:p w14:paraId="6725C911" w14:textId="374D78E0" w:rsidR="00FA08E5" w:rsidRDefault="00FA08E5">
                          <w:pPr>
                            <w:jc w:val="right"/>
                            <w:rPr>
                              <w:color w:val="4F81BD" w:themeColor="accent1"/>
                              <w:sz w:val="64"/>
                              <w:szCs w:val="64"/>
                            </w:rPr>
                          </w:pPr>
                          <w:sdt>
                            <w:sdtPr>
                              <w:rPr>
                                <w:caps/>
                                <w:color w:val="4F81BD" w:themeColor="accent1"/>
                                <w:sz w:val="64"/>
                                <w:szCs w:val="64"/>
                              </w:rPr>
                              <w:alias w:val="Title"/>
                              <w:tag w:val=""/>
                              <w:id w:val="196238054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4F81BD" w:themeColor="accent1"/>
                                  <w:sz w:val="64"/>
                                  <w:szCs w:val="64"/>
                                </w:rPr>
                                <w:t>Analysis of Corporate Governance through the Careers of Rockefeller and Carnegie</w:t>
                              </w:r>
                            </w:sdtContent>
                          </w:sdt>
                        </w:p>
                        <w:sdt>
                          <w:sdtPr>
                            <w:rPr>
                              <w:color w:val="404040" w:themeColor="text1" w:themeTint="BF"/>
                              <w:sz w:val="24"/>
                              <w:szCs w:val="24"/>
                            </w:rPr>
                            <w:alias w:val="Subtitle"/>
                            <w:tag w:val=""/>
                            <w:id w:val="345827731"/>
                            <w:dataBinding w:prefixMappings="xmlns:ns0='http://purl.org/dc/elements/1.1/' xmlns:ns1='http://schemas.openxmlformats.org/package/2006/metadata/core-properties' " w:xpath="/ns1:coreProperties[1]/ns0:subject[1]" w:storeItemID="{6C3C8BC8-F283-45AE-878A-BAB7291924A1}"/>
                            <w:text/>
                          </w:sdtPr>
                          <w:sdtContent>
                            <w:p w14:paraId="2F9F7C2D" w14:textId="51F3AA7F" w:rsidR="00FA08E5" w:rsidRPr="00CD6B8E" w:rsidRDefault="00FA08E5">
                              <w:pPr>
                                <w:jc w:val="right"/>
                                <w:rPr>
                                  <w:smallCaps/>
                                  <w:color w:val="404040" w:themeColor="text1" w:themeTint="BF"/>
                                  <w:sz w:val="24"/>
                                  <w:szCs w:val="24"/>
                                </w:rPr>
                              </w:pPr>
                              <w:r w:rsidRPr="00CD6B8E">
                                <w:rPr>
                                  <w:color w:val="404040" w:themeColor="text1" w:themeTint="BF"/>
                                  <w:sz w:val="24"/>
                                  <w:szCs w:val="24"/>
                                </w:rPr>
                                <w:t>Lewis Rhys Jones – P143227</w:t>
                              </w:r>
                            </w:p>
                          </w:sdtContent>
                        </w:sdt>
                      </w:txbxContent>
                    </v:textbox>
                    <w10:wrap type="square" anchorx="page" anchory="page"/>
                  </v:shape>
                </w:pict>
              </mc:Fallback>
            </mc:AlternateContent>
          </w:r>
          <w:r>
            <w:br w:type="page"/>
          </w:r>
        </w:p>
      </w:sdtContent>
    </w:sdt>
    <w:sdt>
      <w:sdtPr>
        <w:id w:val="2110841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C0B969F" w14:textId="464CAB0A" w:rsidR="002C4022" w:rsidRDefault="002C4022" w:rsidP="00D331A6">
          <w:pPr>
            <w:pStyle w:val="TOCHeading"/>
            <w:spacing w:line="480" w:lineRule="auto"/>
          </w:pPr>
          <w:r>
            <w:t>Contents</w:t>
          </w:r>
        </w:p>
        <w:p w14:paraId="3F8B5CCB" w14:textId="6963BAE4" w:rsidR="00D331A6" w:rsidRDefault="002C4022" w:rsidP="00D331A6">
          <w:pPr>
            <w:pStyle w:val="TOC1"/>
            <w:tabs>
              <w:tab w:val="right" w:leader="dot" w:pos="9016"/>
            </w:tabs>
            <w:spacing w:line="480" w:lineRule="auto"/>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810718" w:history="1">
            <w:r w:rsidR="00D331A6" w:rsidRPr="00F01677">
              <w:rPr>
                <w:rStyle w:val="Hyperlink"/>
                <w:rFonts w:eastAsia="Times New Roman" w:cs="Times New Roman"/>
                <w:bCs/>
                <w:noProof/>
                <w:lang w:eastAsia="en-GB"/>
              </w:rPr>
              <w:t>Executive Summary</w:t>
            </w:r>
            <w:r w:rsidR="00D331A6">
              <w:rPr>
                <w:noProof/>
                <w:webHidden/>
              </w:rPr>
              <w:tab/>
            </w:r>
            <w:r w:rsidR="00D331A6">
              <w:rPr>
                <w:noProof/>
                <w:webHidden/>
              </w:rPr>
              <w:fldChar w:fldCharType="begin"/>
            </w:r>
            <w:r w:rsidR="00D331A6">
              <w:rPr>
                <w:noProof/>
                <w:webHidden/>
              </w:rPr>
              <w:instrText xml:space="preserve"> PAGEREF _Toc7810718 \h </w:instrText>
            </w:r>
            <w:r w:rsidR="00D331A6">
              <w:rPr>
                <w:noProof/>
                <w:webHidden/>
              </w:rPr>
            </w:r>
            <w:r w:rsidR="00D331A6">
              <w:rPr>
                <w:noProof/>
                <w:webHidden/>
              </w:rPr>
              <w:fldChar w:fldCharType="separate"/>
            </w:r>
            <w:r w:rsidR="00D331A6">
              <w:rPr>
                <w:noProof/>
                <w:webHidden/>
              </w:rPr>
              <w:t>1</w:t>
            </w:r>
            <w:r w:rsidR="00D331A6">
              <w:rPr>
                <w:noProof/>
                <w:webHidden/>
              </w:rPr>
              <w:fldChar w:fldCharType="end"/>
            </w:r>
          </w:hyperlink>
        </w:p>
        <w:p w14:paraId="6073B315" w14:textId="265D11D5" w:rsidR="00D331A6" w:rsidRDefault="00D331A6" w:rsidP="00D331A6">
          <w:pPr>
            <w:pStyle w:val="TOC1"/>
            <w:tabs>
              <w:tab w:val="right" w:leader="dot" w:pos="9016"/>
            </w:tabs>
            <w:spacing w:line="480" w:lineRule="auto"/>
            <w:rPr>
              <w:rFonts w:eastAsiaTheme="minorEastAsia"/>
              <w:noProof/>
              <w:lang w:eastAsia="en-GB"/>
            </w:rPr>
          </w:pPr>
          <w:hyperlink w:anchor="_Toc7810719" w:history="1">
            <w:r w:rsidRPr="00F01677">
              <w:rPr>
                <w:rStyle w:val="Hyperlink"/>
                <w:noProof/>
              </w:rPr>
              <w:t>1. Introduction</w:t>
            </w:r>
            <w:r>
              <w:rPr>
                <w:noProof/>
                <w:webHidden/>
              </w:rPr>
              <w:tab/>
            </w:r>
            <w:r>
              <w:rPr>
                <w:noProof/>
                <w:webHidden/>
              </w:rPr>
              <w:fldChar w:fldCharType="begin"/>
            </w:r>
            <w:r>
              <w:rPr>
                <w:noProof/>
                <w:webHidden/>
              </w:rPr>
              <w:instrText xml:space="preserve"> PAGEREF _Toc7810719 \h </w:instrText>
            </w:r>
            <w:r>
              <w:rPr>
                <w:noProof/>
                <w:webHidden/>
              </w:rPr>
            </w:r>
            <w:r>
              <w:rPr>
                <w:noProof/>
                <w:webHidden/>
              </w:rPr>
              <w:fldChar w:fldCharType="separate"/>
            </w:r>
            <w:r>
              <w:rPr>
                <w:noProof/>
                <w:webHidden/>
              </w:rPr>
              <w:t>2</w:t>
            </w:r>
            <w:r>
              <w:rPr>
                <w:noProof/>
                <w:webHidden/>
              </w:rPr>
              <w:fldChar w:fldCharType="end"/>
            </w:r>
          </w:hyperlink>
        </w:p>
        <w:p w14:paraId="51AA1694" w14:textId="1B06992D" w:rsidR="00D331A6" w:rsidRDefault="00D331A6" w:rsidP="00D331A6">
          <w:pPr>
            <w:pStyle w:val="TOC2"/>
            <w:tabs>
              <w:tab w:val="right" w:leader="dot" w:pos="9016"/>
            </w:tabs>
            <w:spacing w:line="480" w:lineRule="auto"/>
            <w:rPr>
              <w:rFonts w:eastAsiaTheme="minorEastAsia"/>
              <w:noProof/>
              <w:lang w:eastAsia="en-GB"/>
            </w:rPr>
          </w:pPr>
          <w:hyperlink w:anchor="_Toc7810720" w:history="1">
            <w:r w:rsidRPr="00F01677">
              <w:rPr>
                <w:rStyle w:val="Hyperlink"/>
                <w:noProof/>
              </w:rPr>
              <w:t>1.1 John D. Rockefeller</w:t>
            </w:r>
            <w:r>
              <w:rPr>
                <w:noProof/>
                <w:webHidden/>
              </w:rPr>
              <w:tab/>
            </w:r>
            <w:r>
              <w:rPr>
                <w:noProof/>
                <w:webHidden/>
              </w:rPr>
              <w:fldChar w:fldCharType="begin"/>
            </w:r>
            <w:r>
              <w:rPr>
                <w:noProof/>
                <w:webHidden/>
              </w:rPr>
              <w:instrText xml:space="preserve"> PAGEREF _Toc7810720 \h </w:instrText>
            </w:r>
            <w:r>
              <w:rPr>
                <w:noProof/>
                <w:webHidden/>
              </w:rPr>
            </w:r>
            <w:r>
              <w:rPr>
                <w:noProof/>
                <w:webHidden/>
              </w:rPr>
              <w:fldChar w:fldCharType="separate"/>
            </w:r>
            <w:r>
              <w:rPr>
                <w:noProof/>
                <w:webHidden/>
              </w:rPr>
              <w:t>2</w:t>
            </w:r>
            <w:r>
              <w:rPr>
                <w:noProof/>
                <w:webHidden/>
              </w:rPr>
              <w:fldChar w:fldCharType="end"/>
            </w:r>
          </w:hyperlink>
        </w:p>
        <w:p w14:paraId="0530FF77" w14:textId="4606133B" w:rsidR="00D331A6" w:rsidRDefault="00D331A6" w:rsidP="00D331A6">
          <w:pPr>
            <w:pStyle w:val="TOC2"/>
            <w:tabs>
              <w:tab w:val="right" w:leader="dot" w:pos="9016"/>
            </w:tabs>
            <w:spacing w:line="480" w:lineRule="auto"/>
            <w:rPr>
              <w:rFonts w:eastAsiaTheme="minorEastAsia"/>
              <w:noProof/>
              <w:lang w:eastAsia="en-GB"/>
            </w:rPr>
          </w:pPr>
          <w:hyperlink w:anchor="_Toc7810721" w:history="1">
            <w:r w:rsidRPr="00F01677">
              <w:rPr>
                <w:rStyle w:val="Hyperlink"/>
                <w:noProof/>
              </w:rPr>
              <w:t>1.2 Andrew Carnegie</w:t>
            </w:r>
            <w:r>
              <w:rPr>
                <w:noProof/>
                <w:webHidden/>
              </w:rPr>
              <w:tab/>
            </w:r>
            <w:r>
              <w:rPr>
                <w:noProof/>
                <w:webHidden/>
              </w:rPr>
              <w:fldChar w:fldCharType="begin"/>
            </w:r>
            <w:r>
              <w:rPr>
                <w:noProof/>
                <w:webHidden/>
              </w:rPr>
              <w:instrText xml:space="preserve"> PAGEREF _Toc7810721 \h </w:instrText>
            </w:r>
            <w:r>
              <w:rPr>
                <w:noProof/>
                <w:webHidden/>
              </w:rPr>
            </w:r>
            <w:r>
              <w:rPr>
                <w:noProof/>
                <w:webHidden/>
              </w:rPr>
              <w:fldChar w:fldCharType="separate"/>
            </w:r>
            <w:r>
              <w:rPr>
                <w:noProof/>
                <w:webHidden/>
              </w:rPr>
              <w:t>3</w:t>
            </w:r>
            <w:r>
              <w:rPr>
                <w:noProof/>
                <w:webHidden/>
              </w:rPr>
              <w:fldChar w:fldCharType="end"/>
            </w:r>
          </w:hyperlink>
        </w:p>
        <w:p w14:paraId="43C52796" w14:textId="1E985992" w:rsidR="00D331A6" w:rsidRDefault="00D331A6" w:rsidP="00D331A6">
          <w:pPr>
            <w:pStyle w:val="TOC2"/>
            <w:tabs>
              <w:tab w:val="right" w:leader="dot" w:pos="9016"/>
            </w:tabs>
            <w:spacing w:line="480" w:lineRule="auto"/>
            <w:rPr>
              <w:rFonts w:eastAsiaTheme="minorEastAsia"/>
              <w:noProof/>
              <w:lang w:eastAsia="en-GB"/>
            </w:rPr>
          </w:pPr>
          <w:hyperlink w:anchor="_Toc7810722" w:history="1">
            <w:r w:rsidRPr="00F01677">
              <w:rPr>
                <w:rStyle w:val="Hyperlink"/>
                <w:noProof/>
              </w:rPr>
              <w:t>1.3 Stakeholders of Rockefeller and Carnegie</w:t>
            </w:r>
            <w:r>
              <w:rPr>
                <w:noProof/>
                <w:webHidden/>
              </w:rPr>
              <w:tab/>
            </w:r>
            <w:r>
              <w:rPr>
                <w:noProof/>
                <w:webHidden/>
              </w:rPr>
              <w:fldChar w:fldCharType="begin"/>
            </w:r>
            <w:r>
              <w:rPr>
                <w:noProof/>
                <w:webHidden/>
              </w:rPr>
              <w:instrText xml:space="preserve"> PAGEREF _Toc7810722 \h </w:instrText>
            </w:r>
            <w:r>
              <w:rPr>
                <w:noProof/>
                <w:webHidden/>
              </w:rPr>
            </w:r>
            <w:r>
              <w:rPr>
                <w:noProof/>
                <w:webHidden/>
              </w:rPr>
              <w:fldChar w:fldCharType="separate"/>
            </w:r>
            <w:r>
              <w:rPr>
                <w:noProof/>
                <w:webHidden/>
              </w:rPr>
              <w:t>3</w:t>
            </w:r>
            <w:r>
              <w:rPr>
                <w:noProof/>
                <w:webHidden/>
              </w:rPr>
              <w:fldChar w:fldCharType="end"/>
            </w:r>
          </w:hyperlink>
        </w:p>
        <w:p w14:paraId="7D8C7789" w14:textId="3761040D" w:rsidR="00D331A6" w:rsidRDefault="00D331A6" w:rsidP="00D331A6">
          <w:pPr>
            <w:pStyle w:val="TOC2"/>
            <w:tabs>
              <w:tab w:val="right" w:leader="dot" w:pos="9016"/>
            </w:tabs>
            <w:spacing w:line="480" w:lineRule="auto"/>
            <w:rPr>
              <w:rFonts w:eastAsiaTheme="minorEastAsia"/>
              <w:noProof/>
              <w:lang w:eastAsia="en-GB"/>
            </w:rPr>
          </w:pPr>
          <w:hyperlink w:anchor="_Toc7810723" w:history="1">
            <w:r w:rsidRPr="00F01677">
              <w:rPr>
                <w:rStyle w:val="Hyperlink"/>
                <w:noProof/>
              </w:rPr>
              <w:t>1.4 Corporate Governance</w:t>
            </w:r>
            <w:r>
              <w:rPr>
                <w:noProof/>
                <w:webHidden/>
              </w:rPr>
              <w:tab/>
            </w:r>
            <w:r>
              <w:rPr>
                <w:noProof/>
                <w:webHidden/>
              </w:rPr>
              <w:fldChar w:fldCharType="begin"/>
            </w:r>
            <w:r>
              <w:rPr>
                <w:noProof/>
                <w:webHidden/>
              </w:rPr>
              <w:instrText xml:space="preserve"> PAGEREF _Toc7810723 \h </w:instrText>
            </w:r>
            <w:r>
              <w:rPr>
                <w:noProof/>
                <w:webHidden/>
              </w:rPr>
            </w:r>
            <w:r>
              <w:rPr>
                <w:noProof/>
                <w:webHidden/>
              </w:rPr>
              <w:fldChar w:fldCharType="separate"/>
            </w:r>
            <w:r>
              <w:rPr>
                <w:noProof/>
                <w:webHidden/>
              </w:rPr>
              <w:t>4</w:t>
            </w:r>
            <w:r>
              <w:rPr>
                <w:noProof/>
                <w:webHidden/>
              </w:rPr>
              <w:fldChar w:fldCharType="end"/>
            </w:r>
          </w:hyperlink>
        </w:p>
        <w:p w14:paraId="10D2BF01" w14:textId="5688E78D" w:rsidR="00D331A6" w:rsidRDefault="00D331A6" w:rsidP="00D331A6">
          <w:pPr>
            <w:pStyle w:val="TOC1"/>
            <w:tabs>
              <w:tab w:val="right" w:leader="dot" w:pos="9016"/>
            </w:tabs>
            <w:spacing w:line="480" w:lineRule="auto"/>
            <w:rPr>
              <w:rFonts w:eastAsiaTheme="minorEastAsia"/>
              <w:noProof/>
              <w:lang w:eastAsia="en-GB"/>
            </w:rPr>
          </w:pPr>
          <w:hyperlink w:anchor="_Toc7810724" w:history="1">
            <w:r w:rsidRPr="00F01677">
              <w:rPr>
                <w:rStyle w:val="Hyperlink"/>
                <w:noProof/>
              </w:rPr>
              <w:t>2. Main Findings</w:t>
            </w:r>
            <w:r>
              <w:rPr>
                <w:noProof/>
                <w:webHidden/>
              </w:rPr>
              <w:tab/>
            </w:r>
            <w:r>
              <w:rPr>
                <w:noProof/>
                <w:webHidden/>
              </w:rPr>
              <w:fldChar w:fldCharType="begin"/>
            </w:r>
            <w:r>
              <w:rPr>
                <w:noProof/>
                <w:webHidden/>
              </w:rPr>
              <w:instrText xml:space="preserve"> PAGEREF _Toc7810724 \h </w:instrText>
            </w:r>
            <w:r>
              <w:rPr>
                <w:noProof/>
                <w:webHidden/>
              </w:rPr>
            </w:r>
            <w:r>
              <w:rPr>
                <w:noProof/>
                <w:webHidden/>
              </w:rPr>
              <w:fldChar w:fldCharType="separate"/>
            </w:r>
            <w:r>
              <w:rPr>
                <w:noProof/>
                <w:webHidden/>
              </w:rPr>
              <w:t>4</w:t>
            </w:r>
            <w:r>
              <w:rPr>
                <w:noProof/>
                <w:webHidden/>
              </w:rPr>
              <w:fldChar w:fldCharType="end"/>
            </w:r>
          </w:hyperlink>
        </w:p>
        <w:p w14:paraId="7FF64321" w14:textId="243EEC3C" w:rsidR="00D331A6" w:rsidRDefault="00D331A6" w:rsidP="00D331A6">
          <w:pPr>
            <w:pStyle w:val="TOC2"/>
            <w:tabs>
              <w:tab w:val="right" w:leader="dot" w:pos="9016"/>
            </w:tabs>
            <w:spacing w:line="480" w:lineRule="auto"/>
            <w:rPr>
              <w:rFonts w:eastAsiaTheme="minorEastAsia"/>
              <w:noProof/>
              <w:lang w:eastAsia="en-GB"/>
            </w:rPr>
          </w:pPr>
          <w:hyperlink w:anchor="_Toc7810725" w:history="1">
            <w:r w:rsidRPr="00F01677">
              <w:rPr>
                <w:rStyle w:val="Hyperlink"/>
                <w:noProof/>
              </w:rPr>
              <w:t>2.1 Impact of Governance</w:t>
            </w:r>
            <w:r>
              <w:rPr>
                <w:noProof/>
                <w:webHidden/>
              </w:rPr>
              <w:tab/>
            </w:r>
            <w:r>
              <w:rPr>
                <w:noProof/>
                <w:webHidden/>
              </w:rPr>
              <w:fldChar w:fldCharType="begin"/>
            </w:r>
            <w:r>
              <w:rPr>
                <w:noProof/>
                <w:webHidden/>
              </w:rPr>
              <w:instrText xml:space="preserve"> PAGEREF _Toc7810725 \h </w:instrText>
            </w:r>
            <w:r>
              <w:rPr>
                <w:noProof/>
                <w:webHidden/>
              </w:rPr>
            </w:r>
            <w:r>
              <w:rPr>
                <w:noProof/>
                <w:webHidden/>
              </w:rPr>
              <w:fldChar w:fldCharType="separate"/>
            </w:r>
            <w:r>
              <w:rPr>
                <w:noProof/>
                <w:webHidden/>
              </w:rPr>
              <w:t>4</w:t>
            </w:r>
            <w:r>
              <w:rPr>
                <w:noProof/>
                <w:webHidden/>
              </w:rPr>
              <w:fldChar w:fldCharType="end"/>
            </w:r>
          </w:hyperlink>
        </w:p>
        <w:p w14:paraId="257A4AEA" w14:textId="5EFFD13A" w:rsidR="00D331A6" w:rsidRDefault="00D331A6" w:rsidP="00D331A6">
          <w:pPr>
            <w:pStyle w:val="TOC2"/>
            <w:tabs>
              <w:tab w:val="right" w:leader="dot" w:pos="9016"/>
            </w:tabs>
            <w:spacing w:line="480" w:lineRule="auto"/>
            <w:rPr>
              <w:rFonts w:eastAsiaTheme="minorEastAsia"/>
              <w:noProof/>
              <w:lang w:eastAsia="en-GB"/>
            </w:rPr>
          </w:pPr>
          <w:hyperlink w:anchor="_Toc7810726" w:history="1">
            <w:r w:rsidRPr="00F01677">
              <w:rPr>
                <w:rStyle w:val="Hyperlink"/>
                <w:noProof/>
              </w:rPr>
              <w:t>2.2 Captains of Industry</w:t>
            </w:r>
            <w:r>
              <w:rPr>
                <w:noProof/>
                <w:webHidden/>
              </w:rPr>
              <w:tab/>
            </w:r>
            <w:r>
              <w:rPr>
                <w:noProof/>
                <w:webHidden/>
              </w:rPr>
              <w:fldChar w:fldCharType="begin"/>
            </w:r>
            <w:r>
              <w:rPr>
                <w:noProof/>
                <w:webHidden/>
              </w:rPr>
              <w:instrText xml:space="preserve"> PAGEREF _Toc7810726 \h </w:instrText>
            </w:r>
            <w:r>
              <w:rPr>
                <w:noProof/>
                <w:webHidden/>
              </w:rPr>
            </w:r>
            <w:r>
              <w:rPr>
                <w:noProof/>
                <w:webHidden/>
              </w:rPr>
              <w:fldChar w:fldCharType="separate"/>
            </w:r>
            <w:r>
              <w:rPr>
                <w:noProof/>
                <w:webHidden/>
              </w:rPr>
              <w:t>5</w:t>
            </w:r>
            <w:r>
              <w:rPr>
                <w:noProof/>
                <w:webHidden/>
              </w:rPr>
              <w:fldChar w:fldCharType="end"/>
            </w:r>
          </w:hyperlink>
        </w:p>
        <w:p w14:paraId="5F98CBA5" w14:textId="1DB40B1B" w:rsidR="00D331A6" w:rsidRDefault="00D331A6" w:rsidP="00D331A6">
          <w:pPr>
            <w:pStyle w:val="TOC2"/>
            <w:tabs>
              <w:tab w:val="right" w:leader="dot" w:pos="9016"/>
            </w:tabs>
            <w:spacing w:line="480" w:lineRule="auto"/>
            <w:rPr>
              <w:rFonts w:eastAsiaTheme="minorEastAsia"/>
              <w:noProof/>
              <w:lang w:eastAsia="en-GB"/>
            </w:rPr>
          </w:pPr>
          <w:hyperlink w:anchor="_Toc7810727" w:history="1">
            <w:r w:rsidRPr="00F01677">
              <w:rPr>
                <w:rStyle w:val="Hyperlink"/>
                <w:noProof/>
              </w:rPr>
              <w:t>2.3 Legality vs Ethics</w:t>
            </w:r>
            <w:r>
              <w:rPr>
                <w:noProof/>
                <w:webHidden/>
              </w:rPr>
              <w:tab/>
            </w:r>
            <w:r>
              <w:rPr>
                <w:noProof/>
                <w:webHidden/>
              </w:rPr>
              <w:fldChar w:fldCharType="begin"/>
            </w:r>
            <w:r>
              <w:rPr>
                <w:noProof/>
                <w:webHidden/>
              </w:rPr>
              <w:instrText xml:space="preserve"> PAGEREF _Toc7810727 \h </w:instrText>
            </w:r>
            <w:r>
              <w:rPr>
                <w:noProof/>
                <w:webHidden/>
              </w:rPr>
            </w:r>
            <w:r>
              <w:rPr>
                <w:noProof/>
                <w:webHidden/>
              </w:rPr>
              <w:fldChar w:fldCharType="separate"/>
            </w:r>
            <w:r>
              <w:rPr>
                <w:noProof/>
                <w:webHidden/>
              </w:rPr>
              <w:t>6</w:t>
            </w:r>
            <w:r>
              <w:rPr>
                <w:noProof/>
                <w:webHidden/>
              </w:rPr>
              <w:fldChar w:fldCharType="end"/>
            </w:r>
          </w:hyperlink>
        </w:p>
        <w:p w14:paraId="03C97494" w14:textId="77667D32" w:rsidR="00D331A6" w:rsidRDefault="00D331A6" w:rsidP="00D331A6">
          <w:pPr>
            <w:pStyle w:val="TOC2"/>
            <w:tabs>
              <w:tab w:val="right" w:leader="dot" w:pos="9016"/>
            </w:tabs>
            <w:spacing w:line="480" w:lineRule="auto"/>
            <w:rPr>
              <w:rFonts w:eastAsiaTheme="minorEastAsia"/>
              <w:noProof/>
              <w:lang w:eastAsia="en-GB"/>
            </w:rPr>
          </w:pPr>
          <w:hyperlink w:anchor="_Toc7810728" w:history="1">
            <w:r w:rsidRPr="00F01677">
              <w:rPr>
                <w:rStyle w:val="Hyperlink"/>
                <w:noProof/>
              </w:rPr>
              <w:t>2.4 Philanthropy</w:t>
            </w:r>
            <w:r>
              <w:rPr>
                <w:noProof/>
                <w:webHidden/>
              </w:rPr>
              <w:tab/>
            </w:r>
            <w:r>
              <w:rPr>
                <w:noProof/>
                <w:webHidden/>
              </w:rPr>
              <w:fldChar w:fldCharType="begin"/>
            </w:r>
            <w:r>
              <w:rPr>
                <w:noProof/>
                <w:webHidden/>
              </w:rPr>
              <w:instrText xml:space="preserve"> PAGEREF _Toc7810728 \h </w:instrText>
            </w:r>
            <w:r>
              <w:rPr>
                <w:noProof/>
                <w:webHidden/>
              </w:rPr>
            </w:r>
            <w:r>
              <w:rPr>
                <w:noProof/>
                <w:webHidden/>
              </w:rPr>
              <w:fldChar w:fldCharType="separate"/>
            </w:r>
            <w:r>
              <w:rPr>
                <w:noProof/>
                <w:webHidden/>
              </w:rPr>
              <w:t>6</w:t>
            </w:r>
            <w:r>
              <w:rPr>
                <w:noProof/>
                <w:webHidden/>
              </w:rPr>
              <w:fldChar w:fldCharType="end"/>
            </w:r>
          </w:hyperlink>
        </w:p>
        <w:p w14:paraId="6289FA00" w14:textId="2860FE56" w:rsidR="00D331A6" w:rsidRDefault="00D331A6" w:rsidP="00D331A6">
          <w:pPr>
            <w:pStyle w:val="TOC2"/>
            <w:tabs>
              <w:tab w:val="right" w:leader="dot" w:pos="9016"/>
            </w:tabs>
            <w:spacing w:line="480" w:lineRule="auto"/>
            <w:rPr>
              <w:rFonts w:eastAsiaTheme="minorEastAsia"/>
              <w:noProof/>
              <w:lang w:eastAsia="en-GB"/>
            </w:rPr>
          </w:pPr>
          <w:hyperlink w:anchor="_Toc7810729" w:history="1">
            <w:r w:rsidRPr="00F01677">
              <w:rPr>
                <w:rStyle w:val="Hyperlink"/>
                <w:noProof/>
              </w:rPr>
              <w:t>2.5 Effectiveness of modern-day Corporate Governance</w:t>
            </w:r>
            <w:r>
              <w:rPr>
                <w:noProof/>
                <w:webHidden/>
              </w:rPr>
              <w:tab/>
            </w:r>
            <w:r>
              <w:rPr>
                <w:noProof/>
                <w:webHidden/>
              </w:rPr>
              <w:fldChar w:fldCharType="begin"/>
            </w:r>
            <w:r>
              <w:rPr>
                <w:noProof/>
                <w:webHidden/>
              </w:rPr>
              <w:instrText xml:space="preserve"> PAGEREF _Toc7810729 \h </w:instrText>
            </w:r>
            <w:r>
              <w:rPr>
                <w:noProof/>
                <w:webHidden/>
              </w:rPr>
            </w:r>
            <w:r>
              <w:rPr>
                <w:noProof/>
                <w:webHidden/>
              </w:rPr>
              <w:fldChar w:fldCharType="separate"/>
            </w:r>
            <w:r>
              <w:rPr>
                <w:noProof/>
                <w:webHidden/>
              </w:rPr>
              <w:t>8</w:t>
            </w:r>
            <w:r>
              <w:rPr>
                <w:noProof/>
                <w:webHidden/>
              </w:rPr>
              <w:fldChar w:fldCharType="end"/>
            </w:r>
          </w:hyperlink>
        </w:p>
        <w:p w14:paraId="6248C098" w14:textId="17DB481B" w:rsidR="00D331A6" w:rsidRDefault="00D331A6" w:rsidP="00D331A6">
          <w:pPr>
            <w:pStyle w:val="TOC3"/>
            <w:tabs>
              <w:tab w:val="right" w:leader="dot" w:pos="9016"/>
            </w:tabs>
            <w:spacing w:line="480" w:lineRule="auto"/>
            <w:rPr>
              <w:rFonts w:eastAsiaTheme="minorEastAsia"/>
              <w:noProof/>
              <w:lang w:eastAsia="en-GB"/>
            </w:rPr>
          </w:pPr>
          <w:hyperlink w:anchor="_Toc7810730" w:history="1">
            <w:r w:rsidRPr="00F01677">
              <w:rPr>
                <w:rStyle w:val="Hyperlink"/>
                <w:noProof/>
              </w:rPr>
              <w:t>2.5.1 Oxfam</w:t>
            </w:r>
            <w:r>
              <w:rPr>
                <w:noProof/>
                <w:webHidden/>
              </w:rPr>
              <w:tab/>
            </w:r>
            <w:r>
              <w:rPr>
                <w:noProof/>
                <w:webHidden/>
              </w:rPr>
              <w:fldChar w:fldCharType="begin"/>
            </w:r>
            <w:r>
              <w:rPr>
                <w:noProof/>
                <w:webHidden/>
              </w:rPr>
              <w:instrText xml:space="preserve"> PAGEREF _Toc7810730 \h </w:instrText>
            </w:r>
            <w:r>
              <w:rPr>
                <w:noProof/>
                <w:webHidden/>
              </w:rPr>
            </w:r>
            <w:r>
              <w:rPr>
                <w:noProof/>
                <w:webHidden/>
              </w:rPr>
              <w:fldChar w:fldCharType="separate"/>
            </w:r>
            <w:r>
              <w:rPr>
                <w:noProof/>
                <w:webHidden/>
              </w:rPr>
              <w:t>8</w:t>
            </w:r>
            <w:r>
              <w:rPr>
                <w:noProof/>
                <w:webHidden/>
              </w:rPr>
              <w:fldChar w:fldCharType="end"/>
            </w:r>
          </w:hyperlink>
        </w:p>
        <w:p w14:paraId="1C1164F5" w14:textId="5089E33D" w:rsidR="00D331A6" w:rsidRDefault="00D331A6" w:rsidP="00D331A6">
          <w:pPr>
            <w:pStyle w:val="TOC1"/>
            <w:tabs>
              <w:tab w:val="right" w:leader="dot" w:pos="9016"/>
            </w:tabs>
            <w:spacing w:line="480" w:lineRule="auto"/>
            <w:rPr>
              <w:rFonts w:eastAsiaTheme="minorEastAsia"/>
              <w:noProof/>
              <w:lang w:eastAsia="en-GB"/>
            </w:rPr>
          </w:pPr>
          <w:hyperlink w:anchor="_Toc7810731" w:history="1">
            <w:r w:rsidRPr="00F01677">
              <w:rPr>
                <w:rStyle w:val="Hyperlink"/>
                <w:noProof/>
              </w:rPr>
              <w:t>3. Conclusion</w:t>
            </w:r>
            <w:r>
              <w:rPr>
                <w:noProof/>
                <w:webHidden/>
              </w:rPr>
              <w:tab/>
            </w:r>
            <w:r>
              <w:rPr>
                <w:noProof/>
                <w:webHidden/>
              </w:rPr>
              <w:fldChar w:fldCharType="begin"/>
            </w:r>
            <w:r>
              <w:rPr>
                <w:noProof/>
                <w:webHidden/>
              </w:rPr>
              <w:instrText xml:space="preserve"> PAGEREF _Toc7810731 \h </w:instrText>
            </w:r>
            <w:r>
              <w:rPr>
                <w:noProof/>
                <w:webHidden/>
              </w:rPr>
            </w:r>
            <w:r>
              <w:rPr>
                <w:noProof/>
                <w:webHidden/>
              </w:rPr>
              <w:fldChar w:fldCharType="separate"/>
            </w:r>
            <w:r>
              <w:rPr>
                <w:noProof/>
                <w:webHidden/>
              </w:rPr>
              <w:t>10</w:t>
            </w:r>
            <w:r>
              <w:rPr>
                <w:noProof/>
                <w:webHidden/>
              </w:rPr>
              <w:fldChar w:fldCharType="end"/>
            </w:r>
          </w:hyperlink>
        </w:p>
        <w:p w14:paraId="625AC765" w14:textId="4DB58BE5" w:rsidR="00D331A6" w:rsidRDefault="00D331A6" w:rsidP="00D331A6">
          <w:pPr>
            <w:pStyle w:val="TOC1"/>
            <w:tabs>
              <w:tab w:val="right" w:leader="dot" w:pos="9016"/>
            </w:tabs>
            <w:spacing w:line="480" w:lineRule="auto"/>
            <w:rPr>
              <w:rFonts w:eastAsiaTheme="minorEastAsia"/>
              <w:noProof/>
              <w:lang w:eastAsia="en-GB"/>
            </w:rPr>
          </w:pPr>
          <w:hyperlink w:anchor="_Toc7810732" w:history="1">
            <w:r w:rsidRPr="00F01677">
              <w:rPr>
                <w:rStyle w:val="Hyperlink"/>
                <w:noProof/>
              </w:rPr>
              <w:t>4. References</w:t>
            </w:r>
            <w:r>
              <w:rPr>
                <w:noProof/>
                <w:webHidden/>
              </w:rPr>
              <w:tab/>
            </w:r>
            <w:r>
              <w:rPr>
                <w:noProof/>
                <w:webHidden/>
              </w:rPr>
              <w:fldChar w:fldCharType="begin"/>
            </w:r>
            <w:r>
              <w:rPr>
                <w:noProof/>
                <w:webHidden/>
              </w:rPr>
              <w:instrText xml:space="preserve"> PAGEREF _Toc7810732 \h </w:instrText>
            </w:r>
            <w:r>
              <w:rPr>
                <w:noProof/>
                <w:webHidden/>
              </w:rPr>
            </w:r>
            <w:r>
              <w:rPr>
                <w:noProof/>
                <w:webHidden/>
              </w:rPr>
              <w:fldChar w:fldCharType="separate"/>
            </w:r>
            <w:r>
              <w:rPr>
                <w:noProof/>
                <w:webHidden/>
              </w:rPr>
              <w:t>11</w:t>
            </w:r>
            <w:r>
              <w:rPr>
                <w:noProof/>
                <w:webHidden/>
              </w:rPr>
              <w:fldChar w:fldCharType="end"/>
            </w:r>
          </w:hyperlink>
        </w:p>
        <w:p w14:paraId="439E3DCF" w14:textId="6D8C6F01" w:rsidR="002C4022" w:rsidRDefault="002C4022" w:rsidP="00D331A6">
          <w:pPr>
            <w:spacing w:line="480" w:lineRule="auto"/>
          </w:pPr>
          <w:r>
            <w:rPr>
              <w:b/>
              <w:bCs/>
              <w:noProof/>
            </w:rPr>
            <w:fldChar w:fldCharType="end"/>
          </w:r>
        </w:p>
      </w:sdtContent>
    </w:sdt>
    <w:p w14:paraId="256512C2" w14:textId="77777777" w:rsidR="002C4022" w:rsidRDefault="002C4022" w:rsidP="002C4022">
      <w:pPr>
        <w:spacing w:after="0" w:line="480" w:lineRule="auto"/>
        <w:rPr>
          <w:rFonts w:ascii="Verdana" w:eastAsia="Times New Roman" w:hAnsi="Verdana" w:cs="Times New Roman"/>
          <w:b/>
          <w:bCs/>
          <w:sz w:val="20"/>
          <w:szCs w:val="20"/>
          <w:u w:val="single"/>
          <w:lang w:eastAsia="en-GB"/>
        </w:rPr>
      </w:pPr>
    </w:p>
    <w:p w14:paraId="19D020CF" w14:textId="77777777" w:rsidR="002C4022" w:rsidRDefault="002C4022" w:rsidP="002C4022">
      <w:pPr>
        <w:spacing w:after="0" w:line="480" w:lineRule="auto"/>
        <w:rPr>
          <w:rFonts w:ascii="Verdana" w:eastAsia="Times New Roman" w:hAnsi="Verdana" w:cs="Times New Roman"/>
          <w:b/>
          <w:bCs/>
          <w:sz w:val="20"/>
          <w:szCs w:val="20"/>
          <w:u w:val="single"/>
          <w:lang w:eastAsia="en-GB"/>
        </w:rPr>
      </w:pPr>
    </w:p>
    <w:p w14:paraId="45899DB0" w14:textId="77777777" w:rsidR="002C4022" w:rsidRDefault="002C4022" w:rsidP="002C4022">
      <w:pPr>
        <w:spacing w:after="0" w:line="480" w:lineRule="auto"/>
        <w:rPr>
          <w:rFonts w:ascii="Verdana" w:eastAsia="Times New Roman" w:hAnsi="Verdana" w:cs="Times New Roman"/>
          <w:b/>
          <w:bCs/>
          <w:sz w:val="20"/>
          <w:szCs w:val="20"/>
          <w:u w:val="single"/>
          <w:lang w:eastAsia="en-GB"/>
        </w:rPr>
      </w:pPr>
    </w:p>
    <w:p w14:paraId="21EC45EA" w14:textId="77777777" w:rsidR="002C4022" w:rsidRDefault="002C4022" w:rsidP="002C4022">
      <w:pPr>
        <w:spacing w:after="0" w:line="480" w:lineRule="auto"/>
        <w:rPr>
          <w:rFonts w:ascii="Verdana" w:eastAsia="Times New Roman" w:hAnsi="Verdana" w:cs="Times New Roman"/>
          <w:b/>
          <w:bCs/>
          <w:sz w:val="20"/>
          <w:szCs w:val="20"/>
          <w:u w:val="single"/>
          <w:lang w:eastAsia="en-GB"/>
        </w:rPr>
      </w:pPr>
    </w:p>
    <w:p w14:paraId="4C53992C" w14:textId="77777777" w:rsidR="002C4022" w:rsidRPr="00FA08E5" w:rsidRDefault="002A037D" w:rsidP="002C4022">
      <w:pPr>
        <w:pStyle w:val="Heading1"/>
        <w:rPr>
          <w:rFonts w:eastAsia="Times New Roman" w:cs="Times New Roman"/>
          <w:bCs/>
          <w:lang w:eastAsia="en-GB"/>
        </w:rPr>
      </w:pPr>
      <w:bookmarkStart w:id="0" w:name="_Toc7810718"/>
      <w:r w:rsidRPr="00FA08E5">
        <w:rPr>
          <w:rFonts w:eastAsia="Times New Roman" w:cs="Times New Roman"/>
          <w:bCs/>
          <w:lang w:eastAsia="en-GB"/>
        </w:rPr>
        <w:lastRenderedPageBreak/>
        <w:t>Execut</w:t>
      </w:r>
      <w:bookmarkStart w:id="1" w:name="_GoBack"/>
      <w:bookmarkEnd w:id="1"/>
      <w:r w:rsidRPr="00FA08E5">
        <w:rPr>
          <w:rFonts w:eastAsia="Times New Roman" w:cs="Times New Roman"/>
          <w:bCs/>
          <w:lang w:eastAsia="en-GB"/>
        </w:rPr>
        <w:t>ive Summary</w:t>
      </w:r>
      <w:bookmarkEnd w:id="0"/>
    </w:p>
    <w:p w14:paraId="772668A2" w14:textId="29EB8B81" w:rsidR="002A037D" w:rsidRPr="002A037D" w:rsidRDefault="002A037D" w:rsidP="0098289D">
      <w:pPr>
        <w:spacing w:line="480" w:lineRule="auto"/>
      </w:pPr>
      <w:r w:rsidRPr="00506775">
        <w:rPr>
          <w:rFonts w:ascii="Verdana" w:eastAsia="Times New Roman" w:hAnsi="Verdana" w:cs="Times New Roman"/>
          <w:sz w:val="20"/>
          <w:szCs w:val="20"/>
          <w:lang w:eastAsia="en-GB"/>
        </w:rPr>
        <w:br/>
      </w:r>
      <w:r w:rsidRPr="00506775">
        <w:rPr>
          <w:rFonts w:ascii="Verdana" w:eastAsia="Times New Roman" w:hAnsi="Verdana" w:cs="Times New Roman"/>
          <w:sz w:val="20"/>
          <w:szCs w:val="20"/>
          <w:lang w:eastAsia="en-GB"/>
        </w:rPr>
        <w:br/>
      </w:r>
      <w:r w:rsidRPr="002A037D">
        <w:t xml:space="preserve">This report provides an analysis and evaluation of Corporate Governance through examination of the Career of John D. Rockefeller and Andrew </w:t>
      </w:r>
      <w:proofErr w:type="spellStart"/>
      <w:r w:rsidRPr="002A037D">
        <w:t>Carnagie</w:t>
      </w:r>
      <w:proofErr w:type="spellEnd"/>
      <w:r w:rsidRPr="002A037D">
        <w:t>. </w:t>
      </w:r>
    </w:p>
    <w:p w14:paraId="1788F5BB" w14:textId="77777777" w:rsidR="002A037D" w:rsidRPr="002A037D" w:rsidRDefault="002A037D" w:rsidP="002C4022">
      <w:pPr>
        <w:spacing w:after="0" w:line="480" w:lineRule="auto"/>
      </w:pPr>
    </w:p>
    <w:p w14:paraId="7C47C98B" w14:textId="606B5AD8" w:rsidR="002A037D" w:rsidRPr="002A037D" w:rsidRDefault="002A037D" w:rsidP="002C4022">
      <w:pPr>
        <w:spacing w:after="0" w:line="480" w:lineRule="auto"/>
      </w:pPr>
      <w:r w:rsidRPr="002A037D">
        <w:t xml:space="preserve">This analysis will consist of applying the principles of corporate governance and philanthropy to the actions of both </w:t>
      </w:r>
      <w:r w:rsidR="008575E0">
        <w:t>Rockefeller and Carnegie</w:t>
      </w:r>
      <w:r w:rsidRPr="002A037D">
        <w:t xml:space="preserve"> and attempting to weight their relative social impact. This report will also look at modern day corporate governance and provide a review of the factors involved with the Oxfam Haitian scandal and how this could</w:t>
      </w:r>
      <w:r w:rsidR="008575E0">
        <w:t xml:space="preserve"> have</w:t>
      </w:r>
      <w:r w:rsidRPr="002A037D">
        <w:t xml:space="preserve"> be</w:t>
      </w:r>
      <w:r w:rsidR="008575E0">
        <w:t>en</w:t>
      </w:r>
      <w:r w:rsidRPr="002A037D">
        <w:t xml:space="preserve"> avoided.</w:t>
      </w:r>
    </w:p>
    <w:p w14:paraId="690BC5B1" w14:textId="77777777" w:rsidR="002A037D" w:rsidRPr="002A037D" w:rsidRDefault="002A037D" w:rsidP="002C4022">
      <w:pPr>
        <w:spacing w:after="0" w:line="480" w:lineRule="auto"/>
      </w:pPr>
    </w:p>
    <w:p w14:paraId="3B0D6736" w14:textId="07CBAEC6" w:rsidR="006D1809" w:rsidRDefault="002A037D" w:rsidP="002C4022">
      <w:pPr>
        <w:spacing w:after="0" w:line="480" w:lineRule="auto"/>
      </w:pPr>
      <w:r w:rsidRPr="002A037D">
        <w:t>The analysis shows that Rockefeller and Carnegie both demonstrated acts of philanthropy that are still in effect today</w:t>
      </w:r>
      <w:r w:rsidR="008575E0">
        <w:t xml:space="preserve"> through the foundations they created</w:t>
      </w:r>
      <w:r w:rsidRPr="002A037D">
        <w:t>. They were also capable of being cutthroat and unethical through the management of their businesses, which negatively impacted some of their stakeholders. The report also shows there were many factors of poor governance that lead to the Oxfam incident, including poor internal reviews and accountability</w:t>
      </w:r>
      <w:r w:rsidR="008575E0">
        <w:t xml:space="preserve"> and there are large structural changes necessary to prevent similar events in future</w:t>
      </w:r>
      <w:r w:rsidRPr="002A037D">
        <w:t xml:space="preserve">. </w:t>
      </w:r>
      <w:r w:rsidRPr="002A037D">
        <w:br/>
      </w:r>
      <w:r w:rsidRPr="002A037D">
        <w:br/>
        <w:t>In conclusion there have been many changes in the development of corporate governance since the gilded age</w:t>
      </w:r>
      <w:r w:rsidR="008575E0">
        <w:t xml:space="preserve"> of Rockefeller and Carnegie</w:t>
      </w:r>
      <w:r w:rsidRPr="002A037D">
        <w:t xml:space="preserve">, and while </w:t>
      </w:r>
      <w:r w:rsidR="008575E0">
        <w:t>governance</w:t>
      </w:r>
      <w:r w:rsidRPr="002A037D">
        <w:t xml:space="preserve"> is more prominently cast in public view, the execution is still </w:t>
      </w:r>
      <w:proofErr w:type="gramStart"/>
      <w:r w:rsidR="0098289D" w:rsidRPr="002A037D">
        <w:t>lacking</w:t>
      </w:r>
      <w:proofErr w:type="gramEnd"/>
      <w:r w:rsidRPr="002A037D">
        <w:t xml:space="preserve"> and improvements are required.</w:t>
      </w:r>
    </w:p>
    <w:p w14:paraId="26E5FF23" w14:textId="6079B0D6" w:rsidR="006D1809" w:rsidRDefault="006D1809" w:rsidP="002C4022">
      <w:pPr>
        <w:spacing w:after="0" w:line="480" w:lineRule="auto"/>
      </w:pPr>
    </w:p>
    <w:p w14:paraId="3781FAC1" w14:textId="107D7F01" w:rsidR="006D1809" w:rsidRDefault="006D1809" w:rsidP="002C4022">
      <w:pPr>
        <w:spacing w:after="0" w:line="480" w:lineRule="auto"/>
      </w:pPr>
    </w:p>
    <w:p w14:paraId="397E0861" w14:textId="331441DD" w:rsidR="006D1809" w:rsidRDefault="006D1809" w:rsidP="002C4022">
      <w:pPr>
        <w:spacing w:after="0" w:line="480" w:lineRule="auto"/>
      </w:pPr>
    </w:p>
    <w:p w14:paraId="2B2F7FD9" w14:textId="77777777" w:rsidR="006D1809" w:rsidRDefault="006D1809" w:rsidP="002C4022">
      <w:pPr>
        <w:spacing w:after="0" w:line="480" w:lineRule="auto"/>
      </w:pPr>
    </w:p>
    <w:p w14:paraId="2E69123E" w14:textId="77777777" w:rsidR="00453244" w:rsidRDefault="00453244" w:rsidP="002C4022">
      <w:pPr>
        <w:spacing w:after="0" w:line="480" w:lineRule="auto"/>
      </w:pPr>
    </w:p>
    <w:p w14:paraId="60D1113D" w14:textId="13A33AEE" w:rsidR="00453244" w:rsidRPr="00FA08E5" w:rsidRDefault="002C4022" w:rsidP="00FA08E5">
      <w:pPr>
        <w:pStyle w:val="Heading1"/>
      </w:pPr>
      <w:bookmarkStart w:id="2" w:name="_Toc7810719"/>
      <w:r w:rsidRPr="00FA08E5">
        <w:lastRenderedPageBreak/>
        <w:t xml:space="preserve">1. </w:t>
      </w:r>
      <w:r w:rsidR="00B84926" w:rsidRPr="00FA08E5">
        <w:t>Introduction</w:t>
      </w:r>
      <w:bookmarkEnd w:id="2"/>
      <w:r w:rsidR="00B84926" w:rsidRPr="00FA08E5">
        <w:t xml:space="preserve"> </w:t>
      </w:r>
    </w:p>
    <w:p w14:paraId="03BBF0A1" w14:textId="566C7815" w:rsidR="00B84926" w:rsidRDefault="00B84926" w:rsidP="002C4022">
      <w:pPr>
        <w:spacing w:after="0" w:line="480" w:lineRule="auto"/>
      </w:pPr>
    </w:p>
    <w:p w14:paraId="1A47AABA" w14:textId="670EBC5B" w:rsidR="003C5291" w:rsidRPr="00FA08E5" w:rsidRDefault="002C4022" w:rsidP="002C4022">
      <w:pPr>
        <w:pStyle w:val="Heading2"/>
      </w:pPr>
      <w:bookmarkStart w:id="3" w:name="_Toc7810720"/>
      <w:r w:rsidRPr="00FA08E5">
        <w:t xml:space="preserve">1.1 </w:t>
      </w:r>
      <w:r w:rsidR="003C5291" w:rsidRPr="00FA08E5">
        <w:t>John D. Rockefeller</w:t>
      </w:r>
      <w:bookmarkEnd w:id="3"/>
    </w:p>
    <w:p w14:paraId="41991D33" w14:textId="468B7AD4" w:rsidR="003C5291" w:rsidRDefault="003C5291" w:rsidP="002C4022">
      <w:pPr>
        <w:spacing w:after="0" w:line="480" w:lineRule="auto"/>
      </w:pPr>
    </w:p>
    <w:p w14:paraId="6FF3E05E" w14:textId="7AFD3EFD" w:rsidR="003C5291" w:rsidRDefault="003C5291" w:rsidP="002C4022">
      <w:pPr>
        <w:spacing w:after="0" w:line="480" w:lineRule="auto"/>
      </w:pPr>
      <w:r>
        <w:t>Rockefeller was</w:t>
      </w:r>
      <w:r w:rsidR="00E16F68">
        <w:t xml:space="preserve"> a Cleveland born entrepreneur, </w:t>
      </w:r>
      <w:r w:rsidR="00EB0E6C">
        <w:t xml:space="preserve">who was </w:t>
      </w:r>
      <w:r w:rsidR="00E16F68">
        <w:t xml:space="preserve">born in 1839 to a con artist father and whose formal business training </w:t>
      </w:r>
      <w:r w:rsidR="00804CAC">
        <w:t>consisted of</w:t>
      </w:r>
      <w:r w:rsidR="00E16F68">
        <w:t xml:space="preserve"> a ten-week course in accountancy.</w:t>
      </w:r>
      <w:r w:rsidR="00EB0E6C">
        <w:t xml:space="preserve"> Rockefeller progressed through early jobs such as assistant bookkeeper to establishing a produce commission business</w:t>
      </w:r>
      <w:r w:rsidR="00804CAC">
        <w:t xml:space="preserve"> in</w:t>
      </w:r>
      <w:r w:rsidR="00010B13">
        <w:t xml:space="preserve"> 1859</w:t>
      </w:r>
      <w:r w:rsidR="00EB0E6C">
        <w:t xml:space="preserve">. Rockefeller entered the oil business </w:t>
      </w:r>
      <w:r w:rsidR="006D1809">
        <w:t>with the formation of Standard Oil which subsequently become a trust</w:t>
      </w:r>
      <w:r w:rsidR="00804CAC">
        <w:t>,</w:t>
      </w:r>
      <w:r w:rsidR="006D1809">
        <w:t xml:space="preserve"> managing dozens of oil operations across America</w:t>
      </w:r>
      <w:r w:rsidR="00EB0E6C">
        <w:t xml:space="preserve"> </w:t>
      </w:r>
      <w:sdt>
        <w:sdtPr>
          <w:id w:val="342753856"/>
          <w:citation/>
        </w:sdtPr>
        <w:sdtContent>
          <w:r w:rsidR="006D1809">
            <w:fldChar w:fldCharType="begin"/>
          </w:r>
          <w:r w:rsidR="006D1809">
            <w:instrText xml:space="preserve"> CITATION Car14 \l 2057 </w:instrText>
          </w:r>
          <w:r w:rsidR="006D1809">
            <w:fldChar w:fldCharType="separate"/>
          </w:r>
          <w:r w:rsidR="006D1809" w:rsidRPr="00E16F68">
            <w:rPr>
              <w:noProof/>
            </w:rPr>
            <w:t>(O'Donnell, 2014)</w:t>
          </w:r>
          <w:r w:rsidR="006D1809">
            <w:fldChar w:fldCharType="end"/>
          </w:r>
        </w:sdtContent>
      </w:sdt>
      <w:r w:rsidR="006D1809">
        <w:t>.</w:t>
      </w:r>
    </w:p>
    <w:p w14:paraId="0B105808" w14:textId="77777777" w:rsidR="003C5291" w:rsidRDefault="003C5291" w:rsidP="002C4022">
      <w:pPr>
        <w:spacing w:after="0" w:line="480" w:lineRule="auto"/>
      </w:pPr>
    </w:p>
    <w:p w14:paraId="2840D116" w14:textId="1B4DE390" w:rsidR="003C5291" w:rsidRPr="00FA08E5" w:rsidRDefault="002C4022" w:rsidP="002C4022">
      <w:pPr>
        <w:pStyle w:val="Heading2"/>
      </w:pPr>
      <w:bookmarkStart w:id="4" w:name="_Toc7810721"/>
      <w:r w:rsidRPr="00FA08E5">
        <w:t xml:space="preserve">1.2 </w:t>
      </w:r>
      <w:r w:rsidR="003C5291" w:rsidRPr="00FA08E5">
        <w:t>Andrew Carnegie</w:t>
      </w:r>
      <w:bookmarkEnd w:id="4"/>
    </w:p>
    <w:p w14:paraId="4FFAAB60" w14:textId="5E8D6262" w:rsidR="003C5291" w:rsidRDefault="003C5291" w:rsidP="002C4022">
      <w:pPr>
        <w:spacing w:after="0" w:line="480" w:lineRule="auto"/>
      </w:pPr>
    </w:p>
    <w:p w14:paraId="694A1351" w14:textId="6BE220FD" w:rsidR="008C374D" w:rsidRDefault="005D027A" w:rsidP="002C4022">
      <w:pPr>
        <w:spacing w:after="0" w:line="480" w:lineRule="auto"/>
      </w:pPr>
      <w:r>
        <w:t xml:space="preserve">Carnegie </w:t>
      </w:r>
      <w:r w:rsidR="005704CC">
        <w:t>who was born in</w:t>
      </w:r>
      <w:r>
        <w:t xml:space="preserve"> Scot</w:t>
      </w:r>
      <w:r w:rsidR="00804CAC">
        <w:t>land</w:t>
      </w:r>
      <w:r w:rsidR="008173AD">
        <w:t xml:space="preserve"> in 1835</w:t>
      </w:r>
      <w:r>
        <w:t xml:space="preserve"> </w:t>
      </w:r>
      <w:r w:rsidR="005704CC">
        <w:t xml:space="preserve">and moved to America with </w:t>
      </w:r>
      <w:r w:rsidR="008173AD">
        <w:t>his family when he was 1</w:t>
      </w:r>
      <w:r w:rsidR="00804CAC">
        <w:t>2</w:t>
      </w:r>
      <w:r w:rsidR="008173AD">
        <w:t xml:space="preserve"> years old</w:t>
      </w:r>
      <w:r w:rsidR="00804CAC">
        <w:t>,</w:t>
      </w:r>
      <w:r w:rsidR="00DA56B7">
        <w:t xml:space="preserve"> </w:t>
      </w:r>
      <w:r w:rsidR="00DA56B7" w:rsidRPr="00DA56B7">
        <w:t>working</w:t>
      </w:r>
      <w:r w:rsidR="00DA56B7">
        <w:t xml:space="preserve"> various</w:t>
      </w:r>
      <w:r w:rsidR="00DA56B7" w:rsidRPr="00DA56B7">
        <w:t xml:space="preserve"> entry-level jobs</w:t>
      </w:r>
      <w:r w:rsidR="008C374D">
        <w:t xml:space="preserve"> </w:t>
      </w:r>
      <w:r w:rsidR="004D1C6F">
        <w:t>discovering</w:t>
      </w:r>
      <w:r w:rsidR="008C374D">
        <w:t xml:space="preserve"> </w:t>
      </w:r>
      <w:r w:rsidR="00DA56B7" w:rsidRPr="00DA56B7">
        <w:t>the importance of initiative and self-taught education</w:t>
      </w:r>
      <w:r w:rsidR="004D7762">
        <w:t xml:space="preserve"> </w:t>
      </w:r>
      <w:sdt>
        <w:sdtPr>
          <w:id w:val="295657136"/>
          <w:citation/>
        </w:sdtPr>
        <w:sdtContent>
          <w:r w:rsidR="004D7762">
            <w:fldChar w:fldCharType="begin"/>
          </w:r>
          <w:r w:rsidR="004D7762">
            <w:instrText xml:space="preserve"> CITATION Gre16 \l 2057 </w:instrText>
          </w:r>
          <w:r w:rsidR="004D7762">
            <w:fldChar w:fldCharType="separate"/>
          </w:r>
          <w:r w:rsidR="004D7762" w:rsidRPr="008173AD">
            <w:rPr>
              <w:noProof/>
            </w:rPr>
            <w:t>(Kaza, 2016)</w:t>
          </w:r>
          <w:r w:rsidR="004D7762">
            <w:fldChar w:fldCharType="end"/>
          </w:r>
        </w:sdtContent>
      </w:sdt>
      <w:r w:rsidR="00DA56B7" w:rsidRPr="00DA56B7">
        <w:t xml:space="preserve">. </w:t>
      </w:r>
      <w:r w:rsidR="004D1C6F">
        <w:t xml:space="preserve"> </w:t>
      </w:r>
      <w:r w:rsidR="00DA56B7" w:rsidRPr="00DA56B7">
        <w:t xml:space="preserve">At </w:t>
      </w:r>
      <w:r w:rsidR="004D1C6F">
        <w:t xml:space="preserve">age </w:t>
      </w:r>
      <w:r w:rsidR="00DA56B7" w:rsidRPr="00DA56B7">
        <w:t xml:space="preserve">17, </w:t>
      </w:r>
      <w:r w:rsidR="004D7762">
        <w:t xml:space="preserve">while performing duties as a personal secretary to railroad superintendent </w:t>
      </w:r>
      <w:r w:rsidR="004D7762" w:rsidRPr="004D7762">
        <w:t>Thomas A. Scott</w:t>
      </w:r>
      <w:r w:rsidR="004D7762">
        <w:t xml:space="preserve">, </w:t>
      </w:r>
      <w:r w:rsidR="004D1C6F">
        <w:t xml:space="preserve">he started to be </w:t>
      </w:r>
      <w:r w:rsidR="004D7762">
        <w:t xml:space="preserve">mentored </w:t>
      </w:r>
      <w:r w:rsidR="004D1C6F">
        <w:t>by Scott</w:t>
      </w:r>
      <w:r w:rsidR="004D7762">
        <w:t xml:space="preserve"> </w:t>
      </w:r>
      <w:r w:rsidR="004D1C6F">
        <w:t>who</w:t>
      </w:r>
      <w:r w:rsidR="004D7762">
        <w:t xml:space="preserve"> taught him </w:t>
      </w:r>
      <w:r w:rsidR="004D7762" w:rsidRPr="004D7762">
        <w:t>budgeting, management, and investing in businesses</w:t>
      </w:r>
      <w:r w:rsidR="0017773E">
        <w:t>, which he used to</w:t>
      </w:r>
      <w:r w:rsidR="004D1C6F">
        <w:t xml:space="preserve"> amass savings to start his own business</w:t>
      </w:r>
      <w:r w:rsidR="0017773E">
        <w:t xml:space="preserve"> </w:t>
      </w:r>
      <w:r w:rsidR="004D7762">
        <w:t xml:space="preserve"> </w:t>
      </w:r>
      <w:sdt>
        <w:sdtPr>
          <w:id w:val="-1155680482"/>
          <w:citation/>
        </w:sdtPr>
        <w:sdtContent>
          <w:r w:rsidR="004D7762">
            <w:fldChar w:fldCharType="begin"/>
          </w:r>
          <w:r w:rsidR="004D7762">
            <w:instrText xml:space="preserve"> CITATION Ian17 \l 2057 </w:instrText>
          </w:r>
          <w:r w:rsidR="004D7762">
            <w:fldChar w:fldCharType="separate"/>
          </w:r>
          <w:r w:rsidR="004D7762" w:rsidRPr="004D7762">
            <w:rPr>
              <w:noProof/>
            </w:rPr>
            <w:t>(Harvey, 2017)</w:t>
          </w:r>
          <w:r w:rsidR="004D7762">
            <w:fldChar w:fldCharType="end"/>
          </w:r>
        </w:sdtContent>
      </w:sdt>
      <w:r w:rsidR="004D7762">
        <w:t>. Carnegie enter the steel business</w:t>
      </w:r>
      <w:r w:rsidR="0017773E">
        <w:t xml:space="preserve"> founding Carnegie Steel Company which </w:t>
      </w:r>
      <w:r w:rsidR="004D1C6F">
        <w:t>he eventually</w:t>
      </w:r>
      <w:r w:rsidR="0017773E">
        <w:t xml:space="preserve"> sold to J. P. Morgan </w:t>
      </w:r>
      <w:r w:rsidR="004D1C6F">
        <w:t>for</w:t>
      </w:r>
      <w:r w:rsidR="0017773E">
        <w:t xml:space="preserve"> over </w:t>
      </w:r>
      <w:r w:rsidR="0017773E" w:rsidRPr="0017773E">
        <w:t>$304 million</w:t>
      </w:r>
      <w:r w:rsidR="0017773E">
        <w:t xml:space="preserve"> </w:t>
      </w:r>
      <w:sdt>
        <w:sdtPr>
          <w:id w:val="2054425220"/>
          <w:citation/>
        </w:sdtPr>
        <w:sdtContent>
          <w:r w:rsidR="0017773E">
            <w:fldChar w:fldCharType="begin"/>
          </w:r>
          <w:r w:rsidR="0017773E">
            <w:instrText xml:space="preserve"> CITATION Gre16 \l 2057 </w:instrText>
          </w:r>
          <w:r w:rsidR="0017773E">
            <w:fldChar w:fldCharType="separate"/>
          </w:r>
          <w:r w:rsidR="0017773E" w:rsidRPr="0017773E">
            <w:rPr>
              <w:noProof/>
            </w:rPr>
            <w:t>(Kaza, 2016)</w:t>
          </w:r>
          <w:r w:rsidR="0017773E">
            <w:fldChar w:fldCharType="end"/>
          </w:r>
        </w:sdtContent>
      </w:sdt>
      <w:r w:rsidR="0017773E">
        <w:t>.</w:t>
      </w:r>
    </w:p>
    <w:p w14:paraId="34D1295F" w14:textId="77777777" w:rsidR="008C374D" w:rsidRDefault="008C374D" w:rsidP="002C4022">
      <w:pPr>
        <w:spacing w:after="0" w:line="480" w:lineRule="auto"/>
      </w:pPr>
    </w:p>
    <w:p w14:paraId="2F5E987D" w14:textId="27B8039F" w:rsidR="00B84926" w:rsidRPr="00FA08E5" w:rsidRDefault="002C4022" w:rsidP="00FA08E5">
      <w:pPr>
        <w:pStyle w:val="Heading2"/>
      </w:pPr>
      <w:bookmarkStart w:id="5" w:name="_Toc7810722"/>
      <w:r w:rsidRPr="00FA08E5">
        <w:t xml:space="preserve">1.3 </w:t>
      </w:r>
      <w:r w:rsidR="00B84926" w:rsidRPr="00FA08E5">
        <w:t xml:space="preserve">Stakeholders </w:t>
      </w:r>
      <w:r w:rsidR="00B825A2" w:rsidRPr="00FA08E5">
        <w:t>of Rockefeller and Carnegie</w:t>
      </w:r>
      <w:bookmarkEnd w:id="5"/>
    </w:p>
    <w:p w14:paraId="49FE6957" w14:textId="401BFDCE" w:rsidR="00B84926" w:rsidRDefault="00B84926" w:rsidP="002C4022">
      <w:pPr>
        <w:spacing w:after="0" w:line="480" w:lineRule="auto"/>
      </w:pPr>
    </w:p>
    <w:p w14:paraId="4529DE12" w14:textId="14EF5405" w:rsidR="009B565A" w:rsidRPr="00540033" w:rsidRDefault="009B565A" w:rsidP="002C4022">
      <w:pPr>
        <w:spacing w:after="0" w:line="480" w:lineRule="auto"/>
        <w:rPr>
          <w:rFonts w:cstheme="minorHAnsi"/>
        </w:rPr>
      </w:pPr>
      <w:r w:rsidRPr="00540033">
        <w:rPr>
          <w:rFonts w:cstheme="minorHAnsi"/>
        </w:rPr>
        <w:t xml:space="preserve">Stakeholders are what are defined by Freeman </w:t>
      </w:r>
      <w:sdt>
        <w:sdtPr>
          <w:rPr>
            <w:rFonts w:cstheme="minorHAnsi"/>
          </w:rPr>
          <w:id w:val="-1633008969"/>
          <w:citation/>
        </w:sdtPr>
        <w:sdtContent>
          <w:r w:rsidRPr="00540033">
            <w:rPr>
              <w:rFonts w:cstheme="minorHAnsi"/>
            </w:rPr>
            <w:fldChar w:fldCharType="begin"/>
          </w:r>
          <w:r w:rsidRPr="00540033">
            <w:rPr>
              <w:rFonts w:cstheme="minorHAnsi"/>
            </w:rPr>
            <w:instrText xml:space="preserve">CITATION REd10 \n  \l 2057 </w:instrText>
          </w:r>
          <w:r w:rsidRPr="00540033">
            <w:rPr>
              <w:rFonts w:cstheme="minorHAnsi"/>
            </w:rPr>
            <w:fldChar w:fldCharType="separate"/>
          </w:r>
          <w:r w:rsidRPr="00540033">
            <w:rPr>
              <w:rFonts w:cstheme="minorHAnsi"/>
              <w:noProof/>
            </w:rPr>
            <w:t>(2010)</w:t>
          </w:r>
          <w:r w:rsidRPr="00540033">
            <w:rPr>
              <w:rFonts w:cstheme="minorHAnsi"/>
            </w:rPr>
            <w:fldChar w:fldCharType="end"/>
          </w:r>
        </w:sdtContent>
      </w:sdt>
      <w:r w:rsidRPr="00540033">
        <w:rPr>
          <w:rFonts w:cstheme="minorHAnsi"/>
        </w:rPr>
        <w:t xml:space="preserve">  as those</w:t>
      </w:r>
      <w:r w:rsidR="00427ACA" w:rsidRPr="00540033">
        <w:rPr>
          <w:rFonts w:cstheme="minorHAnsi"/>
        </w:rPr>
        <w:t xml:space="preserve"> (either as individuals or groups</w:t>
      </w:r>
      <w:r w:rsidRPr="00540033">
        <w:rPr>
          <w:rFonts w:cstheme="minorHAnsi"/>
        </w:rPr>
        <w:t xml:space="preserve">) who </w:t>
      </w:r>
      <w:proofErr w:type="gramStart"/>
      <w:r w:rsidRPr="00540033">
        <w:rPr>
          <w:rFonts w:cstheme="minorHAnsi"/>
        </w:rPr>
        <w:t>are able to</w:t>
      </w:r>
      <w:proofErr w:type="gramEnd"/>
      <w:r w:rsidRPr="00540033">
        <w:rPr>
          <w:rFonts w:cstheme="minorHAnsi"/>
        </w:rPr>
        <w:t xml:space="preserve"> have an impact on the objectives of the organisation</w:t>
      </w:r>
      <w:r w:rsidR="00942533" w:rsidRPr="00540033">
        <w:rPr>
          <w:rFonts w:cstheme="minorHAnsi"/>
        </w:rPr>
        <w:t xml:space="preserve"> and are affected by its actions</w:t>
      </w:r>
      <w:r w:rsidR="00427ACA" w:rsidRPr="00540033">
        <w:rPr>
          <w:rFonts w:cstheme="minorHAnsi"/>
        </w:rPr>
        <w:t xml:space="preserve">. For Rockefeller and Carnegie stakeholders would be as </w:t>
      </w:r>
      <w:r w:rsidR="00C27190" w:rsidRPr="00540033">
        <w:rPr>
          <w:rFonts w:cstheme="minorHAnsi"/>
        </w:rPr>
        <w:t>follows</w:t>
      </w:r>
      <w:r w:rsidR="00427ACA" w:rsidRPr="00540033">
        <w:rPr>
          <w:rFonts w:cstheme="minorHAnsi"/>
        </w:rPr>
        <w:t>:</w:t>
      </w:r>
    </w:p>
    <w:p w14:paraId="7C3C1C83" w14:textId="2D5865F2" w:rsidR="00427ACA" w:rsidRPr="00540033" w:rsidRDefault="00427ACA" w:rsidP="002C4022">
      <w:pPr>
        <w:spacing w:after="0" w:line="480" w:lineRule="auto"/>
        <w:rPr>
          <w:rFonts w:cstheme="minorHAnsi"/>
        </w:rPr>
      </w:pPr>
    </w:p>
    <w:p w14:paraId="334BC204" w14:textId="4C07018C" w:rsidR="00942533" w:rsidRPr="00540033" w:rsidRDefault="00942533" w:rsidP="002C4022">
      <w:pPr>
        <w:spacing w:after="0" w:line="480" w:lineRule="auto"/>
        <w:rPr>
          <w:rFonts w:cstheme="minorHAnsi"/>
        </w:rPr>
      </w:pPr>
      <w:r w:rsidRPr="00540033">
        <w:rPr>
          <w:rFonts w:cstheme="minorHAnsi"/>
        </w:rPr>
        <w:lastRenderedPageBreak/>
        <w:t xml:space="preserve">Government – Responsible for creating laws and regulations to </w:t>
      </w:r>
      <w:r w:rsidR="00C27190" w:rsidRPr="00540033">
        <w:rPr>
          <w:rFonts w:cstheme="minorHAnsi"/>
        </w:rPr>
        <w:t>oversee</w:t>
      </w:r>
      <w:r w:rsidRPr="00540033">
        <w:rPr>
          <w:rFonts w:cstheme="minorHAnsi"/>
        </w:rPr>
        <w:t xml:space="preserve"> the running of </w:t>
      </w:r>
      <w:r w:rsidR="00B825A2" w:rsidRPr="00540033">
        <w:rPr>
          <w:rFonts w:cstheme="minorHAnsi"/>
        </w:rPr>
        <w:t xml:space="preserve">companies, subject to manipulation by </w:t>
      </w:r>
      <w:r w:rsidR="00C16769">
        <w:rPr>
          <w:rFonts w:cstheme="minorHAnsi"/>
        </w:rPr>
        <w:t>their influence</w:t>
      </w:r>
    </w:p>
    <w:p w14:paraId="2DCC0E0E" w14:textId="365F0F25" w:rsidR="00B825A2" w:rsidRPr="00540033" w:rsidRDefault="00427ACA" w:rsidP="002C4022">
      <w:pPr>
        <w:spacing w:after="0" w:line="480" w:lineRule="auto"/>
        <w:rPr>
          <w:rFonts w:cstheme="minorHAnsi"/>
        </w:rPr>
      </w:pPr>
      <w:r w:rsidRPr="00540033">
        <w:rPr>
          <w:rFonts w:cstheme="minorHAnsi"/>
        </w:rPr>
        <w:t xml:space="preserve">Customers </w:t>
      </w:r>
      <w:r w:rsidR="00B825A2" w:rsidRPr="00540033">
        <w:rPr>
          <w:rFonts w:cstheme="minorHAnsi"/>
        </w:rPr>
        <w:t>–</w:t>
      </w:r>
      <w:r w:rsidRPr="00540033">
        <w:rPr>
          <w:rFonts w:cstheme="minorHAnsi"/>
        </w:rPr>
        <w:t xml:space="preserve"> </w:t>
      </w:r>
      <w:r w:rsidR="00B825A2" w:rsidRPr="00540033">
        <w:rPr>
          <w:rFonts w:cstheme="minorHAnsi"/>
        </w:rPr>
        <w:t xml:space="preserve">benefited from new products from </w:t>
      </w:r>
      <w:r w:rsidR="00FB2E26" w:rsidRPr="00540033">
        <w:rPr>
          <w:rFonts w:cstheme="minorHAnsi"/>
        </w:rPr>
        <w:t>technologic advances</w:t>
      </w:r>
      <w:r w:rsidR="004D1C6F">
        <w:rPr>
          <w:rFonts w:cstheme="minorHAnsi"/>
        </w:rPr>
        <w:t xml:space="preserve"> and</w:t>
      </w:r>
      <w:r w:rsidR="00FA08E5">
        <w:rPr>
          <w:rFonts w:cstheme="minorHAnsi"/>
        </w:rPr>
        <w:t xml:space="preserve"> reduction in prices</w:t>
      </w:r>
    </w:p>
    <w:p w14:paraId="26274F47" w14:textId="72F4A3A0" w:rsidR="00427ACA" w:rsidRPr="00540033" w:rsidRDefault="00427ACA" w:rsidP="002C4022">
      <w:pPr>
        <w:spacing w:after="0" w:line="480" w:lineRule="auto"/>
        <w:rPr>
          <w:rFonts w:cstheme="minorHAnsi"/>
        </w:rPr>
      </w:pPr>
      <w:r w:rsidRPr="00540033">
        <w:rPr>
          <w:rFonts w:cstheme="minorHAnsi"/>
        </w:rPr>
        <w:t>Employees</w:t>
      </w:r>
      <w:r w:rsidR="00B825A2" w:rsidRPr="00540033">
        <w:rPr>
          <w:rFonts w:cstheme="minorHAnsi"/>
        </w:rPr>
        <w:t xml:space="preserve"> </w:t>
      </w:r>
      <w:r w:rsidR="00FA08E5">
        <w:rPr>
          <w:rFonts w:cstheme="minorHAnsi"/>
        </w:rPr>
        <w:t>–</w:t>
      </w:r>
      <w:r w:rsidR="00540033">
        <w:rPr>
          <w:rFonts w:cstheme="minorHAnsi"/>
        </w:rPr>
        <w:t xml:space="preserve"> </w:t>
      </w:r>
      <w:r w:rsidR="00FA08E5">
        <w:rPr>
          <w:rFonts w:cstheme="minorHAnsi"/>
        </w:rPr>
        <w:t>reliant on organisations for employment, affected by wage cuts</w:t>
      </w:r>
    </w:p>
    <w:p w14:paraId="4F8F399C" w14:textId="12C43FCD" w:rsidR="00453244" w:rsidRPr="00540033" w:rsidRDefault="00B825A2" w:rsidP="002C4022">
      <w:pPr>
        <w:spacing w:after="0" w:line="480" w:lineRule="auto"/>
        <w:rPr>
          <w:rFonts w:cstheme="minorHAnsi"/>
        </w:rPr>
      </w:pPr>
      <w:r w:rsidRPr="00540033">
        <w:rPr>
          <w:rFonts w:cstheme="minorHAnsi"/>
        </w:rPr>
        <w:t>Suppliers</w:t>
      </w:r>
      <w:r w:rsidR="00540033">
        <w:rPr>
          <w:rFonts w:cstheme="minorHAnsi"/>
        </w:rPr>
        <w:t xml:space="preserve"> </w:t>
      </w:r>
      <w:r w:rsidR="00FA08E5">
        <w:rPr>
          <w:rFonts w:cstheme="minorHAnsi"/>
        </w:rPr>
        <w:t>–</w:t>
      </w:r>
      <w:r w:rsidR="00540033">
        <w:rPr>
          <w:rFonts w:cstheme="minorHAnsi"/>
        </w:rPr>
        <w:t xml:space="preserve"> </w:t>
      </w:r>
      <w:r w:rsidR="004D1C6F">
        <w:rPr>
          <w:rFonts w:cstheme="minorHAnsi"/>
        </w:rPr>
        <w:t xml:space="preserve">reliant on for business, </w:t>
      </w:r>
      <w:r w:rsidR="00FA08E5">
        <w:rPr>
          <w:rFonts w:cstheme="minorHAnsi"/>
        </w:rPr>
        <w:t xml:space="preserve">at risk to being </w:t>
      </w:r>
      <w:r w:rsidR="00E32EFA">
        <w:rPr>
          <w:rFonts w:cstheme="minorHAnsi"/>
        </w:rPr>
        <w:t xml:space="preserve">taken over or removed as part of vertical </w:t>
      </w:r>
      <w:r w:rsidR="0098289D">
        <w:rPr>
          <w:rFonts w:cstheme="minorHAnsi"/>
        </w:rPr>
        <w:t>integration</w:t>
      </w:r>
    </w:p>
    <w:p w14:paraId="16BDA34A" w14:textId="042E0542" w:rsidR="00AD282D" w:rsidRDefault="00AD282D" w:rsidP="002C4022">
      <w:pPr>
        <w:spacing w:after="0" w:line="480" w:lineRule="auto"/>
      </w:pPr>
    </w:p>
    <w:p w14:paraId="748C715E" w14:textId="646E86E5" w:rsidR="00AD282D" w:rsidRPr="00FA08E5" w:rsidRDefault="00FA08E5" w:rsidP="00FA08E5">
      <w:pPr>
        <w:pStyle w:val="Heading2"/>
      </w:pPr>
      <w:bookmarkStart w:id="6" w:name="_Toc7810723"/>
      <w:r w:rsidRPr="00FA08E5">
        <w:t xml:space="preserve">1.4 </w:t>
      </w:r>
      <w:r w:rsidR="00AD282D" w:rsidRPr="00FA08E5">
        <w:t>Corporate Governance</w:t>
      </w:r>
      <w:bookmarkEnd w:id="6"/>
    </w:p>
    <w:p w14:paraId="734BE952" w14:textId="5D9863B1" w:rsidR="00453244" w:rsidRDefault="00453244" w:rsidP="002C4022">
      <w:pPr>
        <w:spacing w:after="0" w:line="480" w:lineRule="auto"/>
      </w:pPr>
    </w:p>
    <w:p w14:paraId="6BEF4838" w14:textId="4F698343" w:rsidR="00FA5F4F" w:rsidRDefault="00A73A29" w:rsidP="002C4022">
      <w:pPr>
        <w:spacing w:after="0" w:line="480" w:lineRule="auto"/>
      </w:pPr>
      <w:r>
        <w:t>Co</w:t>
      </w:r>
      <w:r w:rsidR="00FA5F4F">
        <w:t>r</w:t>
      </w:r>
      <w:r>
        <w:t>p</w:t>
      </w:r>
      <w:r w:rsidR="00FA5F4F">
        <w:t>o</w:t>
      </w:r>
      <w:r>
        <w:t>rate Gov</w:t>
      </w:r>
      <w:r w:rsidR="00FA5F4F">
        <w:t xml:space="preserve">ernance can be described as the mechanisms, processes, and relations which control and operate corporations </w:t>
      </w:r>
      <w:sdt>
        <w:sdtPr>
          <w:id w:val="2034992537"/>
          <w:citation/>
        </w:sdtPr>
        <w:sdtContent>
          <w:r>
            <w:fldChar w:fldCharType="begin"/>
          </w:r>
          <w:r>
            <w:instrText xml:space="preserve"> CITATION Joh03 \l 2057 </w:instrText>
          </w:r>
          <w:r>
            <w:fldChar w:fldCharType="separate"/>
          </w:r>
          <w:r w:rsidRPr="00A73A29">
            <w:rPr>
              <w:noProof/>
            </w:rPr>
            <w:t>(Williamson-Noble &amp; Haynes, 2003)</w:t>
          </w:r>
          <w:r>
            <w:fldChar w:fldCharType="end"/>
          </w:r>
        </w:sdtContent>
      </w:sdt>
      <w:r w:rsidR="00FA5F4F">
        <w:t>. Corporate Governance is expected to resolve potential conflicts where there is a separation of ownership and control between the board of directors or upper management and shareholders</w:t>
      </w:r>
      <w:r w:rsidR="004D1C6F">
        <w:t>,</w:t>
      </w:r>
      <w:r w:rsidR="00FA5F4F">
        <w:t xml:space="preserve"> </w:t>
      </w:r>
      <w:r w:rsidR="004D1C6F">
        <w:t>where</w:t>
      </w:r>
      <w:r w:rsidR="00FA5F4F">
        <w:t xml:space="preserve"> the</w:t>
      </w:r>
      <w:r w:rsidR="004D1C6F">
        <w:t>re</w:t>
      </w:r>
      <w:r w:rsidR="00FA5F4F">
        <w:t xml:space="preserve"> may have a conflict of interest </w:t>
      </w:r>
      <w:sdt>
        <w:sdtPr>
          <w:id w:val="-2070032749"/>
          <w:citation/>
        </w:sdtPr>
        <w:sdtContent>
          <w:r w:rsidR="00FA5F4F">
            <w:fldChar w:fldCharType="begin"/>
          </w:r>
          <w:r w:rsidR="00FA5F4F">
            <w:instrText xml:space="preserve"> CITATION NgY16 \l 2057 </w:instrText>
          </w:r>
          <w:r w:rsidR="00FA5F4F">
            <w:fldChar w:fldCharType="separate"/>
          </w:r>
          <w:r w:rsidR="00FA5F4F" w:rsidRPr="00242819">
            <w:rPr>
              <w:noProof/>
            </w:rPr>
            <w:t>(Hong &amp; San, 2016)</w:t>
          </w:r>
          <w:r w:rsidR="00FA5F4F">
            <w:fldChar w:fldCharType="end"/>
          </w:r>
        </w:sdtContent>
      </w:sdt>
      <w:r w:rsidR="00FA5F4F">
        <w:t>.</w:t>
      </w:r>
    </w:p>
    <w:p w14:paraId="76CFEC10" w14:textId="7F39DE7F" w:rsidR="00BF38AF" w:rsidRDefault="00BF38AF" w:rsidP="002C4022">
      <w:pPr>
        <w:spacing w:after="0" w:line="480" w:lineRule="auto"/>
      </w:pPr>
    </w:p>
    <w:p w14:paraId="6A19B023" w14:textId="3D74B0EE" w:rsidR="00FA08E5" w:rsidRDefault="00FA08E5" w:rsidP="00FA08E5">
      <w:pPr>
        <w:pStyle w:val="Heading1"/>
      </w:pPr>
      <w:bookmarkStart w:id="7" w:name="_Toc7810724"/>
      <w:r>
        <w:t>2. Main Findings</w:t>
      </w:r>
      <w:bookmarkEnd w:id="7"/>
    </w:p>
    <w:p w14:paraId="363A776E" w14:textId="77777777" w:rsidR="00FA08E5" w:rsidRDefault="00FA08E5" w:rsidP="002C4022">
      <w:pPr>
        <w:spacing w:after="0" w:line="480" w:lineRule="auto"/>
      </w:pPr>
    </w:p>
    <w:p w14:paraId="5547D1A7" w14:textId="776840F4" w:rsidR="00D37A6C" w:rsidRPr="00FA08E5" w:rsidRDefault="00FA08E5" w:rsidP="00FA08E5">
      <w:pPr>
        <w:pStyle w:val="Heading2"/>
      </w:pPr>
      <w:bookmarkStart w:id="8" w:name="_Toc7810725"/>
      <w:r w:rsidRPr="00FA08E5">
        <w:t xml:space="preserve">2.1 </w:t>
      </w:r>
      <w:r w:rsidR="00B825A2" w:rsidRPr="00FA08E5">
        <w:t>Impact of Governance</w:t>
      </w:r>
      <w:bookmarkEnd w:id="8"/>
      <w:r w:rsidR="00F423F7">
        <w:t xml:space="preserve"> </w:t>
      </w:r>
    </w:p>
    <w:p w14:paraId="2C4A29C7" w14:textId="77777777" w:rsidR="00183F86" w:rsidRDefault="00183F86" w:rsidP="002C4022">
      <w:pPr>
        <w:spacing w:after="0" w:line="480" w:lineRule="auto"/>
      </w:pPr>
    </w:p>
    <w:p w14:paraId="0C87AFE2" w14:textId="1EA87337" w:rsidR="008F741C" w:rsidRDefault="00FB2E26" w:rsidP="002C4022">
      <w:pPr>
        <w:spacing w:after="0" w:line="480" w:lineRule="auto"/>
      </w:pPr>
      <w:r>
        <w:t>The 19</w:t>
      </w:r>
      <w:r w:rsidRPr="00FB2E26">
        <w:rPr>
          <w:vertAlign w:val="superscript"/>
        </w:rPr>
        <w:t>th</w:t>
      </w:r>
      <w:r>
        <w:t xml:space="preserve"> </w:t>
      </w:r>
      <w:r w:rsidR="00BF6F97">
        <w:t xml:space="preserve">century </w:t>
      </w:r>
      <w:r>
        <w:t xml:space="preserve">in the United States was a time of great change for its citizens, </w:t>
      </w:r>
      <w:r w:rsidR="00183F86">
        <w:t xml:space="preserve">as it developed </w:t>
      </w:r>
      <w:r w:rsidR="00F423F7">
        <w:t>society</w:t>
      </w:r>
      <w:r w:rsidR="00183F86">
        <w:t xml:space="preserve"> was practically unrecognisable by the start of the 20</w:t>
      </w:r>
      <w:r w:rsidR="00183F86" w:rsidRPr="00183F86">
        <w:rPr>
          <w:vertAlign w:val="superscript"/>
        </w:rPr>
        <w:t>th</w:t>
      </w:r>
      <w:r w:rsidR="00183F86">
        <w:t xml:space="preserve"> Century.</w:t>
      </w:r>
      <w:r w:rsidR="006945FD">
        <w:t xml:space="preserve"> Technological changes were enabling</w:t>
      </w:r>
      <w:r w:rsidR="00A046CA">
        <w:t xml:space="preserve"> new type</w:t>
      </w:r>
      <w:r w:rsidR="00F423F7">
        <w:t>s</w:t>
      </w:r>
      <w:r w:rsidR="00A046CA">
        <w:t xml:space="preserve"> of business to emerge, and the establishment of a train network across the United States was enabling businesses to extend the range their supply could reach and therefore </w:t>
      </w:r>
      <w:proofErr w:type="gramStart"/>
      <w:r w:rsidR="00A046CA">
        <w:t>opened up</w:t>
      </w:r>
      <w:proofErr w:type="gramEnd"/>
      <w:r w:rsidR="00A046CA">
        <w:t xml:space="preserve"> new consumer markets.</w:t>
      </w:r>
      <w:r w:rsidR="00E71690">
        <w:t xml:space="preserve"> During this period, the train companies were competing to provide freight and by offering heavy discounts to high volume shippers, which Rockefeller was able to take advantage of </w:t>
      </w:r>
      <w:sdt>
        <w:sdtPr>
          <w:id w:val="-1591072579"/>
          <w:citation/>
        </w:sdtPr>
        <w:sdtContent>
          <w:r w:rsidR="00A046CA">
            <w:fldChar w:fldCharType="begin"/>
          </w:r>
          <w:r w:rsidR="00A046CA">
            <w:instrText xml:space="preserve"> CITATION Gra01 \l 2057 </w:instrText>
          </w:r>
          <w:r w:rsidR="00A046CA">
            <w:fldChar w:fldCharType="separate"/>
          </w:r>
          <w:r w:rsidR="00A046CA" w:rsidRPr="00A046CA">
            <w:rPr>
              <w:noProof/>
            </w:rPr>
            <w:t>(Segall, 2001)</w:t>
          </w:r>
          <w:r w:rsidR="00A046CA">
            <w:fldChar w:fldCharType="end"/>
          </w:r>
        </w:sdtContent>
      </w:sdt>
      <w:r w:rsidR="00E71690">
        <w:t>.</w:t>
      </w:r>
    </w:p>
    <w:p w14:paraId="7B90ADEE" w14:textId="30899229" w:rsidR="008F741C" w:rsidRDefault="008F741C" w:rsidP="002C4022">
      <w:pPr>
        <w:spacing w:after="0" w:line="480" w:lineRule="auto"/>
      </w:pPr>
    </w:p>
    <w:p w14:paraId="28B8EEE3" w14:textId="0405B7A2" w:rsidR="00E71690" w:rsidRDefault="00E71690" w:rsidP="002C4022">
      <w:pPr>
        <w:spacing w:after="0" w:line="480" w:lineRule="auto"/>
      </w:pPr>
      <w:r>
        <w:t>Throughout the expansion of Standard Oil, Rockefeller practiced what is known as horizontal integration</w:t>
      </w:r>
      <w:r w:rsidR="00DE7FAB">
        <w:t xml:space="preserve">, which is the acquisition of companies that are at the same stage of the production process </w:t>
      </w:r>
      <w:sdt>
        <w:sdtPr>
          <w:id w:val="731813149"/>
          <w:citation/>
        </w:sdtPr>
        <w:sdtContent>
          <w:r w:rsidR="00DE7FAB">
            <w:fldChar w:fldCharType="begin"/>
          </w:r>
          <w:r w:rsidR="00DE7FAB">
            <w:instrText xml:space="preserve"> CITATION Tej14 \l 2057 </w:instrText>
          </w:r>
          <w:r w:rsidR="00DE7FAB">
            <w:fldChar w:fldCharType="separate"/>
          </w:r>
          <w:r w:rsidR="00DE7FAB" w:rsidRPr="00DE7FAB">
            <w:rPr>
              <w:noProof/>
            </w:rPr>
            <w:t>(Pettinger, 2014)</w:t>
          </w:r>
          <w:r w:rsidR="00DE7FAB">
            <w:fldChar w:fldCharType="end"/>
          </w:r>
        </w:sdtContent>
      </w:sdt>
      <w:r>
        <w:t>.</w:t>
      </w:r>
      <w:r w:rsidR="00DE7FAB">
        <w:t xml:space="preserve"> </w:t>
      </w:r>
      <w:r w:rsidR="00694066">
        <w:t>Rockefeller used horizontal integration not only to expand the production of standard oil but also as an anti-competitive practice to remove competition from the market, in some cases even acquiring compa</w:t>
      </w:r>
      <w:r w:rsidR="00AD282D">
        <w:t xml:space="preserve">nies just to shut them down, </w:t>
      </w:r>
      <w:r w:rsidR="00694066">
        <w:t xml:space="preserve">making all staff unemployed </w:t>
      </w:r>
      <w:r w:rsidR="007B75CB">
        <w:t>and forcing them to sign contracts to stay out of business. Rockefeller continued to grow standard oil until the trust was responsible for 90% of the oil business in the United States</w:t>
      </w:r>
      <w:r w:rsidR="00961004">
        <w:t xml:space="preserve"> which can be seen as a monopoly</w:t>
      </w:r>
      <w:r w:rsidR="007B75CB">
        <w:t>,</w:t>
      </w:r>
      <w:r w:rsidR="00F423F7">
        <w:t xml:space="preserve"> he used</w:t>
      </w:r>
      <w:r w:rsidR="007B75CB">
        <w:t xml:space="preserve"> both direct ownership and </w:t>
      </w:r>
      <w:r w:rsidR="006E4F00">
        <w:t xml:space="preserve">by </w:t>
      </w:r>
      <w:r w:rsidR="00D21FBF">
        <w:t xml:space="preserve">control </w:t>
      </w:r>
      <w:r w:rsidR="006E4F00">
        <w:t>hidden and camouflaged</w:t>
      </w:r>
      <w:r w:rsidR="00D21FBF">
        <w:t xml:space="preserve"> means</w:t>
      </w:r>
      <w:r w:rsidR="006E4F00">
        <w:t>, both practices which contradict expectations of open honesty and fair competition of good Corporate Governance</w:t>
      </w:r>
      <w:r w:rsidR="00694066">
        <w:t xml:space="preserve"> </w:t>
      </w:r>
      <w:sdt>
        <w:sdtPr>
          <w:id w:val="1646477275"/>
          <w:citation/>
        </w:sdtPr>
        <w:sdtContent>
          <w:r w:rsidR="00672EBD">
            <w:fldChar w:fldCharType="begin"/>
          </w:r>
          <w:r w:rsidR="00672EBD">
            <w:instrText xml:space="preserve"> CITATION Ron04 \l 2057 </w:instrText>
          </w:r>
          <w:r w:rsidR="00672EBD">
            <w:fldChar w:fldCharType="separate"/>
          </w:r>
          <w:r w:rsidR="00672EBD" w:rsidRPr="00672EBD">
            <w:rPr>
              <w:noProof/>
            </w:rPr>
            <w:t>(Chernow, 2004)</w:t>
          </w:r>
          <w:r w:rsidR="00672EBD">
            <w:fldChar w:fldCharType="end"/>
          </w:r>
        </w:sdtContent>
      </w:sdt>
      <w:r w:rsidR="007B75CB">
        <w:t>.</w:t>
      </w:r>
      <w:r w:rsidR="006D1809">
        <w:t xml:space="preserve"> </w:t>
      </w:r>
    </w:p>
    <w:p w14:paraId="30935A07" w14:textId="4E162787" w:rsidR="00D74428" w:rsidRDefault="00D74428" w:rsidP="002C4022">
      <w:pPr>
        <w:spacing w:after="0" w:line="480" w:lineRule="auto"/>
      </w:pPr>
    </w:p>
    <w:p w14:paraId="42F741FB" w14:textId="13098AE6" w:rsidR="00655F25" w:rsidRDefault="00655F25" w:rsidP="002C4022">
      <w:pPr>
        <w:spacing w:after="0" w:line="480" w:lineRule="auto"/>
      </w:pPr>
      <w:r>
        <w:t xml:space="preserve">Carnegie was noted for practices that violated corporate governance in a few instances, firstly was his lowering of employee wages to save costs during difficult business periods. This approach to wages </w:t>
      </w:r>
      <w:r w:rsidR="00A00A7C">
        <w:t>did not</w:t>
      </w:r>
      <w:r>
        <w:t xml:space="preserve"> endear him to his employees </w:t>
      </w:r>
      <w:r w:rsidR="00A00A7C">
        <w:t xml:space="preserve">who subsequently went on strike, </w:t>
      </w:r>
      <w:proofErr w:type="gramStart"/>
      <w:r w:rsidR="00A00A7C">
        <w:t>in an attempt to</w:t>
      </w:r>
      <w:proofErr w:type="gramEnd"/>
      <w:r w:rsidR="00A00A7C">
        <w:t xml:space="preserve"> break up these strikes Carnegie engaged the services of the Pinkertons</w:t>
      </w:r>
      <w:r>
        <w:t xml:space="preserve"> </w:t>
      </w:r>
      <w:r w:rsidR="00A00A7C">
        <w:t xml:space="preserve">to act as union breakers which led to the </w:t>
      </w:r>
      <w:r w:rsidR="00A00A7C" w:rsidRPr="00A00A7C">
        <w:t>1892: Homestead Strike</w:t>
      </w:r>
      <w:r w:rsidR="00A00A7C">
        <w:t xml:space="preserve"> violence. This incident resulted in several strikers and Pinkerton agents being killed and was a </w:t>
      </w:r>
      <w:r w:rsidR="00D21FBF">
        <w:t>permanent</w:t>
      </w:r>
      <w:r w:rsidR="00A00A7C">
        <w:t xml:space="preserve"> mark on the reputation of Carnegie </w:t>
      </w:r>
      <w:sdt>
        <w:sdtPr>
          <w:id w:val="1036006713"/>
          <w:citation/>
        </w:sdtPr>
        <w:sdtContent>
          <w:r w:rsidR="00A00A7C">
            <w:fldChar w:fldCharType="begin"/>
          </w:r>
          <w:r w:rsidR="00A00A7C">
            <w:instrText xml:space="preserve"> CITATION Mat15 \l 2057 </w:instrText>
          </w:r>
          <w:r w:rsidR="00A00A7C">
            <w:fldChar w:fldCharType="separate"/>
          </w:r>
          <w:r w:rsidR="00A00A7C" w:rsidRPr="00A00A7C">
            <w:rPr>
              <w:noProof/>
            </w:rPr>
            <w:t>(DiLallo, 2015)</w:t>
          </w:r>
          <w:r w:rsidR="00A00A7C">
            <w:fldChar w:fldCharType="end"/>
          </w:r>
        </w:sdtContent>
      </w:sdt>
      <w:r w:rsidR="00A00A7C">
        <w:t xml:space="preserve">. </w:t>
      </w:r>
    </w:p>
    <w:p w14:paraId="1059DE4F" w14:textId="62B22D1A" w:rsidR="00C03395" w:rsidRDefault="00C03395" w:rsidP="002C4022">
      <w:pPr>
        <w:spacing w:after="0" w:line="480" w:lineRule="auto"/>
      </w:pPr>
    </w:p>
    <w:p w14:paraId="436C864F" w14:textId="452692B9" w:rsidR="00C03395" w:rsidRPr="00FA08E5" w:rsidRDefault="00FA08E5" w:rsidP="00FA08E5">
      <w:pPr>
        <w:pStyle w:val="Heading2"/>
      </w:pPr>
      <w:bookmarkStart w:id="9" w:name="_Toc7810726"/>
      <w:r w:rsidRPr="00FA08E5">
        <w:t xml:space="preserve">2.2 </w:t>
      </w:r>
      <w:r w:rsidR="00C03395" w:rsidRPr="00FA08E5">
        <w:t>Captains of Industry</w:t>
      </w:r>
      <w:bookmarkEnd w:id="9"/>
    </w:p>
    <w:p w14:paraId="68792552" w14:textId="67419640" w:rsidR="00C03395" w:rsidRDefault="00C03395" w:rsidP="002C4022">
      <w:pPr>
        <w:spacing w:after="0" w:line="480" w:lineRule="auto"/>
      </w:pPr>
    </w:p>
    <w:p w14:paraId="5A2DF468" w14:textId="116EEC03" w:rsidR="00C03395" w:rsidRDefault="00C03395" w:rsidP="002C4022">
      <w:pPr>
        <w:spacing w:after="0" w:line="480" w:lineRule="auto"/>
      </w:pPr>
      <w:r>
        <w:t xml:space="preserve">Despite some of their success being achieved through predatory business practices, there is little doubt that both Rockefeller and Carnegie were able to push their respective businesses forward through products and efficiency improvements. </w:t>
      </w:r>
      <w:proofErr w:type="spellStart"/>
      <w:r>
        <w:t>Kaza</w:t>
      </w:r>
      <w:proofErr w:type="spellEnd"/>
      <w:r>
        <w:t xml:space="preserve"> </w:t>
      </w:r>
      <w:sdt>
        <w:sdtPr>
          <w:id w:val="809820958"/>
          <w:citation/>
        </w:sdtPr>
        <w:sdtContent>
          <w:r>
            <w:fldChar w:fldCharType="begin"/>
          </w:r>
          <w:r>
            <w:instrText xml:space="preserve">CITATION Gre16 \n  \l 2057 </w:instrText>
          </w:r>
          <w:r>
            <w:fldChar w:fldCharType="separate"/>
          </w:r>
          <w:r w:rsidRPr="00C03395">
            <w:rPr>
              <w:noProof/>
            </w:rPr>
            <w:t>(2016)</w:t>
          </w:r>
          <w:r>
            <w:fldChar w:fldCharType="end"/>
          </w:r>
        </w:sdtContent>
      </w:sdt>
      <w:r>
        <w:t xml:space="preserve"> points out that one of Carnegie’s obsessions was cost minimisations, which sought maximise efficiencies in the production process and product quality, by </w:t>
      </w:r>
      <w:r w:rsidR="00D21FBF">
        <w:t>introducing</w:t>
      </w:r>
      <w:r>
        <w:t xml:space="preserve"> improvements such as the </w:t>
      </w:r>
      <w:r w:rsidRPr="00C03395">
        <w:t>Bessemer process to produce steel</w:t>
      </w:r>
      <w:r w:rsidR="00AB0077">
        <w:t xml:space="preserve"> at </w:t>
      </w:r>
      <w:r w:rsidR="00AB0077">
        <w:lastRenderedPageBreak/>
        <w:t>low cost and in high quantity.</w:t>
      </w:r>
      <w:r w:rsidR="006874A5">
        <w:t xml:space="preserve"> Another innovation that Carnegie adopted was the use of vertical integration, which involves owning all part of the production process from supply of raw materials, to transport, to production, to distribution. Adoption of these methods allowed for the lowering of the price of steel, which made it more affordable for more uses</w:t>
      </w:r>
      <w:r w:rsidR="00D21FBF">
        <w:t xml:space="preserve"> and</w:t>
      </w:r>
      <w:r w:rsidR="006874A5">
        <w:t xml:space="preserve"> propagat</w:t>
      </w:r>
      <w:r w:rsidR="00D21FBF">
        <w:t>ed</w:t>
      </w:r>
      <w:r w:rsidR="006874A5">
        <w:t xml:space="preserve"> its use and </w:t>
      </w:r>
      <w:r w:rsidR="00D21FBF">
        <w:t>benefited</w:t>
      </w:r>
      <w:r w:rsidR="006874A5">
        <w:t xml:space="preserve"> public infrastructure.  </w:t>
      </w:r>
    </w:p>
    <w:p w14:paraId="43297C2A" w14:textId="61C91374" w:rsidR="00C03395" w:rsidRDefault="00C03395" w:rsidP="002C4022">
      <w:pPr>
        <w:spacing w:after="0" w:line="480" w:lineRule="auto"/>
      </w:pPr>
    </w:p>
    <w:p w14:paraId="79FC40E0" w14:textId="6DD662D9" w:rsidR="006E111C" w:rsidRDefault="006E111C" w:rsidP="002C4022">
      <w:pPr>
        <w:spacing w:after="0" w:line="480" w:lineRule="auto"/>
      </w:pPr>
      <w:r>
        <w:t>Rockefeller also innovated during this period by introducing</w:t>
      </w:r>
      <w:r w:rsidRPr="006E111C">
        <w:t xml:space="preserve"> huge economies of scale that rapidly reduced </w:t>
      </w:r>
      <w:r>
        <w:t>the cost of production</w:t>
      </w:r>
      <w:r w:rsidRPr="006E111C">
        <w:t xml:space="preserve"> far below competitors. He also exploited the value of </w:t>
      </w:r>
      <w:r w:rsidR="00CF560E" w:rsidRPr="006E111C">
        <w:t>by</w:t>
      </w:r>
      <w:r w:rsidR="00CF560E">
        <w:t>-</w:t>
      </w:r>
      <w:r w:rsidR="00CF560E" w:rsidRPr="006E111C">
        <w:t>products</w:t>
      </w:r>
      <w:r>
        <w:t xml:space="preserve"> generated by</w:t>
      </w:r>
      <w:r w:rsidRPr="006E111C">
        <w:t xml:space="preserve"> selling kerosene</w:t>
      </w:r>
      <w:r>
        <w:t xml:space="preserve"> which was </w:t>
      </w:r>
      <w:r w:rsidRPr="006E111C">
        <w:t xml:space="preserve">the principal oil business prior to </w:t>
      </w:r>
      <w:r w:rsidR="00CF560E">
        <w:t>automobiles,</w:t>
      </w:r>
      <w:r>
        <w:t xml:space="preserve"> </w:t>
      </w:r>
      <w:r w:rsidRPr="006E111C">
        <w:t>as well as lubricants, varnishes, fuel oil, petroleum jelly, natural gas, and scores of other petroleum products</w:t>
      </w:r>
      <w:r>
        <w:t xml:space="preserve"> </w:t>
      </w:r>
      <w:sdt>
        <w:sdtPr>
          <w:id w:val="1874188065"/>
          <w:citation/>
        </w:sdtPr>
        <w:sdtContent>
          <w:r w:rsidR="00CF560E">
            <w:fldChar w:fldCharType="begin"/>
          </w:r>
          <w:r w:rsidR="00CF560E">
            <w:instrText xml:space="preserve"> CITATION Ron04 \l 2057 </w:instrText>
          </w:r>
          <w:r w:rsidR="00CF560E">
            <w:fldChar w:fldCharType="separate"/>
          </w:r>
          <w:r w:rsidR="00CF560E" w:rsidRPr="00CF560E">
            <w:rPr>
              <w:noProof/>
            </w:rPr>
            <w:t>(Chernow, 2004)</w:t>
          </w:r>
          <w:r w:rsidR="00CF560E">
            <w:fldChar w:fldCharType="end"/>
          </w:r>
        </w:sdtContent>
      </w:sdt>
      <w:r w:rsidR="00CF560E">
        <w:t>.</w:t>
      </w:r>
    </w:p>
    <w:p w14:paraId="245B29B0" w14:textId="77777777" w:rsidR="006E111C" w:rsidRDefault="006E111C" w:rsidP="002C4022">
      <w:pPr>
        <w:spacing w:after="0" w:line="480" w:lineRule="auto"/>
      </w:pPr>
    </w:p>
    <w:p w14:paraId="2CB95A20" w14:textId="71538609" w:rsidR="00242819" w:rsidRPr="00FA08E5" w:rsidRDefault="00FA08E5" w:rsidP="00FA08E5">
      <w:pPr>
        <w:pStyle w:val="Heading2"/>
      </w:pPr>
      <w:bookmarkStart w:id="10" w:name="_Toc7810727"/>
      <w:r w:rsidRPr="00FA08E5">
        <w:t xml:space="preserve">2.3 </w:t>
      </w:r>
      <w:r w:rsidR="00CA51A5" w:rsidRPr="00FA08E5">
        <w:t>Legality vs Ethics</w:t>
      </w:r>
      <w:bookmarkEnd w:id="10"/>
    </w:p>
    <w:p w14:paraId="22958FF2" w14:textId="5EC00A15" w:rsidR="00CA51A5" w:rsidRDefault="00CA51A5" w:rsidP="002C4022">
      <w:pPr>
        <w:spacing w:after="0" w:line="480" w:lineRule="auto"/>
      </w:pPr>
    </w:p>
    <w:p w14:paraId="084FB94D" w14:textId="4584F012" w:rsidR="00CA51A5" w:rsidRDefault="00CA51A5" w:rsidP="002C4022">
      <w:pPr>
        <w:spacing w:after="0" w:line="480" w:lineRule="auto"/>
      </w:pPr>
      <w:r>
        <w:t xml:space="preserve">Although the actions of the noted “Robber Barons” have been frequently seen as </w:t>
      </w:r>
      <w:r w:rsidR="00961BB8">
        <w:t>unethical</w:t>
      </w:r>
      <w:r w:rsidR="00CF560E">
        <w:t xml:space="preserve"> in modern times</w:t>
      </w:r>
      <w:r w:rsidR="00961BB8">
        <w:t>,</w:t>
      </w:r>
      <w:r>
        <w:t xml:space="preserve"> </w:t>
      </w:r>
      <w:r w:rsidR="00961BB8">
        <w:t>their actions at the time were within the legal system of the day</w:t>
      </w:r>
      <w:r w:rsidR="00A00A7C">
        <w:t xml:space="preserve">. </w:t>
      </w:r>
      <w:r w:rsidR="009967BE">
        <w:t xml:space="preserve">The </w:t>
      </w:r>
      <w:r w:rsidR="009967BE" w:rsidRPr="009967BE">
        <w:t xml:space="preserve">laissez-faire </w:t>
      </w:r>
      <w:r w:rsidR="009967BE">
        <w:t xml:space="preserve">form of Capitalism at the time encouraged this kind of competition and it was these abuses that in turn informed the laws that would prevent them taking place again in the future, such as the </w:t>
      </w:r>
      <w:r w:rsidR="009967BE" w:rsidRPr="009967BE">
        <w:t>1890 Sherman Antitrust Act</w:t>
      </w:r>
      <w:r w:rsidR="009967BE">
        <w:t xml:space="preserve"> that would break up the Standard Oil trust in 1911 </w:t>
      </w:r>
      <w:sdt>
        <w:sdtPr>
          <w:id w:val="854383365"/>
          <w:citation/>
        </w:sdtPr>
        <w:sdtContent>
          <w:r w:rsidR="00540033">
            <w:fldChar w:fldCharType="begin"/>
          </w:r>
          <w:r w:rsidR="00540033">
            <w:instrText xml:space="preserve"> CITATION Mat15 \l 2057 </w:instrText>
          </w:r>
          <w:r w:rsidR="00540033">
            <w:fldChar w:fldCharType="separate"/>
          </w:r>
          <w:r w:rsidR="00540033" w:rsidRPr="00540033">
            <w:rPr>
              <w:noProof/>
            </w:rPr>
            <w:t>(DiLallo, 2015)</w:t>
          </w:r>
          <w:r w:rsidR="00540033">
            <w:fldChar w:fldCharType="end"/>
          </w:r>
        </w:sdtContent>
      </w:sdt>
      <w:r w:rsidR="00961BB8">
        <w:t xml:space="preserve">. </w:t>
      </w:r>
    </w:p>
    <w:p w14:paraId="1A2961DB" w14:textId="595AD084" w:rsidR="00453244" w:rsidRDefault="00453244" w:rsidP="002C4022">
      <w:pPr>
        <w:spacing w:after="0" w:line="480" w:lineRule="auto"/>
      </w:pPr>
    </w:p>
    <w:p w14:paraId="0BFE4DF8" w14:textId="6B1CCDE9" w:rsidR="00326E81" w:rsidRPr="00FA08E5" w:rsidRDefault="00FA08E5" w:rsidP="00FA08E5">
      <w:pPr>
        <w:pStyle w:val="Heading2"/>
      </w:pPr>
      <w:bookmarkStart w:id="11" w:name="_Toc7810728"/>
      <w:r w:rsidRPr="00FA08E5">
        <w:t xml:space="preserve">2.4 </w:t>
      </w:r>
      <w:r w:rsidR="00326E81" w:rsidRPr="00FA08E5">
        <w:t>Philanthropy</w:t>
      </w:r>
      <w:bookmarkEnd w:id="11"/>
    </w:p>
    <w:p w14:paraId="2F3A3DCC" w14:textId="44531A83" w:rsidR="00326E81" w:rsidRDefault="00326E81" w:rsidP="002C4022">
      <w:pPr>
        <w:spacing w:after="0" w:line="480" w:lineRule="auto"/>
      </w:pPr>
    </w:p>
    <w:p w14:paraId="019C2B77" w14:textId="0B7B0B7F" w:rsidR="00326E81" w:rsidRDefault="00A21479" w:rsidP="002C4022">
      <w:pPr>
        <w:spacing w:after="0" w:line="480" w:lineRule="auto"/>
      </w:pPr>
      <w:r w:rsidRPr="005D027A">
        <w:t>Philanthropy derives from Greek words "</w:t>
      </w:r>
      <w:proofErr w:type="spellStart"/>
      <w:r w:rsidRPr="005D027A">
        <w:t>philos</w:t>
      </w:r>
      <w:proofErr w:type="spellEnd"/>
      <w:r w:rsidRPr="005D027A">
        <w:t>" meaning loving and "</w:t>
      </w:r>
      <w:proofErr w:type="spellStart"/>
      <w:r w:rsidRPr="005D027A">
        <w:t>anthropos</w:t>
      </w:r>
      <w:proofErr w:type="spellEnd"/>
      <w:r w:rsidRPr="005D027A">
        <w:t xml:space="preserve">" meaning humankind, </w:t>
      </w:r>
      <w:r w:rsidR="005D027A" w:rsidRPr="005D027A">
        <w:t xml:space="preserve">and whose </w:t>
      </w:r>
      <w:r w:rsidR="005D027A" w:rsidRPr="005D027A">
        <w:rPr>
          <w:shd w:val="clear" w:color="auto" w:fill="FFFFFF"/>
        </w:rPr>
        <w:t xml:space="preserve">purpose can be described as “to improve the wellbeing of humankind by preventing and solving social problems” </w:t>
      </w:r>
      <w:sdt>
        <w:sdtPr>
          <w:rPr>
            <w:shd w:val="clear" w:color="auto" w:fill="FFFFFF"/>
          </w:rPr>
          <w:id w:val="938959540"/>
          <w:citation/>
        </w:sdtPr>
        <w:sdtContent>
          <w:r w:rsidR="005D027A" w:rsidRPr="005D027A">
            <w:rPr>
              <w:shd w:val="clear" w:color="auto" w:fill="FFFFFF"/>
            </w:rPr>
            <w:fldChar w:fldCharType="begin"/>
          </w:r>
          <w:r w:rsidR="005D027A" w:rsidRPr="005D027A">
            <w:rPr>
              <w:shd w:val="clear" w:color="auto" w:fill="FFFFFF"/>
            </w:rPr>
            <w:instrText xml:space="preserve"> CITATION Cat19 \l 2057 </w:instrText>
          </w:r>
          <w:r w:rsidR="005D027A" w:rsidRPr="005D027A">
            <w:rPr>
              <w:shd w:val="clear" w:color="auto" w:fill="FFFFFF"/>
            </w:rPr>
            <w:fldChar w:fldCharType="separate"/>
          </w:r>
          <w:r w:rsidR="005D027A" w:rsidRPr="005D027A">
            <w:rPr>
              <w:noProof/>
              <w:shd w:val="clear" w:color="auto" w:fill="FFFFFF"/>
            </w:rPr>
            <w:t>(Zimmer, 2019)</w:t>
          </w:r>
          <w:r w:rsidR="005D027A" w:rsidRPr="005D027A">
            <w:rPr>
              <w:shd w:val="clear" w:color="auto" w:fill="FFFFFF"/>
            </w:rPr>
            <w:fldChar w:fldCharType="end"/>
          </w:r>
        </w:sdtContent>
      </w:sdt>
      <w:r w:rsidR="005D027A" w:rsidRPr="005D027A">
        <w:rPr>
          <w:shd w:val="clear" w:color="auto" w:fill="FFFFFF"/>
        </w:rPr>
        <w:t>.</w:t>
      </w:r>
      <w:r w:rsidR="005D027A">
        <w:rPr>
          <w:shd w:val="clear" w:color="auto" w:fill="FFFFFF"/>
        </w:rPr>
        <w:t xml:space="preserve"> </w:t>
      </w:r>
      <w:r w:rsidR="00882A7A">
        <w:t xml:space="preserve">Philanthropy, as opposed to charity which aims to give present relief to people in need, is a strategic </w:t>
      </w:r>
      <w:r w:rsidR="005D027A">
        <w:t>long-term</w:t>
      </w:r>
      <w:r w:rsidR="00882A7A">
        <w:t xml:space="preserve"> investment to create tools or institutions to combat the root issues and create long lasting systematic change</w:t>
      </w:r>
      <w:r>
        <w:t xml:space="preserve"> </w:t>
      </w:r>
      <w:sdt>
        <w:sdtPr>
          <w:id w:val="803578745"/>
          <w:citation/>
        </w:sdtPr>
        <w:sdtContent>
          <w:r>
            <w:fldChar w:fldCharType="begin"/>
          </w:r>
          <w:r>
            <w:instrText xml:space="preserve"> CITATION Ste18 \l 2057 </w:instrText>
          </w:r>
          <w:r>
            <w:fldChar w:fldCharType="separate"/>
          </w:r>
          <w:r w:rsidRPr="00A21479">
            <w:rPr>
              <w:noProof/>
            </w:rPr>
            <w:t>(Moye, 2018)</w:t>
          </w:r>
          <w:r>
            <w:fldChar w:fldCharType="end"/>
          </w:r>
        </w:sdtContent>
      </w:sdt>
      <w:r w:rsidR="00882A7A">
        <w:t xml:space="preserve">.  </w:t>
      </w:r>
    </w:p>
    <w:p w14:paraId="30A0EFDC" w14:textId="5C8C53F2" w:rsidR="005D027A" w:rsidRDefault="005D027A" w:rsidP="002C4022">
      <w:pPr>
        <w:spacing w:after="0" w:line="480" w:lineRule="auto"/>
      </w:pPr>
      <w:r>
        <w:lastRenderedPageBreak/>
        <w:t xml:space="preserve">Carnegie, who </w:t>
      </w:r>
      <w:r w:rsidR="007352BE">
        <w:t>had spent his entire career amassing as large a fortune as he could</w:t>
      </w:r>
      <w:r w:rsidR="00CF560E">
        <w:t>,</w:t>
      </w:r>
      <w:r w:rsidR="007352BE">
        <w:t xml:space="preserve"> developed </w:t>
      </w:r>
      <w:r w:rsidR="004120CD">
        <w:t>a desire to use this funding for charitable purposes and</w:t>
      </w:r>
      <w:r w:rsidR="007352BE">
        <w:t xml:space="preserve"> </w:t>
      </w:r>
      <w:r w:rsidR="004120CD">
        <w:t>a</w:t>
      </w:r>
      <w:r w:rsidR="004120CD" w:rsidRPr="004120CD">
        <w:t>t age 65</w:t>
      </w:r>
      <w:r w:rsidR="004120CD">
        <w:t xml:space="preserve"> when</w:t>
      </w:r>
      <w:r w:rsidR="004120CD" w:rsidRPr="004120CD">
        <w:t xml:space="preserve"> he sold </w:t>
      </w:r>
      <w:r w:rsidR="004120CD">
        <w:t>his</w:t>
      </w:r>
      <w:r w:rsidR="004120CD" w:rsidRPr="004120CD">
        <w:t xml:space="preserve"> company to J. P. Morgan for $480 million</w:t>
      </w:r>
      <w:r w:rsidR="004120CD">
        <w:t xml:space="preserve">, he proceeded to spend the remainder of his life </w:t>
      </w:r>
      <w:r w:rsidR="00CF560E">
        <w:t>by</w:t>
      </w:r>
      <w:r w:rsidR="004120CD">
        <w:t xml:space="preserve"> giving away 90% of his wealth to charitable causes </w:t>
      </w:r>
      <w:sdt>
        <w:sdtPr>
          <w:id w:val="-1572039557"/>
          <w:citation/>
        </w:sdtPr>
        <w:sdtContent>
          <w:r w:rsidR="004120CD">
            <w:fldChar w:fldCharType="begin"/>
          </w:r>
          <w:r w:rsidR="004120CD">
            <w:instrText xml:space="preserve"> CITATION Car19 \l 2057 </w:instrText>
          </w:r>
          <w:r w:rsidR="004120CD">
            <w:fldChar w:fldCharType="separate"/>
          </w:r>
          <w:r w:rsidR="004120CD" w:rsidRPr="004120CD">
            <w:rPr>
              <w:noProof/>
            </w:rPr>
            <w:t>(Carnegie.org, 2019)</w:t>
          </w:r>
          <w:r w:rsidR="004120CD">
            <w:fldChar w:fldCharType="end"/>
          </w:r>
        </w:sdtContent>
      </w:sdt>
      <w:r w:rsidR="00581EBD">
        <w:t xml:space="preserve">. Along with Rockefeller they both gave away and created institutions to carry on doing so </w:t>
      </w:r>
      <w:r w:rsidR="00CF560E">
        <w:t xml:space="preserve">after they had passed, creating universities, public libraries, churches, </w:t>
      </w:r>
      <w:r w:rsidR="00DE7A25">
        <w:t>institutes for scientific research.</w:t>
      </w:r>
      <w:r w:rsidR="00CF560E">
        <w:t xml:space="preserve">  </w:t>
      </w:r>
    </w:p>
    <w:p w14:paraId="570579CD" w14:textId="081E9374" w:rsidR="005E107E" w:rsidRDefault="005E107E" w:rsidP="002C4022">
      <w:pPr>
        <w:spacing w:after="0" w:line="480" w:lineRule="auto"/>
      </w:pPr>
    </w:p>
    <w:p w14:paraId="180B84C9" w14:textId="1C0C2875" w:rsidR="005E107E" w:rsidRDefault="005E107E" w:rsidP="002C4022">
      <w:pPr>
        <w:spacing w:after="0" w:line="480" w:lineRule="auto"/>
      </w:pPr>
      <w:r>
        <w:t xml:space="preserve">Carnegie expressed his philosophy in </w:t>
      </w:r>
      <w:r w:rsidR="00A73A29">
        <w:t>“the Gospel of Wealth”</w:t>
      </w:r>
      <w:r>
        <w:t xml:space="preserve"> that to deal </w:t>
      </w:r>
      <w:r w:rsidR="00DE7A25">
        <w:t>with</w:t>
      </w:r>
      <w:r>
        <w:t xml:space="preserve"> the increasing divide between the rich and poor, the wealthy person should utilise their funds on behalf of working people, however it can be argued that this is ignoring the real issue of systematic inequality and that would be more prudent to deal with the root cause of this inequality.   </w:t>
      </w:r>
    </w:p>
    <w:p w14:paraId="74FC3D33" w14:textId="0BC4B681" w:rsidR="00AD282D" w:rsidRDefault="00AD282D" w:rsidP="002C4022">
      <w:pPr>
        <w:spacing w:after="0" w:line="480" w:lineRule="auto"/>
      </w:pPr>
    </w:p>
    <w:p w14:paraId="79344E23" w14:textId="4B437DD7" w:rsidR="00E70612" w:rsidRDefault="00DE7A25" w:rsidP="002C4022">
      <w:pPr>
        <w:spacing w:after="0" w:line="480" w:lineRule="auto"/>
      </w:pPr>
      <w:r>
        <w:t xml:space="preserve">Porter &amp; Kramer </w:t>
      </w:r>
      <w:sdt>
        <w:sdtPr>
          <w:id w:val="-638806688"/>
          <w:citation/>
        </w:sdtPr>
        <w:sdtContent>
          <w:r w:rsidR="00E70612">
            <w:fldChar w:fldCharType="begin"/>
          </w:r>
          <w:r>
            <w:instrText xml:space="preserve">CITATION Por02 \n  \l 2057 </w:instrText>
          </w:r>
          <w:r w:rsidR="00E70612">
            <w:fldChar w:fldCharType="separate"/>
          </w:r>
          <w:r w:rsidRPr="00DE7A25">
            <w:rPr>
              <w:noProof/>
            </w:rPr>
            <w:t>(2002)</w:t>
          </w:r>
          <w:r w:rsidR="00E70612">
            <w:fldChar w:fldCharType="end"/>
          </w:r>
        </w:sdtContent>
      </w:sdt>
      <w:r w:rsidR="00E70612">
        <w:t xml:space="preserve"> Argue that strategically</w:t>
      </w:r>
      <w:r w:rsidR="00C9417F">
        <w:t xml:space="preserve">, corporate philanthropy as it is currently practiced is </w:t>
      </w:r>
      <w:r>
        <w:t>ineffective</w:t>
      </w:r>
      <w:r w:rsidR="006D1809">
        <w:t>,</w:t>
      </w:r>
      <w:r w:rsidR="00C9417F">
        <w:t xml:space="preserve"> </w:t>
      </w:r>
      <w:r>
        <w:t>in the way it has been</w:t>
      </w:r>
      <w:r w:rsidR="00C9417F">
        <w:t xml:space="preserve"> used in recent times, which is to say as a public relations or </w:t>
      </w:r>
      <w:r>
        <w:t xml:space="preserve">a </w:t>
      </w:r>
      <w:r w:rsidR="00C9417F">
        <w:t xml:space="preserve">marketing tool. They point out that due to the </w:t>
      </w:r>
      <w:r>
        <w:t>un</w:t>
      </w:r>
      <w:r w:rsidR="00C9417F">
        <w:t xml:space="preserve">focused and haphazard nature of how the money is allocated to social causes, they can be ineffective as philanthropic acts and fail to raise awareness of the company’s image or brands as intended. </w:t>
      </w:r>
      <w:r w:rsidR="00BC4775">
        <w:t xml:space="preserve">They instead suggest using a </w:t>
      </w:r>
      <w:r w:rsidR="007352BE">
        <w:t>focused philanthropic</w:t>
      </w:r>
      <w:r w:rsidR="00BC4775">
        <w:t xml:space="preserve"> approach when the </w:t>
      </w:r>
      <w:r w:rsidR="009C2A1A">
        <w:t>charitable interest</w:t>
      </w:r>
      <w:r w:rsidR="007352BE">
        <w:t>s</w:t>
      </w:r>
      <w:r w:rsidR="009C2A1A">
        <w:t xml:space="preserve"> </w:t>
      </w:r>
      <w:r w:rsidR="007352BE">
        <w:t>are</w:t>
      </w:r>
      <w:r w:rsidR="009C2A1A">
        <w:t xml:space="preserve"> aligned with the company, so the social issue they seek to address is one that would </w:t>
      </w:r>
      <w:r w:rsidR="007352BE">
        <w:t>affect</w:t>
      </w:r>
      <w:r w:rsidR="009C2A1A">
        <w:t xml:space="preserve"> the company (such as IT companies investing in IT education)</w:t>
      </w:r>
      <w:r>
        <w:t>.</w:t>
      </w:r>
    </w:p>
    <w:p w14:paraId="641D3BB9" w14:textId="77777777" w:rsidR="00C9417F" w:rsidRDefault="00C9417F" w:rsidP="002C4022">
      <w:pPr>
        <w:spacing w:after="0" w:line="480" w:lineRule="auto"/>
      </w:pPr>
    </w:p>
    <w:p w14:paraId="36222E14" w14:textId="70C82F5D" w:rsidR="003459E3" w:rsidRDefault="00277375" w:rsidP="002C4022">
      <w:pPr>
        <w:spacing w:after="0" w:line="480" w:lineRule="auto"/>
      </w:pPr>
      <w:r>
        <w:t xml:space="preserve">Despite the </w:t>
      </w:r>
      <w:r w:rsidR="00A867CF">
        <w:t xml:space="preserve">potential </w:t>
      </w:r>
      <w:r>
        <w:t xml:space="preserve">positive aspects of industry Philanthropy </w:t>
      </w:r>
      <w:sdt>
        <w:sdtPr>
          <w:id w:val="-1038806375"/>
          <w:citation/>
        </w:sdtPr>
        <w:sdtContent>
          <w:r>
            <w:fldChar w:fldCharType="begin"/>
          </w:r>
          <w:r>
            <w:instrText xml:space="preserve"> CITATION Bar13 \l 2057 </w:instrText>
          </w:r>
          <w:r>
            <w:fldChar w:fldCharType="separate"/>
          </w:r>
          <w:r w:rsidRPr="00277375">
            <w:rPr>
              <w:noProof/>
            </w:rPr>
            <w:t>(Barkan, 2013)</w:t>
          </w:r>
          <w:r>
            <w:fldChar w:fldCharType="end"/>
          </w:r>
        </w:sdtContent>
      </w:sdt>
      <w:r>
        <w:t xml:space="preserve"> cautions that</w:t>
      </w:r>
      <w:r w:rsidR="00F14C2A">
        <w:t xml:space="preserve"> the mega foundations formed from </w:t>
      </w:r>
      <w:r w:rsidR="00A867CF">
        <w:t xml:space="preserve">these forms of philanthropy exist currently as wealth-created power operating in the public sector which have few democratic controls or civic obligations, and are able to exert political influence by donations which </w:t>
      </w:r>
      <w:r w:rsidR="00DE7A25">
        <w:t>while</w:t>
      </w:r>
      <w:r w:rsidR="00A867CF">
        <w:t xml:space="preserve"> limited</w:t>
      </w:r>
      <w:r w:rsidR="00DE7A25">
        <w:t>,</w:t>
      </w:r>
      <w:r w:rsidR="00A867CF">
        <w:t xml:space="preserve"> but ineffectively so.</w:t>
      </w:r>
      <w:r w:rsidR="00DE7A25">
        <w:t xml:space="preserve"> Hay &amp; Muller</w:t>
      </w:r>
      <w:r w:rsidR="00A867CF">
        <w:t xml:space="preserve">  </w:t>
      </w:r>
      <w:sdt>
        <w:sdtPr>
          <w:id w:val="-602033906"/>
          <w:citation/>
        </w:sdtPr>
        <w:sdtContent>
          <w:r w:rsidR="003459E3">
            <w:fldChar w:fldCharType="begin"/>
          </w:r>
          <w:r w:rsidR="00DE7A25">
            <w:instrText xml:space="preserve">CITATION Iai14 \n  \l 2057 </w:instrText>
          </w:r>
          <w:r w:rsidR="003459E3">
            <w:fldChar w:fldCharType="separate"/>
          </w:r>
          <w:r w:rsidR="00DE7A25" w:rsidRPr="00DE7A25">
            <w:rPr>
              <w:noProof/>
            </w:rPr>
            <w:t>(2014)</w:t>
          </w:r>
          <w:r w:rsidR="003459E3">
            <w:fldChar w:fldCharType="end"/>
          </w:r>
        </w:sdtContent>
      </w:sdt>
      <w:r w:rsidR="0014090A">
        <w:t xml:space="preserve"> suggest that an increased reliance on </w:t>
      </w:r>
      <w:r w:rsidR="005C5B95">
        <w:t xml:space="preserve">corporate philanthropy </w:t>
      </w:r>
      <w:r w:rsidR="00DB593D">
        <w:t>could replace public sector spending on necessary social infrastructure and a</w:t>
      </w:r>
      <w:r w:rsidR="00DE7A25">
        <w:t>s</w:t>
      </w:r>
      <w:r w:rsidR="00DB593D">
        <w:t xml:space="preserve"> form of funding which is</w:t>
      </w:r>
      <w:r w:rsidR="00331514">
        <w:t xml:space="preserve"> reliant on the </w:t>
      </w:r>
      <w:r w:rsidR="00331514">
        <w:lastRenderedPageBreak/>
        <w:t xml:space="preserve">maintaining interest </w:t>
      </w:r>
      <w:r w:rsidR="00DE7A25">
        <w:t>from</w:t>
      </w:r>
      <w:r w:rsidR="00331514">
        <w:t xml:space="preserve"> the foundation</w:t>
      </w:r>
      <w:r w:rsidR="00DB593D">
        <w:t xml:space="preserve">. </w:t>
      </w:r>
      <w:r w:rsidR="00331514">
        <w:t xml:space="preserve">They also point out that philanthropist tend to give to causes that they are themselves are close to, meaning that resources are allocated in an uneven distribution. </w:t>
      </w:r>
    </w:p>
    <w:p w14:paraId="330F18CF" w14:textId="77777777" w:rsidR="00C9417F" w:rsidRDefault="00C9417F" w:rsidP="002C4022">
      <w:pPr>
        <w:spacing w:after="0" w:line="480" w:lineRule="auto"/>
      </w:pPr>
    </w:p>
    <w:p w14:paraId="588322DB" w14:textId="50890199" w:rsidR="00A867CF" w:rsidRDefault="003459E3" w:rsidP="002C4022">
      <w:pPr>
        <w:spacing w:after="0" w:line="480" w:lineRule="auto"/>
      </w:pPr>
      <w:r>
        <w:t xml:space="preserve">Rhodes &amp; Bloom </w:t>
      </w:r>
      <w:sdt>
        <w:sdtPr>
          <w:id w:val="-1326519131"/>
          <w:citation/>
        </w:sdtPr>
        <w:sdtContent>
          <w:r w:rsidR="00A867CF">
            <w:fldChar w:fldCharType="begin"/>
          </w:r>
          <w:r>
            <w:instrText xml:space="preserve">CITATION Car18 \n  \l 2057 </w:instrText>
          </w:r>
          <w:r w:rsidR="00A867CF">
            <w:fldChar w:fldCharType="separate"/>
          </w:r>
          <w:r w:rsidRPr="003459E3">
            <w:rPr>
              <w:noProof/>
            </w:rPr>
            <w:t>(2018)</w:t>
          </w:r>
          <w:r w:rsidR="00A867CF">
            <w:fldChar w:fldCharType="end"/>
          </w:r>
        </w:sdtContent>
      </w:sdt>
      <w:r>
        <w:t xml:space="preserve"> point out that many of these Philanthropic activities are aimed to counteract results that the businesses that generated their wealth were responsible for causing</w:t>
      </w:r>
      <w:r w:rsidR="0014090A">
        <w:t>, and that corporations are able to use cost effective charitable donations to repair brand damage from e</w:t>
      </w:r>
      <w:r w:rsidR="0014090A" w:rsidRPr="0014090A">
        <w:t>xploitative labour practices or corporate malpractice</w:t>
      </w:r>
      <w:r w:rsidR="0014090A">
        <w:t xml:space="preserve"> which are can be cheaper than actually addressing </w:t>
      </w:r>
      <w:r w:rsidR="005C5B95">
        <w:t>these aspects of their business.</w:t>
      </w:r>
    </w:p>
    <w:p w14:paraId="2AC06A1B" w14:textId="77777777" w:rsidR="00C7630F" w:rsidRDefault="00C7630F" w:rsidP="002C4022">
      <w:pPr>
        <w:spacing w:after="0" w:line="480" w:lineRule="auto"/>
        <w:rPr>
          <w:b/>
          <w:u w:val="single"/>
        </w:rPr>
      </w:pPr>
    </w:p>
    <w:p w14:paraId="60F16354" w14:textId="3C1437A2" w:rsidR="00C7630F" w:rsidRPr="00FA08E5" w:rsidRDefault="00FA08E5" w:rsidP="00FA08E5">
      <w:pPr>
        <w:pStyle w:val="Heading2"/>
      </w:pPr>
      <w:bookmarkStart w:id="12" w:name="_Toc7810729"/>
      <w:r w:rsidRPr="00FA08E5">
        <w:t xml:space="preserve">2.5 </w:t>
      </w:r>
      <w:r w:rsidR="00C7630F" w:rsidRPr="00FA08E5">
        <w:t xml:space="preserve">Effectiveness of </w:t>
      </w:r>
      <w:r w:rsidR="00C274A2" w:rsidRPr="00FA08E5">
        <w:t>modern-day</w:t>
      </w:r>
      <w:r w:rsidR="00C7630F" w:rsidRPr="00FA08E5">
        <w:t xml:space="preserve"> Corporate Governance</w:t>
      </w:r>
      <w:bookmarkEnd w:id="12"/>
    </w:p>
    <w:p w14:paraId="277C81A8" w14:textId="77777777" w:rsidR="00C7630F" w:rsidRDefault="00C7630F" w:rsidP="002C4022">
      <w:pPr>
        <w:spacing w:after="0" w:line="480" w:lineRule="auto"/>
      </w:pPr>
    </w:p>
    <w:p w14:paraId="45FD4F8C" w14:textId="77777777" w:rsidR="00C7630F" w:rsidRDefault="00C7630F" w:rsidP="002C4022">
      <w:pPr>
        <w:spacing w:after="0" w:line="480" w:lineRule="auto"/>
      </w:pPr>
      <w:r>
        <w:t xml:space="preserve">Hodge </w:t>
      </w:r>
      <w:sdt>
        <w:sdtPr>
          <w:id w:val="-1823188476"/>
          <w:citation/>
        </w:sdtPr>
        <w:sdtContent>
          <w:r>
            <w:fldChar w:fldCharType="begin"/>
          </w:r>
          <w:r>
            <w:instrText xml:space="preserve">CITATION Chr17 \p 222 \n  \l 2057 </w:instrText>
          </w:r>
          <w:r>
            <w:fldChar w:fldCharType="separate"/>
          </w:r>
          <w:r w:rsidRPr="00511459">
            <w:rPr>
              <w:noProof/>
            </w:rPr>
            <w:t>(2017, p. 222)</w:t>
          </w:r>
          <w:r>
            <w:fldChar w:fldCharType="end"/>
          </w:r>
        </w:sdtContent>
      </w:sdt>
      <w:r>
        <w:t xml:space="preserve"> states that the expected purpose of Corporate Governance has changed over time from merely being a control mechanism for businesses and their public accountability 25 years ago, to “help build an environment of trust, transparency and accountability necessary for fostering long-term investment, financial stability and business integrity, thereby supporting stronger growth and more inclusive societies”. This suggests a more ambitious undertaking of using corporate governance as a force of social good.  </w:t>
      </w:r>
    </w:p>
    <w:p w14:paraId="1ECD8B7A" w14:textId="368E1A6F" w:rsidR="003459E3" w:rsidRDefault="003459E3" w:rsidP="002C4022">
      <w:pPr>
        <w:spacing w:after="0" w:line="480" w:lineRule="auto"/>
      </w:pPr>
    </w:p>
    <w:p w14:paraId="0498F177" w14:textId="72565641" w:rsidR="009E0ECB" w:rsidRPr="0098289D" w:rsidRDefault="00FA08E5" w:rsidP="00FA08E5">
      <w:pPr>
        <w:pStyle w:val="Heading3"/>
      </w:pPr>
      <w:bookmarkStart w:id="13" w:name="_Toc7810730"/>
      <w:r w:rsidRPr="0098289D">
        <w:t xml:space="preserve">2.5.1 </w:t>
      </w:r>
      <w:r w:rsidR="009E0ECB" w:rsidRPr="0098289D">
        <w:t>Oxfam</w:t>
      </w:r>
      <w:bookmarkEnd w:id="13"/>
    </w:p>
    <w:p w14:paraId="1096FCEE" w14:textId="77777777" w:rsidR="00BF38AF" w:rsidRDefault="00BF38AF" w:rsidP="002C4022">
      <w:pPr>
        <w:spacing w:after="0" w:line="480" w:lineRule="auto"/>
      </w:pPr>
    </w:p>
    <w:p w14:paraId="6412DE5D" w14:textId="4CD0F60D" w:rsidR="00CA1BBB" w:rsidRDefault="00415804" w:rsidP="002C4022">
      <w:pPr>
        <w:spacing w:after="0" w:line="480" w:lineRule="auto"/>
      </w:pPr>
      <w:r>
        <w:t>A recent example of corporate governance failing to</w:t>
      </w:r>
      <w:r w:rsidR="00DE7A25">
        <w:t xml:space="preserve"> these</w:t>
      </w:r>
      <w:r>
        <w:t xml:space="preserve"> meet its stated objectives is the scandal that was seen </w:t>
      </w:r>
      <w:r w:rsidR="00DE7A25">
        <w:t>from</w:t>
      </w:r>
      <w:r>
        <w:t xml:space="preserve"> the UK charity Oxfam. This scandal revolved around the 2010 Haitian disaster as the country was hit by magnitude 7.0 </w:t>
      </w:r>
      <w:r w:rsidR="004F3405">
        <w:t>earthquake, which</w:t>
      </w:r>
      <w:r>
        <w:t xml:space="preserve"> took the lives of over 300,000 people, displaced hundreds of thousands more survivors, and left the countries infrastructure in ruins</w:t>
      </w:r>
      <w:r w:rsidR="00DE7A25">
        <w:t xml:space="preserve">. The scandal involved multiple </w:t>
      </w:r>
      <w:proofErr w:type="gramStart"/>
      <w:r w:rsidR="00DE7A25">
        <w:t>high ranking</w:t>
      </w:r>
      <w:proofErr w:type="gramEnd"/>
      <w:r w:rsidR="00DE7A25">
        <w:t xml:space="preserve"> members of Oxfam taking advantage </w:t>
      </w:r>
      <w:r w:rsidR="00DE7A25">
        <w:t xml:space="preserve">sexually </w:t>
      </w:r>
      <w:r w:rsidR="00DE7A25">
        <w:t xml:space="preserve">of vulnerable Haitian survivors </w:t>
      </w:r>
      <w:sdt>
        <w:sdtPr>
          <w:id w:val="-1565709038"/>
          <w:citation/>
        </w:sdtPr>
        <w:sdtContent>
          <w:r>
            <w:fldChar w:fldCharType="begin"/>
          </w:r>
          <w:r>
            <w:instrText xml:space="preserve"> CITATION Ric19 \l 2057 </w:instrText>
          </w:r>
          <w:r>
            <w:fldChar w:fldCharType="separate"/>
          </w:r>
          <w:r w:rsidRPr="00415804">
            <w:rPr>
              <w:noProof/>
            </w:rPr>
            <w:t>(Pallardy, 2019)</w:t>
          </w:r>
          <w:r>
            <w:fldChar w:fldCharType="end"/>
          </w:r>
        </w:sdtContent>
      </w:sdt>
      <w:r>
        <w:t xml:space="preserve">. </w:t>
      </w:r>
      <w:r w:rsidR="00CA1BBB">
        <w:t xml:space="preserve">The fallout from the Haitian scandal resulted in more than a blow </w:t>
      </w:r>
      <w:r w:rsidR="00CA1BBB">
        <w:lastRenderedPageBreak/>
        <w:t xml:space="preserve">to the reputation of Oxfam, </w:t>
      </w:r>
      <w:r w:rsidR="00DE7A25">
        <w:t>and</w:t>
      </w:r>
      <w:r w:rsidR="00CA1BBB">
        <w:t xml:space="preserve"> has resulted in a loss of over 1,000 regular donators, including over </w:t>
      </w:r>
      <w:r w:rsidR="00DE7A25">
        <w:t>£</w:t>
      </w:r>
      <w:r w:rsidR="00CA1BBB">
        <w:t>30 Million from the depa</w:t>
      </w:r>
      <w:r w:rsidR="00CA1BBB" w:rsidRPr="00CA1BBB">
        <w:t>rtment for International Development</w:t>
      </w:r>
      <w:r w:rsidR="00CA1BBB">
        <w:t>, which has resulted in the company letting go</w:t>
      </w:r>
      <w:r w:rsidR="00DE7A25">
        <w:t xml:space="preserve"> of</w:t>
      </w:r>
      <w:r w:rsidR="00CA1BBB">
        <w:t xml:space="preserve"> 100 of its employees </w:t>
      </w:r>
      <w:sdt>
        <w:sdtPr>
          <w:id w:val="1747448144"/>
          <w:citation/>
        </w:sdtPr>
        <w:sdtContent>
          <w:r w:rsidR="00CA1BBB">
            <w:fldChar w:fldCharType="begin"/>
          </w:r>
          <w:r w:rsidR="00CA1BBB">
            <w:instrText xml:space="preserve"> CITATION She18 \l 2057 </w:instrText>
          </w:r>
          <w:r w:rsidR="00CA1BBB">
            <w:fldChar w:fldCharType="separate"/>
          </w:r>
          <w:r w:rsidR="00CA1BBB" w:rsidRPr="00CA1BBB">
            <w:rPr>
              <w:noProof/>
            </w:rPr>
            <w:t>(Khan, 2018)</w:t>
          </w:r>
          <w:r w:rsidR="00CA1BBB">
            <w:fldChar w:fldCharType="end"/>
          </w:r>
        </w:sdtContent>
      </w:sdt>
      <w:r w:rsidR="00CA1BBB">
        <w:t xml:space="preserve">. </w:t>
      </w:r>
      <w:r w:rsidR="00140934">
        <w:t xml:space="preserve">The incident is also expected to have a general chilling effect on public giving to charities in general with 52% of current donators saying they would be less likely to give in future due to a lack of faith in large scale charity organisations </w:t>
      </w:r>
      <w:sdt>
        <w:sdtPr>
          <w:id w:val="-874233211"/>
          <w:citation/>
        </w:sdtPr>
        <w:sdtContent>
          <w:r w:rsidR="00140934">
            <w:fldChar w:fldCharType="begin"/>
          </w:r>
          <w:r w:rsidR="00140934">
            <w:instrText xml:space="preserve"> CITATION Jes18 \l 2057 </w:instrText>
          </w:r>
          <w:r w:rsidR="00140934">
            <w:fldChar w:fldCharType="separate"/>
          </w:r>
          <w:r w:rsidR="00140934" w:rsidRPr="00140934">
            <w:rPr>
              <w:noProof/>
            </w:rPr>
            <w:t>(Elgot &amp; McVeigh, 2018)</w:t>
          </w:r>
          <w:r w:rsidR="00140934">
            <w:fldChar w:fldCharType="end"/>
          </w:r>
        </w:sdtContent>
      </w:sdt>
      <w:r w:rsidR="00655F25">
        <w:t>.</w:t>
      </w:r>
      <w:r w:rsidR="00CA1BBB">
        <w:t xml:space="preserve"> </w:t>
      </w:r>
    </w:p>
    <w:p w14:paraId="6F1A348D" w14:textId="77777777" w:rsidR="00CA1BBB" w:rsidRDefault="00CA1BBB" w:rsidP="002C4022">
      <w:pPr>
        <w:spacing w:after="0" w:line="480" w:lineRule="auto"/>
      </w:pPr>
    </w:p>
    <w:p w14:paraId="25467C94" w14:textId="77777777" w:rsidR="00D07633" w:rsidRDefault="00415804" w:rsidP="002C4022">
      <w:pPr>
        <w:spacing w:after="0" w:line="480" w:lineRule="auto"/>
      </w:pPr>
      <w:r>
        <w:t xml:space="preserve">Khan </w:t>
      </w:r>
      <w:sdt>
        <w:sdtPr>
          <w:id w:val="-1774859526"/>
          <w:citation/>
        </w:sdtPr>
        <w:sdtContent>
          <w:r>
            <w:fldChar w:fldCharType="begin"/>
          </w:r>
          <w:r>
            <w:instrText xml:space="preserve">CITATION Mis18 \n  \l 2057 </w:instrText>
          </w:r>
          <w:r>
            <w:fldChar w:fldCharType="separate"/>
          </w:r>
          <w:r w:rsidRPr="00415804">
            <w:rPr>
              <w:noProof/>
            </w:rPr>
            <w:t>(2018)</w:t>
          </w:r>
          <w:r>
            <w:fldChar w:fldCharType="end"/>
          </w:r>
        </w:sdtContent>
      </w:sdt>
      <w:r>
        <w:t xml:space="preserve"> points out that the Oxfam scandal </w:t>
      </w:r>
      <w:r w:rsidR="00332095">
        <w:t xml:space="preserve">demonstrates that this behaviour coming from a charity such as Oxfam indicates that the issue goes beyond specific acts of sexual exploitation or removing individuals unfit to work in international development, but shows the need for systems of accountability and governance that would be able to surface inappropriate actions as those on display in this instances. They further state that without effective structures of monitoring, evaluation, and accountability, other impacts beyond sexual misconduct such as corruption and unintended consequences of implemented programs can be concealed. </w:t>
      </w:r>
    </w:p>
    <w:p w14:paraId="7755C652" w14:textId="77777777" w:rsidR="00D07633" w:rsidRDefault="00D07633" w:rsidP="002C4022">
      <w:pPr>
        <w:spacing w:after="0" w:line="480" w:lineRule="auto"/>
      </w:pPr>
    </w:p>
    <w:p w14:paraId="2820E9FE" w14:textId="1CA0938E" w:rsidR="00415804" w:rsidRDefault="00332095" w:rsidP="002C4022">
      <w:pPr>
        <w:spacing w:after="0" w:line="480" w:lineRule="auto"/>
      </w:pPr>
      <w:r>
        <w:t>This was</w:t>
      </w:r>
      <w:r w:rsidR="00D07633">
        <w:t xml:space="preserve"> further demonstrated</w:t>
      </w:r>
      <w:r>
        <w:t xml:space="preserve"> by the</w:t>
      </w:r>
      <w:r w:rsidR="00D07633">
        <w:t xml:space="preserve"> Listening </w:t>
      </w:r>
      <w:proofErr w:type="gramStart"/>
      <w:r w:rsidR="00D07633">
        <w:t>To</w:t>
      </w:r>
      <w:proofErr w:type="gramEnd"/>
      <w:r w:rsidR="00D07633">
        <w:t xml:space="preserve"> People - Rebuilding Trust Interim Report January </w:t>
      </w:r>
      <w:sdt>
        <w:sdtPr>
          <w:id w:val="-1628691055"/>
          <w:citation/>
        </w:sdtPr>
        <w:sdtContent>
          <w:r w:rsidR="00D07633">
            <w:fldChar w:fldCharType="begin"/>
          </w:r>
          <w:r w:rsidR="00D07633">
            <w:instrText xml:space="preserve">CITATION Lis19 \n  \l 2057 </w:instrText>
          </w:r>
          <w:r w:rsidR="00D07633">
            <w:fldChar w:fldCharType="separate"/>
          </w:r>
          <w:r w:rsidR="00D07633" w:rsidRPr="00D07633">
            <w:rPr>
              <w:noProof/>
            </w:rPr>
            <w:t>(2019)</w:t>
          </w:r>
          <w:r w:rsidR="00D07633">
            <w:fldChar w:fldCharType="end"/>
          </w:r>
        </w:sdtContent>
      </w:sdt>
      <w:r w:rsidR="00D07633">
        <w:t xml:space="preserve"> which showed that not only had Oxfam failed address issues with sexual misconduct</w:t>
      </w:r>
      <w:r w:rsidR="00E11258">
        <w:t xml:space="preserve"> since</w:t>
      </w:r>
      <w:r w:rsidR="00D07633">
        <w:t xml:space="preserve"> but has allowed systemic bulling to go unchecked. </w:t>
      </w:r>
      <w:r w:rsidR="00316096">
        <w:t xml:space="preserve">The report also highlighted issues with the confidentiality of the internal investigation process, and that individuals felt pushed out from the organisation for reporting incidents. </w:t>
      </w:r>
    </w:p>
    <w:p w14:paraId="2FD7A4E1" w14:textId="0BF4D5A4" w:rsidR="00D07633" w:rsidRDefault="00D07633" w:rsidP="002C4022">
      <w:pPr>
        <w:spacing w:after="0" w:line="480" w:lineRule="auto"/>
      </w:pPr>
    </w:p>
    <w:p w14:paraId="4AB4AC06" w14:textId="73366142" w:rsidR="00D07633" w:rsidRDefault="00D07633" w:rsidP="002C4022">
      <w:pPr>
        <w:spacing w:after="0" w:line="480" w:lineRule="auto"/>
      </w:pPr>
      <w:r>
        <w:t xml:space="preserve">From the Oxfam scandal it’s possible to see that despite their </w:t>
      </w:r>
      <w:r w:rsidR="00746318">
        <w:t xml:space="preserve">promotion of good corporate governance there was insufficient systems in place to prevent </w:t>
      </w:r>
      <w:r w:rsidR="00C274A2">
        <w:t>the scandal. Measures to prevent such occurrences could include:</w:t>
      </w:r>
    </w:p>
    <w:p w14:paraId="3CA4D63E" w14:textId="1ABBCD3C" w:rsidR="00C274A2" w:rsidRDefault="00C274A2" w:rsidP="002C4022">
      <w:pPr>
        <w:spacing w:after="0" w:line="480" w:lineRule="auto"/>
      </w:pPr>
    </w:p>
    <w:p w14:paraId="448343BF" w14:textId="77777777" w:rsidR="00963FAB" w:rsidRDefault="00C274A2" w:rsidP="002C4022">
      <w:pPr>
        <w:spacing w:after="0" w:line="480" w:lineRule="auto"/>
      </w:pPr>
      <w:r>
        <w:lastRenderedPageBreak/>
        <w:t xml:space="preserve">Public accountability – admission of internal malfeasances, </w:t>
      </w:r>
      <w:r w:rsidR="00963FAB">
        <w:t>fully investigating incidents even if the employee in question resigns. This would allow awareness of wrongdoings which creates pressure for change and prevents the individuals involved to go to another organisation and repeat the same practices</w:t>
      </w:r>
    </w:p>
    <w:p w14:paraId="5235AC25" w14:textId="79A34AE0" w:rsidR="00963FAB" w:rsidRDefault="00963FAB" w:rsidP="002C4022">
      <w:pPr>
        <w:spacing w:after="0" w:line="480" w:lineRule="auto"/>
      </w:pPr>
    </w:p>
    <w:p w14:paraId="087C79CD" w14:textId="79AF7878" w:rsidR="00963FAB" w:rsidRDefault="00963FAB" w:rsidP="002C4022">
      <w:pPr>
        <w:spacing w:after="0" w:line="480" w:lineRule="auto"/>
      </w:pPr>
      <w:r>
        <w:t xml:space="preserve">Culture of intolerance of abuse – while organisation in general profess this notion, this is best exemplified </w:t>
      </w:r>
      <w:r w:rsidR="00316096">
        <w:t xml:space="preserve">by </w:t>
      </w:r>
      <w:r w:rsidR="00A17105">
        <w:t xml:space="preserve">visible </w:t>
      </w:r>
      <w:r w:rsidR="00316096">
        <w:t>action</w:t>
      </w:r>
      <w:r w:rsidR="00A17105">
        <w:t xml:space="preserve"> rather than removing problematic individuals quietly to retain organisation image, which is </w:t>
      </w:r>
      <w:r w:rsidR="00E11258">
        <w:t>encourages greater</w:t>
      </w:r>
      <w:r w:rsidR="00A17105">
        <w:t xml:space="preserve"> impact long term </w:t>
      </w:r>
    </w:p>
    <w:p w14:paraId="3F5241D3" w14:textId="51B40C80" w:rsidR="00316096" w:rsidRDefault="00316096" w:rsidP="002C4022">
      <w:pPr>
        <w:spacing w:after="0" w:line="480" w:lineRule="auto"/>
      </w:pPr>
    </w:p>
    <w:p w14:paraId="035063F8" w14:textId="45F267DD" w:rsidR="00316096" w:rsidRDefault="00316096" w:rsidP="002C4022">
      <w:pPr>
        <w:spacing w:after="0" w:line="480" w:lineRule="auto"/>
      </w:pPr>
      <w:r>
        <w:t xml:space="preserve">Better internal inspection process – including ensuing </w:t>
      </w:r>
      <w:r w:rsidR="009967BE">
        <w:t xml:space="preserve">the </w:t>
      </w:r>
      <w:r>
        <w:t>confidentiality of individuals affected</w:t>
      </w:r>
      <w:r w:rsidR="00A17105">
        <w:t xml:space="preserve">, and </w:t>
      </w:r>
      <w:r w:rsidR="009967BE">
        <w:t>that</w:t>
      </w:r>
      <w:r w:rsidR="00A17105">
        <w:t xml:space="preserve"> effective action </w:t>
      </w:r>
      <w:r w:rsidR="00961BB8">
        <w:t xml:space="preserve">is taken </w:t>
      </w:r>
      <w:r w:rsidR="009967BE">
        <w:t>from the</w:t>
      </w:r>
      <w:r w:rsidR="00961BB8">
        <w:t xml:space="preserve"> reporting</w:t>
      </w:r>
      <w:r w:rsidR="00A17105">
        <w:t xml:space="preserve"> incidents</w:t>
      </w:r>
      <w:r>
        <w:t xml:space="preserve"> </w:t>
      </w:r>
    </w:p>
    <w:p w14:paraId="57C2B06E" w14:textId="77777777" w:rsidR="00140934" w:rsidRDefault="00140934" w:rsidP="002C4022">
      <w:pPr>
        <w:spacing w:after="0" w:line="480" w:lineRule="auto"/>
        <w:rPr>
          <w:b/>
          <w:u w:val="single"/>
        </w:rPr>
      </w:pPr>
    </w:p>
    <w:p w14:paraId="175C3946" w14:textId="3E16C7DA" w:rsidR="00B877B8" w:rsidRPr="00FA08E5" w:rsidRDefault="00FA08E5" w:rsidP="00FA08E5">
      <w:pPr>
        <w:pStyle w:val="Heading1"/>
      </w:pPr>
      <w:bookmarkStart w:id="14" w:name="_Toc7810731"/>
      <w:r w:rsidRPr="00FA08E5">
        <w:t xml:space="preserve">3. </w:t>
      </w:r>
      <w:r w:rsidR="00B877B8" w:rsidRPr="00FA08E5">
        <w:t>Conclusion</w:t>
      </w:r>
      <w:bookmarkEnd w:id="14"/>
    </w:p>
    <w:p w14:paraId="420711A6" w14:textId="13416A36" w:rsidR="00D07633" w:rsidRDefault="00D07633" w:rsidP="002C4022">
      <w:pPr>
        <w:spacing w:after="0" w:line="480" w:lineRule="auto"/>
      </w:pPr>
    </w:p>
    <w:p w14:paraId="13AF80B9" w14:textId="5E9D9750" w:rsidR="003B1EB7" w:rsidRDefault="00BF38AF" w:rsidP="002C4022">
      <w:pPr>
        <w:spacing w:after="0" w:line="480" w:lineRule="auto"/>
      </w:pPr>
      <w:r>
        <w:t xml:space="preserve">At various points in their careers John D Rockefeller and Andrew Carnegie </w:t>
      </w:r>
      <w:r w:rsidR="00FA5F4F">
        <w:t>have been called Robber Barons</w:t>
      </w:r>
      <w:r w:rsidR="004B6146">
        <w:t>,</w:t>
      </w:r>
      <w:r w:rsidR="00FA5F4F">
        <w:t xml:space="preserve"> Captains of Industry</w:t>
      </w:r>
      <w:r w:rsidR="004B6146">
        <w:t>, or Philanthropists</w:t>
      </w:r>
      <w:r w:rsidR="00FA5F4F">
        <w:t xml:space="preserve">, and normally this is representative of how the </w:t>
      </w:r>
      <w:r w:rsidR="004B6146">
        <w:t xml:space="preserve">author feels about their actions or is able to weigh the morality of the sum of their social contributions and transgressions. There are however a few unilateral statements that can be made about </w:t>
      </w:r>
      <w:r w:rsidR="003B1EB7">
        <w:t xml:space="preserve">the actions of </w:t>
      </w:r>
      <w:r w:rsidR="004B6146">
        <w:t xml:space="preserve">Rockefeller and </w:t>
      </w:r>
      <w:proofErr w:type="spellStart"/>
      <w:r w:rsidR="004B6146">
        <w:t>Carnagie</w:t>
      </w:r>
      <w:proofErr w:type="spellEnd"/>
      <w:r w:rsidR="004B6146">
        <w:t xml:space="preserve">, firstly they both committed huge philanthropic acts which </w:t>
      </w:r>
      <w:r w:rsidR="00E11258">
        <w:t>contributed</w:t>
      </w:r>
      <w:r w:rsidR="004B6146">
        <w:t xml:space="preserve"> </w:t>
      </w:r>
      <w:r w:rsidR="00E11258">
        <w:t>large</w:t>
      </w:r>
      <w:r w:rsidR="003B1EB7">
        <w:t xml:space="preserve"> amounts to</w:t>
      </w:r>
      <w:r w:rsidR="004B6146">
        <w:t xml:space="preserve"> social needs, secondly they both excelled and dominated their respective fields, also making significant progress in technolo</w:t>
      </w:r>
      <w:r w:rsidR="00E11258">
        <w:t>gy</w:t>
      </w:r>
      <w:r w:rsidR="004B6146">
        <w:t xml:space="preserve"> and processe</w:t>
      </w:r>
      <w:r w:rsidR="00E11258">
        <w:t>s</w:t>
      </w:r>
      <w:r w:rsidR="004B6146">
        <w:t xml:space="preserve">, and thirdly they both carried out their enterprises in a manner that would be considered unacceptable and unethical today, or even towards the end of their careers. In this sense both men show </w:t>
      </w:r>
      <w:r w:rsidR="003B1EB7">
        <w:t xml:space="preserve">massive contrast between their positive and negative contributions </w:t>
      </w:r>
      <w:r w:rsidR="00E11258">
        <w:t>which</w:t>
      </w:r>
      <w:r w:rsidR="003B1EB7">
        <w:t xml:space="preserve"> makes providing an absolute evaluation of their characters difficult, so it may be more accurate to observe how these terms represent the different sides of their character and actions.</w:t>
      </w:r>
    </w:p>
    <w:p w14:paraId="46F08704" w14:textId="23940C5F" w:rsidR="003B1EB7" w:rsidRDefault="003B1EB7" w:rsidP="002C4022">
      <w:pPr>
        <w:spacing w:after="0" w:line="480" w:lineRule="auto"/>
      </w:pPr>
      <w:r>
        <w:lastRenderedPageBreak/>
        <w:t xml:space="preserve">Corporate governance and corporate philanthropy are still problematic in the present </w:t>
      </w:r>
      <w:proofErr w:type="gramStart"/>
      <w:r w:rsidR="00581EBD">
        <w:t>day, but</w:t>
      </w:r>
      <w:proofErr w:type="gramEnd"/>
      <w:r>
        <w:t xml:space="preserve"> are </w:t>
      </w:r>
      <w:r w:rsidR="00E11258">
        <w:t>more</w:t>
      </w:r>
      <w:r>
        <w:t xml:space="preserve"> important </w:t>
      </w:r>
      <w:r w:rsidR="00E11258">
        <w:t xml:space="preserve">than ever </w:t>
      </w:r>
      <w:r>
        <w:t xml:space="preserve">and more than ever </w:t>
      </w:r>
      <w:r w:rsidR="00581EBD">
        <w:t>visibly</w:t>
      </w:r>
      <w:r>
        <w:t xml:space="preserve"> </w:t>
      </w:r>
      <w:r w:rsidR="00E11258">
        <w:t>receiving accountability</w:t>
      </w:r>
      <w:r>
        <w:t xml:space="preserve">, even if retrospectively through scandal and outrage. </w:t>
      </w:r>
      <w:r w:rsidR="00E67954">
        <w:t xml:space="preserve">When assessing whether Rockefeller and Carnegie’s chartable acts </w:t>
      </w:r>
      <w:r w:rsidR="00581EBD">
        <w:t xml:space="preserve">justify their deeds, the question begs, not do they balance </w:t>
      </w:r>
      <w:r w:rsidR="00E11258">
        <w:t>out,</w:t>
      </w:r>
      <w:r w:rsidR="00581EBD">
        <w:t xml:space="preserve"> but could the positives be achieved without abuses of power towards the people that helped them generate their wealth to which the answer is an absolute must.</w:t>
      </w:r>
      <w:r w:rsidR="00E67954">
        <w:t xml:space="preserve"> </w:t>
      </w:r>
    </w:p>
    <w:p w14:paraId="4F944E37" w14:textId="4EE9F6F3" w:rsidR="00D07633" w:rsidRDefault="003B1EB7" w:rsidP="002C4022">
      <w:pPr>
        <w:spacing w:after="0" w:line="480" w:lineRule="auto"/>
      </w:pPr>
      <w:r>
        <w:t xml:space="preserve"> </w:t>
      </w:r>
    </w:p>
    <w:p w14:paraId="5C5E1C89" w14:textId="2AABB5E5" w:rsidR="00332095" w:rsidRDefault="00FA08E5" w:rsidP="00FA08E5">
      <w:pPr>
        <w:pStyle w:val="Heading1"/>
      </w:pPr>
      <w:bookmarkStart w:id="15" w:name="_Toc7810732"/>
      <w:r>
        <w:t>4. References</w:t>
      </w:r>
      <w:bookmarkEnd w:id="15"/>
    </w:p>
    <w:sdt>
      <w:sdtPr>
        <w:id w:val="756098960"/>
        <w:docPartObj>
          <w:docPartGallery w:val="Bibliographies"/>
          <w:docPartUnique/>
        </w:docPartObj>
      </w:sdtPr>
      <w:sdtEndPr>
        <w:rPr>
          <w:rFonts w:asciiTheme="minorHAnsi" w:eastAsiaTheme="minorHAnsi" w:hAnsiTheme="minorHAnsi" w:cstheme="minorBidi"/>
          <w:color w:val="auto"/>
          <w:sz w:val="22"/>
          <w:szCs w:val="22"/>
        </w:rPr>
      </w:sdtEndPr>
      <w:sdtContent>
        <w:p w14:paraId="4470C866" w14:textId="1EA4E381" w:rsidR="00FA08E5" w:rsidRDefault="00FA08E5">
          <w:pPr>
            <w:pStyle w:val="Heading1"/>
          </w:pPr>
        </w:p>
        <w:sdt>
          <w:sdtPr>
            <w:id w:val="-573587230"/>
            <w:bibliography/>
          </w:sdtPr>
          <w:sdtContent>
            <w:p w14:paraId="2D516B1B" w14:textId="77777777" w:rsidR="00FA08E5" w:rsidRDefault="00FA08E5" w:rsidP="00FA08E5">
              <w:pPr>
                <w:pStyle w:val="Bibliography"/>
                <w:rPr>
                  <w:noProof/>
                  <w:sz w:val="24"/>
                  <w:szCs w:val="24"/>
                </w:rPr>
              </w:pPr>
              <w:r>
                <w:fldChar w:fldCharType="begin"/>
              </w:r>
              <w:r>
                <w:instrText xml:space="preserve"> BIBLIOGRAPHY </w:instrText>
              </w:r>
              <w:r>
                <w:fldChar w:fldCharType="separate"/>
              </w:r>
              <w:r>
                <w:rPr>
                  <w:noProof/>
                </w:rPr>
                <w:t xml:space="preserve">Barkan, J., 2013. Big Philanthropy vs. Democracy. </w:t>
              </w:r>
              <w:r>
                <w:rPr>
                  <w:i/>
                  <w:iCs/>
                  <w:noProof/>
                </w:rPr>
                <w:t xml:space="preserve">Dissent, </w:t>
              </w:r>
              <w:r>
                <w:rPr>
                  <w:noProof/>
                </w:rPr>
                <w:t>60(4), pp. 47-55.</w:t>
              </w:r>
            </w:p>
            <w:p w14:paraId="2786C1A7" w14:textId="77777777" w:rsidR="00FA08E5" w:rsidRDefault="00FA08E5" w:rsidP="00FA08E5">
              <w:pPr>
                <w:pStyle w:val="Bibliography"/>
                <w:rPr>
                  <w:noProof/>
                </w:rPr>
              </w:pPr>
              <w:r>
                <w:rPr>
                  <w:noProof/>
                </w:rPr>
                <w:t xml:space="preserve">Carnegie.org, 2019. </w:t>
              </w:r>
              <w:r>
                <w:rPr>
                  <w:i/>
                  <w:iCs/>
                  <w:noProof/>
                </w:rPr>
                <w:t xml:space="preserve">Carnegie.org. </w:t>
              </w:r>
              <w:r>
                <w:rPr>
                  <w:noProof/>
                </w:rPr>
                <w:t xml:space="preserve">[Online] </w:t>
              </w:r>
              <w:r>
                <w:rPr>
                  <w:noProof/>
                </w:rPr>
                <w:br/>
                <w:t xml:space="preserve">Available at: </w:t>
              </w:r>
              <w:r>
                <w:rPr>
                  <w:noProof/>
                  <w:u w:val="single"/>
                </w:rPr>
                <w:t>Andrew Carnegie's Legacy</w:t>
              </w:r>
              <w:r>
                <w:rPr>
                  <w:noProof/>
                </w:rPr>
                <w:br/>
                <w:t>[Accessed 29 April 2019].</w:t>
              </w:r>
            </w:p>
            <w:p w14:paraId="77BFEB26" w14:textId="77777777" w:rsidR="00FA08E5" w:rsidRDefault="00FA08E5" w:rsidP="00FA08E5">
              <w:pPr>
                <w:pStyle w:val="Bibliography"/>
                <w:rPr>
                  <w:noProof/>
                </w:rPr>
              </w:pPr>
              <w:r>
                <w:rPr>
                  <w:noProof/>
                </w:rPr>
                <w:t xml:space="preserve">Chernow, R., 2004. </w:t>
              </w:r>
              <w:r>
                <w:rPr>
                  <w:i/>
                  <w:iCs/>
                  <w:noProof/>
                </w:rPr>
                <w:t xml:space="preserve">Titan: The Life of John D. Rockefeller, Sr. </w:t>
              </w:r>
              <w:r>
                <w:rPr>
                  <w:noProof/>
                </w:rPr>
                <w:t>2nd ed. New York: Vintage.</w:t>
              </w:r>
            </w:p>
            <w:p w14:paraId="18ACF596" w14:textId="77777777" w:rsidR="00FA08E5" w:rsidRDefault="00FA08E5" w:rsidP="00FA08E5">
              <w:pPr>
                <w:pStyle w:val="Bibliography"/>
                <w:rPr>
                  <w:noProof/>
                </w:rPr>
              </w:pPr>
              <w:r>
                <w:rPr>
                  <w:noProof/>
                </w:rPr>
                <w:t xml:space="preserve">DiLallo, M., 2015. </w:t>
              </w:r>
              <w:r>
                <w:rPr>
                  <w:i/>
                  <w:iCs/>
                  <w:noProof/>
                </w:rPr>
                <w:t xml:space="preserve">The Motely Fool. </w:t>
              </w:r>
              <w:r>
                <w:rPr>
                  <w:noProof/>
                </w:rPr>
                <w:t xml:space="preserve">[Online] </w:t>
              </w:r>
              <w:r>
                <w:rPr>
                  <w:noProof/>
                </w:rPr>
                <w:br/>
                <w:t xml:space="preserve">Available at: </w:t>
              </w:r>
              <w:r>
                <w:rPr>
                  <w:noProof/>
                  <w:u w:val="single"/>
                </w:rPr>
                <w:t>https://www.fool.com/investing/general/2015/06/11/robber-barons-the-definition-of-the-dark-side-of-c.aspx</w:t>
              </w:r>
              <w:r>
                <w:rPr>
                  <w:noProof/>
                </w:rPr>
                <w:br/>
                <w:t>[Accessed 01 May 2019].</w:t>
              </w:r>
            </w:p>
            <w:p w14:paraId="3E563ACF" w14:textId="77777777" w:rsidR="00FA08E5" w:rsidRDefault="00FA08E5" w:rsidP="00FA08E5">
              <w:pPr>
                <w:pStyle w:val="Bibliography"/>
                <w:rPr>
                  <w:noProof/>
                </w:rPr>
              </w:pPr>
              <w:r>
                <w:rPr>
                  <w:noProof/>
                </w:rPr>
                <w:t xml:space="preserve">Elgot, J. &amp; McVeigh, K., 2018. </w:t>
              </w:r>
              <w:r>
                <w:rPr>
                  <w:i/>
                  <w:iCs/>
                  <w:noProof/>
                </w:rPr>
                <w:t xml:space="preserve">The Guardian. </w:t>
              </w:r>
              <w:r>
                <w:rPr>
                  <w:noProof/>
                </w:rPr>
                <w:t xml:space="preserve">[Online] </w:t>
              </w:r>
              <w:r>
                <w:rPr>
                  <w:noProof/>
                </w:rPr>
                <w:br/>
                <w:t xml:space="preserve">Available at: </w:t>
              </w:r>
              <w:r>
                <w:rPr>
                  <w:noProof/>
                  <w:u w:val="single"/>
                </w:rPr>
                <w:t>https://www.theguardian.com/world/2018/feb/20/oxfam-boss-mark-goldring-apologises-over-abuse-of-haiti-quake-victims</w:t>
              </w:r>
              <w:r>
                <w:rPr>
                  <w:noProof/>
                </w:rPr>
                <w:br/>
                <w:t>[Accessed 29 April 2019].</w:t>
              </w:r>
            </w:p>
            <w:p w14:paraId="0D1ADD56" w14:textId="77777777" w:rsidR="00FA08E5" w:rsidRDefault="00FA08E5" w:rsidP="00FA08E5">
              <w:pPr>
                <w:pStyle w:val="Bibliography"/>
                <w:rPr>
                  <w:noProof/>
                </w:rPr>
              </w:pPr>
              <w:r>
                <w:rPr>
                  <w:noProof/>
                </w:rPr>
                <w:t xml:space="preserve">Freeman, R. E., 2010. </w:t>
              </w:r>
              <w:r>
                <w:rPr>
                  <w:i/>
                  <w:iCs/>
                  <w:noProof/>
                </w:rPr>
                <w:t xml:space="preserve">Strategic Management: A Stakeholder Approach. </w:t>
              </w:r>
              <w:r>
                <w:rPr>
                  <w:noProof/>
                </w:rPr>
                <w:t>Cambridge : Cambridge University Press.</w:t>
              </w:r>
            </w:p>
            <w:p w14:paraId="5AA9E051" w14:textId="77777777" w:rsidR="00FA08E5" w:rsidRDefault="00FA08E5" w:rsidP="00FA08E5">
              <w:pPr>
                <w:pStyle w:val="Bibliography"/>
                <w:rPr>
                  <w:noProof/>
                </w:rPr>
              </w:pPr>
              <w:r>
                <w:rPr>
                  <w:noProof/>
                </w:rPr>
                <w:t xml:space="preserve">Harvey, I., 2017. </w:t>
              </w:r>
              <w:r>
                <w:rPr>
                  <w:i/>
                  <w:iCs/>
                  <w:noProof/>
                </w:rPr>
                <w:t xml:space="preserve">Village News. </w:t>
              </w:r>
              <w:r>
                <w:rPr>
                  <w:noProof/>
                </w:rPr>
                <w:t xml:space="preserve">[Online] </w:t>
              </w:r>
              <w:r>
                <w:rPr>
                  <w:noProof/>
                </w:rPr>
                <w:br/>
                <w:t xml:space="preserve">Available at: </w:t>
              </w:r>
              <w:r>
                <w:rPr>
                  <w:noProof/>
                  <w:u w:val="single"/>
                </w:rPr>
                <w:t>https://www.thevintagenews.com/2017/02/22/andrew-carnegie-the-railroad-and-steel-magnate-who-played-his-more-imperative-role-as-a-philanthropist/</w:t>
              </w:r>
              <w:r>
                <w:rPr>
                  <w:noProof/>
                </w:rPr>
                <w:br/>
                <w:t>[Accessed 01 May 2019].</w:t>
              </w:r>
            </w:p>
            <w:p w14:paraId="420F667B" w14:textId="77777777" w:rsidR="00FA08E5" w:rsidRDefault="00FA08E5" w:rsidP="00FA08E5">
              <w:pPr>
                <w:pStyle w:val="Bibliography"/>
                <w:rPr>
                  <w:noProof/>
                </w:rPr>
              </w:pPr>
              <w:r>
                <w:rPr>
                  <w:noProof/>
                </w:rPr>
                <w:t xml:space="preserve">Hay, I. &amp; Muller, S., 2014. Questioning generosity in the golden age of philanthropy: Towards critical geographies of super-philanthropy. </w:t>
              </w:r>
              <w:r>
                <w:rPr>
                  <w:i/>
                  <w:iCs/>
                  <w:noProof/>
                </w:rPr>
                <w:t xml:space="preserve">Progress in Human Geography, </w:t>
              </w:r>
              <w:r>
                <w:rPr>
                  <w:noProof/>
                </w:rPr>
                <w:t>38(5), p. 635–653.</w:t>
              </w:r>
            </w:p>
            <w:p w14:paraId="63DB5B77" w14:textId="77777777" w:rsidR="00FA08E5" w:rsidRDefault="00FA08E5" w:rsidP="00FA08E5">
              <w:pPr>
                <w:pStyle w:val="Bibliography"/>
                <w:rPr>
                  <w:noProof/>
                </w:rPr>
              </w:pPr>
              <w:r>
                <w:rPr>
                  <w:noProof/>
                </w:rPr>
                <w:t xml:space="preserve">Hodge, C., 2017. Untangling Corporate Governance. </w:t>
              </w:r>
              <w:r>
                <w:rPr>
                  <w:i/>
                  <w:iCs/>
                  <w:noProof/>
                </w:rPr>
                <w:t xml:space="preserve">Governance Directions, </w:t>
              </w:r>
              <w:r>
                <w:rPr>
                  <w:noProof/>
                </w:rPr>
                <w:t>69(4), pp. 222-225.</w:t>
              </w:r>
            </w:p>
            <w:p w14:paraId="7150DBD0" w14:textId="77777777" w:rsidR="00FA08E5" w:rsidRDefault="00FA08E5" w:rsidP="00FA08E5">
              <w:pPr>
                <w:pStyle w:val="Bibliography"/>
                <w:rPr>
                  <w:noProof/>
                </w:rPr>
              </w:pPr>
              <w:r>
                <w:rPr>
                  <w:noProof/>
                </w:rPr>
                <w:lastRenderedPageBreak/>
                <w:t xml:space="preserve">Hong, N. Y. &amp; San, O. T., 2016. Assessing the Relationship Among Corperate Governance, Sustainability Disclosure and Financial Performance. </w:t>
              </w:r>
              <w:r>
                <w:rPr>
                  <w:i/>
                  <w:iCs/>
                  <w:noProof/>
                </w:rPr>
                <w:t xml:space="preserve">Faculty of Business and Finance, </w:t>
              </w:r>
              <w:r>
                <w:rPr>
                  <w:noProof/>
                </w:rPr>
                <w:t>11(2), pp. 129-147.</w:t>
              </w:r>
            </w:p>
            <w:p w14:paraId="460DB6DE" w14:textId="77777777" w:rsidR="00FA08E5" w:rsidRDefault="00FA08E5" w:rsidP="00FA08E5">
              <w:pPr>
                <w:pStyle w:val="Bibliography"/>
                <w:rPr>
                  <w:noProof/>
                </w:rPr>
              </w:pPr>
              <w:r>
                <w:rPr>
                  <w:noProof/>
                </w:rPr>
                <w:t xml:space="preserve">Independent Commission, 2019. </w:t>
              </w:r>
              <w:r>
                <w:rPr>
                  <w:i/>
                  <w:iCs/>
                  <w:noProof/>
                </w:rPr>
                <w:t xml:space="preserve">Listening To People - Rebuilding Trust Interim Report January 2019, </w:t>
              </w:r>
              <w:r>
                <w:rPr>
                  <w:noProof/>
                </w:rPr>
                <w:t>Oxford: Independent Commission on Sexual Misconduct Accountability &amp; Culture Change.</w:t>
              </w:r>
            </w:p>
            <w:p w14:paraId="172D49AD" w14:textId="77777777" w:rsidR="00FA08E5" w:rsidRDefault="00FA08E5" w:rsidP="00FA08E5">
              <w:pPr>
                <w:pStyle w:val="Bibliography"/>
                <w:rPr>
                  <w:noProof/>
                </w:rPr>
              </w:pPr>
              <w:r>
                <w:rPr>
                  <w:noProof/>
                </w:rPr>
                <w:t xml:space="preserve">Kaza, G., 2016. Andrew Carnegie: An Economic Biography. </w:t>
              </w:r>
              <w:r>
                <w:rPr>
                  <w:i/>
                  <w:iCs/>
                  <w:noProof/>
                </w:rPr>
                <w:t xml:space="preserve">Quarterly Journal of Austrian Economics, </w:t>
              </w:r>
              <w:r>
                <w:rPr>
                  <w:noProof/>
                </w:rPr>
                <w:t>19(3), pp. 302-307.</w:t>
              </w:r>
            </w:p>
            <w:p w14:paraId="3F704252" w14:textId="77777777" w:rsidR="00FA08E5" w:rsidRDefault="00FA08E5" w:rsidP="00FA08E5">
              <w:pPr>
                <w:pStyle w:val="Bibliography"/>
                <w:rPr>
                  <w:noProof/>
                </w:rPr>
              </w:pPr>
              <w:r>
                <w:rPr>
                  <w:noProof/>
                </w:rPr>
                <w:t xml:space="preserve">Khan, M. S., 2018. Oxfam: sex scandal or governance failure?. </w:t>
              </w:r>
              <w:r>
                <w:rPr>
                  <w:i/>
                  <w:iCs/>
                  <w:noProof/>
                </w:rPr>
                <w:t xml:space="preserve">Lancet, </w:t>
              </w:r>
              <w:r>
                <w:rPr>
                  <w:noProof/>
                </w:rPr>
                <w:t>Volume 391, pp. 1019-1021.</w:t>
              </w:r>
            </w:p>
            <w:p w14:paraId="50AD20C6" w14:textId="77777777" w:rsidR="00FA08E5" w:rsidRDefault="00FA08E5" w:rsidP="00FA08E5">
              <w:pPr>
                <w:pStyle w:val="Bibliography"/>
                <w:rPr>
                  <w:noProof/>
                </w:rPr>
              </w:pPr>
              <w:r>
                <w:rPr>
                  <w:noProof/>
                </w:rPr>
                <w:t xml:space="preserve">Khan, S., 2018. </w:t>
              </w:r>
              <w:r>
                <w:rPr>
                  <w:i/>
                  <w:iCs/>
                  <w:noProof/>
                </w:rPr>
                <w:t xml:space="preserve">The Indepentent. </w:t>
              </w:r>
              <w:r>
                <w:rPr>
                  <w:noProof/>
                </w:rPr>
                <w:t xml:space="preserve">[Online] </w:t>
              </w:r>
              <w:r>
                <w:rPr>
                  <w:noProof/>
                </w:rPr>
                <w:br/>
                <w:t xml:space="preserve">Available at: </w:t>
              </w:r>
              <w:r>
                <w:rPr>
                  <w:noProof/>
                  <w:u w:val="single"/>
                </w:rPr>
                <w:t>https://www.independent.co.uk/news/uk/home-news/oxfam-charity-lay-off-100-people-haiti-sex-scandal-funding-cut-a8357476.html</w:t>
              </w:r>
              <w:r>
                <w:rPr>
                  <w:noProof/>
                </w:rPr>
                <w:br/>
                <w:t>[Accessed 29 April 2019].</w:t>
              </w:r>
            </w:p>
            <w:p w14:paraId="1CCF35BB" w14:textId="77777777" w:rsidR="00FA08E5" w:rsidRDefault="00FA08E5" w:rsidP="00FA08E5">
              <w:pPr>
                <w:pStyle w:val="Bibliography"/>
                <w:rPr>
                  <w:noProof/>
                </w:rPr>
              </w:pPr>
              <w:r>
                <w:rPr>
                  <w:noProof/>
                </w:rPr>
                <w:t xml:space="preserve">Moye, S., 2018. </w:t>
              </w:r>
              <w:r>
                <w:rPr>
                  <w:i/>
                  <w:iCs/>
                  <w:noProof/>
                </w:rPr>
                <w:t xml:space="preserve">Medium. </w:t>
              </w:r>
              <w:r>
                <w:rPr>
                  <w:noProof/>
                </w:rPr>
                <w:t xml:space="preserve">[Online] </w:t>
              </w:r>
              <w:r>
                <w:rPr>
                  <w:noProof/>
                </w:rPr>
                <w:br/>
                <w:t xml:space="preserve">Available at: </w:t>
              </w:r>
              <w:r>
                <w:rPr>
                  <w:noProof/>
                  <w:u w:val="single"/>
                </w:rPr>
                <w:t>https://medium.com/@stevemoye/the-differences-between-charity-and-philanthropy-be4acb2c375f</w:t>
              </w:r>
              <w:r>
                <w:rPr>
                  <w:noProof/>
                </w:rPr>
                <w:br/>
                <w:t>[Accessed 29 April 2019].</w:t>
              </w:r>
            </w:p>
            <w:p w14:paraId="544D0CB1" w14:textId="77777777" w:rsidR="00FA08E5" w:rsidRDefault="00FA08E5" w:rsidP="00FA08E5">
              <w:pPr>
                <w:pStyle w:val="Bibliography"/>
                <w:rPr>
                  <w:noProof/>
                </w:rPr>
              </w:pPr>
              <w:r>
                <w:rPr>
                  <w:noProof/>
                </w:rPr>
                <w:t xml:space="preserve">O'Donnell, C., 2014. The Rockefellers: The Legacy Of History's Richest Man. </w:t>
              </w:r>
              <w:r>
                <w:rPr>
                  <w:i/>
                  <w:iCs/>
                  <w:noProof/>
                </w:rPr>
                <w:t>Forbes</w:t>
              </w:r>
              <w:r>
                <w:rPr>
                  <w:noProof/>
                </w:rPr>
                <w:t>, 7 November, p. 16.</w:t>
              </w:r>
            </w:p>
            <w:p w14:paraId="2AECC043" w14:textId="77777777" w:rsidR="00FA08E5" w:rsidRDefault="00FA08E5" w:rsidP="00FA08E5">
              <w:pPr>
                <w:pStyle w:val="Bibliography"/>
                <w:rPr>
                  <w:noProof/>
                </w:rPr>
              </w:pPr>
              <w:r>
                <w:rPr>
                  <w:noProof/>
                </w:rPr>
                <w:t xml:space="preserve">Pallardy, R., 2019. </w:t>
              </w:r>
              <w:r>
                <w:rPr>
                  <w:i/>
                  <w:iCs/>
                  <w:noProof/>
                </w:rPr>
                <w:t xml:space="preserve">Britannica. </w:t>
              </w:r>
              <w:r>
                <w:rPr>
                  <w:noProof/>
                </w:rPr>
                <w:t xml:space="preserve">[Online] </w:t>
              </w:r>
              <w:r>
                <w:rPr>
                  <w:noProof/>
                </w:rPr>
                <w:br/>
                <w:t xml:space="preserve">Available at: </w:t>
              </w:r>
              <w:r>
                <w:rPr>
                  <w:noProof/>
                  <w:u w:val="single"/>
                </w:rPr>
                <w:t>https://www.britannica.com/event/2010-Haiti-earthquake</w:t>
              </w:r>
              <w:r>
                <w:rPr>
                  <w:noProof/>
                </w:rPr>
                <w:br/>
                <w:t>[Accessed 29 April 2019].</w:t>
              </w:r>
            </w:p>
            <w:p w14:paraId="57989BA3" w14:textId="77777777" w:rsidR="00FA08E5" w:rsidRDefault="00FA08E5" w:rsidP="00FA08E5">
              <w:pPr>
                <w:pStyle w:val="Bibliography"/>
                <w:rPr>
                  <w:noProof/>
                </w:rPr>
              </w:pPr>
              <w:r>
                <w:rPr>
                  <w:noProof/>
                </w:rPr>
                <w:t xml:space="preserve">Pettinger, T., 2014. </w:t>
              </w:r>
              <w:r>
                <w:rPr>
                  <w:i/>
                  <w:iCs/>
                  <w:noProof/>
                </w:rPr>
                <w:t xml:space="preserve">Economics help. </w:t>
              </w:r>
              <w:r>
                <w:rPr>
                  <w:noProof/>
                </w:rPr>
                <w:t xml:space="preserve">[Online] </w:t>
              </w:r>
              <w:r>
                <w:rPr>
                  <w:noProof/>
                </w:rPr>
                <w:br/>
                <w:t xml:space="preserve">Available at: </w:t>
              </w:r>
              <w:r>
                <w:rPr>
                  <w:noProof/>
                  <w:u w:val="single"/>
                </w:rPr>
                <w:t>https://www.economicshelp.org/blog/glossary/horizontal-integration/</w:t>
              </w:r>
              <w:r>
                <w:rPr>
                  <w:noProof/>
                </w:rPr>
                <w:br/>
                <w:t>[Accessed 28 April 2019].</w:t>
              </w:r>
            </w:p>
            <w:p w14:paraId="14979921" w14:textId="77777777" w:rsidR="00FA08E5" w:rsidRDefault="00FA08E5" w:rsidP="00FA08E5">
              <w:pPr>
                <w:pStyle w:val="Bibliography"/>
                <w:rPr>
                  <w:noProof/>
                </w:rPr>
              </w:pPr>
              <w:r>
                <w:rPr>
                  <w:noProof/>
                </w:rPr>
                <w:t xml:space="preserve">Porter, M. E. &amp; Kramer, M. R., 2002. The Competitive Advantage of Corporate Philanthropy. </w:t>
              </w:r>
              <w:r>
                <w:rPr>
                  <w:i/>
                  <w:iCs/>
                  <w:noProof/>
                </w:rPr>
                <w:t>Harvard Business Review</w:t>
              </w:r>
              <w:r>
                <w:rPr>
                  <w:noProof/>
                </w:rPr>
                <w:t>, December, pp. 56-69.</w:t>
              </w:r>
            </w:p>
            <w:p w14:paraId="16DA4375" w14:textId="77777777" w:rsidR="00FA08E5" w:rsidRDefault="00FA08E5" w:rsidP="00FA08E5">
              <w:pPr>
                <w:pStyle w:val="Bibliography"/>
                <w:rPr>
                  <w:noProof/>
                </w:rPr>
              </w:pPr>
              <w:r>
                <w:rPr>
                  <w:noProof/>
                </w:rPr>
                <w:t xml:space="preserve">Rhodes, C. &amp; Bloom, P., 2018. </w:t>
              </w:r>
              <w:r>
                <w:rPr>
                  <w:i/>
                  <w:iCs/>
                  <w:noProof/>
                </w:rPr>
                <w:t xml:space="preserve">The Guardian. </w:t>
              </w:r>
              <w:r>
                <w:rPr>
                  <w:noProof/>
                </w:rPr>
                <w:t xml:space="preserve">[Online] </w:t>
              </w:r>
              <w:r>
                <w:rPr>
                  <w:noProof/>
                </w:rPr>
                <w:br/>
                <w:t xml:space="preserve">Available at: </w:t>
              </w:r>
              <w:r>
                <w:rPr>
                  <w:noProof/>
                  <w:u w:val="single"/>
                </w:rPr>
                <w:t>https://www.theguardian.com/news/2018/may/24/the-trouble-with-charitable-billionaires-philanthrocapitalism</w:t>
              </w:r>
              <w:r>
                <w:rPr>
                  <w:noProof/>
                </w:rPr>
                <w:br/>
                <w:t>[Accessed 26 April 2019].</w:t>
              </w:r>
            </w:p>
            <w:p w14:paraId="4E5AA962" w14:textId="77777777" w:rsidR="00FA08E5" w:rsidRDefault="00FA08E5" w:rsidP="00FA08E5">
              <w:pPr>
                <w:pStyle w:val="Bibliography"/>
                <w:rPr>
                  <w:noProof/>
                </w:rPr>
              </w:pPr>
              <w:r>
                <w:rPr>
                  <w:noProof/>
                </w:rPr>
                <w:t xml:space="preserve">Segall, G., 2001. </w:t>
              </w:r>
              <w:r>
                <w:rPr>
                  <w:i/>
                  <w:iCs/>
                  <w:noProof/>
                </w:rPr>
                <w:t xml:space="preserve">John D. Rockefeller: Anointed with Oil. </w:t>
              </w:r>
              <w:r>
                <w:rPr>
                  <w:noProof/>
                </w:rPr>
                <w:t>1st ed. Oxford: Oxford University Press.</w:t>
              </w:r>
            </w:p>
            <w:p w14:paraId="0720F231" w14:textId="77777777" w:rsidR="00FA08E5" w:rsidRDefault="00FA08E5" w:rsidP="00FA08E5">
              <w:pPr>
                <w:pStyle w:val="Bibliography"/>
                <w:rPr>
                  <w:noProof/>
                </w:rPr>
              </w:pPr>
              <w:r>
                <w:rPr>
                  <w:noProof/>
                </w:rPr>
                <w:t xml:space="preserve">Solomon, J., 2013. </w:t>
              </w:r>
              <w:r>
                <w:rPr>
                  <w:i/>
                  <w:iCs/>
                  <w:noProof/>
                </w:rPr>
                <w:t xml:space="preserve">Corporate Governance and Accountability. </w:t>
              </w:r>
              <w:r>
                <w:rPr>
                  <w:noProof/>
                </w:rPr>
                <w:t>4th Edition ed. Chichester: Wiley.</w:t>
              </w:r>
            </w:p>
            <w:p w14:paraId="15F7F042" w14:textId="77777777" w:rsidR="00FA08E5" w:rsidRDefault="00FA08E5" w:rsidP="00FA08E5">
              <w:pPr>
                <w:pStyle w:val="Bibliography"/>
                <w:rPr>
                  <w:noProof/>
                </w:rPr>
              </w:pPr>
              <w:r>
                <w:rPr>
                  <w:noProof/>
                </w:rPr>
                <w:t xml:space="preserve">Williamson-Noble, J. &amp; Haynes, K., 2003. Corporate governance in Australia.. </w:t>
              </w:r>
              <w:r>
                <w:rPr>
                  <w:i/>
                  <w:iCs/>
                  <w:noProof/>
                </w:rPr>
                <w:t xml:space="preserve">International Financial Law Review, </w:t>
              </w:r>
              <w:r>
                <w:rPr>
                  <w:noProof/>
                </w:rPr>
                <w:t>pp. 63-69.</w:t>
              </w:r>
            </w:p>
            <w:p w14:paraId="63C8DF21" w14:textId="77777777" w:rsidR="00FA08E5" w:rsidRDefault="00FA08E5" w:rsidP="00FA08E5">
              <w:pPr>
                <w:pStyle w:val="Bibliography"/>
                <w:rPr>
                  <w:noProof/>
                </w:rPr>
              </w:pPr>
              <w:r>
                <w:rPr>
                  <w:noProof/>
                </w:rPr>
                <w:lastRenderedPageBreak/>
                <w:t xml:space="preserve">Zimmer, C., 2019. </w:t>
              </w:r>
              <w:r>
                <w:rPr>
                  <w:i/>
                  <w:iCs/>
                  <w:noProof/>
                </w:rPr>
                <w:t xml:space="preserve">Learning to Give. </w:t>
              </w:r>
              <w:r>
                <w:rPr>
                  <w:noProof/>
                </w:rPr>
                <w:t xml:space="preserve">[Online] </w:t>
              </w:r>
              <w:r>
                <w:rPr>
                  <w:noProof/>
                </w:rPr>
                <w:br/>
                <w:t xml:space="preserve">Available at: </w:t>
              </w:r>
              <w:r>
                <w:rPr>
                  <w:noProof/>
                  <w:u w:val="single"/>
                </w:rPr>
                <w:t>https://www.learningtogive.org/resources/philanthropy</w:t>
              </w:r>
              <w:r>
                <w:rPr>
                  <w:noProof/>
                </w:rPr>
                <w:br/>
                <w:t>[Accessed 28 April 2019].</w:t>
              </w:r>
            </w:p>
            <w:p w14:paraId="35C4D130" w14:textId="1C308067" w:rsidR="00FA08E5" w:rsidRDefault="00FA08E5" w:rsidP="00FA08E5">
              <w:r>
                <w:rPr>
                  <w:b/>
                  <w:bCs/>
                  <w:noProof/>
                </w:rPr>
                <w:fldChar w:fldCharType="end"/>
              </w:r>
            </w:p>
          </w:sdtContent>
        </w:sdt>
      </w:sdtContent>
    </w:sdt>
    <w:p w14:paraId="186DE97C" w14:textId="77777777" w:rsidR="00FA08E5" w:rsidRPr="00FA08E5" w:rsidRDefault="00FA08E5" w:rsidP="00FA08E5"/>
    <w:sectPr w:rsidR="00FA08E5" w:rsidRPr="00FA08E5" w:rsidSect="00CD6B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70F6F"/>
    <w:multiLevelType w:val="hybridMultilevel"/>
    <w:tmpl w:val="2530E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244"/>
    <w:rsid w:val="00010B13"/>
    <w:rsid w:val="000221C6"/>
    <w:rsid w:val="00063EDB"/>
    <w:rsid w:val="00076CC3"/>
    <w:rsid w:val="000D290F"/>
    <w:rsid w:val="001276BD"/>
    <w:rsid w:val="0014090A"/>
    <w:rsid w:val="00140934"/>
    <w:rsid w:val="0017773E"/>
    <w:rsid w:val="001778BB"/>
    <w:rsid w:val="00183F86"/>
    <w:rsid w:val="00184DB3"/>
    <w:rsid w:val="001A711D"/>
    <w:rsid w:val="001D2326"/>
    <w:rsid w:val="001D4CE1"/>
    <w:rsid w:val="001E53C2"/>
    <w:rsid w:val="002369D3"/>
    <w:rsid w:val="00242819"/>
    <w:rsid w:val="00253406"/>
    <w:rsid w:val="00277375"/>
    <w:rsid w:val="002A037D"/>
    <w:rsid w:val="002C1138"/>
    <w:rsid w:val="002C35D5"/>
    <w:rsid w:val="002C4022"/>
    <w:rsid w:val="00316096"/>
    <w:rsid w:val="00326E81"/>
    <w:rsid w:val="00331514"/>
    <w:rsid w:val="00332095"/>
    <w:rsid w:val="003459E3"/>
    <w:rsid w:val="0038714F"/>
    <w:rsid w:val="003B1EB7"/>
    <w:rsid w:val="003C5291"/>
    <w:rsid w:val="00404445"/>
    <w:rsid w:val="004120CD"/>
    <w:rsid w:val="00415804"/>
    <w:rsid w:val="00427ACA"/>
    <w:rsid w:val="00453244"/>
    <w:rsid w:val="0046454B"/>
    <w:rsid w:val="0049795B"/>
    <w:rsid w:val="004B2D17"/>
    <w:rsid w:val="004B6146"/>
    <w:rsid w:val="004D1C6F"/>
    <w:rsid w:val="004D7762"/>
    <w:rsid w:val="004F3405"/>
    <w:rsid w:val="00511002"/>
    <w:rsid w:val="00511459"/>
    <w:rsid w:val="00520D26"/>
    <w:rsid w:val="005329A5"/>
    <w:rsid w:val="00540033"/>
    <w:rsid w:val="005704CC"/>
    <w:rsid w:val="00581EBD"/>
    <w:rsid w:val="005A62F8"/>
    <w:rsid w:val="005C5B95"/>
    <w:rsid w:val="005D027A"/>
    <w:rsid w:val="005E107E"/>
    <w:rsid w:val="00655F25"/>
    <w:rsid w:val="00657846"/>
    <w:rsid w:val="0066783B"/>
    <w:rsid w:val="00672EBD"/>
    <w:rsid w:val="006874A5"/>
    <w:rsid w:val="00694066"/>
    <w:rsid w:val="006945FD"/>
    <w:rsid w:val="006A5544"/>
    <w:rsid w:val="006B1EA5"/>
    <w:rsid w:val="006D1809"/>
    <w:rsid w:val="006E111C"/>
    <w:rsid w:val="006E4F00"/>
    <w:rsid w:val="006F4364"/>
    <w:rsid w:val="007352BE"/>
    <w:rsid w:val="00746318"/>
    <w:rsid w:val="007B75CB"/>
    <w:rsid w:val="0080481A"/>
    <w:rsid w:val="00804CAC"/>
    <w:rsid w:val="008173AD"/>
    <w:rsid w:val="008204AA"/>
    <w:rsid w:val="008575E0"/>
    <w:rsid w:val="00882A7A"/>
    <w:rsid w:val="008C374D"/>
    <w:rsid w:val="008D4A3D"/>
    <w:rsid w:val="008F741C"/>
    <w:rsid w:val="00942533"/>
    <w:rsid w:val="00961004"/>
    <w:rsid w:val="00961BB8"/>
    <w:rsid w:val="00963FAB"/>
    <w:rsid w:val="0098289D"/>
    <w:rsid w:val="00984171"/>
    <w:rsid w:val="009967BE"/>
    <w:rsid w:val="009B565A"/>
    <w:rsid w:val="009C2A1A"/>
    <w:rsid w:val="009E0ECB"/>
    <w:rsid w:val="00A00A7C"/>
    <w:rsid w:val="00A046CA"/>
    <w:rsid w:val="00A1396B"/>
    <w:rsid w:val="00A17105"/>
    <w:rsid w:val="00A21479"/>
    <w:rsid w:val="00A2343A"/>
    <w:rsid w:val="00A73A29"/>
    <w:rsid w:val="00A867CF"/>
    <w:rsid w:val="00AB0077"/>
    <w:rsid w:val="00AD282D"/>
    <w:rsid w:val="00B56E99"/>
    <w:rsid w:val="00B825A2"/>
    <w:rsid w:val="00B84926"/>
    <w:rsid w:val="00B877B8"/>
    <w:rsid w:val="00BC4775"/>
    <w:rsid w:val="00BD2F6B"/>
    <w:rsid w:val="00BF38AF"/>
    <w:rsid w:val="00BF4B54"/>
    <w:rsid w:val="00BF6F97"/>
    <w:rsid w:val="00C03395"/>
    <w:rsid w:val="00C16769"/>
    <w:rsid w:val="00C27190"/>
    <w:rsid w:val="00C274A2"/>
    <w:rsid w:val="00C43160"/>
    <w:rsid w:val="00C7630F"/>
    <w:rsid w:val="00C9417F"/>
    <w:rsid w:val="00CA1BBB"/>
    <w:rsid w:val="00CA51A5"/>
    <w:rsid w:val="00CD6B8E"/>
    <w:rsid w:val="00CF560E"/>
    <w:rsid w:val="00D07633"/>
    <w:rsid w:val="00D21FBF"/>
    <w:rsid w:val="00D331A6"/>
    <w:rsid w:val="00D37A6C"/>
    <w:rsid w:val="00D7073C"/>
    <w:rsid w:val="00D74428"/>
    <w:rsid w:val="00DA56B7"/>
    <w:rsid w:val="00DB593D"/>
    <w:rsid w:val="00DE7A25"/>
    <w:rsid w:val="00DE7FAB"/>
    <w:rsid w:val="00E11258"/>
    <w:rsid w:val="00E16F68"/>
    <w:rsid w:val="00E2540F"/>
    <w:rsid w:val="00E32EFA"/>
    <w:rsid w:val="00E62553"/>
    <w:rsid w:val="00E67954"/>
    <w:rsid w:val="00E70612"/>
    <w:rsid w:val="00E71690"/>
    <w:rsid w:val="00E756B5"/>
    <w:rsid w:val="00EB0E6C"/>
    <w:rsid w:val="00EB54BE"/>
    <w:rsid w:val="00F14C2A"/>
    <w:rsid w:val="00F423F7"/>
    <w:rsid w:val="00FA08E5"/>
    <w:rsid w:val="00FA5F4F"/>
    <w:rsid w:val="00FB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87F4A"/>
  <w15:chartTrackingRefBased/>
  <w15:docId w15:val="{D4C3D196-EC6D-4187-8E79-F9C5F2A6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73C"/>
  </w:style>
  <w:style w:type="paragraph" w:styleId="Heading1">
    <w:name w:val="heading 1"/>
    <w:basedOn w:val="Normal"/>
    <w:next w:val="Normal"/>
    <w:link w:val="Heading1Char"/>
    <w:uiPriority w:val="9"/>
    <w:qFormat/>
    <w:rsid w:val="002C402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C402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A08E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95B"/>
    <w:pPr>
      <w:ind w:left="720"/>
      <w:contextualSpacing/>
    </w:pPr>
  </w:style>
  <w:style w:type="character" w:styleId="Hyperlink">
    <w:name w:val="Hyperlink"/>
    <w:basedOn w:val="DefaultParagraphFont"/>
    <w:uiPriority w:val="99"/>
    <w:unhideWhenUsed/>
    <w:rsid w:val="00D37A6C"/>
    <w:rPr>
      <w:color w:val="0000FF"/>
      <w:u w:val="single"/>
    </w:rPr>
  </w:style>
  <w:style w:type="paragraph" w:styleId="NoSpacing">
    <w:name w:val="No Spacing"/>
    <w:link w:val="NoSpacingChar"/>
    <w:uiPriority w:val="1"/>
    <w:qFormat/>
    <w:rsid w:val="00CD6B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6B8E"/>
    <w:rPr>
      <w:rFonts w:eastAsiaTheme="minorEastAsia"/>
      <w:lang w:val="en-US"/>
    </w:rPr>
  </w:style>
  <w:style w:type="character" w:customStyle="1" w:styleId="Heading1Char">
    <w:name w:val="Heading 1 Char"/>
    <w:basedOn w:val="DefaultParagraphFont"/>
    <w:link w:val="Heading1"/>
    <w:uiPriority w:val="9"/>
    <w:rsid w:val="002C402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C4022"/>
    <w:pPr>
      <w:spacing w:line="259" w:lineRule="auto"/>
      <w:outlineLvl w:val="9"/>
    </w:pPr>
    <w:rPr>
      <w:lang w:val="en-US"/>
    </w:rPr>
  </w:style>
  <w:style w:type="character" w:customStyle="1" w:styleId="Heading2Char">
    <w:name w:val="Heading 2 Char"/>
    <w:basedOn w:val="DefaultParagraphFont"/>
    <w:link w:val="Heading2"/>
    <w:uiPriority w:val="9"/>
    <w:semiHidden/>
    <w:rsid w:val="002C402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A08E5"/>
    <w:rPr>
      <w:rFonts w:asciiTheme="majorHAnsi" w:eastAsiaTheme="majorEastAsia" w:hAnsiTheme="majorHAnsi" w:cstheme="majorBidi"/>
      <w:color w:val="243F60" w:themeColor="accent1" w:themeShade="7F"/>
      <w:sz w:val="24"/>
      <w:szCs w:val="24"/>
    </w:rPr>
  </w:style>
  <w:style w:type="paragraph" w:styleId="TOC1">
    <w:name w:val="toc 1"/>
    <w:basedOn w:val="Normal"/>
    <w:next w:val="Normal"/>
    <w:autoRedefine/>
    <w:uiPriority w:val="39"/>
    <w:unhideWhenUsed/>
    <w:rsid w:val="00FA08E5"/>
    <w:pPr>
      <w:spacing w:after="100"/>
    </w:pPr>
  </w:style>
  <w:style w:type="paragraph" w:styleId="TOC2">
    <w:name w:val="toc 2"/>
    <w:basedOn w:val="Normal"/>
    <w:next w:val="Normal"/>
    <w:autoRedefine/>
    <w:uiPriority w:val="39"/>
    <w:unhideWhenUsed/>
    <w:rsid w:val="00FA08E5"/>
    <w:pPr>
      <w:spacing w:after="100"/>
      <w:ind w:left="220"/>
    </w:pPr>
  </w:style>
  <w:style w:type="paragraph" w:styleId="TOC3">
    <w:name w:val="toc 3"/>
    <w:basedOn w:val="Normal"/>
    <w:next w:val="Normal"/>
    <w:autoRedefine/>
    <w:uiPriority w:val="39"/>
    <w:unhideWhenUsed/>
    <w:rsid w:val="00FA08E5"/>
    <w:pPr>
      <w:spacing w:after="100"/>
      <w:ind w:left="440"/>
    </w:pPr>
  </w:style>
  <w:style w:type="paragraph" w:styleId="Bibliography">
    <w:name w:val="Bibliography"/>
    <w:basedOn w:val="Normal"/>
    <w:next w:val="Normal"/>
    <w:uiPriority w:val="37"/>
    <w:unhideWhenUsed/>
    <w:rsid w:val="00FA0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4553">
      <w:bodyDiv w:val="1"/>
      <w:marLeft w:val="0"/>
      <w:marRight w:val="0"/>
      <w:marTop w:val="0"/>
      <w:marBottom w:val="0"/>
      <w:divBdr>
        <w:top w:val="none" w:sz="0" w:space="0" w:color="auto"/>
        <w:left w:val="none" w:sz="0" w:space="0" w:color="auto"/>
        <w:bottom w:val="none" w:sz="0" w:space="0" w:color="auto"/>
        <w:right w:val="none" w:sz="0" w:space="0" w:color="auto"/>
      </w:divBdr>
    </w:div>
    <w:div w:id="33577609">
      <w:bodyDiv w:val="1"/>
      <w:marLeft w:val="0"/>
      <w:marRight w:val="0"/>
      <w:marTop w:val="0"/>
      <w:marBottom w:val="0"/>
      <w:divBdr>
        <w:top w:val="none" w:sz="0" w:space="0" w:color="auto"/>
        <w:left w:val="none" w:sz="0" w:space="0" w:color="auto"/>
        <w:bottom w:val="none" w:sz="0" w:space="0" w:color="auto"/>
        <w:right w:val="none" w:sz="0" w:space="0" w:color="auto"/>
      </w:divBdr>
    </w:div>
    <w:div w:id="62458314">
      <w:bodyDiv w:val="1"/>
      <w:marLeft w:val="0"/>
      <w:marRight w:val="0"/>
      <w:marTop w:val="0"/>
      <w:marBottom w:val="0"/>
      <w:divBdr>
        <w:top w:val="none" w:sz="0" w:space="0" w:color="auto"/>
        <w:left w:val="none" w:sz="0" w:space="0" w:color="auto"/>
        <w:bottom w:val="none" w:sz="0" w:space="0" w:color="auto"/>
        <w:right w:val="none" w:sz="0" w:space="0" w:color="auto"/>
      </w:divBdr>
    </w:div>
    <w:div w:id="106462101">
      <w:bodyDiv w:val="1"/>
      <w:marLeft w:val="0"/>
      <w:marRight w:val="0"/>
      <w:marTop w:val="0"/>
      <w:marBottom w:val="0"/>
      <w:divBdr>
        <w:top w:val="none" w:sz="0" w:space="0" w:color="auto"/>
        <w:left w:val="none" w:sz="0" w:space="0" w:color="auto"/>
        <w:bottom w:val="none" w:sz="0" w:space="0" w:color="auto"/>
        <w:right w:val="none" w:sz="0" w:space="0" w:color="auto"/>
      </w:divBdr>
    </w:div>
    <w:div w:id="164445119">
      <w:bodyDiv w:val="1"/>
      <w:marLeft w:val="0"/>
      <w:marRight w:val="0"/>
      <w:marTop w:val="0"/>
      <w:marBottom w:val="0"/>
      <w:divBdr>
        <w:top w:val="none" w:sz="0" w:space="0" w:color="auto"/>
        <w:left w:val="none" w:sz="0" w:space="0" w:color="auto"/>
        <w:bottom w:val="none" w:sz="0" w:space="0" w:color="auto"/>
        <w:right w:val="none" w:sz="0" w:space="0" w:color="auto"/>
      </w:divBdr>
    </w:div>
    <w:div w:id="296958647">
      <w:bodyDiv w:val="1"/>
      <w:marLeft w:val="0"/>
      <w:marRight w:val="0"/>
      <w:marTop w:val="0"/>
      <w:marBottom w:val="0"/>
      <w:divBdr>
        <w:top w:val="none" w:sz="0" w:space="0" w:color="auto"/>
        <w:left w:val="none" w:sz="0" w:space="0" w:color="auto"/>
        <w:bottom w:val="none" w:sz="0" w:space="0" w:color="auto"/>
        <w:right w:val="none" w:sz="0" w:space="0" w:color="auto"/>
      </w:divBdr>
    </w:div>
    <w:div w:id="321932892">
      <w:bodyDiv w:val="1"/>
      <w:marLeft w:val="0"/>
      <w:marRight w:val="0"/>
      <w:marTop w:val="0"/>
      <w:marBottom w:val="0"/>
      <w:divBdr>
        <w:top w:val="none" w:sz="0" w:space="0" w:color="auto"/>
        <w:left w:val="none" w:sz="0" w:space="0" w:color="auto"/>
        <w:bottom w:val="none" w:sz="0" w:space="0" w:color="auto"/>
        <w:right w:val="none" w:sz="0" w:space="0" w:color="auto"/>
      </w:divBdr>
    </w:div>
    <w:div w:id="349063396">
      <w:bodyDiv w:val="1"/>
      <w:marLeft w:val="0"/>
      <w:marRight w:val="0"/>
      <w:marTop w:val="0"/>
      <w:marBottom w:val="0"/>
      <w:divBdr>
        <w:top w:val="none" w:sz="0" w:space="0" w:color="auto"/>
        <w:left w:val="none" w:sz="0" w:space="0" w:color="auto"/>
        <w:bottom w:val="none" w:sz="0" w:space="0" w:color="auto"/>
        <w:right w:val="none" w:sz="0" w:space="0" w:color="auto"/>
      </w:divBdr>
    </w:div>
    <w:div w:id="385374990">
      <w:bodyDiv w:val="1"/>
      <w:marLeft w:val="0"/>
      <w:marRight w:val="0"/>
      <w:marTop w:val="0"/>
      <w:marBottom w:val="0"/>
      <w:divBdr>
        <w:top w:val="none" w:sz="0" w:space="0" w:color="auto"/>
        <w:left w:val="none" w:sz="0" w:space="0" w:color="auto"/>
        <w:bottom w:val="none" w:sz="0" w:space="0" w:color="auto"/>
        <w:right w:val="none" w:sz="0" w:space="0" w:color="auto"/>
      </w:divBdr>
    </w:div>
    <w:div w:id="400566816">
      <w:bodyDiv w:val="1"/>
      <w:marLeft w:val="0"/>
      <w:marRight w:val="0"/>
      <w:marTop w:val="0"/>
      <w:marBottom w:val="0"/>
      <w:divBdr>
        <w:top w:val="none" w:sz="0" w:space="0" w:color="auto"/>
        <w:left w:val="none" w:sz="0" w:space="0" w:color="auto"/>
        <w:bottom w:val="none" w:sz="0" w:space="0" w:color="auto"/>
        <w:right w:val="none" w:sz="0" w:space="0" w:color="auto"/>
      </w:divBdr>
    </w:div>
    <w:div w:id="537551856">
      <w:bodyDiv w:val="1"/>
      <w:marLeft w:val="0"/>
      <w:marRight w:val="0"/>
      <w:marTop w:val="0"/>
      <w:marBottom w:val="0"/>
      <w:divBdr>
        <w:top w:val="none" w:sz="0" w:space="0" w:color="auto"/>
        <w:left w:val="none" w:sz="0" w:space="0" w:color="auto"/>
        <w:bottom w:val="none" w:sz="0" w:space="0" w:color="auto"/>
        <w:right w:val="none" w:sz="0" w:space="0" w:color="auto"/>
      </w:divBdr>
    </w:div>
    <w:div w:id="550194793">
      <w:bodyDiv w:val="1"/>
      <w:marLeft w:val="0"/>
      <w:marRight w:val="0"/>
      <w:marTop w:val="0"/>
      <w:marBottom w:val="0"/>
      <w:divBdr>
        <w:top w:val="none" w:sz="0" w:space="0" w:color="auto"/>
        <w:left w:val="none" w:sz="0" w:space="0" w:color="auto"/>
        <w:bottom w:val="none" w:sz="0" w:space="0" w:color="auto"/>
        <w:right w:val="none" w:sz="0" w:space="0" w:color="auto"/>
      </w:divBdr>
    </w:div>
    <w:div w:id="621301840">
      <w:bodyDiv w:val="1"/>
      <w:marLeft w:val="0"/>
      <w:marRight w:val="0"/>
      <w:marTop w:val="0"/>
      <w:marBottom w:val="0"/>
      <w:divBdr>
        <w:top w:val="none" w:sz="0" w:space="0" w:color="auto"/>
        <w:left w:val="none" w:sz="0" w:space="0" w:color="auto"/>
        <w:bottom w:val="none" w:sz="0" w:space="0" w:color="auto"/>
        <w:right w:val="none" w:sz="0" w:space="0" w:color="auto"/>
      </w:divBdr>
    </w:div>
    <w:div w:id="633291657">
      <w:bodyDiv w:val="1"/>
      <w:marLeft w:val="0"/>
      <w:marRight w:val="0"/>
      <w:marTop w:val="0"/>
      <w:marBottom w:val="0"/>
      <w:divBdr>
        <w:top w:val="none" w:sz="0" w:space="0" w:color="auto"/>
        <w:left w:val="none" w:sz="0" w:space="0" w:color="auto"/>
        <w:bottom w:val="none" w:sz="0" w:space="0" w:color="auto"/>
        <w:right w:val="none" w:sz="0" w:space="0" w:color="auto"/>
      </w:divBdr>
    </w:div>
    <w:div w:id="663510948">
      <w:bodyDiv w:val="1"/>
      <w:marLeft w:val="0"/>
      <w:marRight w:val="0"/>
      <w:marTop w:val="0"/>
      <w:marBottom w:val="0"/>
      <w:divBdr>
        <w:top w:val="none" w:sz="0" w:space="0" w:color="auto"/>
        <w:left w:val="none" w:sz="0" w:space="0" w:color="auto"/>
        <w:bottom w:val="none" w:sz="0" w:space="0" w:color="auto"/>
        <w:right w:val="none" w:sz="0" w:space="0" w:color="auto"/>
      </w:divBdr>
    </w:div>
    <w:div w:id="724835026">
      <w:bodyDiv w:val="1"/>
      <w:marLeft w:val="0"/>
      <w:marRight w:val="0"/>
      <w:marTop w:val="0"/>
      <w:marBottom w:val="0"/>
      <w:divBdr>
        <w:top w:val="none" w:sz="0" w:space="0" w:color="auto"/>
        <w:left w:val="none" w:sz="0" w:space="0" w:color="auto"/>
        <w:bottom w:val="none" w:sz="0" w:space="0" w:color="auto"/>
        <w:right w:val="none" w:sz="0" w:space="0" w:color="auto"/>
      </w:divBdr>
    </w:div>
    <w:div w:id="741681307">
      <w:bodyDiv w:val="1"/>
      <w:marLeft w:val="0"/>
      <w:marRight w:val="0"/>
      <w:marTop w:val="0"/>
      <w:marBottom w:val="0"/>
      <w:divBdr>
        <w:top w:val="none" w:sz="0" w:space="0" w:color="auto"/>
        <w:left w:val="none" w:sz="0" w:space="0" w:color="auto"/>
        <w:bottom w:val="none" w:sz="0" w:space="0" w:color="auto"/>
        <w:right w:val="none" w:sz="0" w:space="0" w:color="auto"/>
      </w:divBdr>
    </w:div>
    <w:div w:id="759183671">
      <w:bodyDiv w:val="1"/>
      <w:marLeft w:val="0"/>
      <w:marRight w:val="0"/>
      <w:marTop w:val="0"/>
      <w:marBottom w:val="0"/>
      <w:divBdr>
        <w:top w:val="none" w:sz="0" w:space="0" w:color="auto"/>
        <w:left w:val="none" w:sz="0" w:space="0" w:color="auto"/>
        <w:bottom w:val="none" w:sz="0" w:space="0" w:color="auto"/>
        <w:right w:val="none" w:sz="0" w:space="0" w:color="auto"/>
      </w:divBdr>
    </w:div>
    <w:div w:id="789588578">
      <w:bodyDiv w:val="1"/>
      <w:marLeft w:val="0"/>
      <w:marRight w:val="0"/>
      <w:marTop w:val="0"/>
      <w:marBottom w:val="0"/>
      <w:divBdr>
        <w:top w:val="none" w:sz="0" w:space="0" w:color="auto"/>
        <w:left w:val="none" w:sz="0" w:space="0" w:color="auto"/>
        <w:bottom w:val="none" w:sz="0" w:space="0" w:color="auto"/>
        <w:right w:val="none" w:sz="0" w:space="0" w:color="auto"/>
      </w:divBdr>
    </w:div>
    <w:div w:id="828445369">
      <w:bodyDiv w:val="1"/>
      <w:marLeft w:val="0"/>
      <w:marRight w:val="0"/>
      <w:marTop w:val="0"/>
      <w:marBottom w:val="0"/>
      <w:divBdr>
        <w:top w:val="none" w:sz="0" w:space="0" w:color="auto"/>
        <w:left w:val="none" w:sz="0" w:space="0" w:color="auto"/>
        <w:bottom w:val="none" w:sz="0" w:space="0" w:color="auto"/>
        <w:right w:val="none" w:sz="0" w:space="0" w:color="auto"/>
      </w:divBdr>
    </w:div>
    <w:div w:id="879703414">
      <w:bodyDiv w:val="1"/>
      <w:marLeft w:val="0"/>
      <w:marRight w:val="0"/>
      <w:marTop w:val="0"/>
      <w:marBottom w:val="0"/>
      <w:divBdr>
        <w:top w:val="none" w:sz="0" w:space="0" w:color="auto"/>
        <w:left w:val="none" w:sz="0" w:space="0" w:color="auto"/>
        <w:bottom w:val="none" w:sz="0" w:space="0" w:color="auto"/>
        <w:right w:val="none" w:sz="0" w:space="0" w:color="auto"/>
      </w:divBdr>
    </w:div>
    <w:div w:id="889263319">
      <w:bodyDiv w:val="1"/>
      <w:marLeft w:val="0"/>
      <w:marRight w:val="0"/>
      <w:marTop w:val="0"/>
      <w:marBottom w:val="0"/>
      <w:divBdr>
        <w:top w:val="none" w:sz="0" w:space="0" w:color="auto"/>
        <w:left w:val="none" w:sz="0" w:space="0" w:color="auto"/>
        <w:bottom w:val="none" w:sz="0" w:space="0" w:color="auto"/>
        <w:right w:val="none" w:sz="0" w:space="0" w:color="auto"/>
      </w:divBdr>
    </w:div>
    <w:div w:id="903370142">
      <w:bodyDiv w:val="1"/>
      <w:marLeft w:val="0"/>
      <w:marRight w:val="0"/>
      <w:marTop w:val="0"/>
      <w:marBottom w:val="0"/>
      <w:divBdr>
        <w:top w:val="none" w:sz="0" w:space="0" w:color="auto"/>
        <w:left w:val="none" w:sz="0" w:space="0" w:color="auto"/>
        <w:bottom w:val="none" w:sz="0" w:space="0" w:color="auto"/>
        <w:right w:val="none" w:sz="0" w:space="0" w:color="auto"/>
      </w:divBdr>
    </w:div>
    <w:div w:id="970982347">
      <w:bodyDiv w:val="1"/>
      <w:marLeft w:val="0"/>
      <w:marRight w:val="0"/>
      <w:marTop w:val="0"/>
      <w:marBottom w:val="0"/>
      <w:divBdr>
        <w:top w:val="none" w:sz="0" w:space="0" w:color="auto"/>
        <w:left w:val="none" w:sz="0" w:space="0" w:color="auto"/>
        <w:bottom w:val="none" w:sz="0" w:space="0" w:color="auto"/>
        <w:right w:val="none" w:sz="0" w:space="0" w:color="auto"/>
      </w:divBdr>
    </w:div>
    <w:div w:id="976690195">
      <w:bodyDiv w:val="1"/>
      <w:marLeft w:val="0"/>
      <w:marRight w:val="0"/>
      <w:marTop w:val="0"/>
      <w:marBottom w:val="0"/>
      <w:divBdr>
        <w:top w:val="none" w:sz="0" w:space="0" w:color="auto"/>
        <w:left w:val="none" w:sz="0" w:space="0" w:color="auto"/>
        <w:bottom w:val="none" w:sz="0" w:space="0" w:color="auto"/>
        <w:right w:val="none" w:sz="0" w:space="0" w:color="auto"/>
      </w:divBdr>
    </w:div>
    <w:div w:id="981731949">
      <w:bodyDiv w:val="1"/>
      <w:marLeft w:val="0"/>
      <w:marRight w:val="0"/>
      <w:marTop w:val="0"/>
      <w:marBottom w:val="0"/>
      <w:divBdr>
        <w:top w:val="none" w:sz="0" w:space="0" w:color="auto"/>
        <w:left w:val="none" w:sz="0" w:space="0" w:color="auto"/>
        <w:bottom w:val="none" w:sz="0" w:space="0" w:color="auto"/>
        <w:right w:val="none" w:sz="0" w:space="0" w:color="auto"/>
      </w:divBdr>
    </w:div>
    <w:div w:id="1037850493">
      <w:bodyDiv w:val="1"/>
      <w:marLeft w:val="0"/>
      <w:marRight w:val="0"/>
      <w:marTop w:val="0"/>
      <w:marBottom w:val="0"/>
      <w:divBdr>
        <w:top w:val="none" w:sz="0" w:space="0" w:color="auto"/>
        <w:left w:val="none" w:sz="0" w:space="0" w:color="auto"/>
        <w:bottom w:val="none" w:sz="0" w:space="0" w:color="auto"/>
        <w:right w:val="none" w:sz="0" w:space="0" w:color="auto"/>
      </w:divBdr>
    </w:div>
    <w:div w:id="1053695308">
      <w:bodyDiv w:val="1"/>
      <w:marLeft w:val="0"/>
      <w:marRight w:val="0"/>
      <w:marTop w:val="0"/>
      <w:marBottom w:val="0"/>
      <w:divBdr>
        <w:top w:val="none" w:sz="0" w:space="0" w:color="auto"/>
        <w:left w:val="none" w:sz="0" w:space="0" w:color="auto"/>
        <w:bottom w:val="none" w:sz="0" w:space="0" w:color="auto"/>
        <w:right w:val="none" w:sz="0" w:space="0" w:color="auto"/>
      </w:divBdr>
    </w:div>
    <w:div w:id="1086999721">
      <w:bodyDiv w:val="1"/>
      <w:marLeft w:val="0"/>
      <w:marRight w:val="0"/>
      <w:marTop w:val="0"/>
      <w:marBottom w:val="0"/>
      <w:divBdr>
        <w:top w:val="none" w:sz="0" w:space="0" w:color="auto"/>
        <w:left w:val="none" w:sz="0" w:space="0" w:color="auto"/>
        <w:bottom w:val="none" w:sz="0" w:space="0" w:color="auto"/>
        <w:right w:val="none" w:sz="0" w:space="0" w:color="auto"/>
      </w:divBdr>
    </w:div>
    <w:div w:id="1143541765">
      <w:bodyDiv w:val="1"/>
      <w:marLeft w:val="0"/>
      <w:marRight w:val="0"/>
      <w:marTop w:val="0"/>
      <w:marBottom w:val="0"/>
      <w:divBdr>
        <w:top w:val="none" w:sz="0" w:space="0" w:color="auto"/>
        <w:left w:val="none" w:sz="0" w:space="0" w:color="auto"/>
        <w:bottom w:val="none" w:sz="0" w:space="0" w:color="auto"/>
        <w:right w:val="none" w:sz="0" w:space="0" w:color="auto"/>
      </w:divBdr>
    </w:div>
    <w:div w:id="1182667939">
      <w:bodyDiv w:val="1"/>
      <w:marLeft w:val="0"/>
      <w:marRight w:val="0"/>
      <w:marTop w:val="0"/>
      <w:marBottom w:val="0"/>
      <w:divBdr>
        <w:top w:val="none" w:sz="0" w:space="0" w:color="auto"/>
        <w:left w:val="none" w:sz="0" w:space="0" w:color="auto"/>
        <w:bottom w:val="none" w:sz="0" w:space="0" w:color="auto"/>
        <w:right w:val="none" w:sz="0" w:space="0" w:color="auto"/>
      </w:divBdr>
    </w:div>
    <w:div w:id="1222668331">
      <w:bodyDiv w:val="1"/>
      <w:marLeft w:val="0"/>
      <w:marRight w:val="0"/>
      <w:marTop w:val="0"/>
      <w:marBottom w:val="0"/>
      <w:divBdr>
        <w:top w:val="none" w:sz="0" w:space="0" w:color="auto"/>
        <w:left w:val="none" w:sz="0" w:space="0" w:color="auto"/>
        <w:bottom w:val="none" w:sz="0" w:space="0" w:color="auto"/>
        <w:right w:val="none" w:sz="0" w:space="0" w:color="auto"/>
      </w:divBdr>
    </w:div>
    <w:div w:id="1421872963">
      <w:bodyDiv w:val="1"/>
      <w:marLeft w:val="0"/>
      <w:marRight w:val="0"/>
      <w:marTop w:val="0"/>
      <w:marBottom w:val="0"/>
      <w:divBdr>
        <w:top w:val="none" w:sz="0" w:space="0" w:color="auto"/>
        <w:left w:val="none" w:sz="0" w:space="0" w:color="auto"/>
        <w:bottom w:val="none" w:sz="0" w:space="0" w:color="auto"/>
        <w:right w:val="none" w:sz="0" w:space="0" w:color="auto"/>
      </w:divBdr>
    </w:div>
    <w:div w:id="1436101018">
      <w:bodyDiv w:val="1"/>
      <w:marLeft w:val="0"/>
      <w:marRight w:val="0"/>
      <w:marTop w:val="0"/>
      <w:marBottom w:val="0"/>
      <w:divBdr>
        <w:top w:val="none" w:sz="0" w:space="0" w:color="auto"/>
        <w:left w:val="none" w:sz="0" w:space="0" w:color="auto"/>
        <w:bottom w:val="none" w:sz="0" w:space="0" w:color="auto"/>
        <w:right w:val="none" w:sz="0" w:space="0" w:color="auto"/>
      </w:divBdr>
    </w:div>
    <w:div w:id="1469788342">
      <w:bodyDiv w:val="1"/>
      <w:marLeft w:val="0"/>
      <w:marRight w:val="0"/>
      <w:marTop w:val="0"/>
      <w:marBottom w:val="0"/>
      <w:divBdr>
        <w:top w:val="none" w:sz="0" w:space="0" w:color="auto"/>
        <w:left w:val="none" w:sz="0" w:space="0" w:color="auto"/>
        <w:bottom w:val="none" w:sz="0" w:space="0" w:color="auto"/>
        <w:right w:val="none" w:sz="0" w:space="0" w:color="auto"/>
      </w:divBdr>
    </w:div>
    <w:div w:id="1509102444">
      <w:bodyDiv w:val="1"/>
      <w:marLeft w:val="0"/>
      <w:marRight w:val="0"/>
      <w:marTop w:val="0"/>
      <w:marBottom w:val="0"/>
      <w:divBdr>
        <w:top w:val="none" w:sz="0" w:space="0" w:color="auto"/>
        <w:left w:val="none" w:sz="0" w:space="0" w:color="auto"/>
        <w:bottom w:val="none" w:sz="0" w:space="0" w:color="auto"/>
        <w:right w:val="none" w:sz="0" w:space="0" w:color="auto"/>
      </w:divBdr>
    </w:div>
    <w:div w:id="1516337945">
      <w:bodyDiv w:val="1"/>
      <w:marLeft w:val="0"/>
      <w:marRight w:val="0"/>
      <w:marTop w:val="0"/>
      <w:marBottom w:val="0"/>
      <w:divBdr>
        <w:top w:val="none" w:sz="0" w:space="0" w:color="auto"/>
        <w:left w:val="none" w:sz="0" w:space="0" w:color="auto"/>
        <w:bottom w:val="none" w:sz="0" w:space="0" w:color="auto"/>
        <w:right w:val="none" w:sz="0" w:space="0" w:color="auto"/>
      </w:divBdr>
    </w:div>
    <w:div w:id="1520001048">
      <w:bodyDiv w:val="1"/>
      <w:marLeft w:val="0"/>
      <w:marRight w:val="0"/>
      <w:marTop w:val="0"/>
      <w:marBottom w:val="0"/>
      <w:divBdr>
        <w:top w:val="none" w:sz="0" w:space="0" w:color="auto"/>
        <w:left w:val="none" w:sz="0" w:space="0" w:color="auto"/>
        <w:bottom w:val="none" w:sz="0" w:space="0" w:color="auto"/>
        <w:right w:val="none" w:sz="0" w:space="0" w:color="auto"/>
      </w:divBdr>
    </w:div>
    <w:div w:id="1579829396">
      <w:bodyDiv w:val="1"/>
      <w:marLeft w:val="0"/>
      <w:marRight w:val="0"/>
      <w:marTop w:val="0"/>
      <w:marBottom w:val="0"/>
      <w:divBdr>
        <w:top w:val="none" w:sz="0" w:space="0" w:color="auto"/>
        <w:left w:val="none" w:sz="0" w:space="0" w:color="auto"/>
        <w:bottom w:val="none" w:sz="0" w:space="0" w:color="auto"/>
        <w:right w:val="none" w:sz="0" w:space="0" w:color="auto"/>
      </w:divBdr>
    </w:div>
    <w:div w:id="1643584976">
      <w:bodyDiv w:val="1"/>
      <w:marLeft w:val="0"/>
      <w:marRight w:val="0"/>
      <w:marTop w:val="0"/>
      <w:marBottom w:val="0"/>
      <w:divBdr>
        <w:top w:val="none" w:sz="0" w:space="0" w:color="auto"/>
        <w:left w:val="none" w:sz="0" w:space="0" w:color="auto"/>
        <w:bottom w:val="none" w:sz="0" w:space="0" w:color="auto"/>
        <w:right w:val="none" w:sz="0" w:space="0" w:color="auto"/>
      </w:divBdr>
    </w:div>
    <w:div w:id="1651209549">
      <w:bodyDiv w:val="1"/>
      <w:marLeft w:val="0"/>
      <w:marRight w:val="0"/>
      <w:marTop w:val="0"/>
      <w:marBottom w:val="0"/>
      <w:divBdr>
        <w:top w:val="none" w:sz="0" w:space="0" w:color="auto"/>
        <w:left w:val="none" w:sz="0" w:space="0" w:color="auto"/>
        <w:bottom w:val="none" w:sz="0" w:space="0" w:color="auto"/>
        <w:right w:val="none" w:sz="0" w:space="0" w:color="auto"/>
      </w:divBdr>
    </w:div>
    <w:div w:id="1706366688">
      <w:bodyDiv w:val="1"/>
      <w:marLeft w:val="0"/>
      <w:marRight w:val="0"/>
      <w:marTop w:val="0"/>
      <w:marBottom w:val="0"/>
      <w:divBdr>
        <w:top w:val="none" w:sz="0" w:space="0" w:color="auto"/>
        <w:left w:val="none" w:sz="0" w:space="0" w:color="auto"/>
        <w:bottom w:val="none" w:sz="0" w:space="0" w:color="auto"/>
        <w:right w:val="none" w:sz="0" w:space="0" w:color="auto"/>
      </w:divBdr>
    </w:div>
    <w:div w:id="1772583374">
      <w:bodyDiv w:val="1"/>
      <w:marLeft w:val="0"/>
      <w:marRight w:val="0"/>
      <w:marTop w:val="0"/>
      <w:marBottom w:val="0"/>
      <w:divBdr>
        <w:top w:val="none" w:sz="0" w:space="0" w:color="auto"/>
        <w:left w:val="none" w:sz="0" w:space="0" w:color="auto"/>
        <w:bottom w:val="none" w:sz="0" w:space="0" w:color="auto"/>
        <w:right w:val="none" w:sz="0" w:space="0" w:color="auto"/>
      </w:divBdr>
    </w:div>
    <w:div w:id="1811095240">
      <w:bodyDiv w:val="1"/>
      <w:marLeft w:val="0"/>
      <w:marRight w:val="0"/>
      <w:marTop w:val="0"/>
      <w:marBottom w:val="0"/>
      <w:divBdr>
        <w:top w:val="none" w:sz="0" w:space="0" w:color="auto"/>
        <w:left w:val="none" w:sz="0" w:space="0" w:color="auto"/>
        <w:bottom w:val="none" w:sz="0" w:space="0" w:color="auto"/>
        <w:right w:val="none" w:sz="0" w:space="0" w:color="auto"/>
      </w:divBdr>
    </w:div>
    <w:div w:id="1859810501">
      <w:bodyDiv w:val="1"/>
      <w:marLeft w:val="0"/>
      <w:marRight w:val="0"/>
      <w:marTop w:val="0"/>
      <w:marBottom w:val="0"/>
      <w:divBdr>
        <w:top w:val="none" w:sz="0" w:space="0" w:color="auto"/>
        <w:left w:val="none" w:sz="0" w:space="0" w:color="auto"/>
        <w:bottom w:val="none" w:sz="0" w:space="0" w:color="auto"/>
        <w:right w:val="none" w:sz="0" w:space="0" w:color="auto"/>
      </w:divBdr>
    </w:div>
    <w:div w:id="2098676242">
      <w:bodyDiv w:val="1"/>
      <w:marLeft w:val="0"/>
      <w:marRight w:val="0"/>
      <w:marTop w:val="0"/>
      <w:marBottom w:val="0"/>
      <w:divBdr>
        <w:top w:val="none" w:sz="0" w:space="0" w:color="auto"/>
        <w:left w:val="none" w:sz="0" w:space="0" w:color="auto"/>
        <w:bottom w:val="none" w:sz="0" w:space="0" w:color="auto"/>
        <w:right w:val="none" w:sz="0" w:space="0" w:color="auto"/>
      </w:divBdr>
    </w:div>
    <w:div w:id="210842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Manjit Biant</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REd10</b:Tag>
    <b:SourceType>Book</b:SourceType>
    <b:Guid>{F476645A-9DAF-45BC-994E-99469A2E9899}</b:Guid>
    <b:Title>Strategic Management: A Stakeholder Approach</b:Title>
    <b:Year>2010</b:Year>
    <b:Author>
      <b:Author>
        <b:NameList>
          <b:Person>
            <b:Last>Freeman</b:Last>
            <b:First>R.</b:First>
            <b:Middle>Edward</b:Middle>
          </b:Person>
        </b:NameList>
      </b:Author>
    </b:Author>
    <b:City>Cambridge </b:City>
    <b:Publisher>Cambridge University Press</b:Publisher>
    <b:RefOrder>4</b:RefOrder>
  </b:Source>
  <b:Source>
    <b:Tag>NgY16</b:Tag>
    <b:SourceType>JournalArticle</b:SourceType>
    <b:Guid>{EDB8E2F5-D547-4D1A-B8F7-11A3CA9CD621}</b:Guid>
    <b:Title>Assessing the Relationship Among Corperate Governance, Sustainability Disclosure and Financial Performance</b:Title>
    <b:Year>2016</b:Year>
    <b:Author>
      <b:Author>
        <b:NameList>
          <b:Person>
            <b:Last>Hong</b:Last>
            <b:First>Ng</b:First>
            <b:Middle>Yen</b:Middle>
          </b:Person>
          <b:Person>
            <b:Last>San</b:Last>
            <b:First>Ong</b:First>
            <b:Middle>Tze</b:Middle>
          </b:Person>
        </b:NameList>
      </b:Author>
    </b:Author>
    <b:JournalName>Faculty of Business and Finance</b:JournalName>
    <b:Pages>129-147</b:Pages>
    <b:Volume>11</b:Volume>
    <b:Issue>2</b:Issue>
    <b:RefOrder>6</b:RefOrder>
  </b:Source>
  <b:Source>
    <b:Tag>Chr17</b:Tag>
    <b:SourceType>JournalArticle</b:SourceType>
    <b:Guid>{BC12CA55-EB31-4435-8237-70AAF02573F4}</b:Guid>
    <b:Author>
      <b:Author>
        <b:NameList>
          <b:Person>
            <b:Last>Hodge</b:Last>
            <b:First>Chris</b:First>
          </b:Person>
        </b:NameList>
      </b:Author>
    </b:Author>
    <b:Title>Untangling Corporate Governance</b:Title>
    <b:JournalName>Governance Directions</b:JournalName>
    <b:Year>2017</b:Year>
    <b:Pages>222-225</b:Pages>
    <b:Volume>69</b:Volume>
    <b:Issue>4</b:Issue>
    <b:RefOrder>18</b:RefOrder>
  </b:Source>
  <b:Source>
    <b:Tag>Jil</b:Tag>
    <b:SourceType>Book</b:SourceType>
    <b:Guid>{9D8CE2FE-C7CC-474F-A7A7-86F15C8E3FC4}</b:Guid>
    <b:Author>
      <b:Author>
        <b:NameList>
          <b:Person>
            <b:Last>Solomon</b:Last>
            <b:First>Jill</b:First>
          </b:Person>
        </b:NameList>
      </b:Author>
    </b:Author>
    <b:Title>Corporate Governance and Accountability</b:Title>
    <b:Year>2013</b:Year>
    <b:City>Chichester</b:City>
    <b:Publisher>Wiley</b:Publisher>
    <b:Edition>4th Edition</b:Edition>
    <b:RefOrder>24</b:RefOrder>
  </b:Source>
  <b:Source>
    <b:Tag>Car14</b:Tag>
    <b:SourceType>ArticleInAPeriodical</b:SourceType>
    <b:Guid>{3535C9E1-3503-493C-B882-ED8C1BC420E4}</b:Guid>
    <b:Title>The Rockefellers: The Legacy Of History's Richest Man</b:Title>
    <b:Year>2014</b:Year>
    <b:Author>
      <b:Author>
        <b:NameList>
          <b:Person>
            <b:Last>O'Donnell</b:Last>
            <b:First>Carl</b:First>
          </b:Person>
        </b:NameList>
      </b:Author>
    </b:Author>
    <b:PeriodicalTitle>Forbes</b:PeriodicalTitle>
    <b:Month>November</b:Month>
    <b:Day>7</b:Day>
    <b:Pages>16</b:Pages>
    <b:RefOrder>1</b:RefOrder>
  </b:Source>
  <b:Source>
    <b:Tag>Gra01</b:Tag>
    <b:SourceType>Book</b:SourceType>
    <b:Guid>{7D6C5F95-C49F-4E8F-A1B9-99D660243C5A}</b:Guid>
    <b:Title>John D. Rockefeller: Anointed with Oil</b:Title>
    <b:Year>2001</b:Year>
    <b:Author>
      <b:Author>
        <b:NameList>
          <b:Person>
            <b:Last>Segall</b:Last>
            <b:First>Grant</b:First>
          </b:Person>
        </b:NameList>
      </b:Author>
    </b:Author>
    <b:City>Oxford</b:City>
    <b:Publisher>Oxford University Press</b:Publisher>
    <b:Edition>1st </b:Edition>
    <b:RefOrder>7</b:RefOrder>
  </b:Source>
  <b:Source>
    <b:Tag>Tej14</b:Tag>
    <b:SourceType>InternetSite</b:SourceType>
    <b:Guid>{F681358D-6414-435F-81CF-CC6E35E5E0B3}</b:Guid>
    <b:Title>Economics help</b:Title>
    <b:Year>2014</b:Year>
    <b:Author>
      <b:Author>
        <b:NameList>
          <b:Person>
            <b:Last>Pettinger</b:Last>
            <b:First>Tejvan</b:First>
          </b:Person>
        </b:NameList>
      </b:Author>
    </b:Author>
    <b:YearAccessed>2019</b:YearAccessed>
    <b:MonthAccessed>April</b:MonthAccessed>
    <b:DayAccessed>28</b:DayAccessed>
    <b:URL>https://www.economicshelp.org/blog/glossary/horizontal-integration/</b:URL>
    <b:RefOrder>8</b:RefOrder>
  </b:Source>
  <b:Source>
    <b:Tag>Ron04</b:Tag>
    <b:SourceType>Book</b:SourceType>
    <b:Guid>{6E15FA93-2FAC-4A05-80A4-0557C421E04E}</b:Guid>
    <b:Title>Titan: The Life of John D. Rockefeller, Sr</b:Title>
    <b:Year>2004</b:Year>
    <b:Author>
      <b:Author>
        <b:NameList>
          <b:Person>
            <b:Last>Chernow</b:Last>
            <b:First>Ron</b:First>
          </b:Person>
        </b:NameList>
      </b:Author>
    </b:Author>
    <b:City>New York</b:City>
    <b:Publisher>Vintage</b:Publisher>
    <b:Edition>2nd</b:Edition>
    <b:RefOrder>9</b:RefOrder>
  </b:Source>
  <b:Source>
    <b:Tag>Ste18</b:Tag>
    <b:SourceType>InternetSite</b:SourceType>
    <b:Guid>{031671E3-0863-410A-8B56-6497655E7953}</b:Guid>
    <b:Author>
      <b:Author>
        <b:NameList>
          <b:Person>
            <b:Last>Moye</b:Last>
            <b:First>Steve</b:First>
          </b:Person>
        </b:NameList>
      </b:Author>
    </b:Author>
    <b:Title>Medium</b:Title>
    <b:Year>2018</b:Year>
    <b:YearAccessed>2019</b:YearAccessed>
    <b:MonthAccessed>April </b:MonthAccessed>
    <b:DayAccessed>29</b:DayAccessed>
    <b:URL>https://medium.com/@stevemoye/the-differences-between-charity-and-philanthropy-be4acb2c375f</b:URL>
    <b:RefOrder>12</b:RefOrder>
  </b:Source>
  <b:Source>
    <b:Tag>Cat19</b:Tag>
    <b:SourceType>InternetSite</b:SourceType>
    <b:Guid>{CB4BF9EB-5686-4358-84A9-617B609411CF}</b:Guid>
    <b:Author>
      <b:Author>
        <b:NameList>
          <b:Person>
            <b:Last>Zimmer</b:Last>
            <b:First>Catherine</b:First>
          </b:Person>
        </b:NameList>
      </b:Author>
    </b:Author>
    <b:Title>Learning to Give</b:Title>
    <b:Year>2019</b:Year>
    <b:YearAccessed>2019</b:YearAccessed>
    <b:MonthAccessed>April</b:MonthAccessed>
    <b:DayAccessed>28</b:DayAccessed>
    <b:URL>https://www.learningtogive.org/resources/philanthropy</b:URL>
    <b:RefOrder>11</b:RefOrder>
  </b:Source>
  <b:Source>
    <b:Tag>Bar13</b:Tag>
    <b:SourceType>JournalArticle</b:SourceType>
    <b:Guid>{F4231EA5-6B51-4E15-B3EE-4615A9F89507}</b:Guid>
    <b:Title>Big Philanthropy vs. Democracy</b:Title>
    <b:Year>2013</b:Year>
    <b:Author>
      <b:Author>
        <b:NameList>
          <b:Person>
            <b:Last>Barkan</b:Last>
            <b:First>Joanne</b:First>
          </b:Person>
        </b:NameList>
      </b:Author>
    </b:Author>
    <b:PeriodicalTitle>Dissent </b:PeriodicalTitle>
    <b:Pages>47-55</b:Pages>
    <b:JournalName>Dissent</b:JournalName>
    <b:Volume>60</b:Volume>
    <b:Issue>4</b:Issue>
    <b:RefOrder>15</b:RefOrder>
  </b:Source>
  <b:Source>
    <b:Tag>Car18</b:Tag>
    <b:SourceType>InternetSite</b:SourceType>
    <b:Guid>{3E9F6645-580F-41B6-BEC4-B7286A53BF42}</b:Guid>
    <b:Year>2018</b:Year>
    <b:Author>
      <b:Author>
        <b:NameList>
          <b:Person>
            <b:Last>Rhodes</b:Last>
            <b:First>Carl</b:First>
          </b:Person>
          <b:Person>
            <b:Last>Bloom</b:Last>
            <b:First>Peter</b:First>
          </b:Person>
        </b:NameList>
      </b:Author>
    </b:Author>
    <b:YearAccessed>2019</b:YearAccessed>
    <b:MonthAccessed>April</b:MonthAccessed>
    <b:DayAccessed>26</b:DayAccessed>
    <b:URL>https://www.theguardian.com/news/2018/may/24/the-trouble-with-charitable-billionaires-philanthrocapitalism</b:URL>
    <b:Title>The Guardian</b:Title>
    <b:RefOrder>17</b:RefOrder>
  </b:Source>
  <b:Source>
    <b:Tag>Iai14</b:Tag>
    <b:SourceType>JournalArticle</b:SourceType>
    <b:Guid>{63C8000D-01FF-45CE-8544-F82DD4FF2143}</b:Guid>
    <b:Title>Questioning generosity in the golden age of philanthropy: Towards critical geographies of super-philanthropy</b:Title>
    <b:Year>2014</b:Year>
    <b:Author>
      <b:Author>
        <b:NameList>
          <b:Person>
            <b:Last>Hay</b:Last>
            <b:First>Iain</b:First>
          </b:Person>
          <b:Person>
            <b:Last>Muller</b:Last>
            <b:First>Samantha</b:First>
          </b:Person>
        </b:NameList>
      </b:Author>
    </b:Author>
    <b:JournalName>Progress in Human Geography</b:JournalName>
    <b:Pages>635–653</b:Pages>
    <b:Volume>38</b:Volume>
    <b:Issue>5</b:Issue>
    <b:RefOrder>16</b:RefOrder>
  </b:Source>
  <b:Source>
    <b:Tag>Por02</b:Tag>
    <b:SourceType>ArticleInAPeriodical</b:SourceType>
    <b:Guid>{F5850071-08C7-495E-A35B-C8FD853A152D}</b:Guid>
    <b:Author>
      <b:Author>
        <b:NameList>
          <b:Person>
            <b:Last>Porter</b:Last>
            <b:First>Michael</b:First>
            <b:Middle>E.</b:Middle>
          </b:Person>
          <b:Person>
            <b:Last>Kramer</b:Last>
            <b:First>Mark</b:First>
            <b:Middle>R.</b:Middle>
          </b:Person>
        </b:NameList>
      </b:Author>
    </b:Author>
    <b:Title>The Competitive Advantage of Corporate Philanthropy</b:Title>
    <b:JournalName>Havard Business Review</b:JournalName>
    <b:Year>2002</b:Year>
    <b:Pages>56-69</b:Pages>
    <b:PeriodicalTitle>Harvard Business Review</b:PeriodicalTitle>
    <b:Month>December</b:Month>
    <b:RefOrder>14</b:RefOrder>
  </b:Source>
  <b:Source>
    <b:Tag>Car19</b:Tag>
    <b:SourceType>InternetSite</b:SourceType>
    <b:Guid>{C59D7AF7-4412-4C15-B1D3-38EDB984473F}</b:Guid>
    <b:Title>Carnegie.org</b:Title>
    <b:Year>2019</b:Year>
    <b:Author>
      <b:Author>
        <b:Corporate>Carnegie.org</b:Corporate>
      </b:Author>
    </b:Author>
    <b:YearAccessed>2019</b:YearAccessed>
    <b:MonthAccessed>April </b:MonthAccessed>
    <b:DayAccessed>29</b:DayAccessed>
    <b:URL>Andrew Carnegie's Legacy</b:URL>
    <b:RefOrder>13</b:RefOrder>
  </b:Source>
  <b:Source>
    <b:Tag>Ric19</b:Tag>
    <b:SourceType>InternetSite</b:SourceType>
    <b:Guid>{50B7F3AC-4792-4657-BF86-9B3B6180286A}</b:Guid>
    <b:Author>
      <b:Author>
        <b:NameList>
          <b:Person>
            <b:Last>Pallardy</b:Last>
            <b:First>Richard</b:First>
          </b:Person>
        </b:NameList>
      </b:Author>
    </b:Author>
    <b:Title>Britannica</b:Title>
    <b:Year>2019</b:Year>
    <b:YearAccessed>2019</b:YearAccessed>
    <b:MonthAccessed>April </b:MonthAccessed>
    <b:DayAccessed>29</b:DayAccessed>
    <b:URL>https://www.britannica.com/event/2010-Haiti-earthquake</b:URL>
    <b:RefOrder>19</b:RefOrder>
  </b:Source>
  <b:Source>
    <b:Tag>Mis18</b:Tag>
    <b:SourceType>JournalArticle</b:SourceType>
    <b:Guid>{B4052EBA-D4EB-45CD-A64B-1A11E758929E}</b:Guid>
    <b:Title>Oxfam: sex scandal or governance failure?</b:Title>
    <b:Year>2018</b:Year>
    <b:Author>
      <b:Author>
        <b:NameList>
          <b:Person>
            <b:Last>Khan</b:Last>
            <b:First>Mishal</b:First>
            <b:Middle>S.</b:Middle>
          </b:Person>
        </b:NameList>
      </b:Author>
    </b:Author>
    <b:JournalName>Lancet</b:JournalName>
    <b:Pages>1019-1021</b:Pages>
    <b:Volume>391</b:Volume>
    <b:RefOrder>22</b:RefOrder>
  </b:Source>
  <b:Source>
    <b:Tag>Lis19</b:Tag>
    <b:SourceType>Report</b:SourceType>
    <b:Guid>{8A452CE2-EDEC-4716-92E1-A89AB77B13E4}</b:Guid>
    <b:Title>Listening To People - Rebuilding Trust Interim Report January 2019</b:Title>
    <b:Year>2019</b:Year>
    <b:Publisher>Independent Commission on Sexual Misconduct Accountability &amp; Culture Change</b:Publisher>
    <b:City>Oxford</b:City>
    <b:Author>
      <b:Author>
        <b:Corporate>Independent Commission</b:Corporate>
      </b:Author>
    </b:Author>
    <b:RefOrder>23</b:RefOrder>
  </b:Source>
  <b:Source>
    <b:Tag>Gre16</b:Tag>
    <b:SourceType>JournalArticle</b:SourceType>
    <b:Guid>{FCA6CB0F-D9F5-4E98-8DE9-E2BC92DB6307}</b:Guid>
    <b:Title>Andrew Carnegie: An Economic Biography</b:Title>
    <b:Year>2016</b:Year>
    <b:Author>
      <b:Author>
        <b:NameList>
          <b:Person>
            <b:Last>Kaza</b:Last>
            <b:First>Greg</b:First>
          </b:Person>
        </b:NameList>
      </b:Author>
    </b:Author>
    <b:JournalName>Quarterly Journal of Austrian Economics</b:JournalName>
    <b:Pages>302-307</b:Pages>
    <b:Volume>19</b:Volume>
    <b:Issue>3</b:Issue>
    <b:RefOrder>2</b:RefOrder>
  </b:Source>
  <b:Source>
    <b:Tag>Ian17</b:Tag>
    <b:SourceType>InternetSite</b:SourceType>
    <b:Guid>{504707B1-F446-4EBB-818E-E45A33A778A2}</b:Guid>
    <b:Title>Village News</b:Title>
    <b:Year>2017</b:Year>
    <b:Author>
      <b:Author>
        <b:NameList>
          <b:Person>
            <b:Last>Harvey</b:Last>
            <b:First>Ian</b:First>
          </b:Person>
        </b:NameList>
      </b:Author>
    </b:Author>
    <b:YearAccessed>2019</b:YearAccessed>
    <b:MonthAccessed>May </b:MonthAccessed>
    <b:DayAccessed>01</b:DayAccessed>
    <b:URL>https://www.thevintagenews.com/2017/02/22/andrew-carnegie-the-railroad-and-steel-magnate-who-played-his-more-imperative-role-as-a-philanthropist/</b:URL>
    <b:RefOrder>3</b:RefOrder>
  </b:Source>
  <b:Source>
    <b:Tag>Mat15</b:Tag>
    <b:SourceType>InternetSite</b:SourceType>
    <b:Guid>{0E1A539A-D8D2-4A3F-A31D-9848401DC3C4}</b:Guid>
    <b:Author>
      <b:Author>
        <b:NameList>
          <b:Person>
            <b:Last>DiLallo</b:Last>
            <b:First>Matthew</b:First>
          </b:Person>
        </b:NameList>
      </b:Author>
    </b:Author>
    <b:Title>The Motely Fool</b:Title>
    <b:Year>2015</b:Year>
    <b:YearAccessed>2019</b:YearAccessed>
    <b:MonthAccessed>May</b:MonthAccessed>
    <b:DayAccessed>01</b:DayAccessed>
    <b:URL>https://www.fool.com/investing/general/2015/06/11/robber-barons-the-definition-of-the-dark-side-of-c.aspx</b:URL>
    <b:RefOrder>10</b:RefOrder>
  </b:Source>
  <b:Source>
    <b:Tag>She18</b:Tag>
    <b:SourceType>InternetSite</b:SourceType>
    <b:Guid>{DED94CD0-A579-4ACE-A5DB-047B697E3DE3}</b:Guid>
    <b:Author>
      <b:Author>
        <b:NameList>
          <b:Person>
            <b:Last>Khan</b:Last>
            <b:First>Shehab</b:First>
          </b:Person>
        </b:NameList>
      </b:Author>
    </b:Author>
    <b:Title>The Indepentent </b:Title>
    <b:Year>2018</b:Year>
    <b:YearAccessed>2019</b:YearAccessed>
    <b:MonthAccessed>April </b:MonthAccessed>
    <b:DayAccessed>29</b:DayAccessed>
    <b:URL>https://www.independent.co.uk/news/uk/home-news/oxfam-charity-lay-off-100-people-haiti-sex-scandal-funding-cut-a8357476.html</b:URL>
    <b:RefOrder>20</b:RefOrder>
  </b:Source>
  <b:Source>
    <b:Tag>Jes18</b:Tag>
    <b:SourceType>InternetSite</b:SourceType>
    <b:Guid>{64C1E106-4A1A-4A82-905B-5566A79AE608}</b:Guid>
    <b:Author>
      <b:Author>
        <b:NameList>
          <b:Person>
            <b:Last>Elgot</b:Last>
            <b:First>Jessica</b:First>
          </b:Person>
          <b:Person>
            <b:Last>McVeigh</b:Last>
            <b:First>Karen</b:First>
          </b:Person>
        </b:NameList>
      </b:Author>
    </b:Author>
    <b:Title>The Guardian</b:Title>
    <b:Year>2018</b:Year>
    <b:YearAccessed>2019</b:YearAccessed>
    <b:MonthAccessed>April </b:MonthAccessed>
    <b:DayAccessed>29</b:DayAccessed>
    <b:URL>https://www.theguardian.com/world/2018/feb/20/oxfam-boss-mark-goldring-apologises-over-abuse-of-haiti-quake-victims</b:URL>
    <b:RefOrder>21</b:RefOrder>
  </b:Source>
  <b:Source>
    <b:Tag>Joh03</b:Tag>
    <b:SourceType>JournalArticle</b:SourceType>
    <b:Guid>{BF91C288-9C72-45ED-93D6-E4E6BEF72D23}</b:Guid>
    <b:Title>Corporate governance in Australia.</b:Title>
    <b:Year>2003</b:Year>
    <b:Author>
      <b:Author>
        <b:NameList>
          <b:Person>
            <b:Last>Williamson-Noble</b:Last>
            <b:First>John</b:First>
          </b:Person>
          <b:Person>
            <b:Last>Haynes</b:Last>
            <b:First>Karen</b:First>
          </b:Person>
        </b:NameList>
      </b:Author>
    </b:Author>
    <b:JournalName>International Financial Law Review</b:JournalName>
    <b:Pages>63-69</b:Pages>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CA55FD-8766-4112-AD2C-D81AAC721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TotalTime>
  <Pages>14</Pages>
  <Words>3287</Words>
  <Characters>18736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Analysis of Corporate Governance through the Careers of Rockefeller and Carnegie</vt:lpstr>
    </vt:vector>
  </TitlesOfParts>
  <Company>ABM LHB</Company>
  <LinksUpToDate>false</LinksUpToDate>
  <CharactersWithSpaces>21980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Corporate Governance through the Careers of Rockefeller and Carnegie</dc:title>
  <dc:subject>Lewis Rhys Jones – P143227</dc:subject>
  <dc:creator>Corporate Governance and Social Responsibility</dc:creator>
  <cp:keywords/>
  <dc:description/>
  <cp:lastModifiedBy> </cp:lastModifiedBy>
  <cp:revision>26</cp:revision>
  <dcterms:created xsi:type="dcterms:W3CDTF">2019-04-30T08:13:00Z</dcterms:created>
  <dcterms:modified xsi:type="dcterms:W3CDTF">2019-05-03T20:18:00Z</dcterms:modified>
</cp:coreProperties>
</file>