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D7F53" w14:textId="3FB154D7" w:rsidR="00D11E5B" w:rsidRPr="00D11E5B" w:rsidRDefault="00D11E5B" w:rsidP="00CE63F6">
      <w:pPr>
        <w:spacing w:line="360" w:lineRule="auto"/>
        <w:rPr>
          <w:rFonts w:ascii="Arial" w:hAnsi="Arial" w:cs="Arial"/>
          <w:b/>
          <w:bCs/>
          <w:sz w:val="22"/>
          <w:szCs w:val="22"/>
        </w:rPr>
      </w:pPr>
    </w:p>
    <w:p w14:paraId="0A48AB64" w14:textId="2BCF6092" w:rsidR="001841DA" w:rsidRPr="001841DA" w:rsidRDefault="00D11E5B" w:rsidP="001841DA">
      <w:pPr>
        <w:spacing w:line="360" w:lineRule="auto"/>
        <w:rPr>
          <w:rFonts w:ascii="Arial" w:hAnsi="Arial" w:cs="Arial"/>
          <w:sz w:val="22"/>
          <w:szCs w:val="22"/>
        </w:rPr>
      </w:pPr>
      <w:r w:rsidRPr="00D11E5B">
        <w:rPr>
          <w:rFonts w:ascii="Arial" w:hAnsi="Arial" w:cs="Arial"/>
          <w:b/>
          <w:bCs/>
          <w:sz w:val="22"/>
          <w:szCs w:val="22"/>
        </w:rPr>
        <w:t>Student Name</w:t>
      </w:r>
      <w:r w:rsidRPr="00D11E5B">
        <w:rPr>
          <w:rFonts w:ascii="Arial" w:hAnsi="Arial" w:cs="Arial"/>
          <w:sz w:val="22"/>
          <w:szCs w:val="22"/>
        </w:rPr>
        <w:t>: Shereen Garaghan</w:t>
      </w:r>
      <w:r w:rsidRPr="00D11E5B">
        <w:rPr>
          <w:rFonts w:ascii="Arial" w:hAnsi="Arial" w:cs="Arial"/>
          <w:sz w:val="22"/>
          <w:szCs w:val="22"/>
        </w:rPr>
        <w:br/>
      </w:r>
      <w:r w:rsidRPr="00D11E5B">
        <w:rPr>
          <w:rFonts w:ascii="Arial" w:hAnsi="Arial" w:cs="Arial"/>
          <w:b/>
          <w:bCs/>
          <w:sz w:val="22"/>
          <w:szCs w:val="22"/>
        </w:rPr>
        <w:t>Student Number</w:t>
      </w:r>
      <w:r w:rsidRPr="00D11E5B">
        <w:rPr>
          <w:rFonts w:ascii="Arial" w:hAnsi="Arial" w:cs="Arial"/>
          <w:sz w:val="22"/>
          <w:szCs w:val="22"/>
        </w:rPr>
        <w:t xml:space="preserve">: </w:t>
      </w:r>
      <w:r w:rsidR="001841DA">
        <w:rPr>
          <w:rFonts w:ascii="Arial" w:hAnsi="Arial" w:cs="Arial"/>
          <w:sz w:val="22"/>
          <w:szCs w:val="22"/>
        </w:rPr>
        <w:t>2242394</w:t>
      </w:r>
      <w:r w:rsidRPr="00D11E5B">
        <w:rPr>
          <w:rFonts w:ascii="Arial" w:hAnsi="Arial" w:cs="Arial"/>
          <w:sz w:val="22"/>
          <w:szCs w:val="22"/>
        </w:rPr>
        <w:br/>
      </w:r>
      <w:r w:rsidRPr="00D11E5B">
        <w:rPr>
          <w:rFonts w:ascii="Arial" w:hAnsi="Arial" w:cs="Arial"/>
          <w:b/>
          <w:bCs/>
          <w:sz w:val="22"/>
          <w:szCs w:val="22"/>
        </w:rPr>
        <w:t>Module Title</w:t>
      </w:r>
      <w:r w:rsidRPr="00D11E5B">
        <w:rPr>
          <w:rFonts w:ascii="Arial" w:hAnsi="Arial" w:cs="Arial"/>
          <w:sz w:val="22"/>
          <w:szCs w:val="22"/>
        </w:rPr>
        <w:t xml:space="preserve">: </w:t>
      </w:r>
      <w:r w:rsidR="00CE63F6">
        <w:rPr>
          <w:rFonts w:ascii="Arial" w:hAnsi="Arial" w:cs="Arial"/>
          <w:sz w:val="22"/>
          <w:szCs w:val="22"/>
        </w:rPr>
        <w:t>Report</w:t>
      </w:r>
      <w:r w:rsidRPr="00D11E5B">
        <w:rPr>
          <w:rFonts w:ascii="Arial" w:hAnsi="Arial" w:cs="Arial"/>
          <w:sz w:val="22"/>
          <w:szCs w:val="22"/>
        </w:rPr>
        <w:br/>
      </w:r>
      <w:r w:rsidRPr="00D11E5B">
        <w:rPr>
          <w:rFonts w:ascii="Arial" w:hAnsi="Arial" w:cs="Arial"/>
          <w:b/>
          <w:bCs/>
          <w:sz w:val="22"/>
          <w:szCs w:val="22"/>
        </w:rPr>
        <w:t>Module Code</w:t>
      </w:r>
      <w:r w:rsidRPr="00D11E5B">
        <w:rPr>
          <w:rFonts w:ascii="Arial" w:hAnsi="Arial" w:cs="Arial"/>
          <w:sz w:val="22"/>
          <w:szCs w:val="22"/>
        </w:rPr>
        <w:t xml:space="preserve">: </w:t>
      </w:r>
      <w:r w:rsidR="00CE63F6" w:rsidRPr="00CE63F6">
        <w:rPr>
          <w:rFonts w:ascii="Arial" w:hAnsi="Arial" w:cs="Arial"/>
          <w:sz w:val="22"/>
          <w:szCs w:val="22"/>
        </w:rPr>
        <w:t>BMIH5006</w:t>
      </w:r>
      <w:r w:rsidRPr="00D11E5B">
        <w:rPr>
          <w:rFonts w:ascii="Arial" w:hAnsi="Arial" w:cs="Arial"/>
          <w:sz w:val="22"/>
          <w:szCs w:val="22"/>
        </w:rPr>
        <w:br/>
      </w:r>
      <w:r w:rsidRPr="00D11E5B">
        <w:rPr>
          <w:rFonts w:ascii="Arial" w:hAnsi="Arial" w:cs="Arial"/>
          <w:b/>
          <w:bCs/>
          <w:sz w:val="22"/>
          <w:szCs w:val="22"/>
        </w:rPr>
        <w:t>Lecturer’s Name</w:t>
      </w:r>
      <w:r w:rsidRPr="00D11E5B">
        <w:rPr>
          <w:rFonts w:ascii="Arial" w:hAnsi="Arial" w:cs="Arial"/>
          <w:sz w:val="22"/>
          <w:szCs w:val="22"/>
        </w:rPr>
        <w:t xml:space="preserve">: </w:t>
      </w:r>
      <w:r w:rsidR="001841DA" w:rsidRPr="001841DA">
        <w:rPr>
          <w:rFonts w:ascii="Arial" w:hAnsi="Arial" w:cs="Arial"/>
          <w:sz w:val="22"/>
          <w:szCs w:val="22"/>
        </w:rPr>
        <w:t>Lisa Knight</w:t>
      </w:r>
      <w:r w:rsidR="001841DA">
        <w:rPr>
          <w:rFonts w:ascii="Arial" w:hAnsi="Arial" w:cs="Arial"/>
          <w:sz w:val="22"/>
          <w:szCs w:val="22"/>
        </w:rPr>
        <w:t xml:space="preserve">, </w:t>
      </w:r>
      <w:r w:rsidR="001841DA" w:rsidRPr="001841DA">
        <w:rPr>
          <w:rFonts w:ascii="Arial" w:hAnsi="Arial" w:cs="Arial"/>
          <w:sz w:val="22"/>
          <w:szCs w:val="22"/>
        </w:rPr>
        <w:t>Lecturers: Kathryn Roberts, Christopher Wilkin</w:t>
      </w:r>
    </w:p>
    <w:p w14:paraId="696A60DA" w14:textId="084CC922" w:rsidR="00D11E5B" w:rsidRPr="00FC5D10" w:rsidRDefault="00FC5D10" w:rsidP="00CE63F6">
      <w:pPr>
        <w:spacing w:line="360" w:lineRule="auto"/>
        <w:rPr>
          <w:rFonts w:ascii="Arial" w:hAnsi="Arial" w:cs="Arial"/>
          <w:b/>
          <w:bCs/>
          <w:sz w:val="22"/>
          <w:szCs w:val="22"/>
        </w:rPr>
      </w:pPr>
      <w:r w:rsidRPr="00FC5D10">
        <w:rPr>
          <w:rFonts w:ascii="Arial" w:hAnsi="Arial" w:cs="Arial"/>
          <w:b/>
          <w:bCs/>
          <w:sz w:val="22"/>
          <w:szCs w:val="22"/>
        </w:rPr>
        <w:t>Sustainable Hospitality &amp; Tourism Management</w:t>
      </w:r>
      <w:r w:rsidR="00D11E5B" w:rsidRPr="00FC5D10">
        <w:rPr>
          <w:rFonts w:ascii="Arial" w:hAnsi="Arial" w:cs="Arial"/>
          <w:b/>
          <w:bCs/>
          <w:sz w:val="22"/>
          <w:szCs w:val="22"/>
        </w:rPr>
        <w:br/>
      </w:r>
    </w:p>
    <w:p w14:paraId="311272E6" w14:textId="13D21725" w:rsidR="00D11E5B" w:rsidRPr="00D11E5B" w:rsidRDefault="00D11E5B" w:rsidP="00CE63F6">
      <w:pPr>
        <w:spacing w:line="360" w:lineRule="auto"/>
        <w:rPr>
          <w:rFonts w:ascii="Arial" w:hAnsi="Arial" w:cs="Arial"/>
          <w:sz w:val="22"/>
          <w:szCs w:val="22"/>
        </w:rPr>
      </w:pPr>
    </w:p>
    <w:p w14:paraId="65CEBFBC" w14:textId="77777777" w:rsidR="00D11E5B" w:rsidRPr="00D11E5B" w:rsidRDefault="00D11E5B" w:rsidP="00CE63F6">
      <w:pPr>
        <w:spacing w:line="360" w:lineRule="auto"/>
        <w:rPr>
          <w:rFonts w:ascii="Arial" w:hAnsi="Arial" w:cs="Arial"/>
          <w:sz w:val="22"/>
          <w:szCs w:val="22"/>
        </w:rPr>
      </w:pPr>
    </w:p>
    <w:p w14:paraId="24ACC472" w14:textId="77777777" w:rsidR="00D11E5B" w:rsidRPr="00D11E5B" w:rsidRDefault="00D11E5B" w:rsidP="00CE63F6">
      <w:pPr>
        <w:spacing w:line="360" w:lineRule="auto"/>
        <w:rPr>
          <w:rFonts w:ascii="Arial" w:hAnsi="Arial" w:cs="Arial"/>
          <w:sz w:val="22"/>
          <w:szCs w:val="22"/>
        </w:rPr>
      </w:pPr>
    </w:p>
    <w:p w14:paraId="7A4EABD8" w14:textId="77777777" w:rsidR="00D11E5B" w:rsidRPr="00D11E5B" w:rsidRDefault="00D11E5B" w:rsidP="00CE63F6">
      <w:pPr>
        <w:spacing w:line="360" w:lineRule="auto"/>
        <w:rPr>
          <w:rFonts w:ascii="Arial" w:hAnsi="Arial" w:cs="Arial"/>
          <w:sz w:val="22"/>
          <w:szCs w:val="22"/>
        </w:rPr>
      </w:pPr>
    </w:p>
    <w:p w14:paraId="65573B4C" w14:textId="77777777" w:rsidR="00D11E5B" w:rsidRPr="00D11E5B" w:rsidRDefault="00D11E5B" w:rsidP="00CE63F6">
      <w:pPr>
        <w:spacing w:line="360" w:lineRule="auto"/>
        <w:rPr>
          <w:rFonts w:ascii="Arial" w:hAnsi="Arial" w:cs="Arial"/>
          <w:sz w:val="22"/>
          <w:szCs w:val="22"/>
        </w:rPr>
      </w:pPr>
    </w:p>
    <w:p w14:paraId="0E72EAFD" w14:textId="77777777" w:rsidR="00D11E5B" w:rsidRPr="00D11E5B" w:rsidRDefault="00D11E5B" w:rsidP="00CE63F6">
      <w:pPr>
        <w:spacing w:line="360" w:lineRule="auto"/>
        <w:rPr>
          <w:rFonts w:ascii="Arial" w:hAnsi="Arial" w:cs="Arial"/>
          <w:sz w:val="22"/>
          <w:szCs w:val="22"/>
        </w:rPr>
      </w:pPr>
    </w:p>
    <w:p w14:paraId="4560C3C8" w14:textId="77777777" w:rsidR="00D11E5B" w:rsidRPr="00D11E5B" w:rsidRDefault="00D11E5B" w:rsidP="00CE63F6">
      <w:pPr>
        <w:spacing w:line="360" w:lineRule="auto"/>
        <w:rPr>
          <w:rFonts w:ascii="Arial" w:hAnsi="Arial" w:cs="Arial"/>
          <w:sz w:val="22"/>
          <w:szCs w:val="22"/>
        </w:rPr>
      </w:pPr>
    </w:p>
    <w:p w14:paraId="3C7C4B48" w14:textId="77777777" w:rsidR="00D11E5B" w:rsidRPr="00D11E5B" w:rsidRDefault="00D11E5B" w:rsidP="00CE63F6">
      <w:pPr>
        <w:spacing w:line="360" w:lineRule="auto"/>
        <w:rPr>
          <w:rFonts w:ascii="Arial" w:hAnsi="Arial" w:cs="Arial"/>
          <w:sz w:val="22"/>
          <w:szCs w:val="22"/>
        </w:rPr>
      </w:pPr>
    </w:p>
    <w:p w14:paraId="299B11B3" w14:textId="77777777" w:rsidR="00D11E5B" w:rsidRPr="00D11E5B" w:rsidRDefault="00D11E5B" w:rsidP="00CE63F6">
      <w:pPr>
        <w:spacing w:line="360" w:lineRule="auto"/>
        <w:rPr>
          <w:rFonts w:ascii="Arial" w:hAnsi="Arial" w:cs="Arial"/>
          <w:sz w:val="22"/>
          <w:szCs w:val="22"/>
        </w:rPr>
      </w:pPr>
    </w:p>
    <w:p w14:paraId="301C9A74" w14:textId="77777777" w:rsidR="00D11E5B" w:rsidRPr="00D11E5B" w:rsidRDefault="00D11E5B" w:rsidP="00CE63F6">
      <w:pPr>
        <w:spacing w:line="360" w:lineRule="auto"/>
        <w:rPr>
          <w:rFonts w:ascii="Arial" w:hAnsi="Arial" w:cs="Arial"/>
          <w:sz w:val="22"/>
          <w:szCs w:val="22"/>
        </w:rPr>
      </w:pPr>
    </w:p>
    <w:p w14:paraId="398A4537" w14:textId="77777777" w:rsidR="00D11E5B" w:rsidRPr="00D11E5B" w:rsidRDefault="00D11E5B" w:rsidP="00CE63F6">
      <w:pPr>
        <w:spacing w:line="360" w:lineRule="auto"/>
        <w:rPr>
          <w:rFonts w:ascii="Arial" w:hAnsi="Arial" w:cs="Arial"/>
          <w:sz w:val="22"/>
          <w:szCs w:val="22"/>
        </w:rPr>
      </w:pPr>
    </w:p>
    <w:p w14:paraId="4D261B79" w14:textId="77777777" w:rsidR="00D11E5B" w:rsidRPr="00D11E5B" w:rsidRDefault="00D11E5B" w:rsidP="00CE63F6">
      <w:pPr>
        <w:spacing w:line="360" w:lineRule="auto"/>
        <w:rPr>
          <w:rFonts w:ascii="Arial" w:hAnsi="Arial" w:cs="Arial"/>
          <w:sz w:val="22"/>
          <w:szCs w:val="22"/>
        </w:rPr>
      </w:pPr>
    </w:p>
    <w:p w14:paraId="6B3D869D" w14:textId="77777777" w:rsidR="00D11E5B" w:rsidRPr="00D11E5B" w:rsidRDefault="00D11E5B" w:rsidP="00CE63F6">
      <w:pPr>
        <w:spacing w:line="360" w:lineRule="auto"/>
        <w:rPr>
          <w:rFonts w:ascii="Arial" w:hAnsi="Arial" w:cs="Arial"/>
          <w:sz w:val="22"/>
          <w:szCs w:val="22"/>
        </w:rPr>
      </w:pPr>
    </w:p>
    <w:p w14:paraId="77741299" w14:textId="77777777" w:rsidR="00D11E5B" w:rsidRPr="00D11E5B" w:rsidRDefault="00D11E5B" w:rsidP="00CE63F6">
      <w:pPr>
        <w:spacing w:line="360" w:lineRule="auto"/>
        <w:rPr>
          <w:rFonts w:ascii="Arial" w:hAnsi="Arial" w:cs="Arial"/>
          <w:sz w:val="22"/>
          <w:szCs w:val="22"/>
        </w:rPr>
      </w:pPr>
    </w:p>
    <w:p w14:paraId="35175440" w14:textId="77777777" w:rsidR="00D11E5B" w:rsidRPr="00D11E5B" w:rsidRDefault="00D11E5B" w:rsidP="00CE63F6">
      <w:pPr>
        <w:spacing w:line="360" w:lineRule="auto"/>
        <w:rPr>
          <w:rFonts w:ascii="Arial" w:hAnsi="Arial" w:cs="Arial"/>
          <w:sz w:val="22"/>
          <w:szCs w:val="22"/>
        </w:rPr>
      </w:pPr>
    </w:p>
    <w:p w14:paraId="577E1120" w14:textId="77777777" w:rsidR="00D11E5B" w:rsidRPr="00D11E5B" w:rsidRDefault="00D11E5B" w:rsidP="00CE63F6">
      <w:pPr>
        <w:spacing w:line="360" w:lineRule="auto"/>
        <w:rPr>
          <w:rFonts w:ascii="Arial" w:hAnsi="Arial" w:cs="Arial"/>
          <w:sz w:val="22"/>
          <w:szCs w:val="22"/>
        </w:rPr>
      </w:pPr>
    </w:p>
    <w:p w14:paraId="061D27E9" w14:textId="77777777" w:rsidR="00D11E5B" w:rsidRPr="00D11E5B" w:rsidRDefault="00D11E5B" w:rsidP="00CE63F6">
      <w:pPr>
        <w:spacing w:line="360" w:lineRule="auto"/>
        <w:rPr>
          <w:rFonts w:ascii="Arial" w:hAnsi="Arial" w:cs="Arial"/>
          <w:sz w:val="22"/>
          <w:szCs w:val="22"/>
        </w:rPr>
      </w:pPr>
    </w:p>
    <w:p w14:paraId="7821A033" w14:textId="77777777" w:rsidR="00D11E5B" w:rsidRPr="00D11E5B" w:rsidRDefault="00D11E5B" w:rsidP="00CE63F6">
      <w:pPr>
        <w:spacing w:line="360" w:lineRule="auto"/>
        <w:rPr>
          <w:rFonts w:ascii="Arial" w:hAnsi="Arial" w:cs="Arial"/>
          <w:sz w:val="22"/>
          <w:szCs w:val="22"/>
        </w:rPr>
      </w:pPr>
    </w:p>
    <w:p w14:paraId="04D80A85" w14:textId="77777777" w:rsidR="00D11E5B" w:rsidRPr="00D11E5B" w:rsidRDefault="00D11E5B" w:rsidP="00CE63F6">
      <w:pPr>
        <w:spacing w:line="360" w:lineRule="auto"/>
        <w:rPr>
          <w:rFonts w:ascii="Arial" w:hAnsi="Arial" w:cs="Arial"/>
          <w:sz w:val="22"/>
          <w:szCs w:val="22"/>
        </w:rPr>
      </w:pPr>
    </w:p>
    <w:p w14:paraId="0EFC4ACB" w14:textId="77777777" w:rsidR="00D11E5B" w:rsidRPr="00D11E5B" w:rsidRDefault="00D11E5B" w:rsidP="00CE63F6">
      <w:pPr>
        <w:spacing w:line="360" w:lineRule="auto"/>
        <w:rPr>
          <w:rFonts w:ascii="Arial" w:hAnsi="Arial" w:cs="Arial"/>
          <w:sz w:val="22"/>
          <w:szCs w:val="22"/>
        </w:rPr>
      </w:pPr>
    </w:p>
    <w:p w14:paraId="205ED35C" w14:textId="77777777" w:rsidR="00D11E5B" w:rsidRPr="00D11E5B" w:rsidRDefault="00D11E5B" w:rsidP="00CE63F6">
      <w:pPr>
        <w:spacing w:line="360" w:lineRule="auto"/>
        <w:rPr>
          <w:rFonts w:ascii="Arial" w:hAnsi="Arial" w:cs="Arial"/>
          <w:sz w:val="22"/>
          <w:szCs w:val="22"/>
        </w:rPr>
      </w:pPr>
    </w:p>
    <w:p w14:paraId="3DC6E554" w14:textId="77777777" w:rsidR="00D11E5B" w:rsidRPr="00D11E5B" w:rsidRDefault="00D11E5B" w:rsidP="00CE63F6">
      <w:pPr>
        <w:spacing w:line="360" w:lineRule="auto"/>
        <w:rPr>
          <w:rFonts w:ascii="Arial" w:hAnsi="Arial" w:cs="Arial"/>
          <w:sz w:val="22"/>
          <w:szCs w:val="22"/>
        </w:rPr>
      </w:pPr>
    </w:p>
    <w:p w14:paraId="6B2D8902" w14:textId="77777777" w:rsidR="00D11E5B" w:rsidRPr="00D11E5B" w:rsidRDefault="00D11E5B" w:rsidP="00CE63F6">
      <w:pPr>
        <w:spacing w:line="360" w:lineRule="auto"/>
        <w:rPr>
          <w:rFonts w:ascii="Arial" w:hAnsi="Arial" w:cs="Arial"/>
          <w:sz w:val="22"/>
          <w:szCs w:val="22"/>
        </w:rPr>
      </w:pPr>
    </w:p>
    <w:p w14:paraId="605015F4" w14:textId="77777777" w:rsidR="00D11E5B" w:rsidRPr="00D11E5B" w:rsidRDefault="00D11E5B" w:rsidP="00CE63F6">
      <w:pPr>
        <w:spacing w:line="360" w:lineRule="auto"/>
        <w:rPr>
          <w:rFonts w:ascii="Arial" w:hAnsi="Arial" w:cs="Arial"/>
          <w:sz w:val="22"/>
          <w:szCs w:val="22"/>
        </w:rPr>
      </w:pPr>
    </w:p>
    <w:p w14:paraId="3D2188FC" w14:textId="77777777" w:rsidR="00D11E5B" w:rsidRPr="00D11E5B" w:rsidRDefault="00D11E5B" w:rsidP="00CE63F6">
      <w:pPr>
        <w:spacing w:line="360" w:lineRule="auto"/>
        <w:rPr>
          <w:rFonts w:ascii="Arial" w:hAnsi="Arial" w:cs="Arial"/>
          <w:sz w:val="22"/>
          <w:szCs w:val="22"/>
        </w:rPr>
      </w:pPr>
    </w:p>
    <w:p w14:paraId="386D321A" w14:textId="77777777" w:rsidR="00D11E5B" w:rsidRPr="00D11E5B" w:rsidRDefault="00D11E5B" w:rsidP="00CE63F6">
      <w:pPr>
        <w:spacing w:line="360" w:lineRule="auto"/>
        <w:rPr>
          <w:rFonts w:ascii="Arial" w:hAnsi="Arial" w:cs="Arial"/>
          <w:sz w:val="22"/>
          <w:szCs w:val="22"/>
        </w:rPr>
      </w:pPr>
    </w:p>
    <w:p w14:paraId="2BCEA405"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CONTENTS PAGE</w:t>
      </w:r>
    </w:p>
    <w:p w14:paraId="31770BB7" w14:textId="77777777" w:rsidR="00D11E5B" w:rsidRPr="00D11E5B" w:rsidRDefault="00D11E5B" w:rsidP="00CE63F6">
      <w:pPr>
        <w:numPr>
          <w:ilvl w:val="0"/>
          <w:numId w:val="1"/>
        </w:numPr>
        <w:spacing w:line="360" w:lineRule="auto"/>
        <w:rPr>
          <w:rFonts w:ascii="Arial" w:hAnsi="Arial" w:cs="Arial"/>
          <w:sz w:val="22"/>
          <w:szCs w:val="22"/>
        </w:rPr>
      </w:pPr>
      <w:r w:rsidRPr="00D11E5B">
        <w:rPr>
          <w:rFonts w:ascii="Arial" w:hAnsi="Arial" w:cs="Arial"/>
          <w:sz w:val="22"/>
          <w:szCs w:val="22"/>
        </w:rPr>
        <w:t>Executive Summary ...................................................... 3</w:t>
      </w:r>
    </w:p>
    <w:p w14:paraId="3F09324A" w14:textId="77777777" w:rsidR="00D11E5B" w:rsidRPr="00D11E5B" w:rsidRDefault="00D11E5B" w:rsidP="00CE63F6">
      <w:pPr>
        <w:numPr>
          <w:ilvl w:val="0"/>
          <w:numId w:val="1"/>
        </w:numPr>
        <w:spacing w:line="360" w:lineRule="auto"/>
        <w:rPr>
          <w:rFonts w:ascii="Arial" w:hAnsi="Arial" w:cs="Arial"/>
          <w:sz w:val="22"/>
          <w:szCs w:val="22"/>
        </w:rPr>
      </w:pPr>
      <w:r w:rsidRPr="00D11E5B">
        <w:rPr>
          <w:rFonts w:ascii="Arial" w:hAnsi="Arial" w:cs="Arial"/>
          <w:sz w:val="22"/>
          <w:szCs w:val="22"/>
        </w:rPr>
        <w:t>Introduction ................................................................... 4</w:t>
      </w:r>
    </w:p>
    <w:p w14:paraId="5EDB0D4F" w14:textId="77777777" w:rsidR="00D11E5B" w:rsidRPr="00D11E5B" w:rsidRDefault="00D11E5B" w:rsidP="00CE63F6">
      <w:pPr>
        <w:numPr>
          <w:ilvl w:val="0"/>
          <w:numId w:val="1"/>
        </w:numPr>
        <w:spacing w:line="360" w:lineRule="auto"/>
        <w:rPr>
          <w:rFonts w:ascii="Arial" w:hAnsi="Arial" w:cs="Arial"/>
          <w:sz w:val="22"/>
          <w:szCs w:val="22"/>
        </w:rPr>
      </w:pPr>
      <w:r w:rsidRPr="00D11E5B">
        <w:rPr>
          <w:rFonts w:ascii="Arial" w:hAnsi="Arial" w:cs="Arial"/>
          <w:sz w:val="22"/>
          <w:szCs w:val="22"/>
        </w:rPr>
        <w:t>Main Findings ............................................................... 5</w:t>
      </w:r>
      <w:r w:rsidRPr="00D11E5B">
        <w:rPr>
          <w:rFonts w:ascii="Arial" w:hAnsi="Arial" w:cs="Arial"/>
          <w:sz w:val="22"/>
          <w:szCs w:val="22"/>
        </w:rPr>
        <w:br/>
        <w:t>3.1 Overview of Air Travel in Hospitality</w:t>
      </w:r>
      <w:r w:rsidRPr="00D11E5B">
        <w:rPr>
          <w:rFonts w:ascii="Arial" w:hAnsi="Arial" w:cs="Arial"/>
          <w:sz w:val="22"/>
          <w:szCs w:val="22"/>
        </w:rPr>
        <w:br/>
        <w:t>3.2 Environmental Impact of Air Transport</w:t>
      </w:r>
      <w:r w:rsidRPr="00D11E5B">
        <w:rPr>
          <w:rFonts w:ascii="Arial" w:hAnsi="Arial" w:cs="Arial"/>
          <w:sz w:val="22"/>
          <w:szCs w:val="22"/>
        </w:rPr>
        <w:br/>
        <w:t>3.3 Economic and Social Implications</w:t>
      </w:r>
      <w:r w:rsidRPr="00D11E5B">
        <w:rPr>
          <w:rFonts w:ascii="Arial" w:hAnsi="Arial" w:cs="Arial"/>
          <w:sz w:val="22"/>
          <w:szCs w:val="22"/>
        </w:rPr>
        <w:br/>
        <w:t>3.4 Plausible Solutions Adopted by the Industry</w:t>
      </w:r>
      <w:r w:rsidRPr="00D11E5B">
        <w:rPr>
          <w:rFonts w:ascii="Arial" w:hAnsi="Arial" w:cs="Arial"/>
          <w:sz w:val="22"/>
          <w:szCs w:val="22"/>
        </w:rPr>
        <w:br/>
        <w:t>3.5 Future Innovations and Recommendations</w:t>
      </w:r>
    </w:p>
    <w:p w14:paraId="149A7408" w14:textId="77777777" w:rsidR="00D11E5B" w:rsidRPr="00D11E5B" w:rsidRDefault="00D11E5B" w:rsidP="00CE63F6">
      <w:pPr>
        <w:numPr>
          <w:ilvl w:val="0"/>
          <w:numId w:val="1"/>
        </w:numPr>
        <w:spacing w:line="360" w:lineRule="auto"/>
        <w:rPr>
          <w:rFonts w:ascii="Arial" w:hAnsi="Arial" w:cs="Arial"/>
          <w:sz w:val="22"/>
          <w:szCs w:val="22"/>
        </w:rPr>
      </w:pPr>
      <w:r w:rsidRPr="00D11E5B">
        <w:rPr>
          <w:rFonts w:ascii="Arial" w:hAnsi="Arial" w:cs="Arial"/>
          <w:sz w:val="22"/>
          <w:szCs w:val="22"/>
        </w:rPr>
        <w:t>Conclusion and Recommendations ............................ 13</w:t>
      </w:r>
    </w:p>
    <w:p w14:paraId="046212B4" w14:textId="77777777" w:rsidR="00D11E5B" w:rsidRPr="00D11E5B" w:rsidRDefault="00D11E5B" w:rsidP="00CE63F6">
      <w:pPr>
        <w:numPr>
          <w:ilvl w:val="0"/>
          <w:numId w:val="1"/>
        </w:numPr>
        <w:spacing w:line="360" w:lineRule="auto"/>
        <w:rPr>
          <w:rFonts w:ascii="Arial" w:hAnsi="Arial" w:cs="Arial"/>
          <w:sz w:val="22"/>
          <w:szCs w:val="22"/>
        </w:rPr>
      </w:pPr>
      <w:r w:rsidRPr="00D11E5B">
        <w:rPr>
          <w:rFonts w:ascii="Arial" w:hAnsi="Arial" w:cs="Arial"/>
          <w:sz w:val="22"/>
          <w:szCs w:val="22"/>
        </w:rPr>
        <w:t>Reference List .............................................................. 14</w:t>
      </w:r>
    </w:p>
    <w:p w14:paraId="417434EB" w14:textId="470AEFC8" w:rsidR="00D11E5B" w:rsidRPr="00D11E5B" w:rsidRDefault="00D11E5B" w:rsidP="00CE63F6">
      <w:pPr>
        <w:spacing w:line="360" w:lineRule="auto"/>
        <w:rPr>
          <w:rFonts w:ascii="Arial" w:hAnsi="Arial" w:cs="Arial"/>
          <w:sz w:val="22"/>
          <w:szCs w:val="22"/>
        </w:rPr>
      </w:pPr>
    </w:p>
    <w:p w14:paraId="00AEE1A1" w14:textId="77777777" w:rsidR="00D11E5B" w:rsidRPr="00D11E5B" w:rsidRDefault="00D11E5B" w:rsidP="00CE63F6">
      <w:pPr>
        <w:spacing w:line="360" w:lineRule="auto"/>
        <w:rPr>
          <w:rFonts w:ascii="Arial" w:hAnsi="Arial" w:cs="Arial"/>
          <w:sz w:val="22"/>
          <w:szCs w:val="22"/>
        </w:rPr>
      </w:pPr>
    </w:p>
    <w:p w14:paraId="7563ED7A" w14:textId="77777777" w:rsidR="00D11E5B" w:rsidRPr="00D11E5B" w:rsidRDefault="00D11E5B" w:rsidP="00CE63F6">
      <w:pPr>
        <w:spacing w:line="360" w:lineRule="auto"/>
        <w:rPr>
          <w:rFonts w:ascii="Arial" w:hAnsi="Arial" w:cs="Arial"/>
          <w:sz w:val="22"/>
          <w:szCs w:val="22"/>
        </w:rPr>
      </w:pPr>
    </w:p>
    <w:p w14:paraId="5B3DCA39" w14:textId="77777777" w:rsidR="00D11E5B" w:rsidRPr="00D11E5B" w:rsidRDefault="00D11E5B" w:rsidP="00CE63F6">
      <w:pPr>
        <w:spacing w:line="360" w:lineRule="auto"/>
        <w:rPr>
          <w:rFonts w:ascii="Arial" w:hAnsi="Arial" w:cs="Arial"/>
          <w:sz w:val="22"/>
          <w:szCs w:val="22"/>
        </w:rPr>
      </w:pPr>
    </w:p>
    <w:p w14:paraId="18AC4048" w14:textId="77777777" w:rsidR="00D11E5B" w:rsidRPr="00D11E5B" w:rsidRDefault="00D11E5B" w:rsidP="00CE63F6">
      <w:pPr>
        <w:spacing w:line="360" w:lineRule="auto"/>
        <w:rPr>
          <w:rFonts w:ascii="Arial" w:hAnsi="Arial" w:cs="Arial"/>
          <w:sz w:val="22"/>
          <w:szCs w:val="22"/>
        </w:rPr>
      </w:pPr>
    </w:p>
    <w:p w14:paraId="3AC7F55E" w14:textId="77777777" w:rsidR="00D11E5B" w:rsidRPr="00D11E5B" w:rsidRDefault="00D11E5B" w:rsidP="00CE63F6">
      <w:pPr>
        <w:spacing w:line="360" w:lineRule="auto"/>
        <w:rPr>
          <w:rFonts w:ascii="Arial" w:hAnsi="Arial" w:cs="Arial"/>
          <w:sz w:val="22"/>
          <w:szCs w:val="22"/>
        </w:rPr>
      </w:pPr>
    </w:p>
    <w:p w14:paraId="2261D2E8" w14:textId="77777777" w:rsidR="00D11E5B" w:rsidRPr="00D11E5B" w:rsidRDefault="00D11E5B" w:rsidP="00CE63F6">
      <w:pPr>
        <w:spacing w:line="360" w:lineRule="auto"/>
        <w:rPr>
          <w:rFonts w:ascii="Arial" w:hAnsi="Arial" w:cs="Arial"/>
          <w:sz w:val="22"/>
          <w:szCs w:val="22"/>
        </w:rPr>
      </w:pPr>
    </w:p>
    <w:p w14:paraId="6D9EED7D" w14:textId="77777777" w:rsidR="00D11E5B" w:rsidRPr="00D11E5B" w:rsidRDefault="00D11E5B" w:rsidP="00CE63F6">
      <w:pPr>
        <w:spacing w:line="360" w:lineRule="auto"/>
        <w:rPr>
          <w:rFonts w:ascii="Arial" w:hAnsi="Arial" w:cs="Arial"/>
          <w:sz w:val="22"/>
          <w:szCs w:val="22"/>
        </w:rPr>
      </w:pPr>
    </w:p>
    <w:p w14:paraId="633A3348" w14:textId="77777777" w:rsidR="00D11E5B" w:rsidRPr="00D11E5B" w:rsidRDefault="00D11E5B" w:rsidP="00CE63F6">
      <w:pPr>
        <w:spacing w:line="360" w:lineRule="auto"/>
        <w:rPr>
          <w:rFonts w:ascii="Arial" w:hAnsi="Arial" w:cs="Arial"/>
          <w:sz w:val="22"/>
          <w:szCs w:val="22"/>
        </w:rPr>
      </w:pPr>
    </w:p>
    <w:p w14:paraId="6747F146" w14:textId="77777777" w:rsidR="00D11E5B" w:rsidRPr="00D11E5B" w:rsidRDefault="00D11E5B" w:rsidP="00CE63F6">
      <w:pPr>
        <w:spacing w:line="360" w:lineRule="auto"/>
        <w:rPr>
          <w:rFonts w:ascii="Arial" w:hAnsi="Arial" w:cs="Arial"/>
          <w:sz w:val="22"/>
          <w:szCs w:val="22"/>
        </w:rPr>
      </w:pPr>
    </w:p>
    <w:p w14:paraId="706E73FF" w14:textId="77777777" w:rsidR="00D11E5B" w:rsidRPr="00D11E5B" w:rsidRDefault="00D11E5B" w:rsidP="00CE63F6">
      <w:pPr>
        <w:spacing w:line="360" w:lineRule="auto"/>
        <w:rPr>
          <w:rFonts w:ascii="Arial" w:hAnsi="Arial" w:cs="Arial"/>
          <w:sz w:val="22"/>
          <w:szCs w:val="22"/>
        </w:rPr>
      </w:pPr>
    </w:p>
    <w:p w14:paraId="364848D2" w14:textId="77777777" w:rsidR="00D11E5B" w:rsidRPr="00D11E5B" w:rsidRDefault="00D11E5B" w:rsidP="00CE63F6">
      <w:pPr>
        <w:spacing w:line="360" w:lineRule="auto"/>
        <w:rPr>
          <w:rFonts w:ascii="Arial" w:hAnsi="Arial" w:cs="Arial"/>
          <w:sz w:val="22"/>
          <w:szCs w:val="22"/>
        </w:rPr>
      </w:pPr>
    </w:p>
    <w:p w14:paraId="409F486A" w14:textId="77777777" w:rsidR="00D11E5B" w:rsidRPr="00D11E5B" w:rsidRDefault="00D11E5B" w:rsidP="00CE63F6">
      <w:pPr>
        <w:spacing w:line="360" w:lineRule="auto"/>
        <w:rPr>
          <w:rFonts w:ascii="Arial" w:hAnsi="Arial" w:cs="Arial"/>
          <w:sz w:val="22"/>
          <w:szCs w:val="22"/>
        </w:rPr>
      </w:pPr>
    </w:p>
    <w:p w14:paraId="4328F8D8" w14:textId="77777777" w:rsidR="00D11E5B" w:rsidRPr="00D11E5B" w:rsidRDefault="00D11E5B" w:rsidP="00CE63F6">
      <w:pPr>
        <w:spacing w:line="360" w:lineRule="auto"/>
        <w:rPr>
          <w:rFonts w:ascii="Arial" w:hAnsi="Arial" w:cs="Arial"/>
          <w:sz w:val="22"/>
          <w:szCs w:val="22"/>
        </w:rPr>
      </w:pPr>
    </w:p>
    <w:p w14:paraId="7C7F6BEA" w14:textId="77777777" w:rsidR="00D11E5B" w:rsidRPr="00D11E5B" w:rsidRDefault="00D11E5B" w:rsidP="00CE63F6">
      <w:pPr>
        <w:spacing w:line="360" w:lineRule="auto"/>
        <w:rPr>
          <w:rFonts w:ascii="Arial" w:hAnsi="Arial" w:cs="Arial"/>
          <w:sz w:val="22"/>
          <w:szCs w:val="22"/>
        </w:rPr>
      </w:pPr>
    </w:p>
    <w:p w14:paraId="426EF825" w14:textId="77777777" w:rsidR="00D11E5B" w:rsidRPr="00D11E5B" w:rsidRDefault="00D11E5B" w:rsidP="00CE63F6">
      <w:pPr>
        <w:spacing w:line="360" w:lineRule="auto"/>
        <w:rPr>
          <w:rFonts w:ascii="Arial" w:hAnsi="Arial" w:cs="Arial"/>
          <w:sz w:val="22"/>
          <w:szCs w:val="22"/>
        </w:rPr>
      </w:pPr>
    </w:p>
    <w:p w14:paraId="04B4F2D4" w14:textId="77777777" w:rsidR="00D11E5B" w:rsidRPr="00D11E5B" w:rsidRDefault="00D11E5B" w:rsidP="00CE63F6">
      <w:pPr>
        <w:spacing w:line="360" w:lineRule="auto"/>
        <w:rPr>
          <w:rFonts w:ascii="Arial" w:hAnsi="Arial" w:cs="Arial"/>
          <w:sz w:val="22"/>
          <w:szCs w:val="22"/>
        </w:rPr>
      </w:pPr>
    </w:p>
    <w:p w14:paraId="6AD90D2F" w14:textId="77777777" w:rsidR="00D11E5B" w:rsidRPr="00D11E5B" w:rsidRDefault="00D11E5B" w:rsidP="00CE63F6">
      <w:pPr>
        <w:spacing w:line="360" w:lineRule="auto"/>
        <w:rPr>
          <w:rFonts w:ascii="Arial" w:hAnsi="Arial" w:cs="Arial"/>
          <w:sz w:val="22"/>
          <w:szCs w:val="22"/>
        </w:rPr>
      </w:pPr>
    </w:p>
    <w:p w14:paraId="3FB8388B" w14:textId="77777777" w:rsidR="00D11E5B" w:rsidRPr="00D11E5B" w:rsidRDefault="00D11E5B" w:rsidP="00CE63F6">
      <w:pPr>
        <w:spacing w:line="360" w:lineRule="auto"/>
        <w:rPr>
          <w:rFonts w:ascii="Arial" w:hAnsi="Arial" w:cs="Arial"/>
          <w:sz w:val="22"/>
          <w:szCs w:val="22"/>
        </w:rPr>
      </w:pPr>
    </w:p>
    <w:p w14:paraId="45069B5B" w14:textId="77777777" w:rsidR="00D11E5B" w:rsidRPr="00D11E5B" w:rsidRDefault="00D11E5B" w:rsidP="00CE63F6">
      <w:pPr>
        <w:spacing w:line="360" w:lineRule="auto"/>
        <w:rPr>
          <w:rFonts w:ascii="Arial" w:hAnsi="Arial" w:cs="Arial"/>
          <w:sz w:val="22"/>
          <w:szCs w:val="22"/>
        </w:rPr>
      </w:pPr>
    </w:p>
    <w:p w14:paraId="1B8154F6" w14:textId="77777777" w:rsidR="00D11E5B" w:rsidRPr="00D11E5B" w:rsidRDefault="00D11E5B" w:rsidP="00CE63F6">
      <w:pPr>
        <w:spacing w:line="360" w:lineRule="auto"/>
        <w:rPr>
          <w:rFonts w:ascii="Arial" w:hAnsi="Arial" w:cs="Arial"/>
          <w:sz w:val="22"/>
          <w:szCs w:val="22"/>
        </w:rPr>
      </w:pPr>
    </w:p>
    <w:p w14:paraId="501EBBD4" w14:textId="77777777" w:rsidR="00D11E5B" w:rsidRPr="00D11E5B" w:rsidRDefault="00D11E5B" w:rsidP="00CE63F6">
      <w:pPr>
        <w:spacing w:line="360" w:lineRule="auto"/>
        <w:rPr>
          <w:rFonts w:ascii="Arial" w:hAnsi="Arial" w:cs="Arial"/>
          <w:sz w:val="22"/>
          <w:szCs w:val="22"/>
        </w:rPr>
      </w:pPr>
    </w:p>
    <w:p w14:paraId="221EF7AF" w14:textId="186A74AE"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 xml:space="preserve">EXECUTIVE SUMMARY </w:t>
      </w:r>
    </w:p>
    <w:p w14:paraId="1910C606"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This report explores the environmental impact of air travel as a mode of transport heavily relied upon in the hospitality industry. Air travel is vital for enabling global tourism and hospitality services but contributes significantly to carbon emissions, climate change, and ecological degradation. The sector’s dependence on this form of transportation presents ongoing sustainability challenges that must be urgently addressed.</w:t>
      </w:r>
    </w:p>
    <w:p w14:paraId="338998A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The report begins by introducing the concept of transport in hospitality, followed by a focused examination of air travel. It details the specific damage caused by the aviation industry, including carbon dioxide emissions, noise pollution, and disruption to local ecosystems. Economic pressures and consumer expectations often delay sustainability efforts, but the need for change remains critical.</w:t>
      </w:r>
    </w:p>
    <w:p w14:paraId="40B28C59"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The main body of the report identifies viable solutions being implemented across the industry, including the use of Sustainable Aviation Fuels (SAFs), carbon offsetting programmes, and operational efficiencies. Real-world examples from companies such as British Airways and easyJet highlight current best practices.</w:t>
      </w:r>
    </w:p>
    <w:p w14:paraId="1CBEFCF7" w14:textId="15A5EAC8"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lastRenderedPageBreak/>
        <w:t xml:space="preserve">The report concludes by summarising key findings and offering recommendations to balance the growth of hospitality with responsible environmental stewardship. </w:t>
      </w:r>
    </w:p>
    <w:p w14:paraId="65FB3FE8" w14:textId="3353261E" w:rsidR="00D11E5B" w:rsidRPr="00D11E5B" w:rsidRDefault="00D11E5B" w:rsidP="00CE63F6">
      <w:pPr>
        <w:spacing w:line="360" w:lineRule="auto"/>
        <w:rPr>
          <w:rFonts w:ascii="Arial" w:hAnsi="Arial" w:cs="Arial"/>
          <w:sz w:val="22"/>
          <w:szCs w:val="22"/>
        </w:rPr>
      </w:pPr>
    </w:p>
    <w:p w14:paraId="72CF9F9D" w14:textId="36B2386D"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 xml:space="preserve">INTRODUCTION </w:t>
      </w:r>
    </w:p>
    <w:p w14:paraId="222B3F4D"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Transport is a critical pillar in the hospitality industry, enabling the movement of guests, staff, and goods across local, national, and international borders. Hospitality transport refers to the various modes of travel that facilitate access to hotels, events, attractions, and destinations. These include air travel, rail, cruise ships, buses, and private cars. Among these, air transport plays a significant role in international hospitality, particularly for destinations that rely heavily on overseas tourism.</w:t>
      </w:r>
    </w:p>
    <w:p w14:paraId="70282AC9"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While air travel provides economic benefits and supports job creation, it is also one of the largest contributors to environmental degradation within the sector. Aircraft emit large volumes of greenhouse gases, particularly carbon dioxide (CO</w:t>
      </w:r>
      <w:r w:rsidRPr="00D11E5B">
        <w:rPr>
          <w:rFonts w:ascii="Cambria Math" w:hAnsi="Cambria Math" w:cs="Cambria Math"/>
          <w:sz w:val="22"/>
          <w:szCs w:val="22"/>
        </w:rPr>
        <w:t>₂</w:t>
      </w:r>
      <w:r w:rsidRPr="00D11E5B">
        <w:rPr>
          <w:rFonts w:ascii="Arial" w:hAnsi="Arial" w:cs="Arial"/>
          <w:sz w:val="22"/>
          <w:szCs w:val="22"/>
        </w:rPr>
        <w:t>), which contribute to climate change. According to the International Air Transport Association (IATA, 2023), aviation accounts for approximately 2.5% of global CO</w:t>
      </w:r>
      <w:r w:rsidRPr="00D11E5B">
        <w:rPr>
          <w:rFonts w:ascii="Cambria Math" w:hAnsi="Cambria Math" w:cs="Cambria Math"/>
          <w:sz w:val="22"/>
          <w:szCs w:val="22"/>
        </w:rPr>
        <w:t>₂</w:t>
      </w:r>
      <w:r w:rsidRPr="00D11E5B">
        <w:rPr>
          <w:rFonts w:ascii="Arial" w:hAnsi="Arial" w:cs="Arial"/>
          <w:sz w:val="22"/>
          <w:szCs w:val="22"/>
        </w:rPr>
        <w:t xml:space="preserve"> emissions, but the overall warming effect is estimated to be higher due to non-CO</w:t>
      </w:r>
      <w:r w:rsidRPr="00D11E5B">
        <w:rPr>
          <w:rFonts w:ascii="Cambria Math" w:hAnsi="Cambria Math" w:cs="Cambria Math"/>
          <w:sz w:val="22"/>
          <w:szCs w:val="22"/>
        </w:rPr>
        <w:t>₂</w:t>
      </w:r>
      <w:r w:rsidRPr="00D11E5B">
        <w:rPr>
          <w:rFonts w:ascii="Arial" w:hAnsi="Arial" w:cs="Arial"/>
          <w:sz w:val="22"/>
          <w:szCs w:val="22"/>
        </w:rPr>
        <w:t xml:space="preserve"> pollutants such as nitrogen oxides and contrails.</w:t>
      </w:r>
    </w:p>
    <w:p w14:paraId="4FFE5B9A" w14:textId="5328CF44"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This report will focus exclusively </w:t>
      </w:r>
      <w:r w:rsidR="00CE63F6" w:rsidRPr="00D11E5B">
        <w:rPr>
          <w:rFonts w:ascii="Arial" w:hAnsi="Arial" w:cs="Arial"/>
          <w:sz w:val="22"/>
          <w:szCs w:val="22"/>
        </w:rPr>
        <w:t>on-air</w:t>
      </w:r>
      <w:r w:rsidRPr="00D11E5B">
        <w:rPr>
          <w:rFonts w:ascii="Arial" w:hAnsi="Arial" w:cs="Arial"/>
          <w:sz w:val="22"/>
          <w:szCs w:val="22"/>
        </w:rPr>
        <w:t xml:space="preserve"> travel as the selected mode of transport. It will examine the specific environmental and social damages caused by aviation, followed by a review of industry-led and technological solutions aimed at reducing its environmental footprint. Case studies and data will support the analysis, along with recommendations for future sustainability </w:t>
      </w:r>
      <w:r w:rsidR="00CE63F6" w:rsidRPr="00D11E5B">
        <w:rPr>
          <w:rFonts w:ascii="Arial" w:hAnsi="Arial" w:cs="Arial"/>
          <w:sz w:val="22"/>
          <w:szCs w:val="22"/>
        </w:rPr>
        <w:t>improvements.</w:t>
      </w:r>
    </w:p>
    <w:p w14:paraId="31527299"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 MAIN FINDINGS</w:t>
      </w:r>
    </w:p>
    <w:p w14:paraId="43032AD4"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3.1 Overview of Air Travel in Hospitality</w:t>
      </w:r>
    </w:p>
    <w:p w14:paraId="6B8ED949"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Air travel is integral to the operation and growth of the hospitality industry, especially in destinations reliant on international visitors. It enables global accessibility, connecting tourists with remote or otherwise inaccessible locations (Gössling &amp; Higham, 2021). Airlines work symbiotically with hotels, resorts, and tour operators to create package holidays, loyalty schemes, and seasonal offers, which stimulate economic activity and employment across hospitality-related sectors (WTTC, 2022).</w:t>
      </w:r>
    </w:p>
    <w:p w14:paraId="6232B04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In 2019, prior to the COVID-19 pandemic, international tourist arrivals reached 1.5 billion globally, with over 58% of those involving air transport (UNWTO, 2020). Although the pandemic temporarily disrupted aviation, the post-pandemic recovery has shown a strong resurgence, with air passenger traffic rebounding to over 80% of pre-pandemic levels by </w:t>
      </w:r>
      <w:r w:rsidRPr="00D11E5B">
        <w:rPr>
          <w:rFonts w:ascii="Arial" w:hAnsi="Arial" w:cs="Arial"/>
          <w:sz w:val="22"/>
          <w:szCs w:val="22"/>
        </w:rPr>
        <w:lastRenderedPageBreak/>
        <w:t>2023 (IATA, 2023). This renewed growth further underscores the importance of air travel in modern hospitality but also heightens the urgency to address its sustainability challenges.</w:t>
      </w:r>
    </w:p>
    <w:p w14:paraId="4DA200F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Airlines are increasingly marketing themselves as environmentally conscious, yet the sector’s overall emissions continue to rise. Hospitality businesses are thus under growing pressure to consider the environmental impact of the transport services they promote, particularly </w:t>
      </w:r>
      <w:proofErr w:type="gramStart"/>
      <w:r w:rsidRPr="00D11E5B">
        <w:rPr>
          <w:rFonts w:ascii="Arial" w:hAnsi="Arial" w:cs="Arial"/>
          <w:sz w:val="22"/>
          <w:szCs w:val="22"/>
        </w:rPr>
        <w:t>with regard to</w:t>
      </w:r>
      <w:proofErr w:type="gramEnd"/>
      <w:r w:rsidRPr="00D11E5B">
        <w:rPr>
          <w:rFonts w:ascii="Arial" w:hAnsi="Arial" w:cs="Arial"/>
          <w:sz w:val="22"/>
          <w:szCs w:val="22"/>
        </w:rPr>
        <w:t xml:space="preserve"> long-haul flights. The need to decarbonise the industry while maintaining accessibility is central to future hospitality development (Becken, 2020).</w:t>
      </w:r>
    </w:p>
    <w:p w14:paraId="5B0AF344" w14:textId="279DEC70" w:rsidR="00D11E5B" w:rsidRPr="00D11E5B" w:rsidRDefault="00D11E5B" w:rsidP="00CE63F6">
      <w:pPr>
        <w:spacing w:line="360" w:lineRule="auto"/>
        <w:rPr>
          <w:rFonts w:ascii="Arial" w:hAnsi="Arial" w:cs="Arial"/>
          <w:sz w:val="22"/>
          <w:szCs w:val="22"/>
        </w:rPr>
      </w:pPr>
    </w:p>
    <w:p w14:paraId="4E23701D"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3.2 Environmental Impact of Air Transport</w:t>
      </w:r>
    </w:p>
    <w:p w14:paraId="4090DE67"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Air travel is one of the most carbon-intensive modes of transport. A return flight from London to New York emits approximately 986 kg of CO</w:t>
      </w:r>
      <w:r w:rsidRPr="00D11E5B">
        <w:rPr>
          <w:rFonts w:ascii="Cambria Math" w:hAnsi="Cambria Math" w:cs="Cambria Math"/>
          <w:sz w:val="22"/>
          <w:szCs w:val="22"/>
        </w:rPr>
        <w:t>₂</w:t>
      </w:r>
      <w:r w:rsidRPr="00D11E5B">
        <w:rPr>
          <w:rFonts w:ascii="Arial" w:hAnsi="Arial" w:cs="Arial"/>
          <w:sz w:val="22"/>
          <w:szCs w:val="22"/>
        </w:rPr>
        <w:t xml:space="preserve"> per passenger – more than the average annual emissions of a person in 56 countries (Our World in Data, 2022). The sector is responsible for around 2.5% of global CO</w:t>
      </w:r>
      <w:r w:rsidRPr="00D11E5B">
        <w:rPr>
          <w:rFonts w:ascii="Cambria Math" w:hAnsi="Cambria Math" w:cs="Cambria Math"/>
          <w:sz w:val="22"/>
          <w:szCs w:val="22"/>
        </w:rPr>
        <w:t>₂</w:t>
      </w:r>
      <w:r w:rsidRPr="00D11E5B">
        <w:rPr>
          <w:rFonts w:ascii="Arial" w:hAnsi="Arial" w:cs="Arial"/>
          <w:sz w:val="22"/>
          <w:szCs w:val="22"/>
        </w:rPr>
        <w:t xml:space="preserve"> emissions but contributes to around 3.5% of global warming when other pollutants such as nitrogen oxides (NOₓ), water vapour trails (contrails), and particulate matter are included (Lee et al., 2021).</w:t>
      </w:r>
    </w:p>
    <w:p w14:paraId="10B0F568"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The environmental damage caused by air travel includes:</w:t>
      </w:r>
    </w:p>
    <w:p w14:paraId="6FC33E0B" w14:textId="77777777" w:rsidR="00D11E5B" w:rsidRPr="00D11E5B" w:rsidRDefault="00D11E5B" w:rsidP="00CE63F6">
      <w:pPr>
        <w:numPr>
          <w:ilvl w:val="0"/>
          <w:numId w:val="2"/>
        </w:numPr>
        <w:spacing w:line="360" w:lineRule="auto"/>
        <w:rPr>
          <w:rFonts w:ascii="Arial" w:hAnsi="Arial" w:cs="Arial"/>
          <w:sz w:val="22"/>
          <w:szCs w:val="22"/>
        </w:rPr>
      </w:pPr>
      <w:r w:rsidRPr="00D11E5B">
        <w:rPr>
          <w:rFonts w:ascii="Arial" w:hAnsi="Arial" w:cs="Arial"/>
          <w:b/>
          <w:bCs/>
          <w:sz w:val="22"/>
          <w:szCs w:val="22"/>
        </w:rPr>
        <w:t>Greenhouse Gas Emissions</w:t>
      </w:r>
      <w:r w:rsidRPr="00D11E5B">
        <w:rPr>
          <w:rFonts w:ascii="Arial" w:hAnsi="Arial" w:cs="Arial"/>
          <w:sz w:val="22"/>
          <w:szCs w:val="22"/>
        </w:rPr>
        <w:t>: Jet engines emit CO</w:t>
      </w:r>
      <w:r w:rsidRPr="00D11E5B">
        <w:rPr>
          <w:rFonts w:ascii="Cambria Math" w:hAnsi="Cambria Math" w:cs="Cambria Math"/>
          <w:sz w:val="22"/>
          <w:szCs w:val="22"/>
        </w:rPr>
        <w:t>₂</w:t>
      </w:r>
      <w:r w:rsidRPr="00D11E5B">
        <w:rPr>
          <w:rFonts w:ascii="Arial" w:hAnsi="Arial" w:cs="Arial"/>
          <w:sz w:val="22"/>
          <w:szCs w:val="22"/>
        </w:rPr>
        <w:t>, NOₓ, and unburned hydrocarbons. These gases contribute to atmospheric warming and the formation of ozone at high altitudes (ICAO, 2022).</w:t>
      </w:r>
    </w:p>
    <w:p w14:paraId="30300CBB" w14:textId="77777777" w:rsidR="00D11E5B" w:rsidRPr="00D11E5B" w:rsidRDefault="00D11E5B" w:rsidP="00CE63F6">
      <w:pPr>
        <w:numPr>
          <w:ilvl w:val="0"/>
          <w:numId w:val="2"/>
        </w:numPr>
        <w:spacing w:line="360" w:lineRule="auto"/>
        <w:rPr>
          <w:rFonts w:ascii="Arial" w:hAnsi="Arial" w:cs="Arial"/>
          <w:sz w:val="22"/>
          <w:szCs w:val="22"/>
        </w:rPr>
      </w:pPr>
      <w:r w:rsidRPr="00D11E5B">
        <w:rPr>
          <w:rFonts w:ascii="Arial" w:hAnsi="Arial" w:cs="Arial"/>
          <w:b/>
          <w:bCs/>
          <w:sz w:val="22"/>
          <w:szCs w:val="22"/>
        </w:rPr>
        <w:t>Noise Pollution</w:t>
      </w:r>
      <w:r w:rsidRPr="00D11E5B">
        <w:rPr>
          <w:rFonts w:ascii="Arial" w:hAnsi="Arial" w:cs="Arial"/>
          <w:sz w:val="22"/>
          <w:szCs w:val="22"/>
        </w:rPr>
        <w:t>: Aircraft noise affects communities near airports, disrupting sleep and contributing to stress-related illnesses (WHO, 2018).</w:t>
      </w:r>
    </w:p>
    <w:p w14:paraId="3E652897" w14:textId="77777777" w:rsidR="00D11E5B" w:rsidRPr="00D11E5B" w:rsidRDefault="00D11E5B" w:rsidP="00CE63F6">
      <w:pPr>
        <w:numPr>
          <w:ilvl w:val="0"/>
          <w:numId w:val="2"/>
        </w:numPr>
        <w:spacing w:line="360" w:lineRule="auto"/>
        <w:rPr>
          <w:rFonts w:ascii="Arial" w:hAnsi="Arial" w:cs="Arial"/>
          <w:sz w:val="22"/>
          <w:szCs w:val="22"/>
        </w:rPr>
      </w:pPr>
      <w:r w:rsidRPr="00D11E5B">
        <w:rPr>
          <w:rFonts w:ascii="Arial" w:hAnsi="Arial" w:cs="Arial"/>
          <w:b/>
          <w:bCs/>
          <w:sz w:val="22"/>
          <w:szCs w:val="22"/>
        </w:rPr>
        <w:t>Biodiversity and Land Use</w:t>
      </w:r>
      <w:r w:rsidRPr="00D11E5B">
        <w:rPr>
          <w:rFonts w:ascii="Arial" w:hAnsi="Arial" w:cs="Arial"/>
          <w:sz w:val="22"/>
          <w:szCs w:val="22"/>
        </w:rPr>
        <w:t>: Airport expansion often requires deforestation, wetland drainage, and destruction of local habitats, leading to loss of biodiversity (Smith et al., 2020).</w:t>
      </w:r>
    </w:p>
    <w:p w14:paraId="49D30DB5" w14:textId="77777777" w:rsidR="00D11E5B" w:rsidRPr="00D11E5B" w:rsidRDefault="00D11E5B" w:rsidP="00CE63F6">
      <w:pPr>
        <w:numPr>
          <w:ilvl w:val="0"/>
          <w:numId w:val="2"/>
        </w:numPr>
        <w:spacing w:line="360" w:lineRule="auto"/>
        <w:rPr>
          <w:rFonts w:ascii="Arial" w:hAnsi="Arial" w:cs="Arial"/>
          <w:sz w:val="22"/>
          <w:szCs w:val="22"/>
        </w:rPr>
      </w:pPr>
      <w:r w:rsidRPr="00D11E5B">
        <w:rPr>
          <w:rFonts w:ascii="Arial" w:hAnsi="Arial" w:cs="Arial"/>
          <w:b/>
          <w:bCs/>
          <w:sz w:val="22"/>
          <w:szCs w:val="22"/>
        </w:rPr>
        <w:t>Water and Air Pollution</w:t>
      </w:r>
      <w:r w:rsidRPr="00D11E5B">
        <w:rPr>
          <w:rFonts w:ascii="Arial" w:hAnsi="Arial" w:cs="Arial"/>
          <w:sz w:val="22"/>
          <w:szCs w:val="22"/>
        </w:rPr>
        <w:t>: De-icing chemicals, fuel leaks, and particulate matter can pollute surrounding water bodies and air quality (DEFRA, 2023).</w:t>
      </w:r>
    </w:p>
    <w:p w14:paraId="40C1C553"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These impacts pose a major challenge to hospitality’s long-term sustainability, especially in regions marketing themselves as “eco-friendly” or “nature-based” destinations. As public concern over climate change increases, hospitality providers are increasingly held accountable not only for their services but also for the associated transport methods they endorse.</w:t>
      </w:r>
    </w:p>
    <w:p w14:paraId="5F72DBE0"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3.3 Economic and Social Implications</w:t>
      </w:r>
    </w:p>
    <w:p w14:paraId="546A0753"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lastRenderedPageBreak/>
        <w:t>While the environmental impacts of air travel are profound, its economic and social significance to hospitality cannot be overlooked. Air connectivity has enabled the globalisation of tourism, stimulating regional development, job creation, and cultural exchange (WTTC, 2022). For many island nations and remote destinations, air travel is not just a convenience — it is an economic lifeline.</w:t>
      </w:r>
    </w:p>
    <w:p w14:paraId="02A7EB06"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For instance, in the Maldives, 90% of international tourists arrive by air. The hospitality sector contributes over 25% of the country’s GDP, with a heavy reliance on long-haul visitors (Ministry of Tourism Maldives, 2023). Without aviation, these economies would struggle to attract international business.</w:t>
      </w:r>
    </w:p>
    <w:p w14:paraId="7EEFFFEC"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However, this dependence on air travel also presents vulnerabilities:</w:t>
      </w:r>
    </w:p>
    <w:p w14:paraId="5839EA29" w14:textId="77777777" w:rsidR="00D11E5B" w:rsidRPr="00D11E5B" w:rsidRDefault="00D11E5B" w:rsidP="00CE63F6">
      <w:pPr>
        <w:numPr>
          <w:ilvl w:val="0"/>
          <w:numId w:val="3"/>
        </w:numPr>
        <w:spacing w:line="360" w:lineRule="auto"/>
        <w:rPr>
          <w:rFonts w:ascii="Arial" w:hAnsi="Arial" w:cs="Arial"/>
          <w:sz w:val="22"/>
          <w:szCs w:val="22"/>
        </w:rPr>
      </w:pPr>
      <w:r w:rsidRPr="00D11E5B">
        <w:rPr>
          <w:rFonts w:ascii="Arial" w:hAnsi="Arial" w:cs="Arial"/>
          <w:b/>
          <w:bCs/>
          <w:sz w:val="22"/>
          <w:szCs w:val="22"/>
        </w:rPr>
        <w:t>Overtourism</w:t>
      </w:r>
      <w:r w:rsidRPr="00D11E5B">
        <w:rPr>
          <w:rFonts w:ascii="Arial" w:hAnsi="Arial" w:cs="Arial"/>
          <w:sz w:val="22"/>
          <w:szCs w:val="22"/>
        </w:rPr>
        <w:t>: Popular destinations like Barcelona and Venice have seen increased social tensions due to overcrowding driven by budget airlines and package holidays (Milano et al., 2022).</w:t>
      </w:r>
    </w:p>
    <w:p w14:paraId="40D9072D" w14:textId="77777777" w:rsidR="00D11E5B" w:rsidRPr="00D11E5B" w:rsidRDefault="00D11E5B" w:rsidP="00CE63F6">
      <w:pPr>
        <w:numPr>
          <w:ilvl w:val="0"/>
          <w:numId w:val="3"/>
        </w:numPr>
        <w:spacing w:line="360" w:lineRule="auto"/>
        <w:rPr>
          <w:rFonts w:ascii="Arial" w:hAnsi="Arial" w:cs="Arial"/>
          <w:sz w:val="22"/>
          <w:szCs w:val="22"/>
        </w:rPr>
      </w:pPr>
      <w:r w:rsidRPr="00D11E5B">
        <w:rPr>
          <w:rFonts w:ascii="Arial" w:hAnsi="Arial" w:cs="Arial"/>
          <w:b/>
          <w:bCs/>
          <w:sz w:val="22"/>
          <w:szCs w:val="22"/>
        </w:rPr>
        <w:t>Carbon Inequality</w:t>
      </w:r>
      <w:r w:rsidRPr="00D11E5B">
        <w:rPr>
          <w:rFonts w:ascii="Arial" w:hAnsi="Arial" w:cs="Arial"/>
          <w:sz w:val="22"/>
          <w:szCs w:val="22"/>
        </w:rPr>
        <w:t xml:space="preserve">: A small percentage of the global population accounts for </w:t>
      </w:r>
      <w:proofErr w:type="gramStart"/>
      <w:r w:rsidRPr="00D11E5B">
        <w:rPr>
          <w:rFonts w:ascii="Arial" w:hAnsi="Arial" w:cs="Arial"/>
          <w:sz w:val="22"/>
          <w:szCs w:val="22"/>
        </w:rPr>
        <w:t>the majority of</w:t>
      </w:r>
      <w:proofErr w:type="gramEnd"/>
      <w:r w:rsidRPr="00D11E5B">
        <w:rPr>
          <w:rFonts w:ascii="Arial" w:hAnsi="Arial" w:cs="Arial"/>
          <w:sz w:val="22"/>
          <w:szCs w:val="22"/>
        </w:rPr>
        <w:t xml:space="preserve"> flight emissions, raising ethical concerns over environmental justice (Gössling et al., 2020).</w:t>
      </w:r>
    </w:p>
    <w:p w14:paraId="60F532D8" w14:textId="77777777" w:rsidR="00D11E5B" w:rsidRPr="00D11E5B" w:rsidRDefault="00D11E5B" w:rsidP="00CE63F6">
      <w:pPr>
        <w:numPr>
          <w:ilvl w:val="0"/>
          <w:numId w:val="3"/>
        </w:numPr>
        <w:spacing w:line="360" w:lineRule="auto"/>
        <w:rPr>
          <w:rFonts w:ascii="Arial" w:hAnsi="Arial" w:cs="Arial"/>
          <w:sz w:val="22"/>
          <w:szCs w:val="22"/>
        </w:rPr>
      </w:pPr>
      <w:r w:rsidRPr="00D11E5B">
        <w:rPr>
          <w:rFonts w:ascii="Arial" w:hAnsi="Arial" w:cs="Arial"/>
          <w:b/>
          <w:bCs/>
          <w:sz w:val="22"/>
          <w:szCs w:val="22"/>
        </w:rPr>
        <w:t>Job Insecurity</w:t>
      </w:r>
      <w:r w:rsidRPr="00D11E5B">
        <w:rPr>
          <w:rFonts w:ascii="Arial" w:hAnsi="Arial" w:cs="Arial"/>
          <w:sz w:val="22"/>
          <w:szCs w:val="22"/>
        </w:rPr>
        <w:t>: The aviation sector is prone to disruptions (e.g., pandemics, fuel prices), which can lead to layoffs and unstable employment within both airlines and hospitality providers.</w:t>
      </w:r>
    </w:p>
    <w:p w14:paraId="39AC7F15"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Thus, the industry must strike a balance between growth and sustainability, supporting local communities while reducing its climate footprint.</w:t>
      </w:r>
    </w:p>
    <w:p w14:paraId="299410B6" w14:textId="567F22E4" w:rsidR="00D11E5B" w:rsidRPr="00D11E5B" w:rsidRDefault="00D11E5B" w:rsidP="00CE63F6">
      <w:pPr>
        <w:spacing w:line="360" w:lineRule="auto"/>
        <w:rPr>
          <w:rFonts w:ascii="Arial" w:hAnsi="Arial" w:cs="Arial"/>
          <w:sz w:val="22"/>
          <w:szCs w:val="22"/>
        </w:rPr>
      </w:pPr>
    </w:p>
    <w:p w14:paraId="3051E5EB"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3.4 Plausible Solutions Adopted by the Industry</w:t>
      </w:r>
    </w:p>
    <w:p w14:paraId="50EE2D0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To address the environmental impact of air travel, hospitality and aviation sectors are collaborating to introduce sustainable practices. Several solutions have emerged, varying in cost, scalability, and effectiveness:</w:t>
      </w:r>
    </w:p>
    <w:p w14:paraId="5C4167E3"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Sustainable Aviation Fuels (SAFs)</w:t>
      </w:r>
    </w:p>
    <w:p w14:paraId="543B5837"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SAFs are produced from renewable feedstocks such as used cooking oil, algae, or household waste. They can reduce lifecycle carbon emissions by up to 80% compared to conventional jet fuel (IATA, 2023).</w:t>
      </w:r>
    </w:p>
    <w:p w14:paraId="03B40D47" w14:textId="77777777" w:rsidR="00D11E5B" w:rsidRPr="00D11E5B" w:rsidRDefault="00D11E5B" w:rsidP="00CE63F6">
      <w:pPr>
        <w:numPr>
          <w:ilvl w:val="0"/>
          <w:numId w:val="4"/>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In 2022, British Airways began powering selected flights with SAF from its Heathrow base, aiming to reach net zero emissions by 2050 (British Airways, 2023).</w:t>
      </w:r>
    </w:p>
    <w:p w14:paraId="2D6E015C" w14:textId="0FDAEEE0" w:rsidR="00D11E5B" w:rsidRPr="00D11E5B" w:rsidRDefault="00D11E5B" w:rsidP="00CE63F6">
      <w:pPr>
        <w:numPr>
          <w:ilvl w:val="0"/>
          <w:numId w:val="4"/>
        </w:numPr>
        <w:spacing w:line="360" w:lineRule="auto"/>
        <w:rPr>
          <w:rFonts w:ascii="Arial" w:hAnsi="Arial" w:cs="Arial"/>
          <w:sz w:val="22"/>
          <w:szCs w:val="22"/>
        </w:rPr>
      </w:pPr>
      <w:r w:rsidRPr="00D11E5B">
        <w:rPr>
          <w:rFonts w:ascii="Arial" w:hAnsi="Arial" w:cs="Arial"/>
          <w:b/>
          <w:bCs/>
          <w:sz w:val="22"/>
          <w:szCs w:val="22"/>
        </w:rPr>
        <w:lastRenderedPageBreak/>
        <w:t>Challenges</w:t>
      </w:r>
      <w:r w:rsidRPr="00D11E5B">
        <w:rPr>
          <w:rFonts w:ascii="Arial" w:hAnsi="Arial" w:cs="Arial"/>
          <w:sz w:val="22"/>
          <w:szCs w:val="22"/>
        </w:rPr>
        <w:t xml:space="preserve">: SAFs are currently </w:t>
      </w:r>
      <w:r w:rsidR="00CE63F6" w:rsidRPr="00D11E5B">
        <w:rPr>
          <w:rFonts w:ascii="Arial" w:hAnsi="Arial" w:cs="Arial"/>
          <w:sz w:val="22"/>
          <w:szCs w:val="22"/>
        </w:rPr>
        <w:t>expensive,</w:t>
      </w:r>
      <w:r w:rsidRPr="00D11E5B">
        <w:rPr>
          <w:rFonts w:ascii="Arial" w:hAnsi="Arial" w:cs="Arial"/>
          <w:sz w:val="22"/>
          <w:szCs w:val="22"/>
        </w:rPr>
        <w:t xml:space="preserve"> and supply is limited. Only 0.1% of global aviation fuel use was SAF in 2022 (IEA, 2023).</w:t>
      </w:r>
    </w:p>
    <w:p w14:paraId="7036F279"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Carbon Offsetting</w:t>
      </w:r>
    </w:p>
    <w:p w14:paraId="0700F3D0"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Offsetting allows passengers and operators to compensate for their emissions by investing in carbon-reducing projects like reforestation or renewable energy.</w:t>
      </w:r>
    </w:p>
    <w:p w14:paraId="4A961CBF" w14:textId="77777777" w:rsidR="00D11E5B" w:rsidRPr="00D11E5B" w:rsidRDefault="00D11E5B" w:rsidP="00CE63F6">
      <w:pPr>
        <w:numPr>
          <w:ilvl w:val="0"/>
          <w:numId w:val="5"/>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easyJet has invested in verified offsetting programmes since 2020, including forest protection and clean cooking projects in Africa and South America (easyJet, 2022).</w:t>
      </w:r>
    </w:p>
    <w:p w14:paraId="7BD9AF56" w14:textId="77777777" w:rsidR="00D11E5B" w:rsidRPr="00D11E5B" w:rsidRDefault="00D11E5B" w:rsidP="00CE63F6">
      <w:pPr>
        <w:numPr>
          <w:ilvl w:val="0"/>
          <w:numId w:val="5"/>
        </w:numPr>
        <w:spacing w:line="360" w:lineRule="auto"/>
        <w:rPr>
          <w:rFonts w:ascii="Arial" w:hAnsi="Arial" w:cs="Arial"/>
          <w:sz w:val="22"/>
          <w:szCs w:val="22"/>
        </w:rPr>
      </w:pPr>
      <w:r w:rsidRPr="00D11E5B">
        <w:rPr>
          <w:rFonts w:ascii="Arial" w:hAnsi="Arial" w:cs="Arial"/>
          <w:b/>
          <w:bCs/>
          <w:sz w:val="22"/>
          <w:szCs w:val="22"/>
        </w:rPr>
        <w:t>Criticism</w:t>
      </w:r>
      <w:r w:rsidRPr="00D11E5B">
        <w:rPr>
          <w:rFonts w:ascii="Arial" w:hAnsi="Arial" w:cs="Arial"/>
          <w:sz w:val="22"/>
          <w:szCs w:val="22"/>
        </w:rPr>
        <w:t>: Critics argue that offsetting does not reduce emissions at the source and may delay structural changes in the industry (Gössling &amp; Higham, 2021).</w:t>
      </w:r>
    </w:p>
    <w:p w14:paraId="69288248"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Operational Efficiencies</w:t>
      </w:r>
    </w:p>
    <w:p w14:paraId="521AF0B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Improving aircraft fuel efficiency through lighter materials, optimised flight paths, and newer aircraft models is another important strategy.</w:t>
      </w:r>
    </w:p>
    <w:p w14:paraId="6E91F0F9" w14:textId="77777777" w:rsidR="00D11E5B" w:rsidRPr="00D11E5B" w:rsidRDefault="00D11E5B" w:rsidP="00CE63F6">
      <w:pPr>
        <w:numPr>
          <w:ilvl w:val="0"/>
          <w:numId w:val="6"/>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Lufthansa's new fleet includes Airbus A350s, which consume 25% less fuel per passenger than older models (Lufthansa Group, 2022).</w:t>
      </w:r>
    </w:p>
    <w:p w14:paraId="6FD685C0" w14:textId="77777777" w:rsidR="00D11E5B" w:rsidRPr="00D11E5B" w:rsidRDefault="00D11E5B" w:rsidP="00CE63F6">
      <w:pPr>
        <w:numPr>
          <w:ilvl w:val="0"/>
          <w:numId w:val="6"/>
        </w:numPr>
        <w:spacing w:line="360" w:lineRule="auto"/>
        <w:rPr>
          <w:rFonts w:ascii="Arial" w:hAnsi="Arial" w:cs="Arial"/>
          <w:sz w:val="22"/>
          <w:szCs w:val="22"/>
        </w:rPr>
      </w:pPr>
      <w:r w:rsidRPr="00D11E5B">
        <w:rPr>
          <w:rFonts w:ascii="Arial" w:hAnsi="Arial" w:cs="Arial"/>
          <w:b/>
          <w:bCs/>
          <w:sz w:val="22"/>
          <w:szCs w:val="22"/>
        </w:rPr>
        <w:t>Benefit</w:t>
      </w:r>
      <w:r w:rsidRPr="00D11E5B">
        <w:rPr>
          <w:rFonts w:ascii="Arial" w:hAnsi="Arial" w:cs="Arial"/>
          <w:sz w:val="22"/>
          <w:szCs w:val="22"/>
        </w:rPr>
        <w:t>: These measures are more cost-effective and immediately applicable for many carriers.</w:t>
      </w:r>
    </w:p>
    <w:p w14:paraId="13D61C5A"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Integrating Hospitality Partnerships</w:t>
      </w:r>
    </w:p>
    <w:p w14:paraId="180A5714"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Hotels and tour operators increasingly collaborate with airlines to promote low-emission options and raise awareness.</w:t>
      </w:r>
    </w:p>
    <w:p w14:paraId="5FBB5E73" w14:textId="77777777" w:rsidR="00D11E5B" w:rsidRPr="00D11E5B" w:rsidRDefault="00D11E5B" w:rsidP="00CE63F6">
      <w:pPr>
        <w:numPr>
          <w:ilvl w:val="0"/>
          <w:numId w:val="7"/>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Hilton's Travel with Purpose initiative includes partnering with suppliers that demonstrate emissions reductions, including air transport providers (Hilton, 2023).</w:t>
      </w:r>
    </w:p>
    <w:p w14:paraId="322346DB" w14:textId="77777777" w:rsidR="00D11E5B" w:rsidRPr="00D11E5B" w:rsidRDefault="00D11E5B" w:rsidP="00CE63F6">
      <w:pPr>
        <w:numPr>
          <w:ilvl w:val="0"/>
          <w:numId w:val="7"/>
        </w:numPr>
        <w:spacing w:line="360" w:lineRule="auto"/>
        <w:rPr>
          <w:rFonts w:ascii="Arial" w:hAnsi="Arial" w:cs="Arial"/>
          <w:sz w:val="22"/>
          <w:szCs w:val="22"/>
        </w:rPr>
      </w:pPr>
      <w:r w:rsidRPr="00D11E5B">
        <w:rPr>
          <w:rFonts w:ascii="Arial" w:hAnsi="Arial" w:cs="Arial"/>
          <w:b/>
          <w:bCs/>
          <w:sz w:val="22"/>
          <w:szCs w:val="22"/>
        </w:rPr>
        <w:t>Outcome</w:t>
      </w:r>
      <w:r w:rsidRPr="00D11E5B">
        <w:rPr>
          <w:rFonts w:ascii="Arial" w:hAnsi="Arial" w:cs="Arial"/>
          <w:sz w:val="22"/>
          <w:szCs w:val="22"/>
        </w:rPr>
        <w:t>: Aligning sustainability goals across the supply chain enhances customer perception and encourages loyalty.</w:t>
      </w:r>
    </w:p>
    <w:p w14:paraId="0E621AAD" w14:textId="5D0AC0D8" w:rsidR="00D11E5B" w:rsidRPr="00D11E5B" w:rsidRDefault="00D11E5B" w:rsidP="00CE63F6">
      <w:pPr>
        <w:spacing w:line="360" w:lineRule="auto"/>
        <w:rPr>
          <w:rFonts w:ascii="Arial" w:hAnsi="Arial" w:cs="Arial"/>
          <w:sz w:val="22"/>
          <w:szCs w:val="22"/>
        </w:rPr>
      </w:pPr>
    </w:p>
    <w:p w14:paraId="64A60D87"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3.5 Future Innovations and Recommendations</w:t>
      </w:r>
    </w:p>
    <w:p w14:paraId="5161D41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Beyond current solutions, innovation will be key to decarbonising aviation in the long term. Several technological and behavioural approaches show promise:</w:t>
      </w:r>
    </w:p>
    <w:p w14:paraId="3112BE0A"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Electric and Hybrid Aircraft</w:t>
      </w:r>
    </w:p>
    <w:p w14:paraId="3711623F"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lastRenderedPageBreak/>
        <w:t>Several aerospace companies are developing electric and hybrid aircraft for short-haul travel. While not suitable for long-haul routes yet, they could revolutionise regional tourism.</w:t>
      </w:r>
    </w:p>
    <w:p w14:paraId="30F2D1D8" w14:textId="77777777" w:rsidR="00D11E5B" w:rsidRPr="00D11E5B" w:rsidRDefault="00D11E5B" w:rsidP="00CE63F6">
      <w:pPr>
        <w:numPr>
          <w:ilvl w:val="0"/>
          <w:numId w:val="8"/>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Rolls-Royce and Tecnam are collaborating on a fully electric aircraft aimed at the commuter market by 2026 (Rolls-Royce, 2022).</w:t>
      </w:r>
    </w:p>
    <w:p w14:paraId="6E6925D4"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Hydrogen-Powered Flights</w:t>
      </w:r>
    </w:p>
    <w:p w14:paraId="52DD3877"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Hydrogen emits only water vapour and heat when used in fuel cells, offering a potentially clean solution for air travel. Airbus aims to launch hydrogen-powered aircraft by 2035 (Airbus, 2023).</w:t>
      </w:r>
    </w:p>
    <w:p w14:paraId="0BCC1037" w14:textId="77777777" w:rsidR="00D11E5B" w:rsidRPr="00D11E5B" w:rsidRDefault="00D11E5B" w:rsidP="00CE63F6">
      <w:pPr>
        <w:numPr>
          <w:ilvl w:val="0"/>
          <w:numId w:val="9"/>
        </w:numPr>
        <w:spacing w:line="360" w:lineRule="auto"/>
        <w:rPr>
          <w:rFonts w:ascii="Arial" w:hAnsi="Arial" w:cs="Arial"/>
          <w:sz w:val="22"/>
          <w:szCs w:val="22"/>
        </w:rPr>
      </w:pPr>
      <w:r w:rsidRPr="00D11E5B">
        <w:rPr>
          <w:rFonts w:ascii="Arial" w:hAnsi="Arial" w:cs="Arial"/>
          <w:b/>
          <w:bCs/>
          <w:sz w:val="22"/>
          <w:szCs w:val="22"/>
        </w:rPr>
        <w:t>Challenges</w:t>
      </w:r>
      <w:r w:rsidRPr="00D11E5B">
        <w:rPr>
          <w:rFonts w:ascii="Arial" w:hAnsi="Arial" w:cs="Arial"/>
          <w:sz w:val="22"/>
          <w:szCs w:val="22"/>
        </w:rPr>
        <w:t>: Infrastructure, storage, and safety issues remain, requiring major investment from both public and private sectors.</w:t>
      </w:r>
    </w:p>
    <w:p w14:paraId="2E96BF6F" w14:textId="77777777"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t>Policy and Behavioural Change</w:t>
      </w:r>
    </w:p>
    <w:p w14:paraId="683ADAA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Government policies such as flight taxes or green incentives could push the industry to adopt sustainable practices more quickly.</w:t>
      </w:r>
    </w:p>
    <w:p w14:paraId="34E3A7B1" w14:textId="77777777" w:rsidR="00D11E5B" w:rsidRPr="00D11E5B" w:rsidRDefault="00D11E5B" w:rsidP="00CE63F6">
      <w:pPr>
        <w:numPr>
          <w:ilvl w:val="0"/>
          <w:numId w:val="10"/>
        </w:numPr>
        <w:spacing w:line="360" w:lineRule="auto"/>
        <w:rPr>
          <w:rFonts w:ascii="Arial" w:hAnsi="Arial" w:cs="Arial"/>
          <w:sz w:val="22"/>
          <w:szCs w:val="22"/>
        </w:rPr>
      </w:pPr>
      <w:r w:rsidRPr="00D11E5B">
        <w:rPr>
          <w:rFonts w:ascii="Arial" w:hAnsi="Arial" w:cs="Arial"/>
          <w:b/>
          <w:bCs/>
          <w:sz w:val="22"/>
          <w:szCs w:val="22"/>
        </w:rPr>
        <w:t>Example</w:t>
      </w:r>
      <w:r w:rsidRPr="00D11E5B">
        <w:rPr>
          <w:rFonts w:ascii="Arial" w:hAnsi="Arial" w:cs="Arial"/>
          <w:sz w:val="22"/>
          <w:szCs w:val="22"/>
        </w:rPr>
        <w:t>: France has banned domestic short-haul flights where a train alternative of under 2.5 hours exists (Reuters, 2023).</w:t>
      </w:r>
    </w:p>
    <w:p w14:paraId="1CA4F56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Hospitality providers also have a role in encouraging sustainable transport choices by:</w:t>
      </w:r>
    </w:p>
    <w:p w14:paraId="7F679B40" w14:textId="77777777" w:rsidR="00D11E5B" w:rsidRPr="00D11E5B" w:rsidRDefault="00D11E5B" w:rsidP="00CE63F6">
      <w:pPr>
        <w:numPr>
          <w:ilvl w:val="0"/>
          <w:numId w:val="11"/>
        </w:numPr>
        <w:spacing w:line="360" w:lineRule="auto"/>
        <w:rPr>
          <w:rFonts w:ascii="Arial" w:hAnsi="Arial" w:cs="Arial"/>
          <w:sz w:val="22"/>
          <w:szCs w:val="22"/>
        </w:rPr>
      </w:pPr>
      <w:r w:rsidRPr="00D11E5B">
        <w:rPr>
          <w:rFonts w:ascii="Arial" w:hAnsi="Arial" w:cs="Arial"/>
          <w:sz w:val="22"/>
          <w:szCs w:val="22"/>
        </w:rPr>
        <w:t>Offering eco-conscious travel packages</w:t>
      </w:r>
    </w:p>
    <w:p w14:paraId="44BBEBD9" w14:textId="77777777" w:rsidR="00D11E5B" w:rsidRPr="00D11E5B" w:rsidRDefault="00D11E5B" w:rsidP="00CE63F6">
      <w:pPr>
        <w:numPr>
          <w:ilvl w:val="0"/>
          <w:numId w:val="11"/>
        </w:numPr>
        <w:spacing w:line="360" w:lineRule="auto"/>
        <w:rPr>
          <w:rFonts w:ascii="Arial" w:hAnsi="Arial" w:cs="Arial"/>
          <w:sz w:val="22"/>
          <w:szCs w:val="22"/>
        </w:rPr>
      </w:pPr>
      <w:r w:rsidRPr="00D11E5B">
        <w:rPr>
          <w:rFonts w:ascii="Arial" w:hAnsi="Arial" w:cs="Arial"/>
          <w:sz w:val="22"/>
          <w:szCs w:val="22"/>
        </w:rPr>
        <w:t>Providing information about carbon impacts</w:t>
      </w:r>
    </w:p>
    <w:p w14:paraId="7853B893" w14:textId="77777777" w:rsidR="00D11E5B" w:rsidRPr="00D11E5B" w:rsidRDefault="00D11E5B" w:rsidP="00CE63F6">
      <w:pPr>
        <w:numPr>
          <w:ilvl w:val="0"/>
          <w:numId w:val="11"/>
        </w:numPr>
        <w:spacing w:line="360" w:lineRule="auto"/>
        <w:rPr>
          <w:rFonts w:ascii="Arial" w:hAnsi="Arial" w:cs="Arial"/>
          <w:sz w:val="22"/>
          <w:szCs w:val="22"/>
        </w:rPr>
      </w:pPr>
      <w:r w:rsidRPr="00D11E5B">
        <w:rPr>
          <w:rFonts w:ascii="Arial" w:hAnsi="Arial" w:cs="Arial"/>
          <w:sz w:val="22"/>
          <w:szCs w:val="22"/>
        </w:rPr>
        <w:t>Partnering with low-emission airlines</w:t>
      </w:r>
    </w:p>
    <w:p w14:paraId="234B42F1" w14:textId="77777777" w:rsidR="00D11E5B" w:rsidRPr="00D11E5B" w:rsidRDefault="00D11E5B" w:rsidP="00CE63F6">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11E5B">
        <w:rPr>
          <w:rFonts w:ascii="Arial" w:eastAsia="Times New Roman" w:hAnsi="Arial" w:cs="Arial"/>
          <w:b/>
          <w:bCs/>
          <w:kern w:val="0"/>
          <w:sz w:val="22"/>
          <w:szCs w:val="22"/>
          <w:lang w:eastAsia="en-GB"/>
          <w14:ligatures w14:val="none"/>
        </w:rPr>
        <w:t>4. Conclusion and Recommendations</w:t>
      </w:r>
    </w:p>
    <w:p w14:paraId="1953DFDC" w14:textId="77777777" w:rsidR="00D11E5B" w:rsidRPr="00D11E5B" w:rsidRDefault="00D11E5B" w:rsidP="00CE63F6">
      <w:p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kern w:val="0"/>
          <w:sz w:val="22"/>
          <w:szCs w:val="22"/>
          <w:lang w:eastAsia="en-GB"/>
          <w14:ligatures w14:val="none"/>
        </w:rPr>
        <w:t>Air travel remains a vital component of the hospitality industry, connecting destinations, supporting economic development, and enabling international tourism. However, its environmental impact, particularly through greenhouse gas emissions, is significant and cannot be ignored. The reliance on fossil fuels, coupled with the growing demand for long-haul flights, presents a serious challenge to global climate goals and the hospitality sector’s sustainability ambitions.</w:t>
      </w:r>
    </w:p>
    <w:p w14:paraId="41BFB943" w14:textId="77777777" w:rsidR="00D11E5B" w:rsidRPr="00D11E5B" w:rsidRDefault="00D11E5B" w:rsidP="00CE63F6">
      <w:p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kern w:val="0"/>
          <w:sz w:val="22"/>
          <w:szCs w:val="22"/>
          <w:lang w:eastAsia="en-GB"/>
          <w14:ligatures w14:val="none"/>
        </w:rPr>
        <w:t>This report has explored the key issues associated with air transport, including its contribution to global warming, noise and air pollution, and its role in overtourism. While recognising the social and economic benefits of aviation, particularly for remote or tourism-dependent regions, the analysis has shown that transformative action is urgently needed.</w:t>
      </w:r>
    </w:p>
    <w:p w14:paraId="73331DF9" w14:textId="77777777" w:rsidR="00D11E5B" w:rsidRPr="00D11E5B" w:rsidRDefault="00D11E5B" w:rsidP="00CE63F6">
      <w:pPr>
        <w:spacing w:before="100" w:beforeAutospacing="1" w:after="100" w:afterAutospacing="1" w:line="360" w:lineRule="auto"/>
        <w:rPr>
          <w:rFonts w:ascii="Arial" w:eastAsia="Times New Roman" w:hAnsi="Arial" w:cs="Arial"/>
          <w:kern w:val="0"/>
          <w:sz w:val="22"/>
          <w:szCs w:val="22"/>
          <w:lang w:eastAsia="en-GB"/>
          <w14:ligatures w14:val="none"/>
        </w:rPr>
      </w:pPr>
      <w:proofErr w:type="gramStart"/>
      <w:r w:rsidRPr="00D11E5B">
        <w:rPr>
          <w:rFonts w:ascii="Arial" w:eastAsia="Times New Roman" w:hAnsi="Arial" w:cs="Arial"/>
          <w:kern w:val="0"/>
          <w:sz w:val="22"/>
          <w:szCs w:val="22"/>
          <w:lang w:eastAsia="en-GB"/>
          <w14:ligatures w14:val="none"/>
        </w:rPr>
        <w:lastRenderedPageBreak/>
        <w:t>A number of</w:t>
      </w:r>
      <w:proofErr w:type="gramEnd"/>
      <w:r w:rsidRPr="00D11E5B">
        <w:rPr>
          <w:rFonts w:ascii="Arial" w:eastAsia="Times New Roman" w:hAnsi="Arial" w:cs="Arial"/>
          <w:kern w:val="0"/>
          <w:sz w:val="22"/>
          <w:szCs w:val="22"/>
          <w:lang w:eastAsia="en-GB"/>
          <w14:ligatures w14:val="none"/>
        </w:rPr>
        <w:t xml:space="preserve"> plausible solutions are already in motion. These include the development and use of Sustainable Aviation Fuels (SAFs), improved fuel efficiency, offsetting strategies, and partnerships between airlines and hospitality businesses to promote greener travel. Innovations such as electric and hydrogen-powered aircraft offer hope for the future, although these remain in the developmental stage. Policy interventions and behavioural change — both by businesses and consumers — will also be vital to reduce aviation’s environmental footprint.</w:t>
      </w:r>
    </w:p>
    <w:p w14:paraId="0B11C31C" w14:textId="77777777" w:rsidR="00D11E5B" w:rsidRPr="00D11E5B" w:rsidRDefault="00D11E5B" w:rsidP="00CE63F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D11E5B">
        <w:rPr>
          <w:rFonts w:ascii="Arial" w:eastAsia="Times New Roman" w:hAnsi="Arial" w:cs="Arial"/>
          <w:b/>
          <w:bCs/>
          <w:kern w:val="0"/>
          <w:sz w:val="22"/>
          <w:szCs w:val="22"/>
          <w:lang w:eastAsia="en-GB"/>
          <w14:ligatures w14:val="none"/>
        </w:rPr>
        <w:t>Key Recommendations:</w:t>
      </w:r>
    </w:p>
    <w:p w14:paraId="4376C125" w14:textId="77777777" w:rsidR="00D11E5B" w:rsidRPr="00D11E5B" w:rsidRDefault="00D11E5B" w:rsidP="00CE63F6">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b/>
          <w:bCs/>
          <w:kern w:val="0"/>
          <w:sz w:val="22"/>
          <w:szCs w:val="22"/>
          <w:lang w:eastAsia="en-GB"/>
          <w14:ligatures w14:val="none"/>
        </w:rPr>
        <w:t>Wider Adoption of SAFs</w:t>
      </w:r>
      <w:r w:rsidRPr="00D11E5B">
        <w:rPr>
          <w:rFonts w:ascii="Arial" w:eastAsia="Times New Roman" w:hAnsi="Arial" w:cs="Arial"/>
          <w:kern w:val="0"/>
          <w:sz w:val="22"/>
          <w:szCs w:val="22"/>
          <w:lang w:eastAsia="en-GB"/>
          <w14:ligatures w14:val="none"/>
        </w:rPr>
        <w:t>: Governments should incentivise production and airlines should commit to higher blends to lower carbon emissions.</w:t>
      </w:r>
    </w:p>
    <w:p w14:paraId="3DDC7638" w14:textId="77777777" w:rsidR="00D11E5B" w:rsidRPr="00D11E5B" w:rsidRDefault="00D11E5B" w:rsidP="00CE63F6">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b/>
          <w:bCs/>
          <w:kern w:val="0"/>
          <w:sz w:val="22"/>
          <w:szCs w:val="22"/>
          <w:lang w:eastAsia="en-GB"/>
          <w14:ligatures w14:val="none"/>
        </w:rPr>
        <w:t>Transparent Offset Schemes</w:t>
      </w:r>
      <w:r w:rsidRPr="00D11E5B">
        <w:rPr>
          <w:rFonts w:ascii="Arial" w:eastAsia="Times New Roman" w:hAnsi="Arial" w:cs="Arial"/>
          <w:kern w:val="0"/>
          <w:sz w:val="22"/>
          <w:szCs w:val="22"/>
          <w:lang w:eastAsia="en-GB"/>
          <w14:ligatures w14:val="none"/>
        </w:rPr>
        <w:t>: Hospitality businesses promoting flights should offer credible carbon offsetting options and disclose their environmental impact clearly.</w:t>
      </w:r>
    </w:p>
    <w:p w14:paraId="4DB00AA6" w14:textId="77777777" w:rsidR="00D11E5B" w:rsidRPr="00D11E5B" w:rsidRDefault="00D11E5B" w:rsidP="00CE63F6">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b/>
          <w:bCs/>
          <w:kern w:val="0"/>
          <w:sz w:val="22"/>
          <w:szCs w:val="22"/>
          <w:lang w:eastAsia="en-GB"/>
          <w14:ligatures w14:val="none"/>
        </w:rPr>
        <w:t>Investment in Innovation</w:t>
      </w:r>
      <w:r w:rsidRPr="00D11E5B">
        <w:rPr>
          <w:rFonts w:ascii="Arial" w:eastAsia="Times New Roman" w:hAnsi="Arial" w:cs="Arial"/>
          <w:kern w:val="0"/>
          <w:sz w:val="22"/>
          <w:szCs w:val="22"/>
          <w:lang w:eastAsia="en-GB"/>
          <w14:ligatures w14:val="none"/>
        </w:rPr>
        <w:t>: Hospitality groups should invest in or support the research and development of electric and hydrogen-powered aircraft.</w:t>
      </w:r>
    </w:p>
    <w:p w14:paraId="75956701" w14:textId="77777777" w:rsidR="00D11E5B" w:rsidRPr="00D11E5B" w:rsidRDefault="00D11E5B" w:rsidP="00CE63F6">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b/>
          <w:bCs/>
          <w:kern w:val="0"/>
          <w:sz w:val="22"/>
          <w:szCs w:val="22"/>
          <w:lang w:eastAsia="en-GB"/>
          <w14:ligatures w14:val="none"/>
        </w:rPr>
        <w:t>Promote Alternative Transport</w:t>
      </w:r>
      <w:r w:rsidRPr="00D11E5B">
        <w:rPr>
          <w:rFonts w:ascii="Arial" w:eastAsia="Times New Roman" w:hAnsi="Arial" w:cs="Arial"/>
          <w:kern w:val="0"/>
          <w:sz w:val="22"/>
          <w:szCs w:val="22"/>
          <w:lang w:eastAsia="en-GB"/>
          <w14:ligatures w14:val="none"/>
        </w:rPr>
        <w:t>: Where possible, encourage rail or coach travel, especially for short-haul journeys, through integrated holiday packages.</w:t>
      </w:r>
    </w:p>
    <w:p w14:paraId="7F9D965C" w14:textId="77777777" w:rsidR="00D11E5B" w:rsidRPr="00D11E5B" w:rsidRDefault="00D11E5B" w:rsidP="00CE63F6">
      <w:pPr>
        <w:numPr>
          <w:ilvl w:val="0"/>
          <w:numId w:val="12"/>
        </w:numPr>
        <w:spacing w:before="100" w:beforeAutospacing="1" w:after="100" w:afterAutospacing="1" w:line="360" w:lineRule="auto"/>
        <w:rPr>
          <w:rFonts w:ascii="Arial" w:eastAsia="Times New Roman" w:hAnsi="Arial" w:cs="Arial"/>
          <w:kern w:val="0"/>
          <w:sz w:val="22"/>
          <w:szCs w:val="22"/>
          <w:lang w:eastAsia="en-GB"/>
          <w14:ligatures w14:val="none"/>
        </w:rPr>
      </w:pPr>
      <w:r w:rsidRPr="00D11E5B">
        <w:rPr>
          <w:rFonts w:ascii="Arial" w:eastAsia="Times New Roman" w:hAnsi="Arial" w:cs="Arial"/>
          <w:b/>
          <w:bCs/>
          <w:kern w:val="0"/>
          <w:sz w:val="22"/>
          <w:szCs w:val="22"/>
          <w:lang w:eastAsia="en-GB"/>
          <w14:ligatures w14:val="none"/>
        </w:rPr>
        <w:t>Consumer Awareness</w:t>
      </w:r>
      <w:r w:rsidRPr="00D11E5B">
        <w:rPr>
          <w:rFonts w:ascii="Arial" w:eastAsia="Times New Roman" w:hAnsi="Arial" w:cs="Arial"/>
          <w:kern w:val="0"/>
          <w:sz w:val="22"/>
          <w:szCs w:val="22"/>
          <w:lang w:eastAsia="en-GB"/>
          <w14:ligatures w14:val="none"/>
        </w:rPr>
        <w:t>: Educate guests on the impact of air travel and offer green travel incentives or loyalty rewards for sustainable choices.</w:t>
      </w:r>
    </w:p>
    <w:p w14:paraId="0589D926" w14:textId="74B37CCC" w:rsidR="00D11E5B" w:rsidRDefault="00D11E5B" w:rsidP="00CE63F6">
      <w:pPr>
        <w:spacing w:line="360" w:lineRule="auto"/>
        <w:rPr>
          <w:rFonts w:ascii="Arial" w:hAnsi="Arial" w:cs="Arial"/>
          <w:sz w:val="22"/>
          <w:szCs w:val="22"/>
        </w:rPr>
      </w:pPr>
      <w:r w:rsidRPr="00D11E5B">
        <w:rPr>
          <w:rFonts w:ascii="Arial" w:hAnsi="Arial" w:cs="Arial"/>
          <w:sz w:val="22"/>
          <w:szCs w:val="22"/>
        </w:rPr>
        <w:t>By adopting a collaborative and integrated approach that brings together airlines, hospitality providers, policymakers, environmental organisations, and travellers, the industry can begin to implement meaningful changes. Through shared responsibility and coordinated action, it is possible to develop more sustainable practices, reduce the environmental impact of air travel, and ensure that the continued growth of global tourism aligns with long-term climate and sustainability goals.</w:t>
      </w:r>
    </w:p>
    <w:p w14:paraId="6FDB4B4A" w14:textId="77777777" w:rsidR="00CE63F6" w:rsidRDefault="00CE63F6" w:rsidP="00CE63F6">
      <w:pPr>
        <w:spacing w:line="360" w:lineRule="auto"/>
        <w:rPr>
          <w:rFonts w:ascii="Arial" w:hAnsi="Arial" w:cs="Arial"/>
          <w:sz w:val="22"/>
          <w:szCs w:val="22"/>
        </w:rPr>
      </w:pPr>
    </w:p>
    <w:p w14:paraId="31C7E9BC" w14:textId="77777777" w:rsidR="00CE63F6" w:rsidRDefault="00CE63F6" w:rsidP="00CE63F6">
      <w:pPr>
        <w:spacing w:line="360" w:lineRule="auto"/>
        <w:rPr>
          <w:rFonts w:ascii="Arial" w:hAnsi="Arial" w:cs="Arial"/>
          <w:sz w:val="22"/>
          <w:szCs w:val="22"/>
        </w:rPr>
      </w:pPr>
    </w:p>
    <w:p w14:paraId="11CA270E" w14:textId="77777777" w:rsidR="00CE63F6" w:rsidRDefault="00CE63F6" w:rsidP="00CE63F6">
      <w:pPr>
        <w:spacing w:line="360" w:lineRule="auto"/>
        <w:rPr>
          <w:rFonts w:ascii="Arial" w:hAnsi="Arial" w:cs="Arial"/>
          <w:sz w:val="22"/>
          <w:szCs w:val="22"/>
        </w:rPr>
      </w:pPr>
    </w:p>
    <w:p w14:paraId="7505962D" w14:textId="77777777" w:rsidR="00CE63F6" w:rsidRDefault="00CE63F6" w:rsidP="00CE63F6">
      <w:pPr>
        <w:spacing w:line="360" w:lineRule="auto"/>
        <w:rPr>
          <w:rFonts w:ascii="Arial" w:hAnsi="Arial" w:cs="Arial"/>
          <w:sz w:val="22"/>
          <w:szCs w:val="22"/>
        </w:rPr>
      </w:pPr>
    </w:p>
    <w:p w14:paraId="475E4487" w14:textId="77777777" w:rsidR="00CE63F6" w:rsidRDefault="00CE63F6" w:rsidP="00CE63F6">
      <w:pPr>
        <w:spacing w:line="360" w:lineRule="auto"/>
        <w:rPr>
          <w:rFonts w:ascii="Arial" w:hAnsi="Arial" w:cs="Arial"/>
          <w:sz w:val="22"/>
          <w:szCs w:val="22"/>
        </w:rPr>
      </w:pPr>
    </w:p>
    <w:p w14:paraId="3DD24738" w14:textId="77777777" w:rsidR="00CE63F6" w:rsidRDefault="00CE63F6" w:rsidP="00CE63F6">
      <w:pPr>
        <w:spacing w:line="360" w:lineRule="auto"/>
        <w:rPr>
          <w:rFonts w:ascii="Arial" w:hAnsi="Arial" w:cs="Arial"/>
          <w:sz w:val="22"/>
          <w:szCs w:val="22"/>
        </w:rPr>
      </w:pPr>
    </w:p>
    <w:p w14:paraId="5BE2D1F8" w14:textId="77777777" w:rsidR="00CE63F6" w:rsidRPr="00D11E5B" w:rsidRDefault="00CE63F6" w:rsidP="00CE63F6">
      <w:pPr>
        <w:spacing w:line="360" w:lineRule="auto"/>
        <w:rPr>
          <w:rFonts w:ascii="Arial" w:hAnsi="Arial" w:cs="Arial"/>
          <w:sz w:val="22"/>
          <w:szCs w:val="22"/>
        </w:rPr>
      </w:pPr>
    </w:p>
    <w:p w14:paraId="000E540A" w14:textId="145C442D" w:rsidR="00D11E5B" w:rsidRPr="00D11E5B" w:rsidRDefault="00D11E5B" w:rsidP="00CE63F6">
      <w:pPr>
        <w:spacing w:line="360" w:lineRule="auto"/>
        <w:rPr>
          <w:rFonts w:ascii="Arial" w:hAnsi="Arial" w:cs="Arial"/>
          <w:b/>
          <w:bCs/>
          <w:sz w:val="22"/>
          <w:szCs w:val="22"/>
        </w:rPr>
      </w:pPr>
      <w:r w:rsidRPr="00D11E5B">
        <w:rPr>
          <w:rFonts w:ascii="Arial" w:hAnsi="Arial" w:cs="Arial"/>
          <w:b/>
          <w:bCs/>
          <w:sz w:val="22"/>
          <w:szCs w:val="22"/>
        </w:rPr>
        <w:lastRenderedPageBreak/>
        <w:t>5. Reference List</w:t>
      </w:r>
    </w:p>
    <w:p w14:paraId="54211517"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Airbus. (2023) </w:t>
      </w:r>
      <w:r w:rsidRPr="00D11E5B">
        <w:rPr>
          <w:rFonts w:ascii="Arial" w:hAnsi="Arial" w:cs="Arial"/>
          <w:i/>
          <w:iCs/>
          <w:sz w:val="22"/>
          <w:szCs w:val="22"/>
        </w:rPr>
        <w:t>Hydrogen-powered flight: ZEROe</w:t>
      </w:r>
      <w:r w:rsidRPr="00D11E5B">
        <w:rPr>
          <w:rFonts w:ascii="Arial" w:hAnsi="Arial" w:cs="Arial"/>
          <w:sz w:val="22"/>
          <w:szCs w:val="22"/>
        </w:rPr>
        <w:t>. Available at: https://www.airbus.com/en/innovation/zero-emission/hydrogen (Accessed: 10 May 2025).</w:t>
      </w:r>
    </w:p>
    <w:p w14:paraId="1432E64E"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Becken, S. (2020) ‘Decarbonising tourism: mission impossible?’, </w:t>
      </w:r>
      <w:r w:rsidRPr="00D11E5B">
        <w:rPr>
          <w:rFonts w:ascii="Arial" w:hAnsi="Arial" w:cs="Arial"/>
          <w:i/>
          <w:iCs/>
          <w:sz w:val="22"/>
          <w:szCs w:val="22"/>
        </w:rPr>
        <w:t>Tourism Recreation Research</w:t>
      </w:r>
      <w:r w:rsidRPr="00D11E5B">
        <w:rPr>
          <w:rFonts w:ascii="Arial" w:hAnsi="Arial" w:cs="Arial"/>
          <w:sz w:val="22"/>
          <w:szCs w:val="22"/>
        </w:rPr>
        <w:t>, 45(2), pp. 218–224.</w:t>
      </w:r>
    </w:p>
    <w:p w14:paraId="7FB9F4BB"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British Airways. (2023) </w:t>
      </w:r>
      <w:r w:rsidRPr="00D11E5B">
        <w:rPr>
          <w:rFonts w:ascii="Arial" w:hAnsi="Arial" w:cs="Arial"/>
          <w:i/>
          <w:iCs/>
          <w:sz w:val="22"/>
          <w:szCs w:val="22"/>
        </w:rPr>
        <w:t>Sustainable aviation fuel strategy</w:t>
      </w:r>
      <w:r w:rsidRPr="00D11E5B">
        <w:rPr>
          <w:rFonts w:ascii="Arial" w:hAnsi="Arial" w:cs="Arial"/>
          <w:sz w:val="22"/>
          <w:szCs w:val="22"/>
        </w:rPr>
        <w:t>. Available at: https://www.britishairways.com/en-gb/information/about-ba/sustainability (Accessed: 12 May 2025).</w:t>
      </w:r>
    </w:p>
    <w:p w14:paraId="1BEEA53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DEFRA. (2023) </w:t>
      </w:r>
      <w:r w:rsidRPr="00D11E5B">
        <w:rPr>
          <w:rFonts w:ascii="Arial" w:hAnsi="Arial" w:cs="Arial"/>
          <w:i/>
          <w:iCs/>
          <w:sz w:val="22"/>
          <w:szCs w:val="22"/>
        </w:rPr>
        <w:t>Environmental impacts of airports and air travel</w:t>
      </w:r>
      <w:r w:rsidRPr="00D11E5B">
        <w:rPr>
          <w:rFonts w:ascii="Arial" w:hAnsi="Arial" w:cs="Arial"/>
          <w:sz w:val="22"/>
          <w:szCs w:val="22"/>
        </w:rPr>
        <w:t>. London: Department for Environment, Food &amp; Rural Affairs.</w:t>
      </w:r>
    </w:p>
    <w:p w14:paraId="2D441B00"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easyJet. (2022) </w:t>
      </w:r>
      <w:r w:rsidRPr="00D11E5B">
        <w:rPr>
          <w:rFonts w:ascii="Arial" w:hAnsi="Arial" w:cs="Arial"/>
          <w:i/>
          <w:iCs/>
          <w:sz w:val="22"/>
          <w:szCs w:val="22"/>
        </w:rPr>
        <w:t>Net-zero roadmap</w:t>
      </w:r>
      <w:r w:rsidRPr="00D11E5B">
        <w:rPr>
          <w:rFonts w:ascii="Arial" w:hAnsi="Arial" w:cs="Arial"/>
          <w:sz w:val="22"/>
          <w:szCs w:val="22"/>
        </w:rPr>
        <w:t>. Available at: https://www.easyjet.com/en/sustainability/net-zero (Accessed: 12 May 2025).</w:t>
      </w:r>
    </w:p>
    <w:p w14:paraId="28CC8C7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Gössling, S., Scott, D. and Hall, C.M. (2020) ‘Pandemics, tourism and global change: a rapid assessment of COVID-19’, </w:t>
      </w:r>
      <w:r w:rsidRPr="00D11E5B">
        <w:rPr>
          <w:rFonts w:ascii="Arial" w:hAnsi="Arial" w:cs="Arial"/>
          <w:i/>
          <w:iCs/>
          <w:sz w:val="22"/>
          <w:szCs w:val="22"/>
        </w:rPr>
        <w:t>Journal of Sustainable Tourism</w:t>
      </w:r>
      <w:r w:rsidRPr="00D11E5B">
        <w:rPr>
          <w:rFonts w:ascii="Arial" w:hAnsi="Arial" w:cs="Arial"/>
          <w:sz w:val="22"/>
          <w:szCs w:val="22"/>
        </w:rPr>
        <w:t>, 29(1), pp. 1–20.</w:t>
      </w:r>
    </w:p>
    <w:p w14:paraId="4A34A2CB"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Gössling, S. and Higham, J. (2021) </w:t>
      </w:r>
      <w:r w:rsidRPr="00D11E5B">
        <w:rPr>
          <w:rFonts w:ascii="Arial" w:hAnsi="Arial" w:cs="Arial"/>
          <w:i/>
          <w:iCs/>
          <w:sz w:val="22"/>
          <w:szCs w:val="22"/>
        </w:rPr>
        <w:t>Climate Change and Aviation: Issues, Challenges and Solutions</w:t>
      </w:r>
      <w:r w:rsidRPr="00D11E5B">
        <w:rPr>
          <w:rFonts w:ascii="Arial" w:hAnsi="Arial" w:cs="Arial"/>
          <w:sz w:val="22"/>
          <w:szCs w:val="22"/>
        </w:rPr>
        <w:t>. 2nd edn. London: Earthscan.</w:t>
      </w:r>
    </w:p>
    <w:p w14:paraId="6056141F"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Hilton. (2023) </w:t>
      </w:r>
      <w:r w:rsidRPr="00D11E5B">
        <w:rPr>
          <w:rFonts w:ascii="Arial" w:hAnsi="Arial" w:cs="Arial"/>
          <w:i/>
          <w:iCs/>
          <w:sz w:val="22"/>
          <w:szCs w:val="22"/>
        </w:rPr>
        <w:t>Travel with Purpose 2030 Goals</w:t>
      </w:r>
      <w:r w:rsidRPr="00D11E5B">
        <w:rPr>
          <w:rFonts w:ascii="Arial" w:hAnsi="Arial" w:cs="Arial"/>
          <w:sz w:val="22"/>
          <w:szCs w:val="22"/>
        </w:rPr>
        <w:t>. Available at: https://esg.hilton.com/goals/ (Accessed: 13 May 2025).</w:t>
      </w:r>
    </w:p>
    <w:p w14:paraId="614EC2F3"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ICAO. (2022) </w:t>
      </w:r>
      <w:r w:rsidRPr="00D11E5B">
        <w:rPr>
          <w:rFonts w:ascii="Arial" w:hAnsi="Arial" w:cs="Arial"/>
          <w:i/>
          <w:iCs/>
          <w:sz w:val="22"/>
          <w:szCs w:val="22"/>
        </w:rPr>
        <w:t>Environmental Report 2022</w:t>
      </w:r>
      <w:r w:rsidRPr="00D11E5B">
        <w:rPr>
          <w:rFonts w:ascii="Arial" w:hAnsi="Arial" w:cs="Arial"/>
          <w:sz w:val="22"/>
          <w:szCs w:val="22"/>
        </w:rPr>
        <w:t>. Montreal: International Civil Aviation Organization.</w:t>
      </w:r>
    </w:p>
    <w:p w14:paraId="2599CE6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IEA. (2023) </w:t>
      </w:r>
      <w:r w:rsidRPr="00D11E5B">
        <w:rPr>
          <w:rFonts w:ascii="Arial" w:hAnsi="Arial" w:cs="Arial"/>
          <w:i/>
          <w:iCs/>
          <w:sz w:val="22"/>
          <w:szCs w:val="22"/>
        </w:rPr>
        <w:t>Sustainable aviation fuels: tracking report</w:t>
      </w:r>
      <w:r w:rsidRPr="00D11E5B">
        <w:rPr>
          <w:rFonts w:ascii="Arial" w:hAnsi="Arial" w:cs="Arial"/>
          <w:sz w:val="22"/>
          <w:szCs w:val="22"/>
        </w:rPr>
        <w:t>. Available at: https://www.iea.org/reports/sustainable-aviation-fuels (Accessed: 11 May 2025).</w:t>
      </w:r>
    </w:p>
    <w:p w14:paraId="188F1A82"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IATA. (2023) </w:t>
      </w:r>
      <w:r w:rsidRPr="00D11E5B">
        <w:rPr>
          <w:rFonts w:ascii="Arial" w:hAnsi="Arial" w:cs="Arial"/>
          <w:i/>
          <w:iCs/>
          <w:sz w:val="22"/>
          <w:szCs w:val="22"/>
        </w:rPr>
        <w:t>Net Zero by 2050: Aviation's commitment to climate action</w:t>
      </w:r>
      <w:r w:rsidRPr="00D11E5B">
        <w:rPr>
          <w:rFonts w:ascii="Arial" w:hAnsi="Arial" w:cs="Arial"/>
          <w:sz w:val="22"/>
          <w:szCs w:val="22"/>
        </w:rPr>
        <w:t>. Available at: https://www.iata.org/en/programs/environment/climate-change/ (Accessed: 9 May 2025).</w:t>
      </w:r>
    </w:p>
    <w:p w14:paraId="44F8BAB4"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Lee, D.S. et al. (2021) ‘The contribution of global aviation to climate change’, </w:t>
      </w:r>
      <w:r w:rsidRPr="00D11E5B">
        <w:rPr>
          <w:rFonts w:ascii="Arial" w:hAnsi="Arial" w:cs="Arial"/>
          <w:i/>
          <w:iCs/>
          <w:sz w:val="22"/>
          <w:szCs w:val="22"/>
        </w:rPr>
        <w:t>Atmospheric Environment</w:t>
      </w:r>
      <w:r w:rsidRPr="00D11E5B">
        <w:rPr>
          <w:rFonts w:ascii="Arial" w:hAnsi="Arial" w:cs="Arial"/>
          <w:sz w:val="22"/>
          <w:szCs w:val="22"/>
        </w:rPr>
        <w:t>, 244, p. 117834.</w:t>
      </w:r>
    </w:p>
    <w:p w14:paraId="151F5E30"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Lufthansa Group. (2022) </w:t>
      </w:r>
      <w:r w:rsidRPr="00D11E5B">
        <w:rPr>
          <w:rFonts w:ascii="Arial" w:hAnsi="Arial" w:cs="Arial"/>
          <w:i/>
          <w:iCs/>
          <w:sz w:val="22"/>
          <w:szCs w:val="22"/>
        </w:rPr>
        <w:t>Fleet modernisation and fuel efficiency</w:t>
      </w:r>
      <w:r w:rsidRPr="00D11E5B">
        <w:rPr>
          <w:rFonts w:ascii="Arial" w:hAnsi="Arial" w:cs="Arial"/>
          <w:sz w:val="22"/>
          <w:szCs w:val="22"/>
        </w:rPr>
        <w:t>. Available at: https://www.lufthansagroup.com/en/responsibility/climate-environment.html (Accessed: 14 May 2025).</w:t>
      </w:r>
    </w:p>
    <w:p w14:paraId="6F6D2642"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Milano, C., Cheer, J.M. and Novelli, M. (2022) </w:t>
      </w:r>
      <w:r w:rsidRPr="00D11E5B">
        <w:rPr>
          <w:rFonts w:ascii="Arial" w:hAnsi="Arial" w:cs="Arial"/>
          <w:i/>
          <w:iCs/>
          <w:sz w:val="22"/>
          <w:szCs w:val="22"/>
        </w:rPr>
        <w:t>Overtourism and Tourism Degrowth: Towards a Post-Pandemic Agenda</w:t>
      </w:r>
      <w:r w:rsidRPr="00D11E5B">
        <w:rPr>
          <w:rFonts w:ascii="Arial" w:hAnsi="Arial" w:cs="Arial"/>
          <w:sz w:val="22"/>
          <w:szCs w:val="22"/>
        </w:rPr>
        <w:t>. London: Routledge.</w:t>
      </w:r>
    </w:p>
    <w:p w14:paraId="4961B57A"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lastRenderedPageBreak/>
        <w:t xml:space="preserve">Ministry of Tourism Maldives. (2023) </w:t>
      </w:r>
      <w:r w:rsidRPr="00D11E5B">
        <w:rPr>
          <w:rFonts w:ascii="Arial" w:hAnsi="Arial" w:cs="Arial"/>
          <w:i/>
          <w:iCs/>
          <w:sz w:val="22"/>
          <w:szCs w:val="22"/>
        </w:rPr>
        <w:t>Tourism Yearbook 2023</w:t>
      </w:r>
      <w:r w:rsidRPr="00D11E5B">
        <w:rPr>
          <w:rFonts w:ascii="Arial" w:hAnsi="Arial" w:cs="Arial"/>
          <w:sz w:val="22"/>
          <w:szCs w:val="22"/>
        </w:rPr>
        <w:t>. Male: Government of Maldives.</w:t>
      </w:r>
    </w:p>
    <w:p w14:paraId="447BDAC4"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Our World in Data. (2022) </w:t>
      </w:r>
      <w:r w:rsidRPr="00D11E5B">
        <w:rPr>
          <w:rFonts w:ascii="Arial" w:hAnsi="Arial" w:cs="Arial"/>
          <w:i/>
          <w:iCs/>
          <w:sz w:val="22"/>
          <w:szCs w:val="22"/>
        </w:rPr>
        <w:t>CO</w:t>
      </w:r>
      <w:r w:rsidRPr="00D11E5B">
        <w:rPr>
          <w:rFonts w:ascii="Cambria Math" w:hAnsi="Cambria Math" w:cs="Cambria Math"/>
          <w:i/>
          <w:iCs/>
          <w:sz w:val="22"/>
          <w:szCs w:val="22"/>
        </w:rPr>
        <w:t>₂</w:t>
      </w:r>
      <w:r w:rsidRPr="00D11E5B">
        <w:rPr>
          <w:rFonts w:ascii="Arial" w:hAnsi="Arial" w:cs="Arial"/>
          <w:i/>
          <w:iCs/>
          <w:sz w:val="22"/>
          <w:szCs w:val="22"/>
        </w:rPr>
        <w:t xml:space="preserve"> emissions from air travel per person</w:t>
      </w:r>
      <w:r w:rsidRPr="00D11E5B">
        <w:rPr>
          <w:rFonts w:ascii="Arial" w:hAnsi="Arial" w:cs="Arial"/>
          <w:sz w:val="22"/>
          <w:szCs w:val="22"/>
        </w:rPr>
        <w:t>. Available at: https://ourworldindata.org/co2-emissions-from-aviation (Accessed: 11 May 2025).</w:t>
      </w:r>
    </w:p>
    <w:p w14:paraId="5E847C0D"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Reuters. (2023) ‘France bans short-haul flights to cut emissions’, </w:t>
      </w:r>
      <w:r w:rsidRPr="00D11E5B">
        <w:rPr>
          <w:rFonts w:ascii="Arial" w:hAnsi="Arial" w:cs="Arial"/>
          <w:i/>
          <w:iCs/>
          <w:sz w:val="22"/>
          <w:szCs w:val="22"/>
        </w:rPr>
        <w:t>Reuters</w:t>
      </w:r>
      <w:r w:rsidRPr="00D11E5B">
        <w:rPr>
          <w:rFonts w:ascii="Arial" w:hAnsi="Arial" w:cs="Arial"/>
          <w:sz w:val="22"/>
          <w:szCs w:val="22"/>
        </w:rPr>
        <w:t>, 23 May. Available at: https://www.reuters.com/world/europe/france-bans-short-haul-flights-2023/ (Accessed: 14 May 2025).</w:t>
      </w:r>
    </w:p>
    <w:p w14:paraId="1B97D950"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Rolls-Royce. (2022) </w:t>
      </w:r>
      <w:r w:rsidRPr="00D11E5B">
        <w:rPr>
          <w:rFonts w:ascii="Arial" w:hAnsi="Arial" w:cs="Arial"/>
          <w:i/>
          <w:iCs/>
          <w:sz w:val="22"/>
          <w:szCs w:val="22"/>
        </w:rPr>
        <w:t>Developing the future of electric aviation</w:t>
      </w:r>
      <w:r w:rsidRPr="00D11E5B">
        <w:rPr>
          <w:rFonts w:ascii="Arial" w:hAnsi="Arial" w:cs="Arial"/>
          <w:sz w:val="22"/>
          <w:szCs w:val="22"/>
        </w:rPr>
        <w:t>. Available at: https://www.rolls-royce.com/innovation/sustainable-power/electric-flight.aspx (Accessed: 10 May 2025).</w:t>
      </w:r>
    </w:p>
    <w:p w14:paraId="2B789CB1"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Smith, M.K., Sziva, I.P. and Olt, G. (2020) ‘Ongoing airport expansion and its ecological footprint’, </w:t>
      </w:r>
      <w:r w:rsidRPr="00D11E5B">
        <w:rPr>
          <w:rFonts w:ascii="Arial" w:hAnsi="Arial" w:cs="Arial"/>
          <w:i/>
          <w:iCs/>
          <w:sz w:val="22"/>
          <w:szCs w:val="22"/>
        </w:rPr>
        <w:t>Tourism Geographies</w:t>
      </w:r>
      <w:r w:rsidRPr="00D11E5B">
        <w:rPr>
          <w:rFonts w:ascii="Arial" w:hAnsi="Arial" w:cs="Arial"/>
          <w:sz w:val="22"/>
          <w:szCs w:val="22"/>
        </w:rPr>
        <w:t>, 22(5), pp. 956–976.</w:t>
      </w:r>
    </w:p>
    <w:p w14:paraId="4D2008D8"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UNWTO. (2020) </w:t>
      </w:r>
      <w:r w:rsidRPr="00D11E5B">
        <w:rPr>
          <w:rFonts w:ascii="Arial" w:hAnsi="Arial" w:cs="Arial"/>
          <w:i/>
          <w:iCs/>
          <w:sz w:val="22"/>
          <w:szCs w:val="22"/>
        </w:rPr>
        <w:t>International Tourism Highlights – 2019 Edition</w:t>
      </w:r>
      <w:r w:rsidRPr="00D11E5B">
        <w:rPr>
          <w:rFonts w:ascii="Arial" w:hAnsi="Arial" w:cs="Arial"/>
          <w:sz w:val="22"/>
          <w:szCs w:val="22"/>
        </w:rPr>
        <w:t>. Madrid: United Nations World Tourism Organization.</w:t>
      </w:r>
    </w:p>
    <w:p w14:paraId="61001870"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WHO. (2018) </w:t>
      </w:r>
      <w:r w:rsidRPr="00D11E5B">
        <w:rPr>
          <w:rFonts w:ascii="Arial" w:hAnsi="Arial" w:cs="Arial"/>
          <w:i/>
          <w:iCs/>
          <w:sz w:val="22"/>
          <w:szCs w:val="22"/>
        </w:rPr>
        <w:t>Environmental noise guidelines for the European region</w:t>
      </w:r>
      <w:r w:rsidRPr="00D11E5B">
        <w:rPr>
          <w:rFonts w:ascii="Arial" w:hAnsi="Arial" w:cs="Arial"/>
          <w:sz w:val="22"/>
          <w:szCs w:val="22"/>
        </w:rPr>
        <w:t>. Copenhagen: World Health Organization Regional Office for Europe.</w:t>
      </w:r>
    </w:p>
    <w:p w14:paraId="5BB675F3" w14:textId="77777777" w:rsidR="00D11E5B" w:rsidRPr="00D11E5B" w:rsidRDefault="00D11E5B" w:rsidP="00CE63F6">
      <w:pPr>
        <w:spacing w:line="360" w:lineRule="auto"/>
        <w:rPr>
          <w:rFonts w:ascii="Arial" w:hAnsi="Arial" w:cs="Arial"/>
          <w:sz w:val="22"/>
          <w:szCs w:val="22"/>
        </w:rPr>
      </w:pPr>
      <w:r w:rsidRPr="00D11E5B">
        <w:rPr>
          <w:rFonts w:ascii="Arial" w:hAnsi="Arial" w:cs="Arial"/>
          <w:sz w:val="22"/>
          <w:szCs w:val="22"/>
        </w:rPr>
        <w:t xml:space="preserve">WTTC. (2022) </w:t>
      </w:r>
      <w:r w:rsidRPr="00D11E5B">
        <w:rPr>
          <w:rFonts w:ascii="Arial" w:hAnsi="Arial" w:cs="Arial"/>
          <w:i/>
          <w:iCs/>
          <w:sz w:val="22"/>
          <w:szCs w:val="22"/>
        </w:rPr>
        <w:t>Travel and Tourism Economic Impact 2022</w:t>
      </w:r>
      <w:r w:rsidRPr="00D11E5B">
        <w:rPr>
          <w:rFonts w:ascii="Arial" w:hAnsi="Arial" w:cs="Arial"/>
          <w:sz w:val="22"/>
          <w:szCs w:val="22"/>
        </w:rPr>
        <w:t>. London: World Travel &amp; Tourism Council.</w:t>
      </w:r>
    </w:p>
    <w:p w14:paraId="53D346B5" w14:textId="77777777" w:rsidR="00D11E5B" w:rsidRDefault="00D11E5B"/>
    <w:sectPr w:rsidR="00D11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E1207"/>
    <w:multiLevelType w:val="multilevel"/>
    <w:tmpl w:val="ADDEB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44876"/>
    <w:multiLevelType w:val="multilevel"/>
    <w:tmpl w:val="4EFA5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D4B66"/>
    <w:multiLevelType w:val="multilevel"/>
    <w:tmpl w:val="A62E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4656A7"/>
    <w:multiLevelType w:val="multilevel"/>
    <w:tmpl w:val="FC90D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10595A"/>
    <w:multiLevelType w:val="multilevel"/>
    <w:tmpl w:val="3184E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360085"/>
    <w:multiLevelType w:val="multilevel"/>
    <w:tmpl w:val="5B2E7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91583B"/>
    <w:multiLevelType w:val="multilevel"/>
    <w:tmpl w:val="4956F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ED5BBC"/>
    <w:multiLevelType w:val="multilevel"/>
    <w:tmpl w:val="285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DB29C7"/>
    <w:multiLevelType w:val="multilevel"/>
    <w:tmpl w:val="D27C5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3B6E8A"/>
    <w:multiLevelType w:val="multilevel"/>
    <w:tmpl w:val="D6123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890512"/>
    <w:multiLevelType w:val="multilevel"/>
    <w:tmpl w:val="894CA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8D1B62"/>
    <w:multiLevelType w:val="multilevel"/>
    <w:tmpl w:val="6C06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4980816">
    <w:abstractNumId w:val="9"/>
  </w:num>
  <w:num w:numId="2" w16cid:durableId="1377123201">
    <w:abstractNumId w:val="3"/>
  </w:num>
  <w:num w:numId="3" w16cid:durableId="32967545">
    <w:abstractNumId w:val="1"/>
  </w:num>
  <w:num w:numId="4" w16cid:durableId="1833058220">
    <w:abstractNumId w:val="8"/>
  </w:num>
  <w:num w:numId="5" w16cid:durableId="923881835">
    <w:abstractNumId w:val="11"/>
  </w:num>
  <w:num w:numId="6" w16cid:durableId="37170374">
    <w:abstractNumId w:val="4"/>
  </w:num>
  <w:num w:numId="7" w16cid:durableId="2031565292">
    <w:abstractNumId w:val="7"/>
  </w:num>
  <w:num w:numId="8" w16cid:durableId="1576546886">
    <w:abstractNumId w:val="6"/>
  </w:num>
  <w:num w:numId="9" w16cid:durableId="155730399">
    <w:abstractNumId w:val="10"/>
  </w:num>
  <w:num w:numId="10" w16cid:durableId="215624840">
    <w:abstractNumId w:val="5"/>
  </w:num>
  <w:num w:numId="11" w16cid:durableId="901409763">
    <w:abstractNumId w:val="2"/>
  </w:num>
  <w:num w:numId="12" w16cid:durableId="168105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5B"/>
    <w:rsid w:val="001841DA"/>
    <w:rsid w:val="00286938"/>
    <w:rsid w:val="00384AD7"/>
    <w:rsid w:val="00470EC8"/>
    <w:rsid w:val="009E0B48"/>
    <w:rsid w:val="00CE63F6"/>
    <w:rsid w:val="00D11E5B"/>
    <w:rsid w:val="00FC5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9B73CF"/>
  <w15:chartTrackingRefBased/>
  <w15:docId w15:val="{C4498D1C-415D-4694-BFAA-07E086025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1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1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E5B"/>
    <w:rPr>
      <w:rFonts w:eastAsiaTheme="majorEastAsia" w:cstheme="majorBidi"/>
      <w:color w:val="272727" w:themeColor="text1" w:themeTint="D8"/>
    </w:rPr>
  </w:style>
  <w:style w:type="paragraph" w:styleId="Title">
    <w:name w:val="Title"/>
    <w:basedOn w:val="Normal"/>
    <w:next w:val="Normal"/>
    <w:link w:val="TitleChar"/>
    <w:uiPriority w:val="10"/>
    <w:qFormat/>
    <w:rsid w:val="00D11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E5B"/>
    <w:pPr>
      <w:spacing w:before="160"/>
      <w:jc w:val="center"/>
    </w:pPr>
    <w:rPr>
      <w:i/>
      <w:iCs/>
      <w:color w:val="404040" w:themeColor="text1" w:themeTint="BF"/>
    </w:rPr>
  </w:style>
  <w:style w:type="character" w:customStyle="1" w:styleId="QuoteChar">
    <w:name w:val="Quote Char"/>
    <w:basedOn w:val="DefaultParagraphFont"/>
    <w:link w:val="Quote"/>
    <w:uiPriority w:val="29"/>
    <w:rsid w:val="00D11E5B"/>
    <w:rPr>
      <w:i/>
      <w:iCs/>
      <w:color w:val="404040" w:themeColor="text1" w:themeTint="BF"/>
    </w:rPr>
  </w:style>
  <w:style w:type="paragraph" w:styleId="ListParagraph">
    <w:name w:val="List Paragraph"/>
    <w:basedOn w:val="Normal"/>
    <w:uiPriority w:val="34"/>
    <w:qFormat/>
    <w:rsid w:val="00D11E5B"/>
    <w:pPr>
      <w:ind w:left="720"/>
      <w:contextualSpacing/>
    </w:pPr>
  </w:style>
  <w:style w:type="character" w:styleId="IntenseEmphasis">
    <w:name w:val="Intense Emphasis"/>
    <w:basedOn w:val="DefaultParagraphFont"/>
    <w:uiPriority w:val="21"/>
    <w:qFormat/>
    <w:rsid w:val="00D11E5B"/>
    <w:rPr>
      <w:i/>
      <w:iCs/>
      <w:color w:val="0F4761" w:themeColor="accent1" w:themeShade="BF"/>
    </w:rPr>
  </w:style>
  <w:style w:type="paragraph" w:styleId="IntenseQuote">
    <w:name w:val="Intense Quote"/>
    <w:basedOn w:val="Normal"/>
    <w:next w:val="Normal"/>
    <w:link w:val="IntenseQuoteChar"/>
    <w:uiPriority w:val="30"/>
    <w:qFormat/>
    <w:rsid w:val="00D11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E5B"/>
    <w:rPr>
      <w:i/>
      <w:iCs/>
      <w:color w:val="0F4761" w:themeColor="accent1" w:themeShade="BF"/>
    </w:rPr>
  </w:style>
  <w:style w:type="character" w:styleId="IntenseReference">
    <w:name w:val="Intense Reference"/>
    <w:basedOn w:val="DefaultParagraphFont"/>
    <w:uiPriority w:val="32"/>
    <w:qFormat/>
    <w:rsid w:val="00D11E5B"/>
    <w:rPr>
      <w:b/>
      <w:bCs/>
      <w:smallCaps/>
      <w:color w:val="0F4761" w:themeColor="accent1" w:themeShade="BF"/>
      <w:spacing w:val="5"/>
    </w:rPr>
  </w:style>
  <w:style w:type="character" w:styleId="Strong">
    <w:name w:val="Strong"/>
    <w:basedOn w:val="DefaultParagraphFont"/>
    <w:uiPriority w:val="22"/>
    <w:qFormat/>
    <w:rsid w:val="00D11E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582810">
      <w:bodyDiv w:val="1"/>
      <w:marLeft w:val="0"/>
      <w:marRight w:val="0"/>
      <w:marTop w:val="0"/>
      <w:marBottom w:val="0"/>
      <w:divBdr>
        <w:top w:val="none" w:sz="0" w:space="0" w:color="auto"/>
        <w:left w:val="none" w:sz="0" w:space="0" w:color="auto"/>
        <w:bottom w:val="none" w:sz="0" w:space="0" w:color="auto"/>
        <w:right w:val="none" w:sz="0" w:space="0" w:color="auto"/>
      </w:divBdr>
    </w:div>
    <w:div w:id="342440969">
      <w:bodyDiv w:val="1"/>
      <w:marLeft w:val="0"/>
      <w:marRight w:val="0"/>
      <w:marTop w:val="0"/>
      <w:marBottom w:val="0"/>
      <w:divBdr>
        <w:top w:val="none" w:sz="0" w:space="0" w:color="auto"/>
        <w:left w:val="none" w:sz="0" w:space="0" w:color="auto"/>
        <w:bottom w:val="none" w:sz="0" w:space="0" w:color="auto"/>
        <w:right w:val="none" w:sz="0" w:space="0" w:color="auto"/>
      </w:divBdr>
    </w:div>
    <w:div w:id="769206094">
      <w:bodyDiv w:val="1"/>
      <w:marLeft w:val="0"/>
      <w:marRight w:val="0"/>
      <w:marTop w:val="0"/>
      <w:marBottom w:val="0"/>
      <w:divBdr>
        <w:top w:val="none" w:sz="0" w:space="0" w:color="auto"/>
        <w:left w:val="none" w:sz="0" w:space="0" w:color="auto"/>
        <w:bottom w:val="none" w:sz="0" w:space="0" w:color="auto"/>
        <w:right w:val="none" w:sz="0" w:space="0" w:color="auto"/>
      </w:divBdr>
    </w:div>
    <w:div w:id="1670134820">
      <w:bodyDiv w:val="1"/>
      <w:marLeft w:val="0"/>
      <w:marRight w:val="0"/>
      <w:marTop w:val="0"/>
      <w:marBottom w:val="0"/>
      <w:divBdr>
        <w:top w:val="none" w:sz="0" w:space="0" w:color="auto"/>
        <w:left w:val="none" w:sz="0" w:space="0" w:color="auto"/>
        <w:bottom w:val="none" w:sz="0" w:space="0" w:color="auto"/>
        <w:right w:val="none" w:sz="0" w:space="0" w:color="auto"/>
      </w:divBdr>
    </w:div>
    <w:div w:id="2142571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2314</Words>
  <Characters>15301</Characters>
  <Application>Microsoft Office Word</Application>
  <DocSecurity>0</DocSecurity>
  <Lines>317</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4</cp:revision>
  <dcterms:created xsi:type="dcterms:W3CDTF">2025-05-22T12:26:00Z</dcterms:created>
  <dcterms:modified xsi:type="dcterms:W3CDTF">2025-05-22T12:34:00Z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20de8216-48d2-4b7b-b9a6-2883ee345f81</vt:lpwstr>
  </property>
</Properties>
</file>