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E6FB4" w14:textId="77777777" w:rsidR="00C547BE" w:rsidRPr="009F06C1" w:rsidRDefault="00C547BE" w:rsidP="00FF234A">
      <w:pPr>
        <w:spacing w:line="360" w:lineRule="auto"/>
        <w:rPr>
          <w:rFonts w:ascii="Times New Roman" w:hAnsi="Times New Roman" w:cs="Times New Roman"/>
          <w:b/>
          <w:bCs/>
          <w:sz w:val="28"/>
          <w:szCs w:val="28"/>
        </w:rPr>
      </w:pPr>
      <w:r w:rsidRPr="009F06C1">
        <w:rPr>
          <w:rFonts w:ascii="Times New Roman" w:hAnsi="Times New Roman" w:cs="Times New Roman"/>
          <w:b/>
          <w:bCs/>
          <w:sz w:val="28"/>
          <w:szCs w:val="28"/>
        </w:rPr>
        <w:t>Inclusive Outdoor Education for Stroke Survivors: A Reflexive Project Report</w:t>
      </w:r>
    </w:p>
    <w:p w14:paraId="1740BC79" w14:textId="77777777" w:rsidR="00D259E4"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This report presents a reflexive and critically informed account of a proposed community-based outdoor education programme</w:t>
      </w:r>
      <w:r w:rsidR="002A2411" w:rsidRPr="009F06C1">
        <w:rPr>
          <w:rFonts w:ascii="Times New Roman" w:hAnsi="Times New Roman" w:cs="Times New Roman"/>
        </w:rPr>
        <w:t xml:space="preserve">; </w:t>
      </w:r>
      <w:r w:rsidRPr="009F06C1">
        <w:rPr>
          <w:rFonts w:ascii="Times New Roman" w:hAnsi="Times New Roman" w:cs="Times New Roman"/>
        </w:rPr>
        <w:t xml:space="preserve">developed in partnership with the Stroke Association. The programme was designed to support stroke survivors through inclusive, nature-based physical activity, with a particular focus on wellbeing, confidence, social connection, and long-term engagement with outdoor environments. </w:t>
      </w:r>
    </w:p>
    <w:p w14:paraId="59469895" w14:textId="6D023A3E" w:rsidR="001377F0" w:rsidRPr="009F06C1" w:rsidRDefault="00D259E4" w:rsidP="00FF234A">
      <w:pPr>
        <w:spacing w:line="360" w:lineRule="auto"/>
        <w:rPr>
          <w:rFonts w:ascii="Times New Roman" w:hAnsi="Times New Roman" w:cs="Times New Roman"/>
        </w:rPr>
      </w:pPr>
      <w:r w:rsidRPr="009F06C1">
        <w:rPr>
          <w:rFonts w:ascii="Times New Roman" w:hAnsi="Times New Roman" w:cs="Times New Roman"/>
        </w:rPr>
        <w:t>The report is intended for university authorities, potential funders, and partner organisations. In particular, it seeks to demonstrat</w:t>
      </w:r>
      <w:r w:rsidRPr="009F06C1">
        <w:rPr>
          <w:rFonts w:ascii="Times New Roman" w:hAnsi="Times New Roman" w:cs="Times New Roman"/>
        </w:rPr>
        <w:t>e</w:t>
      </w:r>
      <w:r w:rsidR="00F95F4A" w:rsidRPr="009F06C1">
        <w:rPr>
          <w:rFonts w:ascii="Times New Roman" w:hAnsi="Times New Roman" w:cs="Times New Roman"/>
        </w:rPr>
        <w:t xml:space="preserve"> </w:t>
      </w:r>
      <w:r w:rsidR="001377F0" w:rsidRPr="009F06C1">
        <w:rPr>
          <w:rFonts w:ascii="Times New Roman" w:hAnsi="Times New Roman" w:cs="Times New Roman"/>
        </w:rPr>
        <w:t>the educational, therapeutic, and social value of the proposed initiative.</w:t>
      </w:r>
    </w:p>
    <w:p w14:paraId="045872DC"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The programme centred on two structured outdoor sessions. The first session focused on supported cycling and was designed and planned by the facilitator. This session aimed to promote physical engagement, independence, and confidence within a safe and adapted outdoor environment. The second session involved a co-facilitated outdoor activity led by another practitioner, in which the facilitator contributed through the planning and delivery of introductory and reflective components, as well as ongoing participant support. Together, these sessions were designed to create a progressive, relational, and supportive learning environment.</w:t>
      </w:r>
    </w:p>
    <w:p w14:paraId="503B1685" w14:textId="481ADAA4"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The overarching aims of the programme included enhancing physical wellbeing, reducing social isolation, promoting positive engagement with outdoor spaces, and supporting emotional recovery following</w:t>
      </w:r>
      <w:r w:rsidR="00E06251" w:rsidRPr="009F06C1">
        <w:rPr>
          <w:rFonts w:ascii="Times New Roman" w:hAnsi="Times New Roman" w:cs="Times New Roman"/>
        </w:rPr>
        <w:t xml:space="preserve"> a</w:t>
      </w:r>
      <w:r w:rsidRPr="009F06C1">
        <w:rPr>
          <w:rFonts w:ascii="Times New Roman" w:hAnsi="Times New Roman" w:cs="Times New Roman"/>
        </w:rPr>
        <w:t xml:space="preserve"> stroke. In addition, </w:t>
      </w:r>
      <w:r w:rsidR="002E2E6E" w:rsidRPr="009F06C1">
        <w:rPr>
          <w:rFonts w:ascii="Times New Roman" w:hAnsi="Times New Roman" w:cs="Times New Roman"/>
        </w:rPr>
        <w:t>t</w:t>
      </w:r>
      <w:r w:rsidR="002E2E6E" w:rsidRPr="009F06C1">
        <w:rPr>
          <w:rFonts w:ascii="Times New Roman" w:hAnsi="Times New Roman" w:cs="Times New Roman"/>
        </w:rPr>
        <w:t>he programme sought to foster confidence, resilience, and self-belief by encouraging participants to engage actively with practical activities, reflect on their experiences, and develop supportive relationships within the group</w:t>
      </w:r>
      <w:r w:rsidR="006A5736" w:rsidRPr="009F06C1">
        <w:rPr>
          <w:rFonts w:ascii="Times New Roman" w:hAnsi="Times New Roman" w:cs="Times New Roman"/>
        </w:rPr>
        <w:t xml:space="preserve">; accomplished </w:t>
      </w:r>
      <w:r w:rsidRPr="009F06C1">
        <w:rPr>
          <w:rFonts w:ascii="Times New Roman" w:hAnsi="Times New Roman" w:cs="Times New Roman"/>
        </w:rPr>
        <w:t>through experiential, reflective, and relational learning approaches.</w:t>
      </w:r>
    </w:p>
    <w:p w14:paraId="05DBD9CA"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This report critically examines the social, educational, and institutional context of the project, outlines the proposed programme strategy, and provides a detailed critical analysis of challenges, outcomes, and professional learning. It concludes by reflecting on the relevance of the project for contemporary outdoor education practice and identifying future directions for development and research.</w:t>
      </w:r>
    </w:p>
    <w:p w14:paraId="5E3EDC51" w14:textId="3B252752" w:rsidR="001377F0" w:rsidRPr="009F06C1" w:rsidRDefault="001377F0" w:rsidP="00FF234A">
      <w:pPr>
        <w:spacing w:line="360" w:lineRule="auto"/>
        <w:rPr>
          <w:rFonts w:ascii="Times New Roman" w:hAnsi="Times New Roman" w:cs="Times New Roman"/>
        </w:rPr>
      </w:pPr>
    </w:p>
    <w:p w14:paraId="39596F82" w14:textId="0936CC71"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lastRenderedPageBreak/>
        <w:t xml:space="preserve">Stroke remains one of the leading causes of long-term disability in the United Kingdom, frequently resulting in reduced mobility, fatigue, cognitive impairment, and social isolation. Many stroke survivors experience substantial barriers to sustained participation in physical activity following clinical rehabilitation. </w:t>
      </w:r>
      <w:r w:rsidR="006A5736" w:rsidRPr="009F06C1">
        <w:rPr>
          <w:rFonts w:ascii="Times New Roman" w:hAnsi="Times New Roman" w:cs="Times New Roman"/>
        </w:rPr>
        <w:t>D</w:t>
      </w:r>
      <w:r w:rsidRPr="009F06C1">
        <w:rPr>
          <w:rFonts w:ascii="Times New Roman" w:hAnsi="Times New Roman" w:cs="Times New Roman"/>
        </w:rPr>
        <w:t>e Koning et al. (2015) identify confidence, fear of injury, transport access, and social support as key determinants of outdoor participation among older adults, highlighting the importance of structured and supported community-based initiatives.</w:t>
      </w:r>
    </w:p>
    <w:p w14:paraId="37179808"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Public health research consistently demonstrates that physical activity undertaken in natural environments produces greater psychological benefits than activity in urban or indoor settings. A systematic review and meta-analysis by Wicks et al. (2022) found significantly greater reductions in stress and improvements in mood and emotional wellbeing among participants engaging in outdoor exercise. Similarly, Barton (2016) conceptualises “green exercise” as the integration of physical movement, social interaction, and environmental exposure to enhance holistic wellbeing. Evidence from the International Journal of Environmental Research and Public Health further indicates that outdoor activity increases motivation and long-term engagement, particularly among individuals managing long-term health conditions. Taken together, these studies demonstrate that wellbeing outcomes are shaped by both environmental and relational quality.</w:t>
      </w:r>
    </w:p>
    <w:p w14:paraId="7C4FD224" w14:textId="77777777" w:rsidR="00235D62"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Outdoor education provides a pedagogical framework for delivering such interventions.</w:t>
      </w:r>
      <w:r w:rsidR="00320DB4" w:rsidRPr="009F06C1">
        <w:rPr>
          <w:rFonts w:ascii="Times New Roman" w:hAnsi="Times New Roman" w:cs="Times New Roman"/>
        </w:rPr>
        <w:t xml:space="preserve"> </w:t>
      </w:r>
      <w:r w:rsidR="00320DB4" w:rsidRPr="009F06C1">
        <w:rPr>
          <w:rFonts w:ascii="Times New Roman" w:hAnsi="Times New Roman" w:cs="Times New Roman"/>
        </w:rPr>
        <w:t>Ord and Leather (2011), building on John Dewey’s work on experiential learning</w:t>
      </w:r>
      <w:r w:rsidRPr="009F06C1">
        <w:rPr>
          <w:rFonts w:ascii="Times New Roman" w:hAnsi="Times New Roman" w:cs="Times New Roman"/>
        </w:rPr>
        <w:t xml:space="preserve">, argue that experience becomes educational only when integrated with reflection, continuity, and social purpose. Estes (2004) similarly emphasises student-centred learning, in which participants actively shape learning processes through choice, dialogue, and adaptive facilitation. </w:t>
      </w:r>
    </w:p>
    <w:p w14:paraId="1F304187" w14:textId="384F47CF" w:rsidR="001377F0" w:rsidRPr="009F06C1" w:rsidRDefault="00235D62" w:rsidP="00FF234A">
      <w:pPr>
        <w:spacing w:line="360" w:lineRule="auto"/>
        <w:rPr>
          <w:rFonts w:ascii="Times New Roman" w:hAnsi="Times New Roman" w:cs="Times New Roman"/>
        </w:rPr>
      </w:pPr>
      <w:r w:rsidRPr="009F06C1">
        <w:rPr>
          <w:rFonts w:ascii="Times New Roman" w:hAnsi="Times New Roman" w:cs="Times New Roman"/>
        </w:rPr>
        <w:t>While these approaches encourage active participation and help participants understand their experiences</w:t>
      </w:r>
      <w:r w:rsidR="001377F0" w:rsidRPr="009F06C1">
        <w:rPr>
          <w:rFonts w:ascii="Times New Roman" w:hAnsi="Times New Roman" w:cs="Times New Roman"/>
        </w:rPr>
        <w:t>, Kuk and Holst (2018) caution that rigid experiential learning models can oversimplify reflection and marginalise less confident voices. Consequently, the present programme sought to combine structured facilitation with flexible and inclusive reflective practices.</w:t>
      </w:r>
    </w:p>
    <w:p w14:paraId="194E8A9F" w14:textId="3032DC4D"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Historical analyses reveal that traditional outdoor education has often prioritised physical endurance, discipline, and character formation (Freeman, 2010). Although contemporary practice has evolved, Pringle (2025) argues that performance</w:t>
      </w:r>
      <w:r w:rsidR="00EA016D" w:rsidRPr="009F06C1">
        <w:rPr>
          <w:rFonts w:ascii="Times New Roman" w:hAnsi="Times New Roman" w:cs="Times New Roman"/>
        </w:rPr>
        <w:t xml:space="preserve"> </w:t>
      </w:r>
      <w:r w:rsidRPr="009F06C1">
        <w:rPr>
          <w:rFonts w:ascii="Times New Roman" w:hAnsi="Times New Roman" w:cs="Times New Roman"/>
        </w:rPr>
        <w:t xml:space="preserve">oriented belief systems continue to shape organisational cultures, sometimes leading to exclusionary or harmful practice. In </w:t>
      </w:r>
      <w:r w:rsidRPr="009F06C1">
        <w:rPr>
          <w:rFonts w:ascii="Times New Roman" w:hAnsi="Times New Roman" w:cs="Times New Roman"/>
        </w:rPr>
        <w:lastRenderedPageBreak/>
        <w:t>response, critical scholars advocate relational, care-based, and justice-oriented approaches that prioritise belonging over performance (Wild et al., 2025; Potvin &amp; Niblett, 2023). These perspectives informed the programme’s rejection of competitive or deficit-based models.</w:t>
      </w:r>
    </w:p>
    <w:p w14:paraId="7528C08A"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Research on disability-focused outdoor therapy further supports inclusive design. Moore et al. (2017) found that surf therapy enhanced confidence, emotional regulation, and social engagement among children with disabilities, with benefits extending into everyday life. Similarly, Lee et al. (2021) emphasise that age- and disability-friendly environments are central to healthy ageing and sustained participation. These findings reinforce the importance of adaptive provision within rehabilitation contexts.</w:t>
      </w:r>
    </w:p>
    <w:p w14:paraId="376F529D"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Environmental design also influences engagement. Chang (2020) demonstrates that path quality, signage, rest facilities, and perceived safety significantly affect older adults’ participation. These insights informed route selection, risk management planning, and supervision strategies.</w:t>
      </w:r>
    </w:p>
    <w:p w14:paraId="44C11AD7"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Cultural and social factors further shape participation. Palmer et al. (2025) show that access to green spaces does not guarantee engagement, as feelings of belonging, safety, and cultural relevance are decisive. Kloek et al. (2015) similarly identify diverse participation profiles, arguing that standardised programmes often privilege “activity lovers” while marginalising those who prioritise social or reflective engagement. Johnson and Ali (2019) further demonstrate that outdoor learning is culturally situated and most meaningful when grounded in partnership and local knowledge.</w:t>
      </w:r>
    </w:p>
    <w:p w14:paraId="3F2F80B9"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In addition to academic research, the programme aligns with wider public health and social prescribing agendas within the United Kingdom, which increasingly recognise the value of nature-based interventions in supporting long-term health conditions. Social prescribing frameworks encourage healthcare providers to refer individuals to community-based physical activity and wellbeing initiatives as part of holistic care pathways. Nature-based programmes are therefore positioned not only as recreational opportunities, but as complementary forms of preventative and rehabilitative support. By working in partnership with the Stroke Association and a higher education institution, the present project reflects emerging models of cross-sector collaboration that seek to address health inequalities through locally embedded practice. Such partnerships also enhance credibility, accountability, and long-term sustainability.</w:t>
      </w:r>
    </w:p>
    <w:p w14:paraId="1C6A1226"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lastRenderedPageBreak/>
        <w:t>Finally, relational and posthuman perspectives conceptualise learning as emerging through interactions between people, places, and non-human elements (Ng et al., 2025). This framework supports the programme’s emphasis on collaborative engagement and place-responsive practice.</w:t>
      </w:r>
    </w:p>
    <w:p w14:paraId="2C470696"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Collectively, these perspectives situate the proposed programme within contemporary debates on health, inclusion, ethics, and experiential learning, providing a coherent and systematic foundation.</w:t>
      </w:r>
    </w:p>
    <w:p w14:paraId="3BD4669C" w14:textId="649C3A14" w:rsidR="001377F0" w:rsidRPr="009F06C1" w:rsidRDefault="001377F0" w:rsidP="00FF234A">
      <w:pPr>
        <w:spacing w:line="360" w:lineRule="auto"/>
        <w:rPr>
          <w:rFonts w:ascii="Times New Roman" w:hAnsi="Times New Roman" w:cs="Times New Roman"/>
        </w:rPr>
      </w:pPr>
    </w:p>
    <w:p w14:paraId="388D9711"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The programme strategy centred on two structured outdoor sessions designed to progressively support participant engagement, confidence, and wellbeing.</w:t>
      </w:r>
    </w:p>
    <w:p w14:paraId="2AE9443D"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b/>
          <w:bCs/>
        </w:rPr>
        <w:t>Session One:</w:t>
      </w:r>
      <w:r w:rsidRPr="009F06C1">
        <w:rPr>
          <w:rFonts w:ascii="Times New Roman" w:hAnsi="Times New Roman" w:cs="Times New Roman"/>
        </w:rPr>
        <w:t xml:space="preserve"> Supported Cycling</w:t>
      </w:r>
    </w:p>
    <w:p w14:paraId="51EBA290"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The first session focused on supported cycling within a low-risk outdoor environment. It was designed to include:</w:t>
      </w:r>
    </w:p>
    <w:p w14:paraId="57C85650" w14:textId="77777777" w:rsidR="001377F0" w:rsidRPr="009F06C1" w:rsidRDefault="001377F0" w:rsidP="00FF234A">
      <w:pPr>
        <w:numPr>
          <w:ilvl w:val="0"/>
          <w:numId w:val="1"/>
        </w:numPr>
        <w:spacing w:line="360" w:lineRule="auto"/>
        <w:rPr>
          <w:rFonts w:ascii="Times New Roman" w:hAnsi="Times New Roman" w:cs="Times New Roman"/>
        </w:rPr>
      </w:pPr>
      <w:r w:rsidRPr="009F06C1">
        <w:rPr>
          <w:rFonts w:ascii="Times New Roman" w:hAnsi="Times New Roman" w:cs="Times New Roman"/>
        </w:rPr>
        <w:t>A welcome briefing and consent check</w:t>
      </w:r>
    </w:p>
    <w:p w14:paraId="3BA41966" w14:textId="77777777" w:rsidR="001377F0" w:rsidRPr="009F06C1" w:rsidRDefault="001377F0" w:rsidP="00FF234A">
      <w:pPr>
        <w:numPr>
          <w:ilvl w:val="0"/>
          <w:numId w:val="1"/>
        </w:numPr>
        <w:spacing w:line="360" w:lineRule="auto"/>
        <w:rPr>
          <w:rFonts w:ascii="Times New Roman" w:hAnsi="Times New Roman" w:cs="Times New Roman"/>
        </w:rPr>
      </w:pPr>
      <w:r w:rsidRPr="009F06C1">
        <w:rPr>
          <w:rFonts w:ascii="Times New Roman" w:hAnsi="Times New Roman" w:cs="Times New Roman"/>
        </w:rPr>
        <w:t>Equipment fitting and safety checks</w:t>
      </w:r>
    </w:p>
    <w:p w14:paraId="216F2BD5" w14:textId="77777777" w:rsidR="001377F0" w:rsidRPr="009F06C1" w:rsidRDefault="001377F0" w:rsidP="00FF234A">
      <w:pPr>
        <w:numPr>
          <w:ilvl w:val="0"/>
          <w:numId w:val="1"/>
        </w:numPr>
        <w:spacing w:line="360" w:lineRule="auto"/>
        <w:rPr>
          <w:rFonts w:ascii="Times New Roman" w:hAnsi="Times New Roman" w:cs="Times New Roman"/>
        </w:rPr>
      </w:pPr>
      <w:r w:rsidRPr="009F06C1">
        <w:rPr>
          <w:rFonts w:ascii="Times New Roman" w:hAnsi="Times New Roman" w:cs="Times New Roman"/>
        </w:rPr>
        <w:t>Guided warm-up activities</w:t>
      </w:r>
    </w:p>
    <w:p w14:paraId="40F152AF" w14:textId="77777777" w:rsidR="001377F0" w:rsidRPr="009F06C1" w:rsidRDefault="001377F0" w:rsidP="00FF234A">
      <w:pPr>
        <w:numPr>
          <w:ilvl w:val="0"/>
          <w:numId w:val="1"/>
        </w:numPr>
        <w:spacing w:line="360" w:lineRule="auto"/>
        <w:rPr>
          <w:rFonts w:ascii="Times New Roman" w:hAnsi="Times New Roman" w:cs="Times New Roman"/>
        </w:rPr>
      </w:pPr>
      <w:r w:rsidRPr="009F06C1">
        <w:rPr>
          <w:rFonts w:ascii="Times New Roman" w:hAnsi="Times New Roman" w:cs="Times New Roman"/>
        </w:rPr>
        <w:t>Supervised cycling on an accessible looped route</w:t>
      </w:r>
    </w:p>
    <w:p w14:paraId="04FDE848" w14:textId="77777777" w:rsidR="001377F0" w:rsidRPr="009F06C1" w:rsidRDefault="001377F0" w:rsidP="00FF234A">
      <w:pPr>
        <w:numPr>
          <w:ilvl w:val="0"/>
          <w:numId w:val="1"/>
        </w:numPr>
        <w:spacing w:line="360" w:lineRule="auto"/>
        <w:rPr>
          <w:rFonts w:ascii="Times New Roman" w:hAnsi="Times New Roman" w:cs="Times New Roman"/>
        </w:rPr>
      </w:pPr>
      <w:r w:rsidRPr="009F06C1">
        <w:rPr>
          <w:rFonts w:ascii="Times New Roman" w:hAnsi="Times New Roman" w:cs="Times New Roman"/>
        </w:rPr>
        <w:t>Regular rest points</w:t>
      </w:r>
    </w:p>
    <w:p w14:paraId="1BC4CA6E" w14:textId="77777777" w:rsidR="001377F0" w:rsidRPr="009F06C1" w:rsidRDefault="001377F0" w:rsidP="00FF234A">
      <w:pPr>
        <w:numPr>
          <w:ilvl w:val="0"/>
          <w:numId w:val="1"/>
        </w:numPr>
        <w:spacing w:line="360" w:lineRule="auto"/>
        <w:rPr>
          <w:rFonts w:ascii="Times New Roman" w:hAnsi="Times New Roman" w:cs="Times New Roman"/>
        </w:rPr>
      </w:pPr>
      <w:r w:rsidRPr="009F06C1">
        <w:rPr>
          <w:rFonts w:ascii="Times New Roman" w:hAnsi="Times New Roman" w:cs="Times New Roman"/>
        </w:rPr>
        <w:t>A facilitated reflective discussion</w:t>
      </w:r>
    </w:p>
    <w:p w14:paraId="6796A13F"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Looped routes were selected to reduce navigational demands and minimise cognitive fatigue. Rest points were placed at regular intervals to manage post-stroke fatigue and reduce anxiety related to overexertion. Visual demonstrations were prioritised to support participants with aphasia, while one-to-one support addressed individual balance and confidence needs. Equipment selection, including high-visibility clothing and adapted bicycles, reflected risk management and accessibility considerations.</w:t>
      </w:r>
    </w:p>
    <w:p w14:paraId="18B4CC13"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b/>
          <w:bCs/>
        </w:rPr>
        <w:t>Session Two</w:t>
      </w:r>
      <w:r w:rsidRPr="009F06C1">
        <w:rPr>
          <w:rFonts w:ascii="Times New Roman" w:hAnsi="Times New Roman" w:cs="Times New Roman"/>
        </w:rPr>
        <w:t>: Co-Facilitation</w:t>
      </w:r>
    </w:p>
    <w:p w14:paraId="6B05B4BD"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 xml:space="preserve">The second session involved collaborative facilitation. The practitioner delivered the introductory briefing, reinforced session aims, supported engagement throughout activities, </w:t>
      </w:r>
      <w:r w:rsidRPr="009F06C1">
        <w:rPr>
          <w:rFonts w:ascii="Times New Roman" w:hAnsi="Times New Roman" w:cs="Times New Roman"/>
        </w:rPr>
        <w:lastRenderedPageBreak/>
        <w:t>and led the reflective wrap-up. This approach aimed to promote continuity, trust, and emotional safety, in line with Greenaway’s (2004, 2018) participant-centred reviewing framework.</w:t>
      </w:r>
    </w:p>
    <w:p w14:paraId="54F3AD92" w14:textId="77777777" w:rsidR="001377F0" w:rsidRPr="009F06C1" w:rsidRDefault="001377F0" w:rsidP="00FF234A">
      <w:pPr>
        <w:spacing w:line="360" w:lineRule="auto"/>
        <w:rPr>
          <w:rFonts w:ascii="Times New Roman" w:hAnsi="Times New Roman" w:cs="Times New Roman"/>
          <w:b/>
          <w:bCs/>
        </w:rPr>
      </w:pPr>
      <w:r w:rsidRPr="009F06C1">
        <w:rPr>
          <w:rFonts w:ascii="Times New Roman" w:hAnsi="Times New Roman" w:cs="Times New Roman"/>
          <w:b/>
          <w:bCs/>
        </w:rPr>
        <w:t>Future Development</w:t>
      </w:r>
    </w:p>
    <w:p w14:paraId="23569E12"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If continued, the programme could be expanded to include additional sessions, volunteer training, formal healthcare partnerships, and diversified activities such as walking, paddling, and nature-based mindfulness. Evaluation tools informed by Monroe et al. (2020) would be introduced to capture changes in wellbeing and connection to nature.</w:t>
      </w:r>
    </w:p>
    <w:p w14:paraId="4CFADED2" w14:textId="3E5F2204" w:rsidR="001377F0" w:rsidRPr="009F06C1" w:rsidRDefault="001377F0" w:rsidP="00FF234A">
      <w:pPr>
        <w:spacing w:line="360" w:lineRule="auto"/>
        <w:rPr>
          <w:rFonts w:ascii="Times New Roman" w:hAnsi="Times New Roman" w:cs="Times New Roman"/>
        </w:rPr>
      </w:pPr>
    </w:p>
    <w:p w14:paraId="59638292"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The proposed implementation revealed multiple practical, institutional, and ethical challenges. Scheduling emerged as a significant barrier, as participants’ fluctuating health and medical appointments limited consistent attendance. Transport constraints further restricted access, reflecting patterns identified by de Koning et al. (2015). Seasonal weather variation also influenced feasibility and risk management requirements.</w:t>
      </w:r>
    </w:p>
    <w:p w14:paraId="5994FA92"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Institutional constraints presented additional tensions. Limited funding, staffing, and safeguarding policies restricted programme flexibility. While safety protocols were essential, they occasionally conflicted with relational and participant-led pedagogy. Thomas and Pring’s (2004) analysis of evidence-based practice highlights the need to balance research, professional judgement, and contextual awareness; this tension was evident throughout programme planning.</w:t>
      </w:r>
    </w:p>
    <w:p w14:paraId="435DA395"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A further limitation concerns the balance between standardisation and responsiveness. While structured session plans were necessary for risk management, safeguarding, and accountability purposes, excessive reliance on predetermined formats risked limiting opportunities for spontaneous, participant-led learning. This reflects broader tensions within outdoor education between managerial efficiency and relational pedagogy. Greater flexibility could be achieved through modular session designs that allow facilitators to adapt activities in real time while maintaining safety standards. However, such approaches require higher staffing levels, advanced training, and organisational trust, which are not always available within short-term projects.</w:t>
      </w:r>
    </w:p>
    <w:p w14:paraId="7A595E39"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Despite these barriers, anticipated outcomes were substantial. Physically, cycling aimed to enhance balance, coordination, and endurance. Psychologically, it sought to improve self-</w:t>
      </w:r>
      <w:r w:rsidRPr="009F06C1">
        <w:rPr>
          <w:rFonts w:ascii="Times New Roman" w:hAnsi="Times New Roman" w:cs="Times New Roman"/>
        </w:rPr>
        <w:lastRenderedPageBreak/>
        <w:t>confidence and emotional resilience. Socially, group-based engagement aimed to reduce isolation and foster peer support. These outcomes align with Barton (2016), Moore et al. (2017), and Wicks et al. (2022). However, due to the absence of longitudinal data, claims regarding sustained behavioural change remain provisional.</w:t>
      </w:r>
    </w:p>
    <w:p w14:paraId="51809B67"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Learning processes were informed by experiential and transformative theories. Meerts-Brandsma et al. (2019) emphasise that transformative learning requires dialogue and supported reflection. Accordingly, structured debriefs were integrated. Nevertheless, Kuk and Holst (2018) caution that linear reflection models may marginalise less confident participants. Reliance on verbal discussion may therefore have disadvantaged individuals with aphasia, suggesting the need for greater use of visual, narrative, and embodied reflective methods.</w:t>
      </w:r>
    </w:p>
    <w:p w14:paraId="4DD6B16F"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Inclusive practice was central to programme design. Adaptations reflected critiques of performance-oriented cultures (Pringle, 2025; Wild et al., 2025). Success was defined in terms of participation, confidence, and belonging rather than technical achievement. However, the assumption that cycling would be universally accessible warrants critical examination, as balance anxiety and traffic-related fears may have limited engagement for some participants. Alternative low-mobility activities could therefore be explored.</w:t>
      </w:r>
    </w:p>
    <w:p w14:paraId="4061C232" w14:textId="60485CD0" w:rsidR="001377F0" w:rsidRPr="009F06C1" w:rsidRDefault="000D1111" w:rsidP="00FF234A">
      <w:pPr>
        <w:spacing w:line="360" w:lineRule="auto"/>
        <w:rPr>
          <w:rFonts w:ascii="Times New Roman" w:hAnsi="Times New Roman" w:cs="Times New Roman"/>
        </w:rPr>
      </w:pPr>
      <w:r w:rsidRPr="009F06C1">
        <w:rPr>
          <w:rFonts w:ascii="Times New Roman" w:hAnsi="Times New Roman" w:cs="Times New Roman"/>
        </w:rPr>
        <w:t>Ethical considerations played a central role in the design and</w:t>
      </w:r>
      <w:r w:rsidR="00AC425C" w:rsidRPr="009F06C1">
        <w:rPr>
          <w:rFonts w:ascii="Times New Roman" w:hAnsi="Times New Roman" w:cs="Times New Roman"/>
        </w:rPr>
        <w:t xml:space="preserve"> the potential</w:t>
      </w:r>
      <w:r w:rsidRPr="009F06C1">
        <w:rPr>
          <w:rFonts w:ascii="Times New Roman" w:hAnsi="Times New Roman" w:cs="Times New Roman"/>
        </w:rPr>
        <w:t xml:space="preserve"> delivery of the programme</w:t>
      </w:r>
      <w:r w:rsidR="001377F0" w:rsidRPr="009F06C1">
        <w:rPr>
          <w:rFonts w:ascii="Times New Roman" w:hAnsi="Times New Roman" w:cs="Times New Roman"/>
        </w:rPr>
        <w:t>. Magnuson et al. (2022) emphasise informed consent, autonomy, and relational accountability within therapeutic outdoor programmes. Facilitators sought to minimise power imbalances through collaborative decision-making, optional participation, and flexible pacing. Nevertheless, institutional hierarchies inevitably shaped decision-making processes.</w:t>
      </w:r>
    </w:p>
    <w:p w14:paraId="0163CDF6" w14:textId="50FED62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 xml:space="preserve">Relational quality emerged as a key determinant of effectiveness. Moore et al. (2017) and Ng et al. (2025) demonstrate that supportive relationships underpin positive outcomes. Co-facilitation enhanced </w:t>
      </w:r>
      <w:r w:rsidR="00693AFD" w:rsidRPr="009F06C1">
        <w:rPr>
          <w:rFonts w:ascii="Times New Roman" w:hAnsi="Times New Roman" w:cs="Times New Roman"/>
        </w:rPr>
        <w:t>sensitivity to participants’ emotional needs</w:t>
      </w:r>
      <w:r w:rsidR="00693AFD" w:rsidRPr="009F06C1">
        <w:rPr>
          <w:rFonts w:ascii="Times New Roman" w:hAnsi="Times New Roman" w:cs="Times New Roman"/>
        </w:rPr>
        <w:t xml:space="preserve"> </w:t>
      </w:r>
      <w:r w:rsidRPr="009F06C1">
        <w:rPr>
          <w:rFonts w:ascii="Times New Roman" w:hAnsi="Times New Roman" w:cs="Times New Roman"/>
        </w:rPr>
        <w:t>and shared responsibility, although limited staffing constrained opportunities for individualised support.</w:t>
      </w:r>
    </w:p>
    <w:p w14:paraId="6CE10904"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 xml:space="preserve">Moreover, the programme raised important questions regarding equity of access beyond immediate participation. Although sessions were designed to be inclusive, broader socio-economic factors such as income, digital literacy, access to transport, and caregiving responsibilities continued to shape who could engage consistently. Without parallel investment in outreach work, transport subsidies, and community advocacy, such programmes risk reproducing existing inequalities. Addressing these structural barriers </w:t>
      </w:r>
      <w:r w:rsidRPr="009F06C1">
        <w:rPr>
          <w:rFonts w:ascii="Times New Roman" w:hAnsi="Times New Roman" w:cs="Times New Roman"/>
        </w:rPr>
        <w:lastRenderedPageBreak/>
        <w:t>requires coordinated action across education, healthcare, voluntary organisations, and local government sectors, rather than relying solely on individual practitioner initiative.</w:t>
      </w:r>
    </w:p>
    <w:p w14:paraId="1023D691"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Sustainability represented a further challenge. Diekmann et al. (2018) highlight that community initiatives require long-term institutional backing and local ownership. Short-term funding and reliance on volunteer labour restricted opportunities for programme continuity and evaluation.</w:t>
      </w:r>
    </w:p>
    <w:p w14:paraId="49EB3E49"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For the facilitator, the project constituted a significant professional learning opportunity. It fostered reflective competence, ethical awareness, collaborative leadership, and adaptive communication. Co-facilitation enhanced negotiation, conflict management, and inter-professional working skills, contributing directly to professional development.</w:t>
      </w:r>
    </w:p>
    <w:p w14:paraId="392CDE41" w14:textId="77777777" w:rsidR="003D229A" w:rsidRPr="009F06C1" w:rsidRDefault="003D229A" w:rsidP="00FF234A">
      <w:pPr>
        <w:spacing w:line="360" w:lineRule="auto"/>
        <w:rPr>
          <w:rFonts w:ascii="Times New Roman" w:hAnsi="Times New Roman" w:cs="Times New Roman"/>
        </w:rPr>
      </w:pPr>
    </w:p>
    <w:p w14:paraId="588C616E" w14:textId="0D380538"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This report has presented a reflexive and critically informed analysis of a proposed outdoor education programme developed in partnership with the Stroke Association. By examining its context, strategy, and anticipated outcomes, it has demonstrated the educational, social, and therapeutic value of inclusive, nature-based interventions for stroke survivors.</w:t>
      </w:r>
    </w:p>
    <w:p w14:paraId="1C82A2FD"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The programme integrated experiential learning, wellbeing research, relational pedagogy, and critical inclusion frameworks. Through adapted cycling activities and structured facilitation, it aimed to promote physical recovery, emotional resilience, and social connection. At the same time, the analysis highlighted significant challenges related to accessibility, sustainability, and institutional constraints.</w:t>
      </w:r>
    </w:p>
    <w:p w14:paraId="5AB37835"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The project also highlights the importance of cultivating reflective practitioners capable of navigating complexity, uncertainty, and ethical ambiguity. In contemporary outdoor education contexts, practitioners are increasingly required to operate at the intersection of education, health, and social care. Developing the capacity to negotiate competing priorities, advocate for participant needs, and engage critically with institutional systems is therefore essential for sustainable professional practice and long-term professional credibility.</w:t>
      </w:r>
    </w:p>
    <w:p w14:paraId="32178137"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t>For the facilitator, the project represented a substantial professional learning experience. It supported the development of collaborative leadership, ethical decision-making, reflective practice, and adaptive facilitation. These transferable competencies are directly applicable to future roles within outdoor education, rehabilitation, and community development contexts.</w:t>
      </w:r>
    </w:p>
    <w:p w14:paraId="4AC4ED67" w14:textId="77777777" w:rsidR="001377F0" w:rsidRPr="009F06C1" w:rsidRDefault="001377F0" w:rsidP="00FF234A">
      <w:pPr>
        <w:spacing w:line="360" w:lineRule="auto"/>
        <w:rPr>
          <w:rFonts w:ascii="Times New Roman" w:hAnsi="Times New Roman" w:cs="Times New Roman"/>
        </w:rPr>
      </w:pPr>
      <w:r w:rsidRPr="009F06C1">
        <w:rPr>
          <w:rFonts w:ascii="Times New Roman" w:hAnsi="Times New Roman" w:cs="Times New Roman"/>
        </w:rPr>
        <w:lastRenderedPageBreak/>
        <w:t>Future research should examine long-term impacts, participatory design processes, and interdisciplinary partnerships. Continued investment in inclusive outdoor programmes has the potential to contribute meaningfully to public health, community cohesion, and environmental engagement.</w:t>
      </w:r>
    </w:p>
    <w:p w14:paraId="7FD45AC3" w14:textId="77777777" w:rsidR="001377F0" w:rsidRDefault="001377F0" w:rsidP="00FF234A">
      <w:pPr>
        <w:spacing w:line="360" w:lineRule="auto"/>
        <w:rPr>
          <w:rFonts w:ascii="Times New Roman" w:hAnsi="Times New Roman" w:cs="Times New Roman"/>
        </w:rPr>
      </w:pPr>
      <w:r w:rsidRPr="009F06C1">
        <w:rPr>
          <w:rFonts w:ascii="Times New Roman" w:hAnsi="Times New Roman" w:cs="Times New Roman"/>
        </w:rPr>
        <w:t>In conclusion, this project illustrates how critically informed outdoor education can support individual recovery and collective wellbeing. When grounded in research, ethical reflection, and community partnership, outdoor learning represents a powerful and socially responsive professional practice.</w:t>
      </w:r>
    </w:p>
    <w:p w14:paraId="4FFC217B" w14:textId="77777777" w:rsidR="003D1AB5" w:rsidRDefault="003D1AB5" w:rsidP="00FF234A">
      <w:pPr>
        <w:spacing w:line="360" w:lineRule="auto"/>
        <w:rPr>
          <w:rFonts w:ascii="Times New Roman" w:hAnsi="Times New Roman" w:cs="Times New Roman"/>
        </w:rPr>
      </w:pPr>
    </w:p>
    <w:p w14:paraId="2DBFB1FA" w14:textId="4CDB1751" w:rsidR="003D1AB5" w:rsidRPr="003D1AB5" w:rsidRDefault="003D1AB5" w:rsidP="00FF234A">
      <w:pPr>
        <w:spacing w:line="360" w:lineRule="auto"/>
        <w:rPr>
          <w:rFonts w:ascii="Times New Roman" w:hAnsi="Times New Roman" w:cs="Times New Roman"/>
        </w:rPr>
      </w:pPr>
      <w:r>
        <w:rPr>
          <w:rFonts w:ascii="Times New Roman" w:hAnsi="Times New Roman" w:cs="Times New Roman"/>
          <w:b/>
          <w:bCs/>
        </w:rPr>
        <w:t xml:space="preserve">Word Count: </w:t>
      </w:r>
      <w:r>
        <w:rPr>
          <w:rFonts w:ascii="Times New Roman" w:hAnsi="Times New Roman" w:cs="Times New Roman"/>
        </w:rPr>
        <w:t>2137</w:t>
      </w:r>
    </w:p>
    <w:p w14:paraId="250D61C5" w14:textId="77777777" w:rsidR="003D229A" w:rsidRPr="009F06C1" w:rsidRDefault="003D229A" w:rsidP="001377F0">
      <w:pPr>
        <w:rPr>
          <w:rFonts w:ascii="Times New Roman" w:hAnsi="Times New Roman" w:cs="Times New Roman"/>
        </w:rPr>
      </w:pPr>
    </w:p>
    <w:p w14:paraId="185A8EBE" w14:textId="6522DB99" w:rsidR="003D229A" w:rsidRPr="009F06C1" w:rsidRDefault="003D229A">
      <w:pPr>
        <w:rPr>
          <w:rFonts w:ascii="Times New Roman" w:hAnsi="Times New Roman" w:cs="Times New Roman"/>
        </w:rPr>
      </w:pPr>
      <w:r w:rsidRPr="009F06C1">
        <w:rPr>
          <w:rFonts w:ascii="Times New Roman" w:hAnsi="Times New Roman" w:cs="Times New Roman"/>
        </w:rPr>
        <w:br w:type="page"/>
      </w:r>
    </w:p>
    <w:p w14:paraId="680C9C2E" w14:textId="77777777" w:rsidR="003D229A" w:rsidRPr="009F06C1" w:rsidRDefault="003D229A" w:rsidP="003D229A">
      <w:pPr>
        <w:rPr>
          <w:rFonts w:ascii="Times New Roman" w:hAnsi="Times New Roman" w:cs="Times New Roman"/>
          <w:b/>
          <w:bCs/>
          <w:sz w:val="28"/>
          <w:szCs w:val="28"/>
        </w:rPr>
      </w:pPr>
      <w:r w:rsidRPr="009F06C1">
        <w:rPr>
          <w:rFonts w:ascii="Times New Roman" w:hAnsi="Times New Roman" w:cs="Times New Roman"/>
          <w:b/>
          <w:bCs/>
          <w:sz w:val="28"/>
          <w:szCs w:val="28"/>
        </w:rPr>
        <w:lastRenderedPageBreak/>
        <w:t>Reference list</w:t>
      </w:r>
    </w:p>
    <w:p w14:paraId="46D0885F" w14:textId="460D4B05"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Barton, J. (2016). </w:t>
      </w:r>
      <w:r w:rsidRPr="009F06C1">
        <w:rPr>
          <w:rFonts w:ascii="Times New Roman" w:hAnsi="Times New Roman" w:cs="Times New Roman"/>
          <w:i/>
          <w:iCs/>
        </w:rPr>
        <w:t xml:space="preserve">Green </w:t>
      </w:r>
      <w:r w:rsidR="00860272" w:rsidRPr="009F06C1">
        <w:rPr>
          <w:rFonts w:ascii="Times New Roman" w:hAnsi="Times New Roman" w:cs="Times New Roman"/>
          <w:i/>
          <w:iCs/>
        </w:rPr>
        <w:t>exercise:</w:t>
      </w:r>
      <w:r w:rsidRPr="009F06C1">
        <w:rPr>
          <w:rFonts w:ascii="Times New Roman" w:hAnsi="Times New Roman" w:cs="Times New Roman"/>
          <w:i/>
          <w:iCs/>
        </w:rPr>
        <w:t xml:space="preserve"> linking nature, health and well-being</w:t>
      </w:r>
      <w:r w:rsidRPr="009F06C1">
        <w:rPr>
          <w:rFonts w:ascii="Times New Roman" w:hAnsi="Times New Roman" w:cs="Times New Roman"/>
        </w:rPr>
        <w:t xml:space="preserve">. </w:t>
      </w:r>
      <w:r w:rsidR="00860272" w:rsidRPr="009F06C1">
        <w:rPr>
          <w:rFonts w:ascii="Times New Roman" w:hAnsi="Times New Roman" w:cs="Times New Roman"/>
        </w:rPr>
        <w:t>London;</w:t>
      </w:r>
      <w:r w:rsidRPr="009F06C1">
        <w:rPr>
          <w:rFonts w:ascii="Times New Roman" w:hAnsi="Times New Roman" w:cs="Times New Roman"/>
        </w:rPr>
        <w:t xml:space="preserve"> New York: Routledge, Taylor &amp; Francis Group, Earthscan </w:t>
      </w:r>
      <w:r w:rsidR="00860272" w:rsidRPr="009F06C1">
        <w:rPr>
          <w:rFonts w:ascii="Times New Roman" w:hAnsi="Times New Roman" w:cs="Times New Roman"/>
        </w:rPr>
        <w:t>from</w:t>
      </w:r>
      <w:r w:rsidRPr="009F06C1">
        <w:rPr>
          <w:rFonts w:ascii="Times New Roman" w:hAnsi="Times New Roman" w:cs="Times New Roman"/>
        </w:rPr>
        <w:t xml:space="preserve"> Routledge.</w:t>
      </w:r>
    </w:p>
    <w:p w14:paraId="490C816C" w14:textId="77777777"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Chang, P.-J. (2020). Effects of the built and social features of urban greenways on the outdoor activity of older adults. </w:t>
      </w:r>
      <w:r w:rsidRPr="009F06C1">
        <w:rPr>
          <w:rFonts w:ascii="Times New Roman" w:hAnsi="Times New Roman" w:cs="Times New Roman"/>
          <w:i/>
          <w:iCs/>
        </w:rPr>
        <w:t>Landscape and Urban Planning</w:t>
      </w:r>
      <w:r w:rsidRPr="009F06C1">
        <w:rPr>
          <w:rFonts w:ascii="Times New Roman" w:hAnsi="Times New Roman" w:cs="Times New Roman"/>
        </w:rPr>
        <w:t>, 204, p.103929. doi:</w:t>
      </w:r>
      <w:hyperlink r:id="rId7" w:history="1">
        <w:r w:rsidRPr="009F06C1">
          <w:rPr>
            <w:rStyle w:val="Hyperlink"/>
            <w:rFonts w:ascii="Times New Roman" w:hAnsi="Times New Roman" w:cs="Times New Roman"/>
          </w:rPr>
          <w:t>https://doi.org/10.1016/j.landurbplan.2020.103929</w:t>
        </w:r>
      </w:hyperlink>
      <w:r w:rsidRPr="009F06C1">
        <w:rPr>
          <w:rFonts w:ascii="Times New Roman" w:hAnsi="Times New Roman" w:cs="Times New Roman"/>
        </w:rPr>
        <w:t>.</w:t>
      </w:r>
    </w:p>
    <w:p w14:paraId="7FCDEF10" w14:textId="68C5BA4C" w:rsidR="003D229A" w:rsidRPr="009F06C1" w:rsidRDefault="00AC42D5" w:rsidP="003D229A">
      <w:pPr>
        <w:rPr>
          <w:rFonts w:ascii="Times New Roman" w:hAnsi="Times New Roman" w:cs="Times New Roman"/>
        </w:rPr>
      </w:pPr>
      <w:r>
        <w:rPr>
          <w:rFonts w:ascii="Times New Roman" w:hAnsi="Times New Roman" w:cs="Times New Roman"/>
        </w:rPr>
        <w:t>D</w:t>
      </w:r>
      <w:r w:rsidR="003D229A" w:rsidRPr="009F06C1">
        <w:rPr>
          <w:rFonts w:ascii="Times New Roman" w:hAnsi="Times New Roman" w:cs="Times New Roman"/>
        </w:rPr>
        <w:t xml:space="preserve">e Koning, J.L., Stathi, A. and Fox, K.R. (2015). Similarities and Differences in the Determinants of Trips Outdoors Performed by UK Urban-and Rural-living Older Adults. </w:t>
      </w:r>
      <w:r w:rsidR="003D229A" w:rsidRPr="009F06C1">
        <w:rPr>
          <w:rFonts w:ascii="Times New Roman" w:hAnsi="Times New Roman" w:cs="Times New Roman"/>
          <w:i/>
          <w:iCs/>
        </w:rPr>
        <w:t>Journal of Aging and Physical Activity</w:t>
      </w:r>
      <w:r w:rsidR="003D229A" w:rsidRPr="009F06C1">
        <w:rPr>
          <w:rFonts w:ascii="Times New Roman" w:hAnsi="Times New Roman" w:cs="Times New Roman"/>
        </w:rPr>
        <w:t>.</w:t>
      </w:r>
    </w:p>
    <w:p w14:paraId="1A59290F" w14:textId="4D3C3E44"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Diekmann, L.O., Gray, L.C. and Baker, G.A. (2018). Growing ‘good food’: urban gardens, culturally acceptable produce and food security. </w:t>
      </w:r>
      <w:r w:rsidRPr="009F06C1">
        <w:rPr>
          <w:rFonts w:ascii="Times New Roman" w:hAnsi="Times New Roman" w:cs="Times New Roman"/>
          <w:i/>
          <w:iCs/>
        </w:rPr>
        <w:t>Renewable Agriculture and Food Systems</w:t>
      </w:r>
      <w:r w:rsidRPr="009F06C1">
        <w:rPr>
          <w:rFonts w:ascii="Times New Roman" w:hAnsi="Times New Roman" w:cs="Times New Roman"/>
        </w:rPr>
        <w:t xml:space="preserve">, 35(2), pp.1–13. </w:t>
      </w:r>
      <w:r w:rsidR="00860272" w:rsidRPr="009F06C1">
        <w:rPr>
          <w:rFonts w:ascii="Times New Roman" w:hAnsi="Times New Roman" w:cs="Times New Roman"/>
        </w:rPr>
        <w:t>Doi:</w:t>
      </w:r>
      <w:r w:rsidR="00860272" w:rsidRPr="009F06C1">
        <w:t xml:space="preserve"> HTTPs</w:t>
      </w:r>
      <w:r w:rsidRPr="009F06C1">
        <w:rPr>
          <w:rFonts w:ascii="Times New Roman" w:hAnsi="Times New Roman" w:cs="Times New Roman"/>
        </w:rPr>
        <w:t>.</w:t>
      </w:r>
    </w:p>
    <w:p w14:paraId="6988DBD2" w14:textId="11BD3735"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Estes, C.A. (2004). Promoting Student-Centered Learning in Experiential Education. </w:t>
      </w:r>
      <w:r w:rsidRPr="009F06C1">
        <w:rPr>
          <w:rFonts w:ascii="Times New Roman" w:hAnsi="Times New Roman" w:cs="Times New Roman"/>
          <w:i/>
          <w:iCs/>
        </w:rPr>
        <w:t>Journal of Experiential Education</w:t>
      </w:r>
      <w:r w:rsidRPr="009F06C1">
        <w:rPr>
          <w:rFonts w:ascii="Times New Roman" w:hAnsi="Times New Roman" w:cs="Times New Roman"/>
        </w:rPr>
        <w:t>, 27(2), pp.141–160.</w:t>
      </w:r>
    </w:p>
    <w:p w14:paraId="4265EA0B" w14:textId="2A9E956F"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Freeman, M. (2010). From ‘character‐training’ to ‘personal growth’: the early history of Outward Bound 1941–1965. </w:t>
      </w:r>
      <w:r w:rsidRPr="009F06C1">
        <w:rPr>
          <w:rFonts w:ascii="Times New Roman" w:hAnsi="Times New Roman" w:cs="Times New Roman"/>
          <w:i/>
          <w:iCs/>
        </w:rPr>
        <w:t>History of Education</w:t>
      </w:r>
      <w:r w:rsidRPr="009F06C1">
        <w:rPr>
          <w:rFonts w:ascii="Times New Roman" w:hAnsi="Times New Roman" w:cs="Times New Roman"/>
        </w:rPr>
        <w:t>, 40(1), pp.21–43</w:t>
      </w:r>
      <w:r w:rsidR="00AC42D5">
        <w:rPr>
          <w:rFonts w:ascii="Times New Roman" w:hAnsi="Times New Roman" w:cs="Times New Roman"/>
        </w:rPr>
        <w:t>.</w:t>
      </w:r>
    </w:p>
    <w:p w14:paraId="5AD09145" w14:textId="77777777"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Greenaway, R. (2004). </w:t>
      </w:r>
      <w:r w:rsidRPr="009F06C1">
        <w:rPr>
          <w:rFonts w:ascii="Times New Roman" w:hAnsi="Times New Roman" w:cs="Times New Roman"/>
          <w:i/>
          <w:iCs/>
        </w:rPr>
        <w:t>Facilitation and Reviewing in Outdoor Education</w:t>
      </w:r>
      <w:r w:rsidRPr="009F06C1">
        <w:rPr>
          <w:rFonts w:ascii="Times New Roman" w:hAnsi="Times New Roman" w:cs="Times New Roman"/>
        </w:rPr>
        <w:t xml:space="preserve">. [online] reviewing.co.uk. Available at: </w:t>
      </w:r>
      <w:hyperlink r:id="rId8" w:history="1">
        <w:r w:rsidRPr="009F06C1">
          <w:rPr>
            <w:rStyle w:val="Hyperlink"/>
            <w:rFonts w:ascii="Times New Roman" w:hAnsi="Times New Roman" w:cs="Times New Roman"/>
          </w:rPr>
          <w:t>https://reviewing.co.uk/articles/facilitating-outdoor-education.htm</w:t>
        </w:r>
      </w:hyperlink>
      <w:r w:rsidRPr="009F06C1">
        <w:rPr>
          <w:rFonts w:ascii="Times New Roman" w:hAnsi="Times New Roman" w:cs="Times New Roman"/>
        </w:rPr>
        <w:t>.</w:t>
      </w:r>
    </w:p>
    <w:p w14:paraId="0E61E5C7" w14:textId="08EEFA5E"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Greenaway, R. (2018). Experience Debriefed. </w:t>
      </w:r>
      <w:r w:rsidRPr="009F06C1">
        <w:rPr>
          <w:rFonts w:ascii="Times New Roman" w:hAnsi="Times New Roman" w:cs="Times New Roman"/>
          <w:i/>
          <w:iCs/>
        </w:rPr>
        <w:t>New Directions for Adult and Continuing Education</w:t>
      </w:r>
      <w:r w:rsidRPr="009F06C1">
        <w:rPr>
          <w:rFonts w:ascii="Times New Roman" w:hAnsi="Times New Roman" w:cs="Times New Roman"/>
        </w:rPr>
        <w:t>, 2018(158), pp.67–75</w:t>
      </w:r>
      <w:r w:rsidR="00AC42D5">
        <w:rPr>
          <w:rFonts w:ascii="Times New Roman" w:hAnsi="Times New Roman" w:cs="Times New Roman"/>
        </w:rPr>
        <w:t>.</w:t>
      </w:r>
    </w:p>
    <w:p w14:paraId="5CB8B15F" w14:textId="65B09D62"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Grinde, B. and Patil, G. (2009). Biophilia: Does Visual Contact with Nature Impact on Health and Well-Being? </w:t>
      </w:r>
      <w:r w:rsidRPr="009F06C1">
        <w:rPr>
          <w:rFonts w:ascii="Times New Roman" w:hAnsi="Times New Roman" w:cs="Times New Roman"/>
          <w:i/>
          <w:iCs/>
        </w:rPr>
        <w:t>International Journal of Environmental Research and Public Health</w:t>
      </w:r>
      <w:r w:rsidRPr="009F06C1">
        <w:rPr>
          <w:rFonts w:ascii="Times New Roman" w:hAnsi="Times New Roman" w:cs="Times New Roman"/>
        </w:rPr>
        <w:t>, [online] 6(9), pp.2332–2343.</w:t>
      </w:r>
    </w:p>
    <w:p w14:paraId="34797E8D" w14:textId="69D201AB" w:rsidR="003D229A" w:rsidRPr="009F06C1" w:rsidRDefault="00EA0780" w:rsidP="003D229A">
      <w:pPr>
        <w:rPr>
          <w:rFonts w:ascii="Times New Roman" w:hAnsi="Times New Roman" w:cs="Times New Roman"/>
        </w:rPr>
      </w:pPr>
      <w:r w:rsidRPr="009F06C1">
        <w:rPr>
          <w:rFonts w:ascii="Times New Roman" w:hAnsi="Times New Roman" w:cs="Times New Roman"/>
        </w:rPr>
        <w:t>Johnson</w:t>
      </w:r>
      <w:r w:rsidR="003D229A" w:rsidRPr="009F06C1">
        <w:rPr>
          <w:rFonts w:ascii="Times New Roman" w:hAnsi="Times New Roman" w:cs="Times New Roman"/>
        </w:rPr>
        <w:t xml:space="preserve">, jay and Ali, A.E. (2019). Paddling as resistance? Exploring an Indigenous approach to land-based education amongst Manitoba youth. </w:t>
      </w:r>
      <w:r w:rsidR="003D229A" w:rsidRPr="009F06C1">
        <w:rPr>
          <w:rFonts w:ascii="Times New Roman" w:hAnsi="Times New Roman" w:cs="Times New Roman"/>
          <w:i/>
          <w:iCs/>
        </w:rPr>
        <w:t>Diaspora, Indigenous, and Minority Education</w:t>
      </w:r>
      <w:r w:rsidR="003D229A" w:rsidRPr="009F06C1">
        <w:rPr>
          <w:rFonts w:ascii="Times New Roman" w:hAnsi="Times New Roman" w:cs="Times New Roman"/>
        </w:rPr>
        <w:t>, pp.1–15.</w:t>
      </w:r>
    </w:p>
    <w:p w14:paraId="33F8B66C" w14:textId="3896E8F2"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Kloek, M.E., Buijs, A.E., Boersema, J.J. and Schouten, M.G.C. (2015). ‘Nature lovers’, ‘Social animals’, ‘Quiet seekers’ and ‘Activity lovers’: Participation of young adult immigrants and non-immigrants in outdoor recreation in the Netherlands. </w:t>
      </w:r>
      <w:r w:rsidRPr="009F06C1">
        <w:rPr>
          <w:rFonts w:ascii="Times New Roman" w:hAnsi="Times New Roman" w:cs="Times New Roman"/>
          <w:i/>
          <w:iCs/>
        </w:rPr>
        <w:t>Journal of Outdoor Recreation and Tourism</w:t>
      </w:r>
      <w:r w:rsidRPr="009F06C1">
        <w:rPr>
          <w:rFonts w:ascii="Times New Roman" w:hAnsi="Times New Roman" w:cs="Times New Roman"/>
        </w:rPr>
        <w:t xml:space="preserve">, 12, pp.47–58. </w:t>
      </w:r>
    </w:p>
    <w:p w14:paraId="677B26D9" w14:textId="328437C8"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Kuk, H.-S. and Holst, J.D. (2018). A Dissection of Experiential Learning Theory: Alternative Approaches to Reflection. </w:t>
      </w:r>
      <w:r w:rsidRPr="009F06C1">
        <w:rPr>
          <w:rFonts w:ascii="Times New Roman" w:hAnsi="Times New Roman" w:cs="Times New Roman"/>
          <w:i/>
          <w:iCs/>
        </w:rPr>
        <w:t>Adult Learning</w:t>
      </w:r>
      <w:r w:rsidRPr="009F06C1">
        <w:rPr>
          <w:rFonts w:ascii="Times New Roman" w:hAnsi="Times New Roman" w:cs="Times New Roman"/>
        </w:rPr>
        <w:t>, 29(4), pp.150–157.</w:t>
      </w:r>
    </w:p>
    <w:p w14:paraId="7A8E35F5" w14:textId="77777777"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Lee, C., Zhu, X., Anna Patricia Lane and Erja Portegijs (2021). </w:t>
      </w:r>
      <w:r w:rsidRPr="009F06C1">
        <w:rPr>
          <w:rFonts w:ascii="Times New Roman" w:hAnsi="Times New Roman" w:cs="Times New Roman"/>
          <w:i/>
          <w:iCs/>
        </w:rPr>
        <w:t>Healthy Aging and the Community Environment</w:t>
      </w:r>
      <w:r w:rsidRPr="009F06C1">
        <w:rPr>
          <w:rFonts w:ascii="Times New Roman" w:hAnsi="Times New Roman" w:cs="Times New Roman"/>
        </w:rPr>
        <w:t>. Frontiers Media SA.</w:t>
      </w:r>
    </w:p>
    <w:p w14:paraId="3CB9041F" w14:textId="2480B018" w:rsidR="003D229A" w:rsidRPr="009F06C1" w:rsidRDefault="003D229A" w:rsidP="003D229A">
      <w:pPr>
        <w:rPr>
          <w:rFonts w:ascii="Times New Roman" w:hAnsi="Times New Roman" w:cs="Times New Roman"/>
        </w:rPr>
      </w:pPr>
      <w:r w:rsidRPr="009F06C1">
        <w:rPr>
          <w:rFonts w:ascii="Times New Roman" w:hAnsi="Times New Roman" w:cs="Times New Roman"/>
        </w:rPr>
        <w:lastRenderedPageBreak/>
        <w:t xml:space="preserve">Magnuson, D., Dobud, W. and Harper, N.J. (2022). Can Involuntary Youth Transport into Outdoor Behavioral Healthcare Treatment Programs (Wilderness Therapy) Ever Be Ethical? </w:t>
      </w:r>
      <w:r w:rsidRPr="009F06C1">
        <w:rPr>
          <w:rFonts w:ascii="Times New Roman" w:hAnsi="Times New Roman" w:cs="Times New Roman"/>
          <w:i/>
          <w:iCs/>
        </w:rPr>
        <w:t>Child and Adolescent Social Work Journal</w:t>
      </w:r>
      <w:r w:rsidRPr="009F06C1">
        <w:rPr>
          <w:rFonts w:ascii="Times New Roman" w:hAnsi="Times New Roman" w:cs="Times New Roman"/>
        </w:rPr>
        <w:t>, 41.</w:t>
      </w:r>
    </w:p>
    <w:p w14:paraId="20DFE684" w14:textId="5A780B56"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Meerts-Brandsma, L., Sibthorp, J. and Rochelle, S. (2019). Using transformative learning theory to understand outdoor adventure education. </w:t>
      </w:r>
      <w:r w:rsidRPr="009F06C1">
        <w:rPr>
          <w:rFonts w:ascii="Times New Roman" w:hAnsi="Times New Roman" w:cs="Times New Roman"/>
          <w:i/>
          <w:iCs/>
        </w:rPr>
        <w:t>Journal of Adventure Education and Outdoor Learning</w:t>
      </w:r>
      <w:r w:rsidRPr="009F06C1">
        <w:rPr>
          <w:rFonts w:ascii="Times New Roman" w:hAnsi="Times New Roman" w:cs="Times New Roman"/>
        </w:rPr>
        <w:t>, 20(4), pp.1–14.</w:t>
      </w:r>
    </w:p>
    <w:p w14:paraId="489B13D8" w14:textId="77777777"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Monroe, M., Salazar, G. and Kunkle, K. (2020). </w:t>
      </w:r>
      <w:r w:rsidRPr="009F06C1">
        <w:rPr>
          <w:rFonts w:ascii="Times New Roman" w:hAnsi="Times New Roman" w:cs="Times New Roman"/>
          <w:i/>
          <w:iCs/>
        </w:rPr>
        <w:t>Practitioner Guide to Assessing Connection to Nature</w:t>
      </w:r>
      <w:r w:rsidRPr="009F06C1">
        <w:rPr>
          <w:rFonts w:ascii="Times New Roman" w:hAnsi="Times New Roman" w:cs="Times New Roman"/>
        </w:rPr>
        <w:t>. University of Cumbria.</w:t>
      </w:r>
    </w:p>
    <w:p w14:paraId="005520A9" w14:textId="26E7D47D"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Moore, A.M., Clapham, E.D. and Deeney, T.A. (2017). Parents’ Perspectives on Surf Therapy for Children with Disabilities. </w:t>
      </w:r>
      <w:r w:rsidRPr="009F06C1">
        <w:rPr>
          <w:rFonts w:ascii="Times New Roman" w:hAnsi="Times New Roman" w:cs="Times New Roman"/>
          <w:i/>
          <w:iCs/>
        </w:rPr>
        <w:t>International Journal of Disability, Development and Education</w:t>
      </w:r>
      <w:r w:rsidRPr="009F06C1">
        <w:rPr>
          <w:rFonts w:ascii="Times New Roman" w:hAnsi="Times New Roman" w:cs="Times New Roman"/>
        </w:rPr>
        <w:t>, 65(3), pp.304–317.</w:t>
      </w:r>
    </w:p>
    <w:p w14:paraId="5CD2A90B" w14:textId="000CB96A"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Ng, S.C., Iorio, J.M. and Yelland, N. (2025). Thinking with: Relationality and Lively Connections Within Urbanised Outdoor Community Environments. </w:t>
      </w:r>
      <w:r w:rsidRPr="009F06C1">
        <w:rPr>
          <w:rFonts w:ascii="Times New Roman" w:hAnsi="Times New Roman" w:cs="Times New Roman"/>
          <w:i/>
          <w:iCs/>
        </w:rPr>
        <w:t>Education Sciences</w:t>
      </w:r>
      <w:r w:rsidRPr="009F06C1">
        <w:rPr>
          <w:rFonts w:ascii="Times New Roman" w:hAnsi="Times New Roman" w:cs="Times New Roman"/>
        </w:rPr>
        <w:t>, [online] 15(9), pp.1109–1109.</w:t>
      </w:r>
    </w:p>
    <w:p w14:paraId="18ABE6F0" w14:textId="2A951C95"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Ord, J. and Leather, M. (2011). The Substance beneath the Labels of Experiential Learning: </w:t>
      </w:r>
      <w:r w:rsidR="00EA0780" w:rsidRPr="009F06C1">
        <w:rPr>
          <w:rFonts w:ascii="Times New Roman" w:hAnsi="Times New Roman" w:cs="Times New Roman"/>
        </w:rPr>
        <w:t>The</w:t>
      </w:r>
      <w:r w:rsidRPr="009F06C1">
        <w:rPr>
          <w:rFonts w:ascii="Times New Roman" w:hAnsi="Times New Roman" w:cs="Times New Roman"/>
        </w:rPr>
        <w:t xml:space="preserve"> Importance of John Dewey for Outdoor Educators. </w:t>
      </w:r>
      <w:r w:rsidRPr="009F06C1">
        <w:rPr>
          <w:rFonts w:ascii="Times New Roman" w:hAnsi="Times New Roman" w:cs="Times New Roman"/>
          <w:i/>
          <w:iCs/>
        </w:rPr>
        <w:t>Journal of Outdoor and Environmental Education</w:t>
      </w:r>
      <w:r w:rsidRPr="009F06C1">
        <w:rPr>
          <w:rFonts w:ascii="Times New Roman" w:hAnsi="Times New Roman" w:cs="Times New Roman"/>
        </w:rPr>
        <w:t>, [online] 15(2), pp.13–23.</w:t>
      </w:r>
    </w:p>
    <w:p w14:paraId="052B25D3" w14:textId="5C8F8FA5" w:rsidR="00E976E4" w:rsidRPr="009F06C1" w:rsidRDefault="003D229A" w:rsidP="003D229A">
      <w:pPr>
        <w:rPr>
          <w:rFonts w:ascii="Times New Roman" w:hAnsi="Times New Roman" w:cs="Times New Roman"/>
        </w:rPr>
      </w:pPr>
      <w:r w:rsidRPr="009F06C1">
        <w:rPr>
          <w:rFonts w:ascii="Times New Roman" w:hAnsi="Times New Roman" w:cs="Times New Roman"/>
        </w:rPr>
        <w:t xml:space="preserve">Palmer, A.K., Riley, M., Jones, L., Clement, S., Evans, K.L. and Brockett, B.F.T. (2025). Exploring the role of ethnicity and culture in shaping greenspace practices: A qualitative study from Bristol, UK. </w:t>
      </w:r>
      <w:r w:rsidRPr="009F06C1">
        <w:rPr>
          <w:rFonts w:ascii="Times New Roman" w:hAnsi="Times New Roman" w:cs="Times New Roman"/>
          <w:i/>
          <w:iCs/>
        </w:rPr>
        <w:t>Landscape and Urban Planning</w:t>
      </w:r>
      <w:r w:rsidRPr="009F06C1">
        <w:rPr>
          <w:rFonts w:ascii="Times New Roman" w:hAnsi="Times New Roman" w:cs="Times New Roman"/>
        </w:rPr>
        <w:t xml:space="preserve">, [online] 264, p.105493. </w:t>
      </w:r>
    </w:p>
    <w:p w14:paraId="1842B302" w14:textId="0A868CC7"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Potvin, L. and Niblett, B. (2023). Queer, Fat, and OUTdoors. </w:t>
      </w:r>
      <w:r w:rsidRPr="009F06C1">
        <w:rPr>
          <w:rFonts w:ascii="Times New Roman" w:hAnsi="Times New Roman" w:cs="Times New Roman"/>
          <w:i/>
          <w:iCs/>
        </w:rPr>
        <w:t>Parks stewardship forum</w:t>
      </w:r>
      <w:r w:rsidRPr="009F06C1">
        <w:rPr>
          <w:rFonts w:ascii="Times New Roman" w:hAnsi="Times New Roman" w:cs="Times New Roman"/>
        </w:rPr>
        <w:t xml:space="preserve">, 39(2). </w:t>
      </w:r>
    </w:p>
    <w:p w14:paraId="51DA1477" w14:textId="66D36DFB"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Pringle, G. (2025). A tale of two systems; How beliefs lead to harmful outdoor practice. </w:t>
      </w:r>
      <w:r w:rsidRPr="009F06C1">
        <w:rPr>
          <w:rFonts w:ascii="Times New Roman" w:hAnsi="Times New Roman" w:cs="Times New Roman"/>
          <w:i/>
          <w:iCs/>
        </w:rPr>
        <w:t>Journal of Outdoor and Environmental Education</w:t>
      </w:r>
      <w:r w:rsidRPr="009F06C1">
        <w:rPr>
          <w:rFonts w:ascii="Times New Roman" w:hAnsi="Times New Roman" w:cs="Times New Roman"/>
        </w:rPr>
        <w:t xml:space="preserve">. </w:t>
      </w:r>
    </w:p>
    <w:p w14:paraId="364FF0AC" w14:textId="77777777"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Thomas, G. and Pring, R. (2004). </w:t>
      </w:r>
      <w:r w:rsidRPr="009F06C1">
        <w:rPr>
          <w:rFonts w:ascii="Times New Roman" w:hAnsi="Times New Roman" w:cs="Times New Roman"/>
          <w:i/>
          <w:iCs/>
        </w:rPr>
        <w:t>Evidence-based practice in education</w:t>
      </w:r>
      <w:r w:rsidRPr="009F06C1">
        <w:rPr>
          <w:rFonts w:ascii="Times New Roman" w:hAnsi="Times New Roman" w:cs="Times New Roman"/>
        </w:rPr>
        <w:t>. Maidenhead: Open University Press.</w:t>
      </w:r>
    </w:p>
    <w:p w14:paraId="33D0CF5A" w14:textId="582F1F28"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Wicks, C., Barton, J., Orbell, S. and Andrews, L. (2022). Psychological benefits of outdoor physical activity in natural versus urban environments: A systematic review and meta‐analysis of experimental studies. </w:t>
      </w:r>
      <w:r w:rsidRPr="009F06C1">
        <w:rPr>
          <w:rFonts w:ascii="Times New Roman" w:hAnsi="Times New Roman" w:cs="Times New Roman"/>
          <w:i/>
          <w:iCs/>
        </w:rPr>
        <w:t>Applied Psychology: Health and Well-Being</w:t>
      </w:r>
      <w:r w:rsidRPr="009F06C1">
        <w:rPr>
          <w:rFonts w:ascii="Times New Roman" w:hAnsi="Times New Roman" w:cs="Times New Roman"/>
        </w:rPr>
        <w:t xml:space="preserve">, 14(3), pp.1037–1061. </w:t>
      </w:r>
    </w:p>
    <w:p w14:paraId="6CAF7381" w14:textId="67A61D7F" w:rsidR="003D229A" w:rsidRPr="009F06C1" w:rsidRDefault="003D229A" w:rsidP="003D229A">
      <w:pPr>
        <w:rPr>
          <w:rFonts w:ascii="Times New Roman" w:hAnsi="Times New Roman" w:cs="Times New Roman"/>
        </w:rPr>
      </w:pPr>
      <w:r w:rsidRPr="009F06C1">
        <w:rPr>
          <w:rFonts w:ascii="Times New Roman" w:hAnsi="Times New Roman" w:cs="Times New Roman"/>
        </w:rPr>
        <w:t xml:space="preserve">Wild, I.R., Treviño Gonzalez, M.J. and Williams, A. (2025). Queering adventure: building communities outdoors to combat social and environmental injustice. </w:t>
      </w:r>
      <w:r w:rsidRPr="009F06C1">
        <w:rPr>
          <w:rFonts w:ascii="Times New Roman" w:hAnsi="Times New Roman" w:cs="Times New Roman"/>
          <w:i/>
          <w:iCs/>
        </w:rPr>
        <w:t>Journal of Adventure Education and Outdoor Learning</w:t>
      </w:r>
      <w:r w:rsidRPr="009F06C1">
        <w:rPr>
          <w:rFonts w:ascii="Times New Roman" w:hAnsi="Times New Roman" w:cs="Times New Roman"/>
        </w:rPr>
        <w:t>, pp.1–22.</w:t>
      </w:r>
    </w:p>
    <w:p w14:paraId="054F6EDA" w14:textId="77777777" w:rsidR="003D229A" w:rsidRPr="009F06C1" w:rsidRDefault="003D229A" w:rsidP="001377F0">
      <w:pPr>
        <w:rPr>
          <w:rFonts w:ascii="Times New Roman" w:hAnsi="Times New Roman" w:cs="Times New Roman"/>
        </w:rPr>
      </w:pPr>
    </w:p>
    <w:p w14:paraId="11EF3FD8" w14:textId="77777777" w:rsidR="001377F0" w:rsidRPr="003D229A" w:rsidRDefault="001377F0">
      <w:pPr>
        <w:rPr>
          <w:rFonts w:ascii="Times New Roman" w:hAnsi="Times New Roman" w:cs="Times New Roman"/>
        </w:rPr>
      </w:pPr>
    </w:p>
    <w:sectPr w:rsidR="001377F0" w:rsidRPr="003D229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086BC" w14:textId="77777777" w:rsidR="008D7550" w:rsidRDefault="008D7550" w:rsidP="00FF234A">
      <w:pPr>
        <w:spacing w:after="0" w:line="240" w:lineRule="auto"/>
      </w:pPr>
      <w:r>
        <w:separator/>
      </w:r>
    </w:p>
  </w:endnote>
  <w:endnote w:type="continuationSeparator" w:id="0">
    <w:p w14:paraId="425A553C" w14:textId="77777777" w:rsidR="008D7550" w:rsidRDefault="008D7550" w:rsidP="00FF2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9A047" w14:textId="77777777" w:rsidR="008D7550" w:rsidRDefault="008D7550" w:rsidP="00FF234A">
      <w:pPr>
        <w:spacing w:after="0" w:line="240" w:lineRule="auto"/>
      </w:pPr>
      <w:r>
        <w:separator/>
      </w:r>
    </w:p>
  </w:footnote>
  <w:footnote w:type="continuationSeparator" w:id="0">
    <w:p w14:paraId="46F83442" w14:textId="77777777" w:rsidR="008D7550" w:rsidRDefault="008D7550" w:rsidP="00FF23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0BE2D" w14:textId="79BE482B" w:rsidR="00FF234A" w:rsidRDefault="00FF234A">
    <w:pPr>
      <w:pStyle w:val="Header"/>
    </w:pPr>
    <w:r>
      <w:t>2304969</w:t>
    </w:r>
    <w:r>
      <w:ptab w:relativeTo="margin" w:alignment="center" w:leader="none"/>
    </w:r>
    <w:r>
      <w:ptab w:relativeTo="margin" w:alignment="right" w:leader="none"/>
    </w:r>
    <w:r>
      <w:t>BMO</w:t>
    </w:r>
    <w:r w:rsidR="003D1AB5">
      <w:t>E6005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9B44CE"/>
    <w:multiLevelType w:val="multilevel"/>
    <w:tmpl w:val="9EA4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0685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7F0"/>
    <w:rsid w:val="000D1111"/>
    <w:rsid w:val="001377F0"/>
    <w:rsid w:val="00235D62"/>
    <w:rsid w:val="002A2411"/>
    <w:rsid w:val="002E2E6E"/>
    <w:rsid w:val="00320DB4"/>
    <w:rsid w:val="003D1AB5"/>
    <w:rsid w:val="003D229A"/>
    <w:rsid w:val="00400E97"/>
    <w:rsid w:val="00440916"/>
    <w:rsid w:val="00693AFD"/>
    <w:rsid w:val="006A5736"/>
    <w:rsid w:val="00860272"/>
    <w:rsid w:val="008D7550"/>
    <w:rsid w:val="009F06C1"/>
    <w:rsid w:val="00A512E6"/>
    <w:rsid w:val="00AA23C3"/>
    <w:rsid w:val="00AC425C"/>
    <w:rsid w:val="00AC42D5"/>
    <w:rsid w:val="00B2664A"/>
    <w:rsid w:val="00C547BE"/>
    <w:rsid w:val="00D259E4"/>
    <w:rsid w:val="00E06251"/>
    <w:rsid w:val="00E976E4"/>
    <w:rsid w:val="00EA016D"/>
    <w:rsid w:val="00EA0780"/>
    <w:rsid w:val="00F95F4A"/>
    <w:rsid w:val="00FF2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292B4"/>
  <w15:chartTrackingRefBased/>
  <w15:docId w15:val="{4306C45B-3C62-4405-B8CB-BDD5E86EB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7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7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7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7F0"/>
    <w:rPr>
      <w:rFonts w:eastAsiaTheme="majorEastAsia" w:cstheme="majorBidi"/>
      <w:color w:val="272727" w:themeColor="text1" w:themeTint="D8"/>
    </w:rPr>
  </w:style>
  <w:style w:type="paragraph" w:styleId="Title">
    <w:name w:val="Title"/>
    <w:basedOn w:val="Normal"/>
    <w:next w:val="Normal"/>
    <w:link w:val="TitleChar"/>
    <w:uiPriority w:val="10"/>
    <w:qFormat/>
    <w:rsid w:val="00137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7F0"/>
    <w:pPr>
      <w:spacing w:before="160"/>
      <w:jc w:val="center"/>
    </w:pPr>
    <w:rPr>
      <w:i/>
      <w:iCs/>
      <w:color w:val="404040" w:themeColor="text1" w:themeTint="BF"/>
    </w:rPr>
  </w:style>
  <w:style w:type="character" w:customStyle="1" w:styleId="QuoteChar">
    <w:name w:val="Quote Char"/>
    <w:basedOn w:val="DefaultParagraphFont"/>
    <w:link w:val="Quote"/>
    <w:uiPriority w:val="29"/>
    <w:rsid w:val="001377F0"/>
    <w:rPr>
      <w:i/>
      <w:iCs/>
      <w:color w:val="404040" w:themeColor="text1" w:themeTint="BF"/>
    </w:rPr>
  </w:style>
  <w:style w:type="paragraph" w:styleId="ListParagraph">
    <w:name w:val="List Paragraph"/>
    <w:basedOn w:val="Normal"/>
    <w:uiPriority w:val="34"/>
    <w:qFormat/>
    <w:rsid w:val="001377F0"/>
    <w:pPr>
      <w:ind w:left="720"/>
      <w:contextualSpacing/>
    </w:pPr>
  </w:style>
  <w:style w:type="character" w:styleId="IntenseEmphasis">
    <w:name w:val="Intense Emphasis"/>
    <w:basedOn w:val="DefaultParagraphFont"/>
    <w:uiPriority w:val="21"/>
    <w:qFormat/>
    <w:rsid w:val="001377F0"/>
    <w:rPr>
      <w:i/>
      <w:iCs/>
      <w:color w:val="0F4761" w:themeColor="accent1" w:themeShade="BF"/>
    </w:rPr>
  </w:style>
  <w:style w:type="paragraph" w:styleId="IntenseQuote">
    <w:name w:val="Intense Quote"/>
    <w:basedOn w:val="Normal"/>
    <w:next w:val="Normal"/>
    <w:link w:val="IntenseQuoteChar"/>
    <w:uiPriority w:val="30"/>
    <w:qFormat/>
    <w:rsid w:val="00137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7F0"/>
    <w:rPr>
      <w:i/>
      <w:iCs/>
      <w:color w:val="0F4761" w:themeColor="accent1" w:themeShade="BF"/>
    </w:rPr>
  </w:style>
  <w:style w:type="character" w:styleId="IntenseReference">
    <w:name w:val="Intense Reference"/>
    <w:basedOn w:val="DefaultParagraphFont"/>
    <w:uiPriority w:val="32"/>
    <w:qFormat/>
    <w:rsid w:val="001377F0"/>
    <w:rPr>
      <w:b/>
      <w:bCs/>
      <w:smallCaps/>
      <w:color w:val="0F4761" w:themeColor="accent1" w:themeShade="BF"/>
      <w:spacing w:val="5"/>
    </w:rPr>
  </w:style>
  <w:style w:type="character" w:styleId="Hyperlink">
    <w:name w:val="Hyperlink"/>
    <w:basedOn w:val="DefaultParagraphFont"/>
    <w:uiPriority w:val="99"/>
    <w:unhideWhenUsed/>
    <w:rsid w:val="003D229A"/>
    <w:rPr>
      <w:color w:val="467886" w:themeColor="hyperlink"/>
      <w:u w:val="single"/>
    </w:rPr>
  </w:style>
  <w:style w:type="character" w:styleId="UnresolvedMention">
    <w:name w:val="Unresolved Mention"/>
    <w:basedOn w:val="DefaultParagraphFont"/>
    <w:uiPriority w:val="99"/>
    <w:semiHidden/>
    <w:unhideWhenUsed/>
    <w:rsid w:val="003D229A"/>
    <w:rPr>
      <w:color w:val="605E5C"/>
      <w:shd w:val="clear" w:color="auto" w:fill="E1DFDD"/>
    </w:rPr>
  </w:style>
  <w:style w:type="paragraph" w:styleId="Header">
    <w:name w:val="header"/>
    <w:basedOn w:val="Normal"/>
    <w:link w:val="HeaderChar"/>
    <w:uiPriority w:val="99"/>
    <w:unhideWhenUsed/>
    <w:rsid w:val="00FF2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34A"/>
  </w:style>
  <w:style w:type="paragraph" w:styleId="Footer">
    <w:name w:val="footer"/>
    <w:basedOn w:val="Normal"/>
    <w:link w:val="FooterChar"/>
    <w:uiPriority w:val="99"/>
    <w:unhideWhenUsed/>
    <w:rsid w:val="00FF2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3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viewing.co.uk/articles/facilitating-outdoor-education.htm" TargetMode="External"/><Relationship Id="rId3" Type="http://schemas.openxmlformats.org/officeDocument/2006/relationships/settings" Target="settings.xml"/><Relationship Id="rId7" Type="http://schemas.openxmlformats.org/officeDocument/2006/relationships/hyperlink" Target="https://doi.org/10.1016/j.landurbplan.2020.1039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3312</Words>
  <Characters>18884</Characters>
  <Application>Microsoft Office Word</Application>
  <DocSecurity>0</DocSecurity>
  <Lines>157</Lines>
  <Paragraphs>44</Paragraphs>
  <ScaleCrop>false</ScaleCrop>
  <Company/>
  <LinksUpToDate>false</LinksUpToDate>
  <CharactersWithSpaces>22152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Ellis-Anthony Willis (2304969)</dc:creator>
  <cp:keywords/>
  <dc:description/>
  <cp:lastModifiedBy>Ellis-Anthony Willis (2304969)</cp:lastModifiedBy>
  <cp:revision>4</cp:revision>
  <dcterms:created xsi:type="dcterms:W3CDTF">2026-02-06T14:48:00Z</dcterms:created>
  <dcterms:modified xsi:type="dcterms:W3CDTF">2026-02-06T14:50:00Z</dcterms:modified>
</cp:coreProperties>
</file>