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2307EE" w14:textId="654CDAD8" w:rsidR="00724818" w:rsidRPr="00097F35" w:rsidRDefault="0081282C" w:rsidP="00097F35">
      <w:pPr>
        <w:jc w:val="center"/>
        <w:rPr>
          <w:rFonts w:cstheme="minorHAnsi"/>
          <w:b/>
          <w:bCs/>
          <w:sz w:val="24"/>
          <w:szCs w:val="24"/>
          <w:u w:val="single"/>
        </w:rPr>
      </w:pPr>
      <w:r w:rsidRPr="00097F35">
        <w:rPr>
          <w:rFonts w:cstheme="minorHAnsi"/>
          <w:b/>
          <w:bCs/>
          <w:sz w:val="24"/>
          <w:szCs w:val="24"/>
          <w:u w:val="single"/>
        </w:rPr>
        <w:t>Assignment 1-Part 2</w:t>
      </w:r>
    </w:p>
    <w:p w14:paraId="2B60ED55" w14:textId="0D6AF6CE" w:rsidR="000D26C8" w:rsidRPr="00097F35" w:rsidRDefault="000D26C8" w:rsidP="00097F35">
      <w:pPr>
        <w:jc w:val="center"/>
        <w:rPr>
          <w:rFonts w:cstheme="minorHAnsi"/>
          <w:b/>
          <w:bCs/>
          <w:sz w:val="24"/>
          <w:szCs w:val="24"/>
          <w:u w:val="single"/>
        </w:rPr>
      </w:pPr>
      <w:r w:rsidRPr="00097F35">
        <w:rPr>
          <w:rFonts w:cstheme="minorHAnsi"/>
          <w:b/>
          <w:bCs/>
          <w:sz w:val="24"/>
          <w:szCs w:val="24"/>
          <w:u w:val="single"/>
        </w:rPr>
        <w:t>A Review of Prehistory, History, and Archaeology by Wenke and Olszewski</w:t>
      </w:r>
    </w:p>
    <w:p w14:paraId="5AF07745" w14:textId="1FFA0B49" w:rsidR="0081282C" w:rsidRPr="00C63326" w:rsidRDefault="000D26C8">
      <w:pPr>
        <w:rPr>
          <w:rFonts w:cstheme="minorHAnsi"/>
          <w:sz w:val="24"/>
          <w:szCs w:val="24"/>
        </w:rPr>
      </w:pPr>
      <w:r w:rsidRPr="00C63326">
        <w:rPr>
          <w:rFonts w:cstheme="minorHAnsi"/>
          <w:sz w:val="24"/>
          <w:szCs w:val="24"/>
        </w:rPr>
        <w:t xml:space="preserve">The authors of this chapter wrote it with the intentions of answering many questions </w:t>
      </w:r>
      <w:r w:rsidR="00D7093A" w:rsidRPr="00C63326">
        <w:rPr>
          <w:rFonts w:cstheme="minorHAnsi"/>
          <w:sz w:val="24"/>
          <w:szCs w:val="24"/>
        </w:rPr>
        <w:t>in regard to</w:t>
      </w:r>
      <w:r w:rsidRPr="00C63326">
        <w:rPr>
          <w:rFonts w:cstheme="minorHAnsi"/>
          <w:sz w:val="24"/>
          <w:szCs w:val="24"/>
        </w:rPr>
        <w:t xml:space="preserve"> what archaeologists look for.</w:t>
      </w:r>
      <w:r w:rsidR="00E027AA" w:rsidRPr="00C63326">
        <w:rPr>
          <w:rFonts w:cstheme="minorHAnsi"/>
          <w:sz w:val="24"/>
          <w:szCs w:val="24"/>
        </w:rPr>
        <w:t xml:space="preserve"> </w:t>
      </w:r>
      <w:r w:rsidRPr="00C63326">
        <w:rPr>
          <w:rFonts w:cstheme="minorHAnsi"/>
          <w:sz w:val="24"/>
          <w:szCs w:val="24"/>
        </w:rPr>
        <w:t xml:space="preserve">To help answer their many questions the chapter was made up of various subcategories that included </w:t>
      </w:r>
      <w:r w:rsidRPr="00C63326">
        <w:rPr>
          <w:rFonts w:cstheme="minorHAnsi"/>
          <w:i/>
          <w:iCs/>
          <w:sz w:val="24"/>
          <w:szCs w:val="24"/>
        </w:rPr>
        <w:t xml:space="preserve">A Short History of Attempts to Understand the Past </w:t>
      </w:r>
      <w:r w:rsidRPr="00C63326">
        <w:rPr>
          <w:rFonts w:cstheme="minorHAnsi"/>
          <w:sz w:val="24"/>
          <w:szCs w:val="24"/>
        </w:rPr>
        <w:t xml:space="preserve"> and </w:t>
      </w:r>
      <w:r w:rsidRPr="00C63326">
        <w:rPr>
          <w:rFonts w:cstheme="minorHAnsi"/>
          <w:i/>
          <w:iCs/>
          <w:sz w:val="24"/>
          <w:szCs w:val="24"/>
        </w:rPr>
        <w:t xml:space="preserve">Charles Darwin </w:t>
      </w:r>
      <w:r w:rsidRPr="00C63326">
        <w:rPr>
          <w:rFonts w:cstheme="minorHAnsi"/>
          <w:sz w:val="24"/>
          <w:szCs w:val="24"/>
        </w:rPr>
        <w:t>but the subcategories that can be applied to the Aztecs</w:t>
      </w:r>
      <w:r w:rsidR="00832781" w:rsidRPr="00C63326">
        <w:rPr>
          <w:rFonts w:cstheme="minorHAnsi"/>
          <w:sz w:val="24"/>
          <w:szCs w:val="24"/>
        </w:rPr>
        <w:t xml:space="preserve">, the chosen culture for this assignment, </w:t>
      </w:r>
      <w:r w:rsidRPr="00C63326">
        <w:rPr>
          <w:rFonts w:cstheme="minorHAnsi"/>
          <w:sz w:val="24"/>
          <w:szCs w:val="24"/>
        </w:rPr>
        <w:t xml:space="preserve">are </w:t>
      </w:r>
      <w:r w:rsidRPr="00C63326">
        <w:rPr>
          <w:rFonts w:cstheme="minorHAnsi"/>
          <w:i/>
          <w:iCs/>
          <w:sz w:val="24"/>
          <w:szCs w:val="24"/>
        </w:rPr>
        <w:t xml:space="preserve">Agency and Landscape </w:t>
      </w:r>
      <w:r w:rsidR="00D7093A" w:rsidRPr="00C63326">
        <w:rPr>
          <w:rFonts w:cstheme="minorHAnsi"/>
          <w:i/>
          <w:iCs/>
          <w:sz w:val="24"/>
          <w:szCs w:val="24"/>
        </w:rPr>
        <w:t xml:space="preserve">Archaeology </w:t>
      </w:r>
      <w:r w:rsidR="00D7093A" w:rsidRPr="00C63326">
        <w:rPr>
          <w:rFonts w:cstheme="minorHAnsi"/>
          <w:sz w:val="24"/>
          <w:szCs w:val="24"/>
        </w:rPr>
        <w:t xml:space="preserve">and </w:t>
      </w:r>
      <w:r w:rsidR="00D7093A" w:rsidRPr="00C63326">
        <w:rPr>
          <w:rFonts w:cstheme="minorHAnsi"/>
          <w:i/>
          <w:iCs/>
          <w:sz w:val="24"/>
          <w:szCs w:val="24"/>
        </w:rPr>
        <w:t>Archaeology As The Reconstruction of Extinct Cultures and Their Histories.</w:t>
      </w:r>
      <w:r w:rsidR="00D7093A" w:rsidRPr="00C63326">
        <w:rPr>
          <w:rFonts w:cstheme="minorHAnsi"/>
          <w:sz w:val="24"/>
          <w:szCs w:val="24"/>
        </w:rPr>
        <w:t xml:space="preserve"> </w:t>
      </w:r>
      <w:r w:rsidR="00832781" w:rsidRPr="00C63326">
        <w:rPr>
          <w:rFonts w:cstheme="minorHAnsi"/>
          <w:sz w:val="24"/>
          <w:szCs w:val="24"/>
        </w:rPr>
        <w:t>This review will look at the two subcategories and how the Aztec culture can be applied to them then will be followed by an evaluation of the chapter as a whole.</w:t>
      </w:r>
    </w:p>
    <w:p w14:paraId="5B2A320C" w14:textId="35681483" w:rsidR="00D7093A" w:rsidRPr="00C63326" w:rsidRDefault="00D7093A">
      <w:pPr>
        <w:rPr>
          <w:rFonts w:cstheme="minorHAnsi"/>
          <w:sz w:val="24"/>
          <w:szCs w:val="24"/>
        </w:rPr>
      </w:pPr>
      <w:r w:rsidRPr="00C63326">
        <w:rPr>
          <w:rFonts w:cstheme="minorHAnsi"/>
          <w:sz w:val="24"/>
          <w:szCs w:val="24"/>
        </w:rPr>
        <w:t xml:space="preserve">Firstly, </w:t>
      </w:r>
      <w:r w:rsidRPr="00C63326">
        <w:rPr>
          <w:rFonts w:cstheme="minorHAnsi"/>
          <w:i/>
          <w:iCs/>
          <w:sz w:val="24"/>
          <w:szCs w:val="24"/>
        </w:rPr>
        <w:t xml:space="preserve">Agency and Landscape Archaeology </w:t>
      </w:r>
      <w:r w:rsidRPr="00C63326">
        <w:rPr>
          <w:rFonts w:cstheme="minorHAnsi"/>
          <w:sz w:val="24"/>
          <w:szCs w:val="24"/>
        </w:rPr>
        <w:t>talks about how “Landscape is an entity that exists by virtue of its being perceived, experienced, and contextualised by people” (</w:t>
      </w:r>
      <w:bookmarkStart w:id="0" w:name="_Hlk23282420"/>
      <w:r w:rsidRPr="00C63326">
        <w:rPr>
          <w:rFonts w:cstheme="minorHAnsi"/>
          <w:sz w:val="24"/>
          <w:szCs w:val="24"/>
        </w:rPr>
        <w:t>Wenke, R.F. and Olszewski, D.J., 2007</w:t>
      </w:r>
      <w:bookmarkEnd w:id="0"/>
      <w:r w:rsidRPr="00C63326">
        <w:rPr>
          <w:rFonts w:cstheme="minorHAnsi"/>
          <w:sz w:val="24"/>
          <w:szCs w:val="24"/>
        </w:rPr>
        <w:t xml:space="preserve">, p.30). The section continues and states that “Great tombs, temples, and other monuments often seem to have been placed, for example, with regard to their visibility. The implication is that these constructions were intended to remind the people living around them of the social interaction between people, the power of the state, and the ideologies of their societies” (Wenke, R.F., Olszewski, D.J., 2007, p.30). </w:t>
      </w:r>
      <w:r w:rsidR="00E027AA" w:rsidRPr="00C63326">
        <w:rPr>
          <w:rFonts w:cstheme="minorHAnsi"/>
          <w:sz w:val="24"/>
          <w:szCs w:val="24"/>
        </w:rPr>
        <w:t>When applying this statement to the Aztecs it is known that The Great Pyramid that was built in Tenochtitlan could be seen by the population for a distance of around two miles. Other smaller pyramids in the minor ritual centres could also be seen as they also rose above their surroundings. They also stood out due to their colours. The Great Pyramid was plastered with white lime and the smaller temple houses were painted brightly in red and blue. The architecture of the Aztecs was built on an east-west axis and fixed a visual hierarchy. It could be seen that the more important you are in the social order the closer you lived to the ritual precinct. (Townsend, 1992, p.33).</w:t>
      </w:r>
      <w:r w:rsidR="000907FD" w:rsidRPr="00C63326">
        <w:rPr>
          <w:rFonts w:cstheme="minorHAnsi"/>
          <w:sz w:val="24"/>
          <w:szCs w:val="24"/>
        </w:rPr>
        <w:t xml:space="preserve"> </w:t>
      </w:r>
    </w:p>
    <w:p w14:paraId="74E7A5F3" w14:textId="7E956551" w:rsidR="00805C08" w:rsidRPr="00C63326" w:rsidRDefault="00805C08" w:rsidP="00805C08">
      <w:pPr>
        <w:rPr>
          <w:rFonts w:cstheme="minorHAnsi"/>
          <w:sz w:val="24"/>
          <w:szCs w:val="24"/>
        </w:rPr>
      </w:pPr>
      <w:r w:rsidRPr="00C63326">
        <w:rPr>
          <w:rFonts w:cstheme="minorHAnsi"/>
          <w:sz w:val="24"/>
          <w:szCs w:val="24"/>
        </w:rPr>
        <w:t xml:space="preserve">The </w:t>
      </w:r>
      <w:r w:rsidR="00873F73" w:rsidRPr="00C63326">
        <w:rPr>
          <w:rFonts w:cstheme="minorHAnsi"/>
          <w:sz w:val="24"/>
          <w:szCs w:val="24"/>
        </w:rPr>
        <w:t>second</w:t>
      </w:r>
      <w:r w:rsidRPr="00C63326">
        <w:rPr>
          <w:rFonts w:cstheme="minorHAnsi"/>
          <w:sz w:val="24"/>
          <w:szCs w:val="24"/>
        </w:rPr>
        <w:t xml:space="preserve"> subcategory </w:t>
      </w:r>
      <w:r w:rsidRPr="00C63326">
        <w:rPr>
          <w:rFonts w:cstheme="minorHAnsi"/>
          <w:i/>
          <w:iCs/>
          <w:sz w:val="24"/>
          <w:szCs w:val="24"/>
        </w:rPr>
        <w:t xml:space="preserve">Archaeology as The Reconstruction of Extinct Cultures and Their Histories </w:t>
      </w:r>
      <w:r w:rsidRPr="00C63326">
        <w:rPr>
          <w:rFonts w:cstheme="minorHAnsi"/>
          <w:sz w:val="24"/>
          <w:szCs w:val="24"/>
        </w:rPr>
        <w:t xml:space="preserve">can also be applied to the Aztec culture. The authors use this subcategory to say no matter where in the world they are, the intentions of reconstruction are the same. Archaeologists use ancient objects to reconstruct the past and look for the same things within different cultures such as what people ate, technology, homes, places of burial and their beliefs. (Wenke, R.F., and Olszewski, D.J., 2007, p.7). An example of reconstructing the past in relation to the Aztecs can be seen whilst looking at the food they ate. “The principle food was the tortilla, a flat cake of unleavened corn meal, which measured a good foot in diameter, to judge from the size of the clay griddles used in cooking them, in contrast to the modern tortilla, which varies from 4 to 6 inches” (Vaillant, G.C., 1950, p.116). This suggests that archaeologists have a knowledge of what the Aztecs ate then were able to </w:t>
      </w:r>
      <w:r w:rsidR="009A59EE" w:rsidRPr="00C63326">
        <w:rPr>
          <w:rFonts w:cstheme="minorHAnsi"/>
          <w:sz w:val="24"/>
          <w:szCs w:val="24"/>
        </w:rPr>
        <w:t xml:space="preserve">estimate the size of the portions by looking at the clay griddles that were found. They could then use this information to reconstruct the past by attempting to make a </w:t>
      </w:r>
      <w:r w:rsidR="00E42DB7">
        <w:rPr>
          <w:rFonts w:cstheme="minorHAnsi"/>
          <w:sz w:val="24"/>
          <w:szCs w:val="24"/>
        </w:rPr>
        <w:t xml:space="preserve">similar </w:t>
      </w:r>
      <w:r w:rsidR="009A59EE" w:rsidRPr="00C63326">
        <w:rPr>
          <w:rFonts w:cstheme="minorHAnsi"/>
          <w:sz w:val="24"/>
          <w:szCs w:val="24"/>
        </w:rPr>
        <w:t>tortilla on one of the clay griddles.</w:t>
      </w:r>
    </w:p>
    <w:p w14:paraId="67A32FBB" w14:textId="09E132AF" w:rsidR="009A59EE" w:rsidRPr="00C63326" w:rsidRDefault="00A50E4D" w:rsidP="00805C08">
      <w:pPr>
        <w:rPr>
          <w:rFonts w:cstheme="minorHAnsi"/>
          <w:sz w:val="24"/>
          <w:szCs w:val="24"/>
        </w:rPr>
      </w:pPr>
      <w:r w:rsidRPr="00C63326">
        <w:rPr>
          <w:rFonts w:cstheme="minorHAnsi"/>
          <w:sz w:val="24"/>
          <w:szCs w:val="24"/>
        </w:rPr>
        <w:t xml:space="preserve">The many other subcategories that the authors use to help answer their questions are delved into in depth and explain why archaeologists use the various methods that they do. </w:t>
      </w:r>
      <w:r w:rsidRPr="00C63326">
        <w:rPr>
          <w:rFonts w:cstheme="minorHAnsi"/>
          <w:sz w:val="24"/>
          <w:szCs w:val="24"/>
        </w:rPr>
        <w:lastRenderedPageBreak/>
        <w:t>By doing this they ultimately ended up creating more questions to be both answered throughout the chapter and also in the summary and conclusions. The summary and conclusions round off this chapter very well with arguments from people such as Ian Hodder and Bruce Trigger defending the different approaches that were covered that other people may not see fit or have conflicting views over.</w:t>
      </w:r>
    </w:p>
    <w:p w14:paraId="1F62164E" w14:textId="785FC5EC" w:rsidR="00234519" w:rsidRDefault="00234519" w:rsidP="00805C08">
      <w:pPr>
        <w:rPr>
          <w:rFonts w:cstheme="minorHAnsi"/>
          <w:sz w:val="24"/>
          <w:szCs w:val="24"/>
        </w:rPr>
      </w:pPr>
      <w:r w:rsidRPr="00C63326">
        <w:rPr>
          <w:rFonts w:cstheme="minorHAnsi"/>
          <w:sz w:val="24"/>
          <w:szCs w:val="24"/>
        </w:rPr>
        <w:t xml:space="preserve">On evaluation of this chapter </w:t>
      </w:r>
      <w:r w:rsidRPr="00C63326">
        <w:rPr>
          <w:rFonts w:cstheme="minorHAnsi"/>
          <w:i/>
          <w:iCs/>
          <w:sz w:val="24"/>
          <w:szCs w:val="24"/>
        </w:rPr>
        <w:t>Prehistory, History, and Archaeology</w:t>
      </w:r>
      <w:r w:rsidRPr="00C63326">
        <w:rPr>
          <w:rFonts w:cstheme="minorHAnsi"/>
          <w:sz w:val="24"/>
          <w:szCs w:val="24"/>
        </w:rPr>
        <w:t xml:space="preserve"> is very effective in what it sets out to do. From the beginning questions are asked that are captivating and get the audience to think ahead, continuing to do so at various stages throughout. By doing this it makes the audience want to read on and maybe create their own questions</w:t>
      </w:r>
      <w:r w:rsidR="00E42DB7">
        <w:rPr>
          <w:rFonts w:cstheme="minorHAnsi"/>
          <w:sz w:val="24"/>
          <w:szCs w:val="24"/>
        </w:rPr>
        <w:t xml:space="preserve"> keeping them involved throughout</w:t>
      </w:r>
      <w:r w:rsidRPr="00C63326">
        <w:rPr>
          <w:rFonts w:cstheme="minorHAnsi"/>
          <w:sz w:val="24"/>
          <w:szCs w:val="24"/>
        </w:rPr>
        <w:t>. One of the only issues found with this chapter is the amount of questions that are asked, as well as all the various subcategories used to answer them. Even though this chapter is captivating from the start, could it be even more effective to the audience if the authors were to reduce the amount of questions that are asked, reducing the number of subcategories used to answer them</w:t>
      </w:r>
      <w:r w:rsidR="00493BAD">
        <w:rPr>
          <w:rFonts w:cstheme="minorHAnsi"/>
          <w:sz w:val="24"/>
          <w:szCs w:val="24"/>
        </w:rPr>
        <w:t>,</w:t>
      </w:r>
      <w:r w:rsidRPr="00C63326">
        <w:rPr>
          <w:rFonts w:cstheme="minorHAnsi"/>
          <w:sz w:val="24"/>
          <w:szCs w:val="24"/>
        </w:rPr>
        <w:t xml:space="preserve"> but with what is left</w:t>
      </w:r>
      <w:r w:rsidR="00493BAD">
        <w:rPr>
          <w:rFonts w:cstheme="minorHAnsi"/>
          <w:sz w:val="24"/>
          <w:szCs w:val="24"/>
        </w:rPr>
        <w:t xml:space="preserve"> to answer</w:t>
      </w:r>
      <w:r w:rsidRPr="00C63326">
        <w:rPr>
          <w:rFonts w:cstheme="minorHAnsi"/>
          <w:sz w:val="24"/>
          <w:szCs w:val="24"/>
        </w:rPr>
        <w:t xml:space="preserve"> go even more in depth </w:t>
      </w:r>
      <w:r w:rsidR="00832781" w:rsidRPr="00C63326">
        <w:rPr>
          <w:rFonts w:cstheme="minorHAnsi"/>
          <w:sz w:val="24"/>
          <w:szCs w:val="24"/>
        </w:rPr>
        <w:t>throughout</w:t>
      </w:r>
      <w:r w:rsidRPr="00C63326">
        <w:rPr>
          <w:rFonts w:cstheme="minorHAnsi"/>
          <w:sz w:val="24"/>
          <w:szCs w:val="24"/>
        </w:rPr>
        <w:t xml:space="preserve"> the remaining subcategories?</w:t>
      </w:r>
    </w:p>
    <w:p w14:paraId="0D38E75F" w14:textId="6A3F3D61" w:rsidR="00493BAD" w:rsidRPr="00493BAD" w:rsidRDefault="00493BAD" w:rsidP="00805C08">
      <w:pPr>
        <w:rPr>
          <w:rFonts w:cstheme="minorHAnsi"/>
          <w:b/>
          <w:bCs/>
          <w:sz w:val="24"/>
          <w:szCs w:val="24"/>
        </w:rPr>
      </w:pPr>
      <w:r>
        <w:rPr>
          <w:rFonts w:cstheme="minorHAnsi"/>
          <w:b/>
          <w:bCs/>
          <w:sz w:val="24"/>
          <w:szCs w:val="24"/>
        </w:rPr>
        <w:t>Word Count: 773</w:t>
      </w:r>
      <w:bookmarkStart w:id="1" w:name="_GoBack"/>
      <w:bookmarkEnd w:id="1"/>
    </w:p>
    <w:p w14:paraId="66DBDEB2" w14:textId="32B47358" w:rsidR="00C63326" w:rsidRPr="00C63326" w:rsidRDefault="00C63326" w:rsidP="00805C08">
      <w:pPr>
        <w:rPr>
          <w:rFonts w:cstheme="minorHAnsi"/>
          <w:b/>
          <w:bCs/>
          <w:sz w:val="24"/>
          <w:szCs w:val="24"/>
          <w:u w:val="single"/>
        </w:rPr>
      </w:pPr>
      <w:r w:rsidRPr="00C63326">
        <w:rPr>
          <w:rFonts w:cstheme="minorHAnsi"/>
          <w:b/>
          <w:bCs/>
          <w:sz w:val="24"/>
          <w:szCs w:val="24"/>
          <w:u w:val="single"/>
        </w:rPr>
        <w:t>Bibliography</w:t>
      </w:r>
    </w:p>
    <w:p w14:paraId="326224A3" w14:textId="77777777" w:rsidR="00C63326" w:rsidRPr="00C63326" w:rsidRDefault="00C63326" w:rsidP="00C63326">
      <w:pPr>
        <w:pStyle w:val="ListParagraph"/>
        <w:numPr>
          <w:ilvl w:val="0"/>
          <w:numId w:val="1"/>
        </w:numPr>
        <w:rPr>
          <w:rFonts w:asciiTheme="minorHAnsi" w:hAnsiTheme="minorHAnsi" w:cstheme="minorHAnsi"/>
        </w:rPr>
      </w:pPr>
      <w:r w:rsidRPr="00C63326">
        <w:rPr>
          <w:rFonts w:asciiTheme="minorHAnsi" w:eastAsiaTheme="minorEastAsia" w:hAnsiTheme="minorHAnsi" w:cstheme="minorHAnsi"/>
          <w:kern w:val="24"/>
        </w:rPr>
        <w:t xml:space="preserve">Townsend, R, F. (1992) </w:t>
      </w:r>
      <w:r w:rsidRPr="00C63326">
        <w:rPr>
          <w:rFonts w:asciiTheme="minorHAnsi" w:eastAsiaTheme="minorEastAsia" w:hAnsiTheme="minorHAnsi" w:cstheme="minorHAnsi"/>
          <w:i/>
          <w:iCs/>
          <w:kern w:val="24"/>
        </w:rPr>
        <w:t xml:space="preserve">The Aztecs. </w:t>
      </w:r>
      <w:r w:rsidRPr="00C63326">
        <w:rPr>
          <w:rFonts w:asciiTheme="minorHAnsi" w:eastAsiaTheme="minorEastAsia" w:hAnsiTheme="minorHAnsi" w:cstheme="minorHAnsi"/>
          <w:kern w:val="24"/>
        </w:rPr>
        <w:t>London: Thames and Hudson Ltd.</w:t>
      </w:r>
    </w:p>
    <w:p w14:paraId="7A2447F2" w14:textId="0B8EEF0B" w:rsidR="00C63326" w:rsidRPr="00C63326" w:rsidRDefault="00C63326" w:rsidP="00C63326">
      <w:pPr>
        <w:pStyle w:val="ListParagraph"/>
        <w:numPr>
          <w:ilvl w:val="0"/>
          <w:numId w:val="1"/>
        </w:numPr>
        <w:rPr>
          <w:rFonts w:asciiTheme="minorHAnsi" w:hAnsiTheme="minorHAnsi" w:cstheme="minorHAnsi"/>
        </w:rPr>
      </w:pPr>
      <w:r w:rsidRPr="00C63326">
        <w:rPr>
          <w:rFonts w:asciiTheme="minorHAnsi" w:eastAsiaTheme="minorEastAsia" w:hAnsiTheme="minorHAnsi" w:cstheme="minorHAnsi"/>
          <w:kern w:val="24"/>
        </w:rPr>
        <w:t xml:space="preserve">Vaillant, G, C. (1950) </w:t>
      </w:r>
      <w:r w:rsidRPr="00C63326">
        <w:rPr>
          <w:rFonts w:asciiTheme="minorHAnsi" w:eastAsiaTheme="minorEastAsia" w:hAnsiTheme="minorHAnsi" w:cstheme="minorHAnsi"/>
          <w:i/>
          <w:iCs/>
          <w:kern w:val="24"/>
        </w:rPr>
        <w:t xml:space="preserve">The Aztecs of Mexico. </w:t>
      </w:r>
      <w:r w:rsidRPr="00C63326">
        <w:rPr>
          <w:rFonts w:asciiTheme="minorHAnsi" w:eastAsiaTheme="minorEastAsia" w:hAnsiTheme="minorHAnsi" w:cstheme="minorHAnsi"/>
          <w:kern w:val="24"/>
        </w:rPr>
        <w:t>2</w:t>
      </w:r>
      <w:r w:rsidRPr="00C63326">
        <w:rPr>
          <w:rFonts w:asciiTheme="minorHAnsi" w:eastAsiaTheme="minorEastAsia" w:hAnsiTheme="minorHAnsi" w:cstheme="minorHAnsi"/>
          <w:kern w:val="24"/>
          <w:position w:val="6"/>
          <w:vertAlign w:val="superscript"/>
        </w:rPr>
        <w:t>nd</w:t>
      </w:r>
      <w:r w:rsidRPr="00C63326">
        <w:rPr>
          <w:rFonts w:asciiTheme="minorHAnsi" w:eastAsiaTheme="minorEastAsia" w:hAnsiTheme="minorHAnsi" w:cstheme="minorHAnsi"/>
          <w:kern w:val="24"/>
        </w:rPr>
        <w:t xml:space="preserve"> edn. Great Britain: Penguin Books Ltd.</w:t>
      </w:r>
    </w:p>
    <w:p w14:paraId="4FB9CBB6" w14:textId="17AB75C0" w:rsidR="00C63326" w:rsidRPr="00C63326" w:rsidRDefault="00C63326" w:rsidP="00805C08">
      <w:pPr>
        <w:pStyle w:val="ListParagraph"/>
        <w:numPr>
          <w:ilvl w:val="0"/>
          <w:numId w:val="1"/>
        </w:numPr>
        <w:rPr>
          <w:rFonts w:asciiTheme="minorHAnsi" w:hAnsiTheme="minorHAnsi" w:cstheme="minorHAnsi"/>
        </w:rPr>
      </w:pPr>
      <w:r w:rsidRPr="00C63326">
        <w:rPr>
          <w:rFonts w:asciiTheme="minorHAnsi" w:hAnsiTheme="minorHAnsi" w:cstheme="minorHAnsi"/>
        </w:rPr>
        <w:t>Wenke, R.F. and Olszewski, D.J.</w:t>
      </w:r>
      <w:r w:rsidRPr="00C63326">
        <w:rPr>
          <w:rFonts w:asciiTheme="minorHAnsi" w:hAnsiTheme="minorHAnsi" w:cstheme="minorHAnsi"/>
        </w:rPr>
        <w:t xml:space="preserve"> (</w:t>
      </w:r>
      <w:r w:rsidRPr="00C63326">
        <w:rPr>
          <w:rFonts w:asciiTheme="minorHAnsi" w:hAnsiTheme="minorHAnsi" w:cstheme="minorHAnsi"/>
        </w:rPr>
        <w:t>2007</w:t>
      </w:r>
      <w:r w:rsidRPr="00C63326">
        <w:rPr>
          <w:rFonts w:asciiTheme="minorHAnsi" w:hAnsiTheme="minorHAnsi" w:cstheme="minorHAnsi"/>
        </w:rPr>
        <w:t xml:space="preserve">) Patterns in Prehistory: </w:t>
      </w:r>
      <w:r w:rsidRPr="00C63326">
        <w:rPr>
          <w:rFonts w:asciiTheme="minorHAnsi" w:hAnsiTheme="minorHAnsi" w:cstheme="minorHAnsi"/>
          <w:i/>
          <w:iCs/>
        </w:rPr>
        <w:t>Humankind’s First Three Million Years.</w:t>
      </w:r>
      <w:r w:rsidRPr="00C63326">
        <w:rPr>
          <w:rFonts w:asciiTheme="minorHAnsi" w:hAnsiTheme="minorHAnsi" w:cstheme="minorHAnsi"/>
        </w:rPr>
        <w:t xml:space="preserve"> 5</w:t>
      </w:r>
      <w:r w:rsidRPr="00C63326">
        <w:rPr>
          <w:rFonts w:asciiTheme="minorHAnsi" w:hAnsiTheme="minorHAnsi" w:cstheme="minorHAnsi"/>
          <w:vertAlign w:val="superscript"/>
        </w:rPr>
        <w:t>th</w:t>
      </w:r>
      <w:r w:rsidRPr="00C63326">
        <w:rPr>
          <w:rFonts w:asciiTheme="minorHAnsi" w:hAnsiTheme="minorHAnsi" w:cstheme="minorHAnsi"/>
        </w:rPr>
        <w:t xml:space="preserve"> edn. Oxford: Oxford University Press.</w:t>
      </w:r>
    </w:p>
    <w:sectPr w:rsidR="00C63326" w:rsidRPr="00C6332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4ED6B" w14:textId="77777777" w:rsidR="00DB4FBD" w:rsidRDefault="00DB4FBD" w:rsidP="0081282C">
      <w:pPr>
        <w:spacing w:after="0" w:line="240" w:lineRule="auto"/>
      </w:pPr>
      <w:r>
        <w:separator/>
      </w:r>
    </w:p>
  </w:endnote>
  <w:endnote w:type="continuationSeparator" w:id="0">
    <w:p w14:paraId="6B55E649" w14:textId="77777777" w:rsidR="00DB4FBD" w:rsidRDefault="00DB4FBD" w:rsidP="00812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91EF59" w14:textId="77777777" w:rsidR="00DB4FBD" w:rsidRDefault="00DB4FBD" w:rsidP="0081282C">
      <w:pPr>
        <w:spacing w:after="0" w:line="240" w:lineRule="auto"/>
      </w:pPr>
      <w:r>
        <w:separator/>
      </w:r>
    </w:p>
  </w:footnote>
  <w:footnote w:type="continuationSeparator" w:id="0">
    <w:p w14:paraId="6EF82994" w14:textId="77777777" w:rsidR="00DB4FBD" w:rsidRDefault="00DB4FBD" w:rsidP="00812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C243C" w14:textId="439C6DCD" w:rsidR="0081282C" w:rsidRDefault="0081282C">
    <w:pPr>
      <w:pStyle w:val="Header"/>
    </w:pPr>
    <w:r>
      <w:t>Ruth Athey 1901992</w:t>
    </w:r>
  </w:p>
  <w:p w14:paraId="632D3BDE" w14:textId="77777777" w:rsidR="0081282C" w:rsidRDefault="008128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432D3"/>
    <w:multiLevelType w:val="hybridMultilevel"/>
    <w:tmpl w:val="1CAAF238"/>
    <w:lvl w:ilvl="0" w:tplc="E056FF5E">
      <w:start w:val="1"/>
      <w:numFmt w:val="bullet"/>
      <w:lvlText w:val="•"/>
      <w:lvlJc w:val="left"/>
      <w:pPr>
        <w:tabs>
          <w:tab w:val="num" w:pos="720"/>
        </w:tabs>
        <w:ind w:left="720" w:hanging="360"/>
      </w:pPr>
      <w:rPr>
        <w:rFonts w:ascii="Arial" w:hAnsi="Arial" w:hint="default"/>
      </w:rPr>
    </w:lvl>
    <w:lvl w:ilvl="1" w:tplc="4112C4C4" w:tentative="1">
      <w:start w:val="1"/>
      <w:numFmt w:val="bullet"/>
      <w:lvlText w:val="•"/>
      <w:lvlJc w:val="left"/>
      <w:pPr>
        <w:tabs>
          <w:tab w:val="num" w:pos="1440"/>
        </w:tabs>
        <w:ind w:left="1440" w:hanging="360"/>
      </w:pPr>
      <w:rPr>
        <w:rFonts w:ascii="Arial" w:hAnsi="Arial" w:hint="default"/>
      </w:rPr>
    </w:lvl>
    <w:lvl w:ilvl="2" w:tplc="0A106D02" w:tentative="1">
      <w:start w:val="1"/>
      <w:numFmt w:val="bullet"/>
      <w:lvlText w:val="•"/>
      <w:lvlJc w:val="left"/>
      <w:pPr>
        <w:tabs>
          <w:tab w:val="num" w:pos="2160"/>
        </w:tabs>
        <w:ind w:left="2160" w:hanging="360"/>
      </w:pPr>
      <w:rPr>
        <w:rFonts w:ascii="Arial" w:hAnsi="Arial" w:hint="default"/>
      </w:rPr>
    </w:lvl>
    <w:lvl w:ilvl="3" w:tplc="611E3F0C" w:tentative="1">
      <w:start w:val="1"/>
      <w:numFmt w:val="bullet"/>
      <w:lvlText w:val="•"/>
      <w:lvlJc w:val="left"/>
      <w:pPr>
        <w:tabs>
          <w:tab w:val="num" w:pos="2880"/>
        </w:tabs>
        <w:ind w:left="2880" w:hanging="360"/>
      </w:pPr>
      <w:rPr>
        <w:rFonts w:ascii="Arial" w:hAnsi="Arial" w:hint="default"/>
      </w:rPr>
    </w:lvl>
    <w:lvl w:ilvl="4" w:tplc="2AAC54D6" w:tentative="1">
      <w:start w:val="1"/>
      <w:numFmt w:val="bullet"/>
      <w:lvlText w:val="•"/>
      <w:lvlJc w:val="left"/>
      <w:pPr>
        <w:tabs>
          <w:tab w:val="num" w:pos="3600"/>
        </w:tabs>
        <w:ind w:left="3600" w:hanging="360"/>
      </w:pPr>
      <w:rPr>
        <w:rFonts w:ascii="Arial" w:hAnsi="Arial" w:hint="default"/>
      </w:rPr>
    </w:lvl>
    <w:lvl w:ilvl="5" w:tplc="23AAA098" w:tentative="1">
      <w:start w:val="1"/>
      <w:numFmt w:val="bullet"/>
      <w:lvlText w:val="•"/>
      <w:lvlJc w:val="left"/>
      <w:pPr>
        <w:tabs>
          <w:tab w:val="num" w:pos="4320"/>
        </w:tabs>
        <w:ind w:left="4320" w:hanging="360"/>
      </w:pPr>
      <w:rPr>
        <w:rFonts w:ascii="Arial" w:hAnsi="Arial" w:hint="default"/>
      </w:rPr>
    </w:lvl>
    <w:lvl w:ilvl="6" w:tplc="58D4266C" w:tentative="1">
      <w:start w:val="1"/>
      <w:numFmt w:val="bullet"/>
      <w:lvlText w:val="•"/>
      <w:lvlJc w:val="left"/>
      <w:pPr>
        <w:tabs>
          <w:tab w:val="num" w:pos="5040"/>
        </w:tabs>
        <w:ind w:left="5040" w:hanging="360"/>
      </w:pPr>
      <w:rPr>
        <w:rFonts w:ascii="Arial" w:hAnsi="Arial" w:hint="default"/>
      </w:rPr>
    </w:lvl>
    <w:lvl w:ilvl="7" w:tplc="674C57C4" w:tentative="1">
      <w:start w:val="1"/>
      <w:numFmt w:val="bullet"/>
      <w:lvlText w:val="•"/>
      <w:lvlJc w:val="left"/>
      <w:pPr>
        <w:tabs>
          <w:tab w:val="num" w:pos="5760"/>
        </w:tabs>
        <w:ind w:left="5760" w:hanging="360"/>
      </w:pPr>
      <w:rPr>
        <w:rFonts w:ascii="Arial" w:hAnsi="Arial" w:hint="default"/>
      </w:rPr>
    </w:lvl>
    <w:lvl w:ilvl="8" w:tplc="7EE8FCD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82C"/>
    <w:rsid w:val="000907FD"/>
    <w:rsid w:val="00097F35"/>
    <w:rsid w:val="000D26C8"/>
    <w:rsid w:val="00137324"/>
    <w:rsid w:val="00234519"/>
    <w:rsid w:val="003F4503"/>
    <w:rsid w:val="00437725"/>
    <w:rsid w:val="004765F2"/>
    <w:rsid w:val="00493BAD"/>
    <w:rsid w:val="00724818"/>
    <w:rsid w:val="00805C08"/>
    <w:rsid w:val="0081282C"/>
    <w:rsid w:val="00832781"/>
    <w:rsid w:val="00873F73"/>
    <w:rsid w:val="0088198E"/>
    <w:rsid w:val="008B0DC9"/>
    <w:rsid w:val="009A59EE"/>
    <w:rsid w:val="00A50E4D"/>
    <w:rsid w:val="00AD3B75"/>
    <w:rsid w:val="00B6284B"/>
    <w:rsid w:val="00C63326"/>
    <w:rsid w:val="00D7093A"/>
    <w:rsid w:val="00DB4FBD"/>
    <w:rsid w:val="00E027AA"/>
    <w:rsid w:val="00E42DB7"/>
    <w:rsid w:val="00E75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FCCA1"/>
  <w15:chartTrackingRefBased/>
  <w15:docId w15:val="{9390467D-47E8-452E-B80A-4397516A2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2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82C"/>
  </w:style>
  <w:style w:type="paragraph" w:styleId="Footer">
    <w:name w:val="footer"/>
    <w:basedOn w:val="Normal"/>
    <w:link w:val="FooterChar"/>
    <w:uiPriority w:val="99"/>
    <w:unhideWhenUsed/>
    <w:rsid w:val="00812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82C"/>
  </w:style>
  <w:style w:type="paragraph" w:styleId="ListParagraph">
    <w:name w:val="List Paragraph"/>
    <w:basedOn w:val="Normal"/>
    <w:uiPriority w:val="34"/>
    <w:qFormat/>
    <w:rsid w:val="00C63326"/>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977792">
      <w:bodyDiv w:val="1"/>
      <w:marLeft w:val="0"/>
      <w:marRight w:val="0"/>
      <w:marTop w:val="0"/>
      <w:marBottom w:val="0"/>
      <w:divBdr>
        <w:top w:val="none" w:sz="0" w:space="0" w:color="auto"/>
        <w:left w:val="none" w:sz="0" w:space="0" w:color="auto"/>
        <w:bottom w:val="none" w:sz="0" w:space="0" w:color="auto"/>
        <w:right w:val="none" w:sz="0" w:space="0" w:color="auto"/>
      </w:divBdr>
      <w:divsChild>
        <w:div w:id="226569862">
          <w:marLeft w:val="274"/>
          <w:marRight w:val="0"/>
          <w:marTop w:val="0"/>
          <w:marBottom w:val="0"/>
          <w:divBdr>
            <w:top w:val="none" w:sz="0" w:space="0" w:color="auto"/>
            <w:left w:val="none" w:sz="0" w:space="0" w:color="auto"/>
            <w:bottom w:val="none" w:sz="0" w:space="0" w:color="auto"/>
            <w:right w:val="none" w:sz="0" w:space="0" w:color="auto"/>
          </w:divBdr>
        </w:div>
        <w:div w:id="523834103">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2</Pages>
  <Words>750</Words>
  <Characters>4279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Athey</dc:creator>
  <cp:keywords/>
  <dc:description/>
  <cp:lastModifiedBy>Ruth Athey</cp:lastModifiedBy>
  <cp:revision>8</cp:revision>
  <dcterms:created xsi:type="dcterms:W3CDTF">2019-10-29T19:47:00Z</dcterms:created>
  <dcterms:modified xsi:type="dcterms:W3CDTF">2019-10-29T23:16:00Z</dcterms:modified>
</cp:coreProperties>
</file>