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b w:val="1"/>
          <w:u w:val="single"/>
        </w:rPr>
      </w:pPr>
      <w:r w:rsidDel="00000000" w:rsidR="00000000" w:rsidRPr="00000000">
        <w:rPr>
          <w:b w:val="1"/>
          <w:u w:val="single"/>
          <w:rtl w:val="0"/>
        </w:rPr>
        <w:t xml:space="preserve">An Essay Discussing The Meaning Of Food And of Feeding In Ben Jonson's ‘Inviting A Friend To Supper’</w:t>
      </w:r>
    </w:p>
    <w:p w:rsidR="00000000" w:rsidDel="00000000" w:rsidP="00000000" w:rsidRDefault="00000000" w:rsidRPr="00000000" w14:paraId="00000001">
      <w:pPr>
        <w:contextualSpacing w:val="0"/>
        <w:rPr>
          <w:i w:val="1"/>
          <w:color w:val="666666"/>
          <w:sz w:val="18"/>
          <w:szCs w:val="18"/>
          <w:highlight w:val="white"/>
        </w:rPr>
      </w:pPr>
      <w:r w:rsidDel="00000000" w:rsidR="00000000" w:rsidRPr="00000000">
        <w:rPr>
          <w:rtl w:val="0"/>
        </w:rPr>
      </w:r>
    </w:p>
    <w:p w:rsidR="00000000" w:rsidDel="00000000" w:rsidP="00000000" w:rsidRDefault="00000000" w:rsidRPr="00000000" w14:paraId="00000002">
      <w:pPr>
        <w:contextualSpacing w:val="0"/>
        <w:rPr>
          <w:color w:val="666666"/>
          <w:sz w:val="18"/>
          <w:szCs w:val="18"/>
          <w:highlight w:val="white"/>
        </w:rPr>
      </w:pPr>
      <w:r w:rsidDel="00000000" w:rsidR="00000000" w:rsidRPr="00000000">
        <w:rPr>
          <w:rtl w:val="0"/>
        </w:rPr>
      </w:r>
    </w:p>
    <w:p w:rsidR="00000000" w:rsidDel="00000000" w:rsidP="00000000" w:rsidRDefault="00000000" w:rsidRPr="00000000" w14:paraId="00000003">
      <w:pPr>
        <w:contextualSpacing w:val="0"/>
        <w:rPr>
          <w:highlight w:val="white"/>
        </w:rPr>
      </w:pPr>
      <w:r w:rsidDel="00000000" w:rsidR="00000000" w:rsidRPr="00000000">
        <w:rPr>
          <w:highlight w:val="white"/>
          <w:rtl w:val="0"/>
        </w:rPr>
        <w:t xml:space="preserve">‘Canius, Cerialis, Flaccus--will you come?’ (Martial 1stC AD) Were words written by the Roman Poet Martial, in an invitation used, as Ben Jonson would put it, to ‘Invite a Friend to Supper’.</w:t>
      </w:r>
    </w:p>
    <w:p w:rsidR="00000000" w:rsidDel="00000000" w:rsidP="00000000" w:rsidRDefault="00000000" w:rsidRPr="00000000" w14:paraId="00000004">
      <w:pPr>
        <w:contextualSpacing w:val="0"/>
        <w:rPr>
          <w:highlight w:val="white"/>
        </w:rPr>
      </w:pPr>
      <w:r w:rsidDel="00000000" w:rsidR="00000000" w:rsidRPr="00000000">
        <w:rPr>
          <w:highlight w:val="white"/>
          <w:rtl w:val="0"/>
        </w:rPr>
        <w:t xml:space="preserve">Within this essay I intend to discuss the meaning and use of food in Ben Jonson’s ‘Inviting a Friend to Supper’. Though not without taking this brief opportunity to draw attention to the blaring similarities between this aforementioned work and Martial’s invitation. Unfortunately, as the references to foodstuffs are numerous I will focus on only a few key examples.</w:t>
      </w:r>
    </w:p>
    <w:p w:rsidR="00000000" w:rsidDel="00000000" w:rsidP="00000000" w:rsidRDefault="00000000" w:rsidRPr="00000000" w14:paraId="00000005">
      <w:pPr>
        <w:contextualSpacing w:val="0"/>
        <w:rPr>
          <w:highlight w:val="white"/>
        </w:rPr>
      </w:pPr>
      <w:r w:rsidDel="00000000" w:rsidR="00000000" w:rsidRPr="00000000">
        <w:rPr>
          <w:rtl w:val="0"/>
        </w:rPr>
      </w:r>
    </w:p>
    <w:p w:rsidR="00000000" w:rsidDel="00000000" w:rsidP="00000000" w:rsidRDefault="00000000" w:rsidRPr="00000000" w14:paraId="00000006">
      <w:pPr>
        <w:contextualSpacing w:val="0"/>
        <w:rPr>
          <w:highlight w:val="white"/>
        </w:rPr>
      </w:pPr>
      <w:r w:rsidDel="00000000" w:rsidR="00000000" w:rsidRPr="00000000">
        <w:rPr>
          <w:highlight w:val="white"/>
          <w:rtl w:val="0"/>
        </w:rPr>
        <w:t xml:space="preserve">In Jonson’s poem food carries an important role for both it’s alluring qualities as well as its symbolic meanings. This can be first observed in the fourth line, where it is said, ‘But that your worth will dignify our feast.’ (Jonson) Taken into account alongside the previous line, this statement works to not only remark upon the writers esteem for the desired guest as well as quite likely betraying them as being of high social standing, but also draws focus to what is later to be described as a rather modest spread and how much better it will feel seasoned with the company of such a guest.</w:t>
      </w:r>
    </w:p>
    <w:p w:rsidR="00000000" w:rsidDel="00000000" w:rsidP="00000000" w:rsidRDefault="00000000" w:rsidRPr="00000000" w14:paraId="00000007">
      <w:pPr>
        <w:contextualSpacing w:val="0"/>
        <w:rPr>
          <w:highlight w:val="white"/>
        </w:rPr>
      </w:pPr>
      <w:r w:rsidDel="00000000" w:rsidR="00000000" w:rsidRPr="00000000">
        <w:rPr>
          <w:highlight w:val="white"/>
          <w:rtl w:val="0"/>
        </w:rPr>
        <w:t xml:space="preserve">A key example however of the use of food for its alluring qualities can be found on line seventeen, where it is stated ‘I’ll tell you of more, and lie, so you will come:’ After which, as can be expected a list of lavish and hard to obtain food items (Mainly birds) are used in a very honestly put attempt to tempt the desired guest, though as stated in the line these foods are not actually expected to be in attendance.</w:t>
      </w:r>
    </w:p>
    <w:p w:rsidR="00000000" w:rsidDel="00000000" w:rsidP="00000000" w:rsidRDefault="00000000" w:rsidRPr="00000000" w14:paraId="00000008">
      <w:pPr>
        <w:contextualSpacing w:val="0"/>
        <w:rPr>
          <w:highlight w:val="white"/>
        </w:rPr>
      </w:pPr>
      <w:r w:rsidDel="00000000" w:rsidR="00000000" w:rsidRPr="00000000">
        <w:rPr>
          <w:highlight w:val="white"/>
          <w:rtl w:val="0"/>
        </w:rPr>
        <w:t xml:space="preserve">Food is also seen used for the purpose of metaphor and deeper meaning within the poem. This is most widely seen within and after lines twenty-seven and twenty-eight which read, ‘But that which most doth take my muse and me is a pure cup of rich Canary wine.’ This wine is shown to be of some degree of significance to Jonson as it more or less dominates the remainder of the poem. He begins by singing its praises seemingly higher than the heavens as he describes its flavours as being so delectable as to potentially grant immortality, as well as then going on to describe its superiority when compared to other luxury goods of the time as well as the waters of the fountain of youth and nectar, which is potentially in reference to nectar being seen within greek mythology as the food of the gods. It is then that Jonson fully concludes the comparison, which he does so by labelling these items as, ‘all but Luthers beer.’ (Jonson). </w:t>
      </w:r>
    </w:p>
    <w:p w:rsidR="00000000" w:rsidDel="00000000" w:rsidP="00000000" w:rsidRDefault="00000000" w:rsidRPr="00000000" w14:paraId="00000009">
      <w:pPr>
        <w:contextualSpacing w:val="0"/>
        <w:rPr>
          <w:highlight w:val="white"/>
        </w:rPr>
      </w:pPr>
      <w:r w:rsidDel="00000000" w:rsidR="00000000" w:rsidRPr="00000000">
        <w:rPr>
          <w:highlight w:val="white"/>
          <w:rtl w:val="0"/>
        </w:rPr>
        <w:t xml:space="preserve">This comparison holds more than a single meaning, to begin it compares the aforementioned luxuries to German beer, and in referring to it as ‘Luther's beer’ also remarks on its quality as being that desirable to protestants, who at the time would have been considered synonymous with poverty. It also however, works as a pathway leading into the following lines, which make mentions of secrecy and promises that nothing mentioned in the night will make guilty men the following morning. This is likely referring to Johnson's religious inclinations of the time, which are believed to have been catholic. Hence the slighting remark against Martin Luther. </w:t>
      </w:r>
    </w:p>
    <w:p w:rsidR="00000000" w:rsidDel="00000000" w:rsidP="00000000" w:rsidRDefault="00000000" w:rsidRPr="00000000" w14:paraId="0000000A">
      <w:pPr>
        <w:contextualSpacing w:val="0"/>
        <w:rPr>
          <w:highlight w:val="white"/>
        </w:rPr>
      </w:pPr>
      <w:r w:rsidDel="00000000" w:rsidR="00000000" w:rsidRPr="00000000">
        <w:rPr>
          <w:rtl w:val="0"/>
        </w:rPr>
      </w:r>
    </w:p>
    <w:p w:rsidR="00000000" w:rsidDel="00000000" w:rsidP="00000000" w:rsidRDefault="00000000" w:rsidRPr="00000000" w14:paraId="0000000B">
      <w:pPr>
        <w:contextualSpacing w:val="0"/>
        <w:rPr>
          <w:highlight w:val="white"/>
        </w:rPr>
      </w:pPr>
      <w:r w:rsidDel="00000000" w:rsidR="00000000" w:rsidRPr="00000000">
        <w:rPr>
          <w:rtl w:val="0"/>
        </w:rPr>
      </w:r>
    </w:p>
    <w:p w:rsidR="00000000" w:rsidDel="00000000" w:rsidP="00000000" w:rsidRDefault="00000000" w:rsidRPr="00000000" w14:paraId="0000000C">
      <w:pPr>
        <w:contextualSpacing w:val="0"/>
        <w:rPr>
          <w:b w:val="1"/>
          <w:highlight w:val="white"/>
          <w:u w:val="single"/>
        </w:rPr>
      </w:pPr>
      <w:r w:rsidDel="00000000" w:rsidR="00000000" w:rsidRPr="00000000">
        <w:rPr>
          <w:b w:val="1"/>
          <w:highlight w:val="white"/>
          <w:u w:val="single"/>
          <w:rtl w:val="0"/>
        </w:rPr>
        <w:t xml:space="preserve">References</w:t>
      </w:r>
    </w:p>
    <w:p w:rsidR="00000000" w:rsidDel="00000000" w:rsidP="00000000" w:rsidRDefault="00000000" w:rsidRPr="00000000" w14:paraId="0000000D">
      <w:pPr>
        <w:contextualSpacing w:val="0"/>
        <w:rPr>
          <w:b w:val="1"/>
          <w:highlight w:val="white"/>
          <w:u w:val="single"/>
        </w:rPr>
      </w:pPr>
      <w:r w:rsidDel="00000000" w:rsidR="00000000" w:rsidRPr="00000000">
        <w:rPr>
          <w:b w:val="1"/>
          <w:highlight w:val="white"/>
          <w:u w:val="single"/>
          <w:rtl w:val="0"/>
        </w:rPr>
        <w:t xml:space="preserve">Martials invitation</w:t>
      </w:r>
    </w:p>
    <w:p w:rsidR="00000000" w:rsidDel="00000000" w:rsidP="00000000" w:rsidRDefault="00000000" w:rsidRPr="00000000" w14:paraId="0000000E">
      <w:pPr>
        <w:contextualSpacing w:val="0"/>
        <w:rPr>
          <w:b w:val="1"/>
          <w:highlight w:val="white"/>
          <w:u w:val="single"/>
        </w:rPr>
      </w:pPr>
      <w:r w:rsidDel="00000000" w:rsidR="00000000" w:rsidRPr="00000000">
        <w:rPr>
          <w:rtl w:val="0"/>
        </w:rPr>
      </w:r>
    </w:p>
    <w:p w:rsidR="00000000" w:rsidDel="00000000" w:rsidP="00000000" w:rsidRDefault="00000000" w:rsidRPr="00000000" w14:paraId="0000000F">
      <w:pPr>
        <w:contextualSpacing w:val="0"/>
        <w:rPr>
          <w:highlight w:val="white"/>
        </w:rPr>
      </w:pPr>
      <w:r w:rsidDel="00000000" w:rsidR="00000000" w:rsidRPr="00000000">
        <w:rPr>
          <w:sz w:val="24"/>
          <w:szCs w:val="24"/>
          <w:highlight w:val="white"/>
          <w:rtl w:val="0"/>
        </w:rPr>
        <w:t xml:space="preserve">Archaeology Archive. 2001. </w:t>
      </w:r>
      <w:r w:rsidDel="00000000" w:rsidR="00000000" w:rsidRPr="00000000">
        <w:rPr>
          <w:i w:val="1"/>
          <w:sz w:val="24"/>
          <w:szCs w:val="24"/>
          <w:highlight w:val="white"/>
          <w:rtl w:val="0"/>
        </w:rPr>
        <w:t xml:space="preserve">Dining With Martial</w:t>
      </w:r>
      <w:r w:rsidDel="00000000" w:rsidR="00000000" w:rsidRPr="00000000">
        <w:rPr>
          <w:sz w:val="24"/>
          <w:szCs w:val="24"/>
          <w:highlight w:val="white"/>
          <w:rtl w:val="0"/>
        </w:rPr>
        <w:t xml:space="preserve">. [ONLINE] Available at: </w:t>
      </w:r>
      <w:hyperlink r:id="rId6">
        <w:r w:rsidDel="00000000" w:rsidR="00000000" w:rsidRPr="00000000">
          <w:rPr>
            <w:sz w:val="24"/>
            <w:szCs w:val="24"/>
            <w:highlight w:val="white"/>
            <w:rtl w:val="0"/>
          </w:rPr>
          <w:t xml:space="preserve">https://archive.archaeology.org/online/features/martial/</w:t>
        </w:r>
      </w:hyperlink>
      <w:r w:rsidDel="00000000" w:rsidR="00000000" w:rsidRPr="00000000">
        <w:rPr>
          <w:sz w:val="24"/>
          <w:szCs w:val="24"/>
          <w:highlight w:val="white"/>
          <w:rtl w:val="0"/>
        </w:rPr>
        <w:t xml:space="preserve">. [Accessed 26 March 2018].</w:t>
      </w:r>
      <w:r w:rsidDel="00000000" w:rsidR="00000000" w:rsidRPr="00000000">
        <w:rPr>
          <w:rtl w:val="0"/>
        </w:rPr>
      </w:r>
    </w:p>
    <w:p w:rsidR="00000000" w:rsidDel="00000000" w:rsidP="00000000" w:rsidRDefault="00000000" w:rsidRPr="00000000" w14:paraId="00000010">
      <w:pPr>
        <w:contextualSpacing w:val="0"/>
        <w:rPr>
          <w:highlight w:val="white"/>
        </w:rPr>
      </w:pPr>
      <w:r w:rsidDel="00000000" w:rsidR="00000000" w:rsidRPr="00000000">
        <w:rPr>
          <w:rtl w:val="0"/>
        </w:rPr>
      </w:r>
    </w:p>
    <w:p w:rsidR="00000000" w:rsidDel="00000000" w:rsidP="00000000" w:rsidRDefault="00000000" w:rsidRPr="00000000" w14:paraId="00000011">
      <w:pPr>
        <w:contextualSpacing w:val="0"/>
        <w:rPr>
          <w:highlight w:val="white"/>
        </w:rPr>
      </w:pPr>
      <w:r w:rsidDel="00000000" w:rsidR="00000000" w:rsidRPr="00000000">
        <w:rPr>
          <w:rtl w:val="0"/>
        </w:rPr>
      </w:r>
    </w:p>
    <w:p w:rsidR="00000000" w:rsidDel="00000000" w:rsidP="00000000" w:rsidRDefault="00000000" w:rsidRPr="00000000" w14:paraId="00000012">
      <w:pPr>
        <w:contextualSpacing w:val="0"/>
        <w:rPr>
          <w:highlight w:val="white"/>
        </w:rPr>
      </w:pPr>
      <w:r w:rsidDel="00000000" w:rsidR="00000000" w:rsidRPr="00000000">
        <w:rPr>
          <w:rtl w:val="0"/>
        </w:rPr>
      </w:r>
    </w:p>
    <w:p w:rsidR="00000000" w:rsidDel="00000000" w:rsidP="00000000" w:rsidRDefault="00000000" w:rsidRPr="00000000" w14:paraId="00000013">
      <w:pPr>
        <w:contextualSpacing w:val="0"/>
        <w:rPr>
          <w:highlight w:val="white"/>
        </w:rPr>
      </w:pPr>
      <w:r w:rsidDel="00000000" w:rsidR="00000000" w:rsidRPr="00000000">
        <w:rPr>
          <w:rtl w:val="0"/>
        </w:rPr>
      </w:r>
    </w:p>
    <w:p w:rsidR="00000000" w:rsidDel="00000000" w:rsidP="00000000" w:rsidRDefault="00000000" w:rsidRPr="00000000" w14:paraId="00000014">
      <w:pPr>
        <w:contextualSpacing w:val="0"/>
        <w:rPr>
          <w:highlight w:val="white"/>
        </w:rPr>
      </w:pPr>
      <w:r w:rsidDel="00000000" w:rsidR="00000000" w:rsidRPr="00000000">
        <w:rPr>
          <w:rtl w:val="0"/>
        </w:rPr>
      </w:r>
    </w:p>
    <w:p w:rsidR="00000000" w:rsidDel="00000000" w:rsidP="00000000" w:rsidRDefault="00000000" w:rsidRPr="00000000" w14:paraId="00000015">
      <w:pPr>
        <w:contextualSpacing w:val="0"/>
        <w:rPr>
          <w:highlight w:val="white"/>
        </w:rPr>
      </w:pPr>
      <w:r w:rsidDel="00000000" w:rsidR="00000000" w:rsidRPr="00000000">
        <w:rPr>
          <w:rtl w:val="0"/>
        </w:rPr>
      </w:r>
    </w:p>
    <w:p w:rsidR="00000000" w:rsidDel="00000000" w:rsidP="00000000" w:rsidRDefault="00000000" w:rsidRPr="00000000" w14:paraId="00000016">
      <w:pPr>
        <w:contextualSpacing w:val="0"/>
        <w:rPr>
          <w:highlight w:val="white"/>
        </w:rPr>
      </w:pPr>
      <w:r w:rsidDel="00000000" w:rsidR="00000000" w:rsidRPr="00000000">
        <w:rPr>
          <w:rtl w:val="0"/>
        </w:rPr>
      </w:r>
    </w:p>
    <w:p w:rsidR="00000000" w:rsidDel="00000000" w:rsidP="00000000" w:rsidRDefault="00000000" w:rsidRPr="00000000" w14:paraId="00000017">
      <w:pPr>
        <w:contextualSpacing w:val="0"/>
        <w:rPr>
          <w:highlight w:val="white"/>
        </w:rPr>
      </w:pPr>
      <w:r w:rsidDel="00000000" w:rsidR="00000000" w:rsidRPr="00000000">
        <w:rPr>
          <w:rtl w:val="0"/>
        </w:rPr>
      </w:r>
    </w:p>
    <w:p w:rsidR="00000000" w:rsidDel="00000000" w:rsidP="00000000" w:rsidRDefault="00000000" w:rsidRPr="00000000" w14:paraId="00000018">
      <w:pPr>
        <w:contextualSpacing w:val="0"/>
        <w:rPr>
          <w:highlight w:val="white"/>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archive.archaeology.org/online/features/marti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