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2095008119"/>
        <w:docPartObj>
          <w:docPartGallery w:val="Cover Pages"/>
          <w:docPartUnique/>
        </w:docPartObj>
      </w:sdtPr>
      <w:sdtEndPr/>
      <w:sdtContent>
        <w:p w14:paraId="56278A1C" w14:textId="1758B7D0" w:rsidR="00DF5E96" w:rsidRPr="00A7720A" w:rsidRDefault="00DF5E96" w:rsidP="00A7720A">
          <w:pPr>
            <w:spacing w:before="240" w:line="360" w:lineRule="auto"/>
            <w:jc w:val="both"/>
            <w:rPr>
              <w:rFonts w:ascii="Arial" w:hAnsi="Arial" w:cs="Arial"/>
            </w:rPr>
          </w:pPr>
          <w:r w:rsidRPr="00A7720A">
            <w:rPr>
              <w:rFonts w:ascii="Arial" w:hAnsi="Arial" w:cs="Arial"/>
              <w:noProof/>
            </w:rPr>
            <mc:AlternateContent>
              <mc:Choice Requires="wpg">
                <w:drawing>
                  <wp:anchor distT="0" distB="0" distL="114300" distR="114300" simplePos="0" relativeHeight="251662336" behindDoc="0" locked="0" layoutInCell="1" allowOverlap="1" wp14:anchorId="45EA4324" wp14:editId="471E964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B217A4"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7" o:title="" recolor="t" rotate="t" type="frame"/>
                    </v:rect>
                    <w10:wrap anchorx="page" anchory="page"/>
                  </v:group>
                </w:pict>
              </mc:Fallback>
            </mc:AlternateContent>
          </w:r>
          <w:r w:rsidRPr="00A7720A">
            <w:rPr>
              <w:rFonts w:ascii="Arial" w:hAnsi="Arial" w:cs="Arial"/>
              <w:noProof/>
            </w:rPr>
            <mc:AlternateContent>
              <mc:Choice Requires="wps">
                <w:drawing>
                  <wp:anchor distT="0" distB="0" distL="114300" distR="114300" simplePos="0" relativeHeight="251660288" behindDoc="0" locked="0" layoutInCell="1" allowOverlap="1" wp14:anchorId="7B788965" wp14:editId="5A3BD2D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07CB17" w14:textId="0FFFC702" w:rsidR="00DF5E96" w:rsidRPr="00DF5E96" w:rsidRDefault="00602D80">
                                    <w:pPr>
                                      <w:pStyle w:val="NoSpacing"/>
                                      <w:jc w:val="right"/>
                                      <w:rPr>
                                        <w:b/>
                                        <w:bCs/>
                                        <w:color w:val="595959" w:themeColor="text1" w:themeTint="A6"/>
                                        <w:sz w:val="28"/>
                                        <w:szCs w:val="28"/>
                                      </w:rPr>
                                    </w:pPr>
                                    <w:r>
                                      <w:rPr>
                                        <w:b/>
                                        <w:bCs/>
                                        <w:color w:val="595959" w:themeColor="text1" w:themeTint="A6"/>
                                        <w:sz w:val="28"/>
                                        <w:szCs w:val="28"/>
                                      </w:rPr>
                                      <w:t>Andra Tabaras (</w:t>
                                    </w:r>
                                    <w:r w:rsidR="00BA4162">
                                      <w:rPr>
                                        <w:b/>
                                        <w:bCs/>
                                        <w:color w:val="595959" w:themeColor="text1" w:themeTint="A6"/>
                                        <w:sz w:val="28"/>
                                        <w:szCs w:val="28"/>
                                      </w:rPr>
                                      <w:t>2335892</w:t>
                                    </w:r>
                                    <w:r>
                                      <w:rPr>
                                        <w:b/>
                                        <w:bCs/>
                                        <w:color w:val="595959" w:themeColor="text1" w:themeTint="A6"/>
                                        <w:sz w:val="28"/>
                                        <w:szCs w:val="28"/>
                                      </w:rPr>
                                      <w:t>)</w:t>
                                    </w:r>
                                  </w:p>
                                </w:sdtContent>
                              </w:sdt>
                              <w:p w14:paraId="43070234" w14:textId="3206E2E8" w:rsidR="00DF5E96" w:rsidRDefault="004F0064" w:rsidP="00DF5E96">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F5E9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788965" id="_x0000_t202" coordsize="21600,21600" o:spt="202" path="m,l,21600r21600,l21600,xe">
                    <v:stroke joinstyle="miter"/>
                    <v:path gradientshapeok="t" o:connecttype="rect"/>
                  </v:shapetype>
                  <v:shape id="Text Box 21"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07CB17" w14:textId="0FFFC702" w:rsidR="00DF5E96" w:rsidRPr="00DF5E96" w:rsidRDefault="00602D80">
                              <w:pPr>
                                <w:pStyle w:val="NoSpacing"/>
                                <w:jc w:val="right"/>
                                <w:rPr>
                                  <w:b/>
                                  <w:bCs/>
                                  <w:color w:val="595959" w:themeColor="text1" w:themeTint="A6"/>
                                  <w:sz w:val="28"/>
                                  <w:szCs w:val="28"/>
                                </w:rPr>
                              </w:pPr>
                              <w:r>
                                <w:rPr>
                                  <w:b/>
                                  <w:bCs/>
                                  <w:color w:val="595959" w:themeColor="text1" w:themeTint="A6"/>
                                  <w:sz w:val="28"/>
                                  <w:szCs w:val="28"/>
                                </w:rPr>
                                <w:t>Andra Tabaras (</w:t>
                              </w:r>
                              <w:r w:rsidR="00BA4162">
                                <w:rPr>
                                  <w:b/>
                                  <w:bCs/>
                                  <w:color w:val="595959" w:themeColor="text1" w:themeTint="A6"/>
                                  <w:sz w:val="28"/>
                                  <w:szCs w:val="28"/>
                                </w:rPr>
                                <w:t>2335892</w:t>
                              </w:r>
                              <w:r>
                                <w:rPr>
                                  <w:b/>
                                  <w:bCs/>
                                  <w:color w:val="595959" w:themeColor="text1" w:themeTint="A6"/>
                                  <w:sz w:val="28"/>
                                  <w:szCs w:val="28"/>
                                </w:rPr>
                                <w:t>)</w:t>
                              </w:r>
                            </w:p>
                          </w:sdtContent>
                        </w:sdt>
                        <w:p w14:paraId="43070234" w14:textId="3206E2E8" w:rsidR="00DF5E96" w:rsidRDefault="004F0064" w:rsidP="00DF5E96">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F5E96">
                                <w:rPr>
                                  <w:color w:val="595959" w:themeColor="text1" w:themeTint="A6"/>
                                  <w:sz w:val="18"/>
                                  <w:szCs w:val="18"/>
                                </w:rPr>
                                <w:t xml:space="preserve">     </w:t>
                              </w:r>
                            </w:sdtContent>
                          </w:sdt>
                        </w:p>
                      </w:txbxContent>
                    </v:textbox>
                    <w10:wrap type="square" anchorx="page" anchory="page"/>
                  </v:shape>
                </w:pict>
              </mc:Fallback>
            </mc:AlternateContent>
          </w:r>
          <w:r w:rsidRPr="00A7720A">
            <w:rPr>
              <w:rFonts w:ascii="Arial" w:hAnsi="Arial" w:cs="Arial"/>
              <w:noProof/>
            </w:rPr>
            <mc:AlternateContent>
              <mc:Choice Requires="wps">
                <w:drawing>
                  <wp:anchor distT="0" distB="0" distL="114300" distR="114300" simplePos="0" relativeHeight="251661312" behindDoc="0" locked="0" layoutInCell="1" allowOverlap="1" wp14:anchorId="44145234" wp14:editId="5AA2756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7935FA" w14:textId="77777777" w:rsidR="00DF5E96" w:rsidRPr="00DF5E96" w:rsidRDefault="00DF5E96" w:rsidP="00DF5E96">
                                <w:pPr>
                                  <w:pStyle w:val="NoSpacing"/>
                                  <w:jc w:val="right"/>
                                  <w:rPr>
                                    <w:b/>
                                    <w:bCs/>
                                    <w:color w:val="595959" w:themeColor="text1" w:themeTint="A6"/>
                                    <w:sz w:val="28"/>
                                    <w:szCs w:val="28"/>
                                    <w:lang w:val="en-GB"/>
                                  </w:rPr>
                                </w:pPr>
                                <w:r w:rsidRPr="00DF5E96">
                                  <w:rPr>
                                    <w:b/>
                                    <w:bCs/>
                                    <w:color w:val="595959" w:themeColor="text1" w:themeTint="A6"/>
                                    <w:sz w:val="28"/>
                                    <w:szCs w:val="28"/>
                                    <w:lang w:val="en-GB"/>
                                  </w:rPr>
                                  <w:t>Module: Management Accounting for Managers</w:t>
                                </w:r>
                              </w:p>
                              <w:p w14:paraId="2C7FEB52" w14:textId="79188059" w:rsidR="00DF5E96" w:rsidRPr="00DF5E96" w:rsidRDefault="00DF5E96" w:rsidP="00DF5E96">
                                <w:pPr>
                                  <w:pStyle w:val="NoSpacing"/>
                                  <w:jc w:val="right"/>
                                  <w:rPr>
                                    <w:b/>
                                    <w:bCs/>
                                    <w:color w:val="595959" w:themeColor="text1" w:themeTint="A6"/>
                                    <w:sz w:val="28"/>
                                    <w:szCs w:val="28"/>
                                    <w:lang w:val="en-GB"/>
                                  </w:rPr>
                                </w:pPr>
                                <w:r w:rsidRPr="00DF5E96">
                                  <w:rPr>
                                    <w:b/>
                                    <w:bCs/>
                                    <w:color w:val="595959" w:themeColor="text1" w:themeTint="A6"/>
                                    <w:sz w:val="28"/>
                                    <w:szCs w:val="28"/>
                                    <w:lang w:val="en-GB"/>
                                  </w:rPr>
                                  <w:t>Module code: LCBB5010</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4145234" id="Text Box 2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" filled="f" stroked="f" strokeweight=".5pt">
                    <v:textbox style="mso-fit-shape-to-text:t" inset="126pt,0,54pt,0">
                      <w:txbxContent>
                        <w:p w14:paraId="447935FA" w14:textId="77777777" w:rsidR="00DF5E96" w:rsidRPr="00DF5E96" w:rsidRDefault="00DF5E96" w:rsidP="00DF5E96">
                          <w:pPr>
                            <w:pStyle w:val="NoSpacing"/>
                            <w:jc w:val="right"/>
                            <w:rPr>
                              <w:b/>
                              <w:bCs/>
                              <w:color w:val="595959" w:themeColor="text1" w:themeTint="A6"/>
                              <w:sz w:val="28"/>
                              <w:szCs w:val="28"/>
                              <w:lang w:val="en-GB"/>
                            </w:rPr>
                          </w:pPr>
                          <w:r w:rsidRPr="00DF5E96">
                            <w:rPr>
                              <w:b/>
                              <w:bCs/>
                              <w:color w:val="595959" w:themeColor="text1" w:themeTint="A6"/>
                              <w:sz w:val="28"/>
                              <w:szCs w:val="28"/>
                              <w:lang w:val="en-GB"/>
                            </w:rPr>
                            <w:t>Module: Management Accounting for Managers</w:t>
                          </w:r>
                        </w:p>
                        <w:p w14:paraId="2C7FEB52" w14:textId="79188059" w:rsidR="00DF5E96" w:rsidRPr="00DF5E96" w:rsidRDefault="00DF5E96" w:rsidP="00DF5E96">
                          <w:pPr>
                            <w:pStyle w:val="NoSpacing"/>
                            <w:jc w:val="right"/>
                            <w:rPr>
                              <w:b/>
                              <w:bCs/>
                              <w:color w:val="595959" w:themeColor="text1" w:themeTint="A6"/>
                              <w:sz w:val="28"/>
                              <w:szCs w:val="28"/>
                              <w:lang w:val="en-GB"/>
                            </w:rPr>
                          </w:pPr>
                          <w:r w:rsidRPr="00DF5E96">
                            <w:rPr>
                              <w:b/>
                              <w:bCs/>
                              <w:color w:val="595959" w:themeColor="text1" w:themeTint="A6"/>
                              <w:sz w:val="28"/>
                              <w:szCs w:val="28"/>
                              <w:lang w:val="en-GB"/>
                            </w:rPr>
                            <w:t>Module code: LCBB5010</w:t>
                          </w:r>
                        </w:p>
                      </w:txbxContent>
                    </v:textbox>
                    <w10:wrap type="square" anchorx="page" anchory="page"/>
                  </v:shape>
                </w:pict>
              </mc:Fallback>
            </mc:AlternateContent>
          </w:r>
          <w:r w:rsidRPr="00A7720A">
            <w:rPr>
              <w:rFonts w:ascii="Arial" w:hAnsi="Arial" w:cs="Arial"/>
              <w:noProof/>
            </w:rPr>
            <mc:AlternateContent>
              <mc:Choice Requires="wps">
                <w:drawing>
                  <wp:anchor distT="0" distB="0" distL="114300" distR="114300" simplePos="0" relativeHeight="251659264" behindDoc="0" locked="0" layoutInCell="1" allowOverlap="1" wp14:anchorId="257EA219" wp14:editId="4CE135E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27FDCB" w14:textId="37DF4CFC" w:rsidR="00DF5E96" w:rsidRPr="00DF5E96" w:rsidRDefault="004F0064" w:rsidP="00DF5E9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F5E96" w:rsidRPr="00DF5E96">
                                      <w:rPr>
                                        <w:caps/>
                                        <w:color w:val="156082" w:themeColor="accent1"/>
                                        <w:sz w:val="64"/>
                                        <w:szCs w:val="64"/>
                                      </w:rPr>
                                      <w:t>Component 1: Coursework:</w:t>
                                    </w:r>
                                    <w:r w:rsidR="00DF5E96">
                                      <w:rPr>
                                        <w:caps/>
                                        <w:color w:val="156082" w:themeColor="accent1"/>
                                        <w:sz w:val="64"/>
                                        <w:szCs w:val="64"/>
                                      </w:rPr>
                                      <w:br/>
                                    </w:r>
                                    <w:r w:rsidR="00DF5E96" w:rsidRPr="00DF5E96">
                                      <w:rPr>
                                        <w:caps/>
                                        <w:color w:val="156082" w:themeColor="accent1"/>
                                        <w:sz w:val="64"/>
                                        <w:szCs w:val="64"/>
                                      </w:rPr>
                                      <w:t>Individual Report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7EA219" id="Text Box 25"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" filled="f" stroked="f" strokeweight=".5pt">
                    <v:textbox inset="126pt,0,54pt,0">
                      <w:txbxContent>
                        <w:p w14:paraId="6B27FDCB" w14:textId="37DF4CFC" w:rsidR="00DF5E96" w:rsidRPr="00DF5E96" w:rsidRDefault="00000000" w:rsidP="00DF5E9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F5E96" w:rsidRPr="00DF5E96">
                                <w:rPr>
                                  <w:caps/>
                                  <w:color w:val="156082" w:themeColor="accent1"/>
                                  <w:sz w:val="64"/>
                                  <w:szCs w:val="64"/>
                                </w:rPr>
                                <w:t>Component 1: Coursework:</w:t>
                              </w:r>
                              <w:r w:rsidR="00DF5E96">
                                <w:rPr>
                                  <w:caps/>
                                  <w:color w:val="156082" w:themeColor="accent1"/>
                                  <w:sz w:val="64"/>
                                  <w:szCs w:val="64"/>
                                </w:rPr>
                                <w:br/>
                              </w:r>
                              <w:r w:rsidR="00DF5E96" w:rsidRPr="00DF5E96">
                                <w:rPr>
                                  <w:caps/>
                                  <w:color w:val="156082" w:themeColor="accent1"/>
                                  <w:sz w:val="64"/>
                                  <w:szCs w:val="64"/>
                                </w:rPr>
                                <w:t>Individual Report</w:t>
                              </w:r>
                            </w:sdtContent>
                          </w:sdt>
                        </w:p>
                      </w:txbxContent>
                    </v:textbox>
                    <w10:wrap type="square" anchorx="page" anchory="page"/>
                  </v:shape>
                </w:pict>
              </mc:Fallback>
            </mc:AlternateContent>
          </w:r>
        </w:p>
        <w:p w14:paraId="17FCD3F4" w14:textId="2F845F4D" w:rsidR="00DF5E96" w:rsidRPr="00A7720A" w:rsidRDefault="00DF5E96" w:rsidP="00A7720A">
          <w:pPr>
            <w:spacing w:before="240" w:line="360" w:lineRule="auto"/>
            <w:jc w:val="both"/>
            <w:rPr>
              <w:rFonts w:ascii="Arial" w:hAnsi="Arial" w:cs="Arial"/>
            </w:rPr>
          </w:pPr>
          <w:r w:rsidRPr="00A7720A">
            <w:rPr>
              <w:rFonts w:ascii="Arial" w:hAnsi="Arial" w:cs="Arial"/>
            </w:rPr>
            <w:br w:type="page"/>
          </w:r>
        </w:p>
      </w:sdtContent>
    </w:sdt>
    <w:sdt>
      <w:sdtPr>
        <w:rPr>
          <w:rFonts w:ascii="Arial" w:eastAsiaTheme="minorHAnsi" w:hAnsi="Arial" w:cs="Arial"/>
          <w:b w:val="0"/>
          <w:bCs w:val="0"/>
          <w:color w:val="auto"/>
          <w:kern w:val="2"/>
          <w:sz w:val="24"/>
          <w:szCs w:val="24"/>
          <w:lang w:val="en-GB"/>
          <w14:ligatures w14:val="standardContextual"/>
        </w:rPr>
        <w:id w:val="863569853"/>
        <w:docPartObj>
          <w:docPartGallery w:val="Table of Contents"/>
          <w:docPartUnique/>
        </w:docPartObj>
      </w:sdtPr>
      <w:sdtEndPr>
        <w:rPr>
          <w:noProof/>
        </w:rPr>
      </w:sdtEndPr>
      <w:sdtContent>
        <w:p w14:paraId="0B636CCE" w14:textId="01D31443" w:rsidR="00DF5E96" w:rsidRPr="00A7720A" w:rsidRDefault="00DF5E96" w:rsidP="00A7720A">
          <w:pPr>
            <w:pStyle w:val="TOCHeading"/>
            <w:spacing w:before="240" w:line="360" w:lineRule="auto"/>
            <w:jc w:val="both"/>
            <w:rPr>
              <w:rFonts w:ascii="Arial" w:hAnsi="Arial" w:cs="Arial"/>
              <w:sz w:val="24"/>
              <w:szCs w:val="24"/>
            </w:rPr>
          </w:pPr>
          <w:r w:rsidRPr="00A7720A">
            <w:rPr>
              <w:rFonts w:ascii="Arial" w:hAnsi="Arial" w:cs="Arial"/>
              <w:sz w:val="24"/>
              <w:szCs w:val="24"/>
            </w:rPr>
            <w:t>Table of Contents</w:t>
          </w:r>
        </w:p>
        <w:p w14:paraId="3F0CE725" w14:textId="6012A4AF" w:rsidR="00D006CD" w:rsidRDefault="00DF5E96">
          <w:pPr>
            <w:pStyle w:val="TOC1"/>
            <w:tabs>
              <w:tab w:val="right" w:leader="dot" w:pos="9016"/>
            </w:tabs>
            <w:rPr>
              <w:rFonts w:eastAsiaTheme="minorEastAsia"/>
              <w:b w:val="0"/>
              <w:bCs w:val="0"/>
              <w:caps w:val="0"/>
              <w:noProof/>
              <w:sz w:val="24"/>
              <w:szCs w:val="24"/>
              <w:lang w:eastAsia="en-GB"/>
            </w:rPr>
          </w:pPr>
          <w:r w:rsidRPr="00A7720A">
            <w:rPr>
              <w:rFonts w:ascii="Arial" w:hAnsi="Arial" w:cs="Arial"/>
              <w:b w:val="0"/>
              <w:bCs w:val="0"/>
              <w:sz w:val="24"/>
              <w:szCs w:val="24"/>
            </w:rPr>
            <w:fldChar w:fldCharType="begin"/>
          </w:r>
          <w:r w:rsidRPr="00A7720A">
            <w:rPr>
              <w:rFonts w:ascii="Arial" w:hAnsi="Arial" w:cs="Arial"/>
              <w:sz w:val="24"/>
              <w:szCs w:val="24"/>
            </w:rPr>
            <w:instrText xml:space="preserve"> TOC \o "1-3" \h \z \u </w:instrText>
          </w:r>
          <w:r w:rsidRPr="00A7720A">
            <w:rPr>
              <w:rFonts w:ascii="Arial" w:hAnsi="Arial" w:cs="Arial"/>
              <w:b w:val="0"/>
              <w:bCs w:val="0"/>
              <w:sz w:val="24"/>
              <w:szCs w:val="24"/>
            </w:rPr>
            <w:fldChar w:fldCharType="separate"/>
          </w:r>
          <w:hyperlink w:anchor="_Toc235253271" w:history="1">
            <w:r w:rsidR="00D006CD" w:rsidRPr="00747EB6">
              <w:rPr>
                <w:rStyle w:val="Hyperlink"/>
                <w:noProof/>
              </w:rPr>
              <w:t>Introduction</w:t>
            </w:r>
            <w:r w:rsidR="00D006CD">
              <w:rPr>
                <w:noProof/>
                <w:webHidden/>
              </w:rPr>
              <w:tab/>
            </w:r>
            <w:r w:rsidR="00D006CD">
              <w:rPr>
                <w:noProof/>
                <w:webHidden/>
              </w:rPr>
              <w:fldChar w:fldCharType="begin"/>
            </w:r>
            <w:r w:rsidR="00D006CD">
              <w:rPr>
                <w:noProof/>
                <w:webHidden/>
              </w:rPr>
              <w:instrText xml:space="preserve"> PAGEREF _Toc235253271 \h </w:instrText>
            </w:r>
            <w:r w:rsidR="00D006CD">
              <w:rPr>
                <w:noProof/>
                <w:webHidden/>
              </w:rPr>
            </w:r>
            <w:r w:rsidR="00D006CD">
              <w:rPr>
                <w:noProof/>
                <w:webHidden/>
              </w:rPr>
              <w:fldChar w:fldCharType="separate"/>
            </w:r>
            <w:r w:rsidR="00D006CD">
              <w:rPr>
                <w:noProof/>
                <w:webHidden/>
              </w:rPr>
              <w:t>2</w:t>
            </w:r>
            <w:r w:rsidR="00D006CD">
              <w:rPr>
                <w:noProof/>
                <w:webHidden/>
              </w:rPr>
              <w:fldChar w:fldCharType="end"/>
            </w:r>
          </w:hyperlink>
        </w:p>
        <w:p w14:paraId="6D0C542D" w14:textId="5810030B" w:rsidR="00D006CD" w:rsidRDefault="00D006CD">
          <w:pPr>
            <w:pStyle w:val="TOC1"/>
            <w:tabs>
              <w:tab w:val="right" w:leader="dot" w:pos="9016"/>
            </w:tabs>
            <w:rPr>
              <w:rFonts w:eastAsiaTheme="minorEastAsia"/>
              <w:b w:val="0"/>
              <w:bCs w:val="0"/>
              <w:caps w:val="0"/>
              <w:noProof/>
              <w:sz w:val="24"/>
              <w:szCs w:val="24"/>
              <w:lang w:eastAsia="en-GB"/>
            </w:rPr>
          </w:pPr>
          <w:hyperlink w:anchor="_Toc235253272" w:history="1">
            <w:r w:rsidRPr="00747EB6">
              <w:rPr>
                <w:rStyle w:val="Hyperlink"/>
                <w:noProof/>
              </w:rPr>
              <w:t>Cost Analysis and Business Model</w:t>
            </w:r>
            <w:r>
              <w:rPr>
                <w:noProof/>
                <w:webHidden/>
              </w:rPr>
              <w:tab/>
            </w:r>
            <w:r>
              <w:rPr>
                <w:noProof/>
                <w:webHidden/>
              </w:rPr>
              <w:fldChar w:fldCharType="begin"/>
            </w:r>
            <w:r>
              <w:rPr>
                <w:noProof/>
                <w:webHidden/>
              </w:rPr>
              <w:instrText xml:space="preserve"> PAGEREF _Toc235253272 \h </w:instrText>
            </w:r>
            <w:r>
              <w:rPr>
                <w:noProof/>
                <w:webHidden/>
              </w:rPr>
            </w:r>
            <w:r>
              <w:rPr>
                <w:noProof/>
                <w:webHidden/>
              </w:rPr>
              <w:fldChar w:fldCharType="separate"/>
            </w:r>
            <w:r>
              <w:rPr>
                <w:noProof/>
                <w:webHidden/>
              </w:rPr>
              <w:t>2</w:t>
            </w:r>
            <w:r>
              <w:rPr>
                <w:noProof/>
                <w:webHidden/>
              </w:rPr>
              <w:fldChar w:fldCharType="end"/>
            </w:r>
          </w:hyperlink>
        </w:p>
        <w:p w14:paraId="0D06251B" w14:textId="4A4AFEF5" w:rsidR="00D006CD" w:rsidRDefault="00D006CD">
          <w:pPr>
            <w:pStyle w:val="TOC1"/>
            <w:tabs>
              <w:tab w:val="right" w:leader="dot" w:pos="9016"/>
            </w:tabs>
            <w:rPr>
              <w:rFonts w:eastAsiaTheme="minorEastAsia"/>
              <w:b w:val="0"/>
              <w:bCs w:val="0"/>
              <w:caps w:val="0"/>
              <w:noProof/>
              <w:sz w:val="24"/>
              <w:szCs w:val="24"/>
              <w:lang w:eastAsia="en-GB"/>
            </w:rPr>
          </w:pPr>
          <w:hyperlink w:anchor="_Toc235253273" w:history="1">
            <w:r w:rsidRPr="00747EB6">
              <w:rPr>
                <w:rStyle w:val="Hyperlink"/>
                <w:noProof/>
              </w:rPr>
              <w:t>Budgeting and Financial Planning</w:t>
            </w:r>
            <w:r>
              <w:rPr>
                <w:noProof/>
                <w:webHidden/>
              </w:rPr>
              <w:tab/>
            </w:r>
            <w:r>
              <w:rPr>
                <w:noProof/>
                <w:webHidden/>
              </w:rPr>
              <w:fldChar w:fldCharType="begin"/>
            </w:r>
            <w:r>
              <w:rPr>
                <w:noProof/>
                <w:webHidden/>
              </w:rPr>
              <w:instrText xml:space="preserve"> PAGEREF _Toc235253273 \h </w:instrText>
            </w:r>
            <w:r>
              <w:rPr>
                <w:noProof/>
                <w:webHidden/>
              </w:rPr>
            </w:r>
            <w:r>
              <w:rPr>
                <w:noProof/>
                <w:webHidden/>
              </w:rPr>
              <w:fldChar w:fldCharType="separate"/>
            </w:r>
            <w:r>
              <w:rPr>
                <w:noProof/>
                <w:webHidden/>
              </w:rPr>
              <w:t>4</w:t>
            </w:r>
            <w:r>
              <w:rPr>
                <w:noProof/>
                <w:webHidden/>
              </w:rPr>
              <w:fldChar w:fldCharType="end"/>
            </w:r>
          </w:hyperlink>
        </w:p>
        <w:p w14:paraId="3FCA3FB8" w14:textId="0BAB3182" w:rsidR="00D006CD" w:rsidRDefault="00D006CD">
          <w:pPr>
            <w:pStyle w:val="TOC1"/>
            <w:tabs>
              <w:tab w:val="right" w:leader="dot" w:pos="9016"/>
            </w:tabs>
            <w:rPr>
              <w:rFonts w:eastAsiaTheme="minorEastAsia"/>
              <w:b w:val="0"/>
              <w:bCs w:val="0"/>
              <w:caps w:val="0"/>
              <w:noProof/>
              <w:sz w:val="24"/>
              <w:szCs w:val="24"/>
              <w:lang w:eastAsia="en-GB"/>
            </w:rPr>
          </w:pPr>
          <w:hyperlink w:anchor="_Toc235253274" w:history="1">
            <w:r w:rsidRPr="00747EB6">
              <w:rPr>
                <w:rStyle w:val="Hyperlink"/>
                <w:noProof/>
              </w:rPr>
              <w:t>Performance Measurement and Decision-Making</w:t>
            </w:r>
            <w:r>
              <w:rPr>
                <w:noProof/>
                <w:webHidden/>
              </w:rPr>
              <w:tab/>
            </w:r>
            <w:r>
              <w:rPr>
                <w:noProof/>
                <w:webHidden/>
              </w:rPr>
              <w:fldChar w:fldCharType="begin"/>
            </w:r>
            <w:r>
              <w:rPr>
                <w:noProof/>
                <w:webHidden/>
              </w:rPr>
              <w:instrText xml:space="preserve"> PAGEREF _Toc235253274 \h </w:instrText>
            </w:r>
            <w:r>
              <w:rPr>
                <w:noProof/>
                <w:webHidden/>
              </w:rPr>
            </w:r>
            <w:r>
              <w:rPr>
                <w:noProof/>
                <w:webHidden/>
              </w:rPr>
              <w:fldChar w:fldCharType="separate"/>
            </w:r>
            <w:r>
              <w:rPr>
                <w:noProof/>
                <w:webHidden/>
              </w:rPr>
              <w:t>5</w:t>
            </w:r>
            <w:r>
              <w:rPr>
                <w:noProof/>
                <w:webHidden/>
              </w:rPr>
              <w:fldChar w:fldCharType="end"/>
            </w:r>
          </w:hyperlink>
        </w:p>
        <w:p w14:paraId="4CFB578D" w14:textId="5701088C" w:rsidR="00D006CD" w:rsidRDefault="00D006CD">
          <w:pPr>
            <w:pStyle w:val="TOC1"/>
            <w:tabs>
              <w:tab w:val="right" w:leader="dot" w:pos="9016"/>
            </w:tabs>
            <w:rPr>
              <w:rFonts w:eastAsiaTheme="minorEastAsia"/>
              <w:b w:val="0"/>
              <w:bCs w:val="0"/>
              <w:caps w:val="0"/>
              <w:noProof/>
              <w:sz w:val="24"/>
              <w:szCs w:val="24"/>
              <w:lang w:eastAsia="en-GB"/>
            </w:rPr>
          </w:pPr>
          <w:hyperlink w:anchor="_Toc235253275" w:history="1">
            <w:r w:rsidRPr="00747EB6">
              <w:rPr>
                <w:rStyle w:val="Hyperlink"/>
                <w:noProof/>
              </w:rPr>
              <w:t>Sustainability and Ethical Considerations</w:t>
            </w:r>
            <w:r>
              <w:rPr>
                <w:noProof/>
                <w:webHidden/>
              </w:rPr>
              <w:tab/>
            </w:r>
            <w:r>
              <w:rPr>
                <w:noProof/>
                <w:webHidden/>
              </w:rPr>
              <w:fldChar w:fldCharType="begin"/>
            </w:r>
            <w:r>
              <w:rPr>
                <w:noProof/>
                <w:webHidden/>
              </w:rPr>
              <w:instrText xml:space="preserve"> PAGEREF _Toc235253275 \h </w:instrText>
            </w:r>
            <w:r>
              <w:rPr>
                <w:noProof/>
                <w:webHidden/>
              </w:rPr>
            </w:r>
            <w:r>
              <w:rPr>
                <w:noProof/>
                <w:webHidden/>
              </w:rPr>
              <w:fldChar w:fldCharType="separate"/>
            </w:r>
            <w:r>
              <w:rPr>
                <w:noProof/>
                <w:webHidden/>
              </w:rPr>
              <w:t>7</w:t>
            </w:r>
            <w:r>
              <w:rPr>
                <w:noProof/>
                <w:webHidden/>
              </w:rPr>
              <w:fldChar w:fldCharType="end"/>
            </w:r>
          </w:hyperlink>
        </w:p>
        <w:p w14:paraId="615A90AA" w14:textId="06BDAF69" w:rsidR="00D006CD" w:rsidRDefault="00D006CD">
          <w:pPr>
            <w:pStyle w:val="TOC1"/>
            <w:tabs>
              <w:tab w:val="right" w:leader="dot" w:pos="9016"/>
            </w:tabs>
            <w:rPr>
              <w:rFonts w:eastAsiaTheme="minorEastAsia"/>
              <w:b w:val="0"/>
              <w:bCs w:val="0"/>
              <w:caps w:val="0"/>
              <w:noProof/>
              <w:sz w:val="24"/>
              <w:szCs w:val="24"/>
              <w:lang w:eastAsia="en-GB"/>
            </w:rPr>
          </w:pPr>
          <w:hyperlink w:anchor="_Toc235253276" w:history="1">
            <w:r w:rsidRPr="00747EB6">
              <w:rPr>
                <w:rStyle w:val="Hyperlink"/>
                <w:noProof/>
              </w:rPr>
              <w:t>Conclusion</w:t>
            </w:r>
            <w:r>
              <w:rPr>
                <w:noProof/>
                <w:webHidden/>
              </w:rPr>
              <w:tab/>
            </w:r>
            <w:r>
              <w:rPr>
                <w:noProof/>
                <w:webHidden/>
              </w:rPr>
              <w:fldChar w:fldCharType="begin"/>
            </w:r>
            <w:r>
              <w:rPr>
                <w:noProof/>
                <w:webHidden/>
              </w:rPr>
              <w:instrText xml:space="preserve"> PAGEREF _Toc235253276 \h </w:instrText>
            </w:r>
            <w:r>
              <w:rPr>
                <w:noProof/>
                <w:webHidden/>
              </w:rPr>
            </w:r>
            <w:r>
              <w:rPr>
                <w:noProof/>
                <w:webHidden/>
              </w:rPr>
              <w:fldChar w:fldCharType="separate"/>
            </w:r>
            <w:r>
              <w:rPr>
                <w:noProof/>
                <w:webHidden/>
              </w:rPr>
              <w:t>8</w:t>
            </w:r>
            <w:r>
              <w:rPr>
                <w:noProof/>
                <w:webHidden/>
              </w:rPr>
              <w:fldChar w:fldCharType="end"/>
            </w:r>
          </w:hyperlink>
        </w:p>
        <w:p w14:paraId="6A6CBECB" w14:textId="1295E521" w:rsidR="00D006CD" w:rsidRDefault="00D006CD">
          <w:pPr>
            <w:pStyle w:val="TOC1"/>
            <w:tabs>
              <w:tab w:val="right" w:leader="dot" w:pos="9016"/>
            </w:tabs>
            <w:rPr>
              <w:rFonts w:eastAsiaTheme="minorEastAsia"/>
              <w:b w:val="0"/>
              <w:bCs w:val="0"/>
              <w:caps w:val="0"/>
              <w:noProof/>
              <w:sz w:val="24"/>
              <w:szCs w:val="24"/>
              <w:lang w:eastAsia="en-GB"/>
            </w:rPr>
          </w:pPr>
          <w:hyperlink w:anchor="_Toc235253277" w:history="1">
            <w:r w:rsidRPr="00747EB6">
              <w:rPr>
                <w:rStyle w:val="Hyperlink"/>
                <w:noProof/>
              </w:rPr>
              <w:t>References</w:t>
            </w:r>
            <w:r>
              <w:rPr>
                <w:noProof/>
                <w:webHidden/>
              </w:rPr>
              <w:tab/>
            </w:r>
            <w:r>
              <w:rPr>
                <w:noProof/>
                <w:webHidden/>
              </w:rPr>
              <w:fldChar w:fldCharType="begin"/>
            </w:r>
            <w:r>
              <w:rPr>
                <w:noProof/>
                <w:webHidden/>
              </w:rPr>
              <w:instrText xml:space="preserve"> PAGEREF _Toc235253277 \h </w:instrText>
            </w:r>
            <w:r>
              <w:rPr>
                <w:noProof/>
                <w:webHidden/>
              </w:rPr>
            </w:r>
            <w:r>
              <w:rPr>
                <w:noProof/>
                <w:webHidden/>
              </w:rPr>
              <w:fldChar w:fldCharType="separate"/>
            </w:r>
            <w:r>
              <w:rPr>
                <w:noProof/>
                <w:webHidden/>
              </w:rPr>
              <w:t>9</w:t>
            </w:r>
            <w:r>
              <w:rPr>
                <w:noProof/>
                <w:webHidden/>
              </w:rPr>
              <w:fldChar w:fldCharType="end"/>
            </w:r>
          </w:hyperlink>
        </w:p>
        <w:p w14:paraId="0051C6AC" w14:textId="68E0674E" w:rsidR="00DF5E96" w:rsidRPr="00A7720A" w:rsidRDefault="00DF5E96" w:rsidP="00A7720A">
          <w:pPr>
            <w:spacing w:before="240" w:line="360" w:lineRule="auto"/>
            <w:jc w:val="both"/>
            <w:rPr>
              <w:rFonts w:ascii="Arial" w:hAnsi="Arial" w:cs="Arial"/>
            </w:rPr>
          </w:pPr>
          <w:r w:rsidRPr="00A7720A">
            <w:rPr>
              <w:rFonts w:ascii="Arial" w:hAnsi="Arial" w:cs="Arial"/>
              <w:b/>
              <w:bCs/>
              <w:noProof/>
            </w:rPr>
            <w:fldChar w:fldCharType="end"/>
          </w:r>
        </w:p>
      </w:sdtContent>
    </w:sdt>
    <w:p w14:paraId="30C57329" w14:textId="26A79A50" w:rsidR="00DF5E96" w:rsidRPr="00A7720A" w:rsidRDefault="00DF5E96" w:rsidP="00A7720A">
      <w:pPr>
        <w:spacing w:before="240" w:line="360" w:lineRule="auto"/>
        <w:jc w:val="both"/>
        <w:rPr>
          <w:rFonts w:ascii="Arial" w:hAnsi="Arial" w:cs="Arial"/>
        </w:rPr>
      </w:pPr>
      <w:r w:rsidRPr="00A7720A">
        <w:rPr>
          <w:rFonts w:ascii="Arial" w:hAnsi="Arial" w:cs="Arial"/>
        </w:rPr>
        <w:br w:type="page"/>
      </w:r>
    </w:p>
    <w:p w14:paraId="06D7C8AE" w14:textId="43EB4634" w:rsidR="00C825A6" w:rsidRPr="00A7720A" w:rsidRDefault="00DF5E96" w:rsidP="00A7720A">
      <w:pPr>
        <w:pStyle w:val="Heading1"/>
      </w:pPr>
      <w:bookmarkStart w:id="0" w:name="_Toc235253271"/>
      <w:r w:rsidRPr="00A7720A">
        <w:lastRenderedPageBreak/>
        <w:t>Introduction</w:t>
      </w:r>
      <w:bookmarkEnd w:id="0"/>
    </w:p>
    <w:p w14:paraId="2D2F75BA" w14:textId="7FED4143" w:rsidR="00DF5E96" w:rsidRPr="00A7720A" w:rsidRDefault="00DF5E96" w:rsidP="00A7720A">
      <w:pPr>
        <w:spacing w:before="240" w:line="360" w:lineRule="auto"/>
        <w:jc w:val="both"/>
        <w:rPr>
          <w:rFonts w:ascii="Arial" w:hAnsi="Arial" w:cs="Arial"/>
        </w:rPr>
      </w:pPr>
      <w:bookmarkStart w:id="1" w:name="OLE_LINK1"/>
      <w:r w:rsidRPr="00A7720A">
        <w:rPr>
          <w:rFonts w:ascii="Arial" w:hAnsi="Arial" w:cs="Arial"/>
          <w:kern w:val="0"/>
        </w:rPr>
        <w:t xml:space="preserve">A listed company can be understood, according to Bowman and Bing (2014), as an organisation whose shares are traded on an official stock exchange, is owned by public shareholders, and complies with strict listing and disclosure requirements. Tesco plc meets this definition because its shares, traded under the symbol TSCO, are listed on the Main Market of the London Stock Exchange, according to the London Stock Exchange (2026). Tesco plc is recognised as one of the largest retail companies in the United Kingdom, with its core activities centred on grocery retailing, while it also provides services such as banking, loyalty programmes, mobile communications, and online shopping, which contribute to revenue diversification and customer retention. Due to its </w:t>
      </w:r>
      <w:proofErr w:type="gramStart"/>
      <w:r w:rsidRPr="00A7720A">
        <w:rPr>
          <w:rFonts w:ascii="Arial" w:hAnsi="Arial" w:cs="Arial"/>
          <w:kern w:val="0"/>
        </w:rPr>
        <w:t>large scale</w:t>
      </w:r>
      <w:proofErr w:type="gramEnd"/>
      <w:r w:rsidRPr="00A7720A">
        <w:rPr>
          <w:rFonts w:ascii="Arial" w:hAnsi="Arial" w:cs="Arial"/>
          <w:kern w:val="0"/>
        </w:rPr>
        <w:t xml:space="preserve"> operations, intricate supply chain, and combination of physical and digital sales channels, Tesco represents a valuable case for analysing the role of management accounting in supporting both strategic planning and routine operational decisions. Management accounting involves the provision of internal financial and </w:t>
      </w:r>
      <w:proofErr w:type="spellStart"/>
      <w:proofErr w:type="gramStart"/>
      <w:r w:rsidRPr="00A7720A">
        <w:rPr>
          <w:rFonts w:ascii="Arial" w:hAnsi="Arial" w:cs="Arial"/>
          <w:kern w:val="0"/>
        </w:rPr>
        <w:t>non financial</w:t>
      </w:r>
      <w:proofErr w:type="spellEnd"/>
      <w:proofErr w:type="gramEnd"/>
      <w:r w:rsidRPr="00A7720A">
        <w:rPr>
          <w:rFonts w:ascii="Arial" w:hAnsi="Arial" w:cs="Arial"/>
          <w:kern w:val="0"/>
        </w:rPr>
        <w:t xml:space="preserve"> information that assists managers in planning activities, controlling costs, distributing resources effectively, and evaluating organisational performance. In contrast to financial accounting, which primarily serves external stakeholders, management accounting focuses on internal decision making, including pricing, budgeting, investment appraisal, efficiency improvement, and sustainability management in competitive environments.</w:t>
      </w:r>
    </w:p>
    <w:p w14:paraId="2C1BC95A" w14:textId="7E798178" w:rsidR="00602D80" w:rsidRPr="00A7720A" w:rsidRDefault="00602D80" w:rsidP="00A7720A">
      <w:pPr>
        <w:pStyle w:val="Heading1"/>
      </w:pPr>
      <w:bookmarkStart w:id="2" w:name="_Toc235253272"/>
      <w:bookmarkEnd w:id="1"/>
      <w:r w:rsidRPr="00A7720A">
        <w:t>Cost Analysis and Business Model</w:t>
      </w:r>
      <w:bookmarkEnd w:id="2"/>
      <w:r w:rsidRPr="00A7720A">
        <w:t xml:space="preserve"> </w:t>
      </w:r>
    </w:p>
    <w:p w14:paraId="6EDF8446" w14:textId="77777777" w:rsidR="00A7720A" w:rsidRPr="00A7720A" w:rsidRDefault="00A7720A" w:rsidP="00A7720A">
      <w:pPr>
        <w:spacing w:before="240" w:line="360" w:lineRule="auto"/>
        <w:jc w:val="both"/>
        <w:rPr>
          <w:rFonts w:ascii="Arial" w:hAnsi="Arial" w:cs="Arial"/>
        </w:rPr>
      </w:pPr>
      <w:r w:rsidRPr="00A7720A">
        <w:rPr>
          <w:rFonts w:ascii="Arial" w:hAnsi="Arial" w:cs="Arial"/>
        </w:rPr>
        <w:t xml:space="preserve">Tesco’s revenue model is largely based on high volume retail sales across groceries and related product ranges, supported by both physical store networks and online platforms (Sustainability Reports, 2026). The company places considerable importance on value, product quality, and customer service, which indicates that revenue generation depends not only on applying a margin to costs but also on maintaining a balance between affordability and a positive shopping experience that encourages repeat purchasing (Tesco PLC, 2026b). According to </w:t>
      </w:r>
      <w:proofErr w:type="spellStart"/>
      <w:r w:rsidRPr="00A7720A">
        <w:rPr>
          <w:rFonts w:ascii="Arial" w:hAnsi="Arial" w:cs="Arial"/>
        </w:rPr>
        <w:t>Atrill</w:t>
      </w:r>
      <w:proofErr w:type="spellEnd"/>
      <w:r w:rsidRPr="00A7720A">
        <w:rPr>
          <w:rFonts w:ascii="Arial" w:hAnsi="Arial" w:cs="Arial"/>
        </w:rPr>
        <w:t xml:space="preserve"> and McLaney (2021), this approach is consistent with management accounting principles, which emphasise the use of cost information to support pricing decisions, evaluate profitability, and manage expenditure effectively.</w:t>
      </w:r>
    </w:p>
    <w:p w14:paraId="0FE25C21" w14:textId="77777777" w:rsidR="00A7720A" w:rsidRPr="00A7720A" w:rsidRDefault="00A7720A" w:rsidP="00A7720A">
      <w:pPr>
        <w:spacing w:before="240" w:line="360" w:lineRule="auto"/>
        <w:jc w:val="both"/>
        <w:rPr>
          <w:rFonts w:ascii="Arial" w:hAnsi="Arial" w:cs="Arial"/>
        </w:rPr>
      </w:pPr>
      <w:r w:rsidRPr="00A7720A">
        <w:rPr>
          <w:rFonts w:ascii="Arial" w:hAnsi="Arial" w:cs="Arial"/>
        </w:rPr>
        <w:lastRenderedPageBreak/>
        <w:t xml:space="preserve">Accounting theory classifies costs based on their nature, behaviour, and traceability. As explained by </w:t>
      </w:r>
      <w:proofErr w:type="spellStart"/>
      <w:r w:rsidRPr="00A7720A">
        <w:rPr>
          <w:rFonts w:ascii="Arial" w:hAnsi="Arial" w:cs="Arial"/>
        </w:rPr>
        <w:t>Eldenburg</w:t>
      </w:r>
      <w:proofErr w:type="spellEnd"/>
      <w:r w:rsidRPr="00A7720A">
        <w:rPr>
          <w:rFonts w:ascii="Arial" w:hAnsi="Arial" w:cs="Arial"/>
        </w:rPr>
        <w:t xml:space="preserve"> et al. (2020), these classifications include direct and indirect costs, product and period costs, as well as fixed, variable, and mixed costs. In Tesco’s operations, major costs include inventory purchases, distribution activities, store labour, energy usage, property related expenses, digital systems, and administrative support (Tesco PLC, 2026d). Variable costs change in relation to activity levels, while fixed costs remain constant in total within a relevant range, although the cost per unit decreases as output increases, as noted by </w:t>
      </w:r>
      <w:proofErr w:type="spellStart"/>
      <w:r w:rsidRPr="00A7720A">
        <w:rPr>
          <w:rFonts w:ascii="Arial" w:hAnsi="Arial" w:cs="Arial"/>
        </w:rPr>
        <w:t>Atrill</w:t>
      </w:r>
      <w:proofErr w:type="spellEnd"/>
      <w:r w:rsidRPr="00A7720A">
        <w:rPr>
          <w:rFonts w:ascii="Arial" w:hAnsi="Arial" w:cs="Arial"/>
        </w:rPr>
        <w:t xml:space="preserve"> and McLaney (2021).</w:t>
      </w:r>
    </w:p>
    <w:p w14:paraId="2CA0BAE4" w14:textId="77777777" w:rsidR="00A7720A" w:rsidRPr="00A7720A" w:rsidRDefault="00A7720A" w:rsidP="00A7720A">
      <w:pPr>
        <w:spacing w:before="240" w:line="360" w:lineRule="auto"/>
        <w:jc w:val="both"/>
        <w:rPr>
          <w:rFonts w:ascii="Arial" w:hAnsi="Arial" w:cs="Arial"/>
        </w:rPr>
      </w:pPr>
      <w:r w:rsidRPr="00A7720A">
        <w:rPr>
          <w:rFonts w:ascii="Arial" w:hAnsi="Arial" w:cs="Arial"/>
        </w:rPr>
        <w:t xml:space="preserve">This classification helps explain Tesco’s cost structure in practice. Variable costs account for a large share of cost of sales, along with packaging, transport, and some labour expenses that vary with trading activity (Yahoo Finance, 2026b). Fixed costs include rent, depreciation, insurance, and central administrative functions, which are generally difficult to reduce in the short term (Tesco PLC, 2026b). </w:t>
      </w:r>
      <w:proofErr w:type="spellStart"/>
      <w:r w:rsidRPr="00A7720A">
        <w:rPr>
          <w:rFonts w:ascii="Arial" w:hAnsi="Arial" w:cs="Arial"/>
        </w:rPr>
        <w:t>Atrill</w:t>
      </w:r>
      <w:proofErr w:type="spellEnd"/>
      <w:r w:rsidRPr="00A7720A">
        <w:rPr>
          <w:rFonts w:ascii="Arial" w:hAnsi="Arial" w:cs="Arial"/>
        </w:rPr>
        <w:t xml:space="preserve"> and McLaney (2021) further distinguish between committed and discretionary fixed costs, which is relevant because certain expenditures such as promotional spending can be adjusted more easily than long term investments in stores or infrastructure.</w:t>
      </w:r>
      <w:r w:rsidRPr="00A7720A">
        <w:rPr>
          <w:rFonts w:ascii="Arial" w:hAnsi="Arial" w:cs="Arial"/>
        </w:rPr>
        <w:br/>
        <w:t xml:space="preserve">Mixed costs are also important because they contain both fixed and variable elements. According to </w:t>
      </w:r>
      <w:proofErr w:type="spellStart"/>
      <w:r w:rsidRPr="00A7720A">
        <w:rPr>
          <w:rFonts w:ascii="Arial" w:hAnsi="Arial" w:cs="Arial"/>
        </w:rPr>
        <w:t>Eldenburg</w:t>
      </w:r>
      <w:proofErr w:type="spellEnd"/>
      <w:r w:rsidRPr="00A7720A">
        <w:rPr>
          <w:rFonts w:ascii="Arial" w:hAnsi="Arial" w:cs="Arial"/>
        </w:rPr>
        <w:t xml:space="preserve"> et al. (2020), such costs can be analysed using estimation methods such as the high low approach. In Tesco’s context, utilities, fulfilment operations, and some labour categories may show mixed behaviour because part of the cost is unavoidable while another part varies with activity levels (Tesco PLC, 2026d). Understanding these patterns allows managers to forecast costs more accurately, support expansion decisions, and interpret changes in operating expenses, as highlighted by </w:t>
      </w:r>
      <w:proofErr w:type="spellStart"/>
      <w:r w:rsidRPr="00A7720A">
        <w:rPr>
          <w:rFonts w:ascii="Arial" w:hAnsi="Arial" w:cs="Arial"/>
        </w:rPr>
        <w:t>Atrill</w:t>
      </w:r>
      <w:proofErr w:type="spellEnd"/>
      <w:r w:rsidRPr="00A7720A">
        <w:rPr>
          <w:rFonts w:ascii="Arial" w:hAnsi="Arial" w:cs="Arial"/>
        </w:rPr>
        <w:t xml:space="preserve"> and McLaney (2021).</w:t>
      </w:r>
    </w:p>
    <w:p w14:paraId="1A67E2E0" w14:textId="6BBC394E" w:rsidR="00A7720A" w:rsidRPr="00A7720A" w:rsidRDefault="00A7720A" w:rsidP="00A7720A">
      <w:pPr>
        <w:spacing w:before="240" w:line="360" w:lineRule="auto"/>
        <w:jc w:val="both"/>
        <w:rPr>
          <w:rFonts w:ascii="Arial" w:hAnsi="Arial" w:cs="Arial"/>
        </w:rPr>
      </w:pPr>
      <w:r w:rsidRPr="00A7720A">
        <w:rPr>
          <w:rFonts w:ascii="Arial" w:hAnsi="Arial" w:cs="Arial"/>
        </w:rPr>
        <w:t xml:space="preserve">Cost volume profit analysis provides further insight into Tesco’s business model by examining how sales volume, costs, and profit are related. </w:t>
      </w:r>
      <w:proofErr w:type="spellStart"/>
      <w:r w:rsidRPr="00A7720A">
        <w:rPr>
          <w:rFonts w:ascii="Arial" w:hAnsi="Arial" w:cs="Arial"/>
        </w:rPr>
        <w:t>Eldenburg</w:t>
      </w:r>
      <w:proofErr w:type="spellEnd"/>
      <w:r w:rsidRPr="00A7720A">
        <w:rPr>
          <w:rFonts w:ascii="Arial" w:hAnsi="Arial" w:cs="Arial"/>
        </w:rPr>
        <w:t xml:space="preserve"> et al. (2020) explain that contribution margin, defined as sales revenue minus variable costs, is first used to cover fixed costs and then to generate profit. In a low margin retail environment, careful analysis of cost behaviour is essential to determine whether pricing decisions, promotional activities, or service improvements will produce enough additional contribution to justify higher spending (Tesco PLC, 2026b).</w:t>
      </w:r>
    </w:p>
    <w:p w14:paraId="48893A1C" w14:textId="3CCEA78B" w:rsidR="00602D80" w:rsidRPr="00A7720A" w:rsidRDefault="00602D80" w:rsidP="00A7720A">
      <w:pPr>
        <w:pStyle w:val="Heading1"/>
      </w:pPr>
      <w:bookmarkStart w:id="3" w:name="_Toc235253273"/>
      <w:r w:rsidRPr="00A7720A">
        <w:lastRenderedPageBreak/>
        <w:t>Budgeting and Financial Planning</w:t>
      </w:r>
      <w:bookmarkEnd w:id="3"/>
    </w:p>
    <w:p w14:paraId="3683A55E" w14:textId="77777777" w:rsidR="00A7720A" w:rsidRPr="00A7720A" w:rsidRDefault="00A7720A" w:rsidP="00A7720A">
      <w:pPr>
        <w:pStyle w:val="my-2"/>
        <w:spacing w:before="240" w:beforeAutospacing="0" w:line="360" w:lineRule="auto"/>
        <w:jc w:val="both"/>
        <w:rPr>
          <w:rFonts w:ascii="Arial" w:hAnsi="Arial" w:cs="Arial"/>
          <w:color w:val="000000"/>
        </w:rPr>
      </w:pPr>
      <w:r w:rsidRPr="00A7720A">
        <w:rPr>
          <w:rFonts w:ascii="Arial" w:hAnsi="Arial" w:cs="Arial"/>
          <w:color w:val="000000"/>
        </w:rPr>
        <w:t xml:space="preserve">Budgeting is a key part of management accounting at Tesco because it turns business strategy into a clear financial plan covering revenue, labour, operating costs, capital spending and cash flow needs, as explained by </w:t>
      </w:r>
      <w:proofErr w:type="spellStart"/>
      <w:r w:rsidRPr="00A7720A">
        <w:rPr>
          <w:rFonts w:ascii="Arial" w:hAnsi="Arial" w:cs="Arial"/>
          <w:color w:val="000000"/>
        </w:rPr>
        <w:t>Atrill</w:t>
      </w:r>
      <w:proofErr w:type="spellEnd"/>
      <w:r w:rsidRPr="00A7720A">
        <w:rPr>
          <w:rFonts w:ascii="Arial" w:hAnsi="Arial" w:cs="Arial"/>
          <w:color w:val="000000"/>
        </w:rPr>
        <w:t xml:space="preserve"> and McLaney (2021). According to </w:t>
      </w:r>
      <w:proofErr w:type="spellStart"/>
      <w:r w:rsidRPr="00A7720A">
        <w:rPr>
          <w:rFonts w:ascii="Arial" w:hAnsi="Arial" w:cs="Arial"/>
          <w:color w:val="000000"/>
        </w:rPr>
        <w:t>Eldenburg</w:t>
      </w:r>
      <w:proofErr w:type="spellEnd"/>
      <w:r w:rsidRPr="00A7720A">
        <w:rPr>
          <w:rFonts w:ascii="Arial" w:hAnsi="Arial" w:cs="Arial"/>
          <w:color w:val="000000"/>
        </w:rPr>
        <w:t xml:space="preserve"> et al. (2020), a budget is a detailed financial plan for a future period, while a master budget brings together linked budgets that lead to projected financial statements. In a large retail business like Tesco, this process helps connect store operations, logistics, digital activities and central support functions so that wider business goals can be turned into practical targets and actions (Tesco PLC, 2026b).</w:t>
      </w:r>
    </w:p>
    <w:p w14:paraId="736BDC0A" w14:textId="77777777" w:rsidR="00A7720A" w:rsidRPr="00A7720A" w:rsidRDefault="00A7720A" w:rsidP="00A7720A">
      <w:pPr>
        <w:pStyle w:val="my-2"/>
        <w:spacing w:before="240" w:beforeAutospacing="0" w:line="360" w:lineRule="auto"/>
        <w:jc w:val="both"/>
        <w:rPr>
          <w:rFonts w:ascii="Arial" w:hAnsi="Arial" w:cs="Arial"/>
          <w:color w:val="000000"/>
        </w:rPr>
      </w:pPr>
      <w:r w:rsidRPr="00A7720A">
        <w:rPr>
          <w:rFonts w:ascii="Arial" w:hAnsi="Arial" w:cs="Arial"/>
          <w:color w:val="000000"/>
        </w:rPr>
        <w:t xml:space="preserve">Budgeting also supports both planning and control within the organisation. As </w:t>
      </w:r>
      <w:proofErr w:type="spellStart"/>
      <w:r w:rsidRPr="00A7720A">
        <w:rPr>
          <w:rFonts w:ascii="Arial" w:hAnsi="Arial" w:cs="Arial"/>
          <w:color w:val="000000"/>
        </w:rPr>
        <w:t>Atrill</w:t>
      </w:r>
      <w:proofErr w:type="spellEnd"/>
      <w:r w:rsidRPr="00A7720A">
        <w:rPr>
          <w:rFonts w:ascii="Arial" w:hAnsi="Arial" w:cs="Arial"/>
          <w:color w:val="000000"/>
        </w:rPr>
        <w:t xml:space="preserve"> and McLaney (2021) note, planning is concerned with setting objectives and allocating resources, while control involves comparing actual outcomes with expected results and investigating any differences. This is especially important for Tesco because managers must manage stock levels, staffing, store performance and pricing decisions in a market that changes quickly due to customer demand and wider economic pressure (Tesco PLC, 2026d).</w:t>
      </w:r>
    </w:p>
    <w:p w14:paraId="0BE5641F" w14:textId="77777777" w:rsidR="00A7720A" w:rsidRPr="00A7720A" w:rsidRDefault="00A7720A" w:rsidP="00A7720A">
      <w:pPr>
        <w:pStyle w:val="my-2"/>
        <w:spacing w:before="240" w:beforeAutospacing="0" w:line="360" w:lineRule="auto"/>
        <w:jc w:val="both"/>
        <w:rPr>
          <w:rFonts w:ascii="Arial" w:hAnsi="Arial" w:cs="Arial"/>
          <w:color w:val="000000"/>
        </w:rPr>
      </w:pPr>
      <w:r w:rsidRPr="00A7720A">
        <w:rPr>
          <w:rFonts w:ascii="Arial" w:hAnsi="Arial" w:cs="Arial"/>
          <w:color w:val="000000"/>
        </w:rPr>
        <w:t xml:space="preserve">Academic sources identify static, flexible and rolling budgets as important approaches to budgeting. According to </w:t>
      </w:r>
      <w:proofErr w:type="spellStart"/>
      <w:r w:rsidRPr="00A7720A">
        <w:rPr>
          <w:rFonts w:ascii="Arial" w:hAnsi="Arial" w:cs="Arial"/>
          <w:color w:val="000000"/>
        </w:rPr>
        <w:t>Eldenburg</w:t>
      </w:r>
      <w:proofErr w:type="spellEnd"/>
      <w:r w:rsidRPr="00A7720A">
        <w:rPr>
          <w:rFonts w:ascii="Arial" w:hAnsi="Arial" w:cs="Arial"/>
          <w:color w:val="000000"/>
        </w:rPr>
        <w:t xml:space="preserve"> et al. (2020), a static budget is prepared for one level of activity, while a flexible budget changes in line with actual activity and a rolling budget is updated regularly as new information becomes available. These approaches are highly relevant to Tesco because retail demand is influenced by inflation, customer confidence, wage growth and seasonal buying behaviour (Tesco PLC, 2026e). For that reason, Tesco is likely to depend more on flexible forecasting and regular revisions than on a fixed yearly budget alone (Tesco PLC, 2026d).</w:t>
      </w:r>
    </w:p>
    <w:p w14:paraId="7A3EAFBB" w14:textId="77777777" w:rsidR="00A7720A" w:rsidRPr="00A7720A" w:rsidRDefault="00A7720A" w:rsidP="00A7720A">
      <w:pPr>
        <w:pStyle w:val="my-2"/>
        <w:spacing w:before="240" w:beforeAutospacing="0" w:line="360" w:lineRule="auto"/>
        <w:jc w:val="both"/>
        <w:rPr>
          <w:rFonts w:ascii="Arial" w:hAnsi="Arial" w:cs="Arial"/>
          <w:color w:val="000000"/>
        </w:rPr>
      </w:pPr>
      <w:r w:rsidRPr="00A7720A">
        <w:rPr>
          <w:rFonts w:ascii="Arial" w:hAnsi="Arial" w:cs="Arial"/>
          <w:color w:val="000000"/>
        </w:rPr>
        <w:t>Financial evidence also shows why budgeting matters in practice. According to Google Finance (2026), Tesco reported operating expenses of 559.00 million GBP in a reported period in August 2024, which was 8.33 percent higher than the previous year. The same source shows EBITDA of 1.12 billion GBP and net income of 525.50 million GBP, suggesting that although costs rose, profitability was still maintained (Google Finance, 2026). This suggests that effective budget control and financial monitoring were in place.</w:t>
      </w:r>
    </w:p>
    <w:p w14:paraId="64ED0371" w14:textId="35F5F69B" w:rsidR="00A7720A" w:rsidRPr="00A7720A" w:rsidRDefault="00A7720A" w:rsidP="00A7720A">
      <w:pPr>
        <w:pStyle w:val="my-2"/>
        <w:spacing w:before="240" w:beforeAutospacing="0" w:line="360" w:lineRule="auto"/>
        <w:jc w:val="both"/>
        <w:rPr>
          <w:rFonts w:ascii="Arial" w:hAnsi="Arial" w:cs="Arial"/>
          <w:color w:val="000000"/>
        </w:rPr>
      </w:pPr>
      <w:r w:rsidRPr="00A7720A">
        <w:rPr>
          <w:rFonts w:ascii="Arial" w:hAnsi="Arial" w:cs="Arial"/>
          <w:color w:val="000000"/>
        </w:rPr>
        <w:lastRenderedPageBreak/>
        <w:t xml:space="preserve">The rise in operating expenses may reflect both internal and external factors. Tesco may have invested more in service quality, digital systems, logistics, pricing support and employee pay to protect its competitive position (Tesco PLC, 2026b). At the same time, higher wages, energy prices, transport costs and supplier costs would also have increased spending (Google Finance, 2026). As per </w:t>
      </w:r>
      <w:proofErr w:type="spellStart"/>
      <w:r w:rsidRPr="00A7720A">
        <w:rPr>
          <w:rFonts w:ascii="Arial" w:hAnsi="Arial" w:cs="Arial"/>
          <w:color w:val="000000"/>
        </w:rPr>
        <w:t>Atrill</w:t>
      </w:r>
      <w:proofErr w:type="spellEnd"/>
      <w:r w:rsidRPr="00A7720A">
        <w:rPr>
          <w:rFonts w:ascii="Arial" w:hAnsi="Arial" w:cs="Arial"/>
          <w:color w:val="000000"/>
        </w:rPr>
        <w:t xml:space="preserve"> and McLaney (2021), flexible budgets are useful in such conditions because they allow managers to adjust financial plans as cost levels and business activity change.</w:t>
      </w:r>
    </w:p>
    <w:p w14:paraId="2CE3B638" w14:textId="562B8AE5" w:rsidR="00602D80" w:rsidRDefault="00602D80" w:rsidP="00A7720A">
      <w:pPr>
        <w:pStyle w:val="Heading1"/>
      </w:pPr>
      <w:bookmarkStart w:id="4" w:name="_Toc235253274"/>
      <w:r w:rsidRPr="00A7720A">
        <w:t>Performance Measurement and Decision-Making</w:t>
      </w:r>
      <w:bookmarkEnd w:id="4"/>
    </w:p>
    <w:p w14:paraId="6761334D" w14:textId="77777777" w:rsidR="00A7720A" w:rsidRPr="00A7720A" w:rsidRDefault="00A7720A" w:rsidP="00A7720A">
      <w:pPr>
        <w:pStyle w:val="my-2"/>
        <w:spacing w:line="360" w:lineRule="auto"/>
        <w:jc w:val="both"/>
        <w:rPr>
          <w:rFonts w:ascii="Arial" w:hAnsi="Arial" w:cs="Arial"/>
          <w:color w:val="000000"/>
        </w:rPr>
      </w:pPr>
      <w:r w:rsidRPr="00A7720A">
        <w:rPr>
          <w:rFonts w:ascii="Arial" w:hAnsi="Arial" w:cs="Arial"/>
          <w:color w:val="000000"/>
        </w:rPr>
        <w:t>Performance measurement at Tesco can be understood by linking the company’s published financial reports with established management accounting ideas such as contribution analysis, break</w:t>
      </w:r>
      <w:r w:rsidRPr="00A7720A">
        <w:rPr>
          <w:rFonts w:ascii="Arial" w:hAnsi="Arial" w:cs="Arial"/>
          <w:color w:val="000000"/>
        </w:rPr>
        <w:noBreakHyphen/>
        <w:t>even analysis, responsibility accounting and variance analysis (Tesco PLC, 2026b). The financial statements and market data provide a range of key performance indicators that support assessment by internal managers and external investors (Yahoo Finance, 2026a).</w:t>
      </w:r>
    </w:p>
    <w:p w14:paraId="16F9F5C1" w14:textId="77777777" w:rsidR="00A7720A" w:rsidRPr="00A7720A" w:rsidRDefault="00A7720A" w:rsidP="00A7720A">
      <w:pPr>
        <w:pStyle w:val="my-2"/>
        <w:spacing w:line="360" w:lineRule="auto"/>
        <w:jc w:val="both"/>
        <w:rPr>
          <w:rFonts w:ascii="Arial" w:hAnsi="Arial" w:cs="Arial"/>
          <w:color w:val="000000"/>
        </w:rPr>
      </w:pPr>
      <w:r w:rsidRPr="00A7720A">
        <w:rPr>
          <w:rFonts w:ascii="Arial" w:hAnsi="Arial" w:cs="Arial"/>
          <w:color w:val="000000"/>
        </w:rPr>
        <w:t>According to Google Finance, one core indicator is revenue, which shows the scale of operations and market demand, with reported sales of 17.39 billion GBP for a specific period and trailing total revenue of 67,392,000 thousand reported by Yahoo Finance (Google Finance, 2026; Yahoo Finance, 2026a). Operating income captures profit from core trading activities and is reported at 2,286,000 thousand on a trailing basis (Yahoo Finance, 2026b). Net income indicates overall profit after all expenses, with Google Finance reporting 525.50 million GBP and Yahoo Finance reporting 1,432,000 thousand (Google Finance, 2026; Yahoo Finance, 2026b). Profit margin of 2.42 percent highlights the relatively tight earnings environment in food retail, while a return on assets of 4.94 percent suggests moderate efficiency in using assets to generate profit (Yahoo Finance, 2026a).</w:t>
      </w:r>
    </w:p>
    <w:p w14:paraId="0E55AC5B" w14:textId="77777777" w:rsidR="00A7720A" w:rsidRPr="00A7720A" w:rsidRDefault="00A7720A" w:rsidP="00A7720A">
      <w:pPr>
        <w:pStyle w:val="my-2"/>
        <w:spacing w:line="360" w:lineRule="auto"/>
        <w:jc w:val="both"/>
        <w:rPr>
          <w:rFonts w:ascii="Arial" w:hAnsi="Arial" w:cs="Arial"/>
          <w:color w:val="000000"/>
        </w:rPr>
      </w:pPr>
      <w:r w:rsidRPr="00A7720A">
        <w:rPr>
          <w:rFonts w:ascii="Arial" w:hAnsi="Arial" w:cs="Arial"/>
          <w:color w:val="000000"/>
        </w:rPr>
        <w:t>According to Hilton and Platt (2021), effective KPI analysis requires attention to the operational drivers behind the numbers rather than simply observing the results. Cost</w:t>
      </w:r>
      <w:r w:rsidRPr="00A7720A">
        <w:rPr>
          <w:rFonts w:ascii="Arial" w:hAnsi="Arial" w:cs="Arial"/>
          <w:color w:val="000000"/>
        </w:rPr>
        <w:noBreakHyphen/>
        <w:t>volume</w:t>
      </w:r>
      <w:r w:rsidRPr="00A7720A">
        <w:rPr>
          <w:rFonts w:ascii="Arial" w:hAnsi="Arial" w:cs="Arial"/>
          <w:color w:val="000000"/>
        </w:rPr>
        <w:noBreakHyphen/>
        <w:t>profit analysis is helpful here because it explains how selling price, volume, unit variable cost, total fixed costs and sales mix interact to influence profit (</w:t>
      </w:r>
      <w:proofErr w:type="spellStart"/>
      <w:r w:rsidRPr="00A7720A">
        <w:rPr>
          <w:rFonts w:ascii="Arial" w:hAnsi="Arial" w:cs="Arial"/>
          <w:color w:val="000000"/>
        </w:rPr>
        <w:t>Eldenburg</w:t>
      </w:r>
      <w:proofErr w:type="spellEnd"/>
      <w:r w:rsidRPr="00A7720A">
        <w:rPr>
          <w:rFonts w:ascii="Arial" w:hAnsi="Arial" w:cs="Arial"/>
          <w:color w:val="000000"/>
        </w:rPr>
        <w:t xml:space="preserve"> et al., 2020). Even though Tesco is a multi</w:t>
      </w:r>
      <w:r w:rsidRPr="00A7720A">
        <w:rPr>
          <w:rFonts w:ascii="Arial" w:hAnsi="Arial" w:cs="Arial"/>
          <w:color w:val="000000"/>
        </w:rPr>
        <w:noBreakHyphen/>
        <w:t xml:space="preserve">product retailer and therefore </w:t>
      </w:r>
      <w:r w:rsidRPr="00A7720A">
        <w:rPr>
          <w:rFonts w:ascii="Arial" w:hAnsi="Arial" w:cs="Arial"/>
          <w:color w:val="000000"/>
        </w:rPr>
        <w:lastRenderedPageBreak/>
        <w:t>more complex than the basic CVP model, the contribution approach still offers a useful framework for judging pricing decisions, promotions and product mix choices (Tesco PLC, 2026b). If Tesco lowers prices to remain competitive, management must consider whether the resulting increase in sales volume and contribution is sufficient to cover fixed operating costs and sustain profitability (Tesco PLC, 2026b).</w:t>
      </w:r>
    </w:p>
    <w:p w14:paraId="07C1DE3A" w14:textId="77777777" w:rsidR="00A7720A" w:rsidRPr="00A7720A" w:rsidRDefault="00A7720A" w:rsidP="00A7720A">
      <w:pPr>
        <w:pStyle w:val="my-2"/>
        <w:spacing w:line="360" w:lineRule="auto"/>
        <w:jc w:val="both"/>
        <w:rPr>
          <w:rFonts w:ascii="Arial" w:hAnsi="Arial" w:cs="Arial"/>
          <w:color w:val="000000"/>
        </w:rPr>
      </w:pPr>
      <w:r w:rsidRPr="00A7720A">
        <w:rPr>
          <w:rFonts w:ascii="Arial" w:hAnsi="Arial" w:cs="Arial"/>
          <w:color w:val="000000"/>
        </w:rPr>
        <w:t>Break</w:t>
      </w:r>
      <w:r w:rsidRPr="00A7720A">
        <w:rPr>
          <w:rFonts w:ascii="Arial" w:hAnsi="Arial" w:cs="Arial"/>
          <w:color w:val="000000"/>
        </w:rPr>
        <w:noBreakHyphen/>
        <w:t xml:space="preserve">even analysis and margin of safety further support performance evaluation. As explained by </w:t>
      </w:r>
      <w:proofErr w:type="spellStart"/>
      <w:r w:rsidRPr="00A7720A">
        <w:rPr>
          <w:rFonts w:ascii="Arial" w:hAnsi="Arial" w:cs="Arial"/>
          <w:color w:val="000000"/>
        </w:rPr>
        <w:t>Eldenburg</w:t>
      </w:r>
      <w:proofErr w:type="spellEnd"/>
      <w:r w:rsidRPr="00A7720A">
        <w:rPr>
          <w:rFonts w:ascii="Arial" w:hAnsi="Arial" w:cs="Arial"/>
          <w:color w:val="000000"/>
        </w:rPr>
        <w:t xml:space="preserve"> et al. (2020), break</w:t>
      </w:r>
      <w:r w:rsidRPr="00A7720A">
        <w:rPr>
          <w:rFonts w:ascii="Arial" w:hAnsi="Arial" w:cs="Arial"/>
          <w:color w:val="000000"/>
        </w:rPr>
        <w:noBreakHyphen/>
        <w:t>even analysis identifies the sales level at which profit is zero, while margin of safety measures how far sales can fall before losses occur. Tesco can use these ideas to judge the robustness of store formats, online fulfilment operations and new initiatives in periods of uncertain demand (Tesco PLC, 2026d).</w:t>
      </w:r>
    </w:p>
    <w:p w14:paraId="33770F45" w14:textId="77777777" w:rsidR="00A7720A" w:rsidRPr="00A7720A" w:rsidRDefault="00A7720A" w:rsidP="00A7720A">
      <w:pPr>
        <w:pStyle w:val="my-2"/>
        <w:spacing w:line="360" w:lineRule="auto"/>
        <w:jc w:val="both"/>
        <w:rPr>
          <w:rFonts w:ascii="Arial" w:hAnsi="Arial" w:cs="Arial"/>
          <w:color w:val="000000"/>
        </w:rPr>
      </w:pPr>
      <w:r w:rsidRPr="00A7720A">
        <w:rPr>
          <w:rFonts w:ascii="Arial" w:hAnsi="Arial" w:cs="Arial"/>
          <w:color w:val="000000"/>
        </w:rPr>
        <w:t xml:space="preserve">Standard costing and variance analysis add another perspective to performance management. </w:t>
      </w:r>
      <w:proofErr w:type="spellStart"/>
      <w:r w:rsidRPr="00A7720A">
        <w:rPr>
          <w:rFonts w:ascii="Arial" w:hAnsi="Arial" w:cs="Arial"/>
          <w:color w:val="000000"/>
        </w:rPr>
        <w:t>Atrill</w:t>
      </w:r>
      <w:proofErr w:type="spellEnd"/>
      <w:r w:rsidRPr="00A7720A">
        <w:rPr>
          <w:rFonts w:ascii="Arial" w:hAnsi="Arial" w:cs="Arial"/>
          <w:color w:val="000000"/>
        </w:rPr>
        <w:t xml:space="preserve"> and McLaney (2021) describe standard costs as predetermined benchmarks and variances as the differences between actual results and these standards. Although Tesco is not a manufacturer, these principles can still be applied to labour costs, logistics, waste, inventory shrinkage, store expenses and promotional effectiveness (Tesco PLC, 2026b). This supports management by exception, where attention focuses on significant departures from expected performance (</w:t>
      </w:r>
      <w:proofErr w:type="spellStart"/>
      <w:r w:rsidRPr="00A7720A">
        <w:rPr>
          <w:rFonts w:ascii="Arial" w:hAnsi="Arial" w:cs="Arial"/>
          <w:color w:val="000000"/>
        </w:rPr>
        <w:t>Atrill</w:t>
      </w:r>
      <w:proofErr w:type="spellEnd"/>
      <w:r w:rsidRPr="00A7720A">
        <w:rPr>
          <w:rFonts w:ascii="Arial" w:hAnsi="Arial" w:cs="Arial"/>
          <w:color w:val="000000"/>
        </w:rPr>
        <w:t xml:space="preserve"> and McLaney, 2021).</w:t>
      </w:r>
    </w:p>
    <w:p w14:paraId="79918661" w14:textId="77777777" w:rsidR="00A7720A" w:rsidRPr="00A7720A" w:rsidRDefault="00A7720A" w:rsidP="00A7720A">
      <w:pPr>
        <w:pStyle w:val="my-2"/>
        <w:spacing w:line="360" w:lineRule="auto"/>
        <w:jc w:val="both"/>
        <w:rPr>
          <w:rFonts w:ascii="Arial" w:hAnsi="Arial" w:cs="Arial"/>
          <w:color w:val="000000"/>
        </w:rPr>
      </w:pPr>
      <w:r w:rsidRPr="00A7720A">
        <w:rPr>
          <w:rFonts w:ascii="Arial" w:hAnsi="Arial" w:cs="Arial"/>
          <w:color w:val="000000"/>
        </w:rPr>
        <w:t>Variance analysis can highlight inefficiencies and guide strategic decisions by encouraging deeper investigation into performance gaps. However, Hilton and Platt (2021) warn that relying too heavily on variance measures can create problems such as short</w:t>
      </w:r>
      <w:r w:rsidRPr="00A7720A">
        <w:rPr>
          <w:rFonts w:ascii="Arial" w:hAnsi="Arial" w:cs="Arial"/>
          <w:color w:val="000000"/>
        </w:rPr>
        <w:noBreakHyphen/>
        <w:t>term focus or budgetary slack if they are not balanced with wider indicators. For Tesco, effective performance management therefore requires combining financial measures with non</w:t>
      </w:r>
      <w:r w:rsidRPr="00A7720A">
        <w:rPr>
          <w:rFonts w:ascii="Arial" w:hAnsi="Arial" w:cs="Arial"/>
          <w:color w:val="000000"/>
        </w:rPr>
        <w:noBreakHyphen/>
        <w:t>financial indicators such as customer satisfaction, product availability, sustainability progress and employee engagement, as suggested in recent reporting (Tesco PLC, 2026e).</w:t>
      </w:r>
    </w:p>
    <w:p w14:paraId="4532F941" w14:textId="77777777" w:rsidR="00A7720A" w:rsidRPr="00A7720A" w:rsidRDefault="00A7720A" w:rsidP="00A7720A">
      <w:pPr>
        <w:spacing w:line="360" w:lineRule="auto"/>
        <w:jc w:val="both"/>
        <w:rPr>
          <w:rFonts w:ascii="Arial" w:hAnsi="Arial" w:cs="Arial"/>
        </w:rPr>
      </w:pPr>
    </w:p>
    <w:p w14:paraId="7415AB84" w14:textId="08E1D80C" w:rsidR="004A7386" w:rsidRPr="00A7720A" w:rsidRDefault="004A7386" w:rsidP="00A7720A">
      <w:pPr>
        <w:pStyle w:val="Heading1"/>
      </w:pPr>
      <w:bookmarkStart w:id="5" w:name="_Toc235253275"/>
      <w:r w:rsidRPr="00A7720A">
        <w:lastRenderedPageBreak/>
        <w:t>Sustainability and Ethical Considerations</w:t>
      </w:r>
      <w:bookmarkEnd w:id="5"/>
    </w:p>
    <w:p w14:paraId="7DBA4951" w14:textId="77777777" w:rsidR="00A7720A" w:rsidRPr="00A7720A" w:rsidRDefault="00A7720A" w:rsidP="00A7720A">
      <w:pPr>
        <w:spacing w:before="240" w:line="360" w:lineRule="auto"/>
        <w:jc w:val="both"/>
        <w:rPr>
          <w:rFonts w:ascii="Arial" w:hAnsi="Arial" w:cs="Arial"/>
        </w:rPr>
      </w:pPr>
      <w:r w:rsidRPr="00A7720A">
        <w:rPr>
          <w:rFonts w:ascii="Arial" w:hAnsi="Arial" w:cs="Arial"/>
        </w:rPr>
        <w:t xml:space="preserve">Tesco’s sustainability reporting demonstrates that environmental and social performance is incorporated into overall business planning rather than being treated as a separate reporting activity (Tesco PLC, 2026e). The company reports a 68 percent reduction in operational emissions compared with its 2015 to 2016 baseline, which exceeds its earlier target of 60 percent set for 2025 (Tesco PLC, 2026e). This achievement suggests that sustainability goals are closely linked to investment choices, operational decision making, and the creation of </w:t>
      </w:r>
      <w:proofErr w:type="gramStart"/>
      <w:r w:rsidRPr="00A7720A">
        <w:rPr>
          <w:rFonts w:ascii="Arial" w:hAnsi="Arial" w:cs="Arial"/>
        </w:rPr>
        <w:t>long term</w:t>
      </w:r>
      <w:proofErr w:type="gramEnd"/>
      <w:r w:rsidRPr="00A7720A">
        <w:rPr>
          <w:rFonts w:ascii="Arial" w:hAnsi="Arial" w:cs="Arial"/>
        </w:rPr>
        <w:t xml:space="preserve"> value within the organisation (Tesco PLC, 2026d).</w:t>
      </w:r>
    </w:p>
    <w:p w14:paraId="6E9BA5A1" w14:textId="77777777" w:rsidR="00A7720A" w:rsidRPr="00A7720A" w:rsidRDefault="00A7720A" w:rsidP="00A7720A">
      <w:pPr>
        <w:spacing w:before="240" w:line="360" w:lineRule="auto"/>
        <w:jc w:val="both"/>
        <w:rPr>
          <w:rFonts w:ascii="Arial" w:hAnsi="Arial" w:cs="Arial"/>
        </w:rPr>
      </w:pPr>
      <w:r w:rsidRPr="00A7720A">
        <w:rPr>
          <w:rFonts w:ascii="Arial" w:hAnsi="Arial" w:cs="Arial"/>
        </w:rPr>
        <w:t xml:space="preserve">Management accounting plays an important role in supporting sustainability related decisions because it helps managers assess the balance between immediate costs and future benefits. According to </w:t>
      </w:r>
      <w:proofErr w:type="spellStart"/>
      <w:r w:rsidRPr="00A7720A">
        <w:rPr>
          <w:rFonts w:ascii="Arial" w:hAnsi="Arial" w:cs="Arial"/>
        </w:rPr>
        <w:t>Eldenburg</w:t>
      </w:r>
      <w:proofErr w:type="spellEnd"/>
      <w:r w:rsidRPr="00A7720A">
        <w:rPr>
          <w:rFonts w:ascii="Arial" w:hAnsi="Arial" w:cs="Arial"/>
        </w:rPr>
        <w:t xml:space="preserve"> et al. (2020), effective decision making requires careful evaluation of financial consequences over time. Relevant costing is especially significant in this context, as it focuses on future costs and benefits that differ between alternatives while excluding sunk costs that do not affect current decisions. </w:t>
      </w:r>
      <w:proofErr w:type="spellStart"/>
      <w:r w:rsidRPr="00A7720A">
        <w:rPr>
          <w:rFonts w:ascii="Arial" w:hAnsi="Arial" w:cs="Arial"/>
        </w:rPr>
        <w:t>Atrill</w:t>
      </w:r>
      <w:proofErr w:type="spellEnd"/>
      <w:r w:rsidRPr="00A7720A">
        <w:rPr>
          <w:rFonts w:ascii="Arial" w:hAnsi="Arial" w:cs="Arial"/>
        </w:rPr>
        <w:t xml:space="preserve"> and McLaney (2024) explain that this approach ensures decisions are based on meaningful financial information. In Tesco’s case, this principle is important when assessing options such as improving energy efficiency, redesigning packaging, restructuring supply chains, or investing in new store technologies (Tesco PLC, 2026d). The most appropriate decision is therefore based on expected future savings, avoidable costs, and strategic outcomes rather than on past expenditure that cannot be changed (</w:t>
      </w:r>
      <w:proofErr w:type="spellStart"/>
      <w:r w:rsidRPr="00A7720A">
        <w:rPr>
          <w:rFonts w:ascii="Arial" w:hAnsi="Arial" w:cs="Arial"/>
        </w:rPr>
        <w:t>Atrill</w:t>
      </w:r>
      <w:proofErr w:type="spellEnd"/>
      <w:r w:rsidRPr="00A7720A">
        <w:rPr>
          <w:rFonts w:ascii="Arial" w:hAnsi="Arial" w:cs="Arial"/>
        </w:rPr>
        <w:t xml:space="preserve"> and McLaney, 2021).</w:t>
      </w:r>
    </w:p>
    <w:p w14:paraId="3D17E451" w14:textId="0E4B4EF3" w:rsidR="00602D80" w:rsidRPr="00A7720A" w:rsidRDefault="00A7720A" w:rsidP="00A7720A">
      <w:pPr>
        <w:spacing w:before="240" w:line="360" w:lineRule="auto"/>
        <w:jc w:val="both"/>
        <w:rPr>
          <w:rFonts w:ascii="Arial" w:hAnsi="Arial" w:cs="Arial"/>
        </w:rPr>
      </w:pPr>
      <w:r w:rsidRPr="00A7720A">
        <w:rPr>
          <w:rFonts w:ascii="Arial" w:hAnsi="Arial" w:cs="Arial"/>
        </w:rPr>
        <w:t>Ethical considerations are also relevant in the context of cost management and pricing strategies. According to Hilton and Platt (2021), management control systems may encourage undesirable behaviour if they focus too heavily on reducing costs or achieving short term financial targets without considering wider impacts. For Tesco, excessive cost reduction could negatively affect supplier relationships, employee conditions, product quality, and customer trust (Tesco PLC, 2026d). Similarly, pricing decisions during periods of financial pressure on consumers must balance profitability with fairness and accessibility (Tesco PLC, 2026b). A responsible management accounting approach therefore requires attention to stakeholder interests as well as financial performance.</w:t>
      </w:r>
    </w:p>
    <w:p w14:paraId="3318E00F" w14:textId="6FC9BAED" w:rsidR="00DF5E96" w:rsidRPr="00A7720A" w:rsidRDefault="00DF5E96" w:rsidP="00A7720A">
      <w:pPr>
        <w:pStyle w:val="Heading1"/>
      </w:pPr>
      <w:bookmarkStart w:id="6" w:name="_Toc235253276"/>
      <w:r w:rsidRPr="00A7720A">
        <w:lastRenderedPageBreak/>
        <w:t>Conclusion</w:t>
      </w:r>
      <w:bookmarkEnd w:id="6"/>
    </w:p>
    <w:p w14:paraId="1F85661B" w14:textId="77777777" w:rsidR="00E71AA9" w:rsidRPr="00A7720A" w:rsidRDefault="00E71AA9" w:rsidP="00A7720A">
      <w:pPr>
        <w:spacing w:before="240" w:line="360" w:lineRule="auto"/>
        <w:jc w:val="both"/>
        <w:rPr>
          <w:rFonts w:ascii="Arial" w:hAnsi="Arial" w:cs="Arial"/>
        </w:rPr>
      </w:pPr>
      <w:r w:rsidRPr="00A7720A">
        <w:rPr>
          <w:rFonts w:ascii="Arial" w:hAnsi="Arial" w:cs="Arial"/>
        </w:rPr>
        <w:t xml:space="preserve">Tesco PLC illustrates how management accounting tools and techniques support financial decision making within a </w:t>
      </w:r>
      <w:proofErr w:type="gramStart"/>
      <w:r w:rsidRPr="00A7720A">
        <w:rPr>
          <w:rFonts w:ascii="Arial" w:hAnsi="Arial" w:cs="Arial"/>
        </w:rPr>
        <w:t>large listed</w:t>
      </w:r>
      <w:proofErr w:type="gramEnd"/>
      <w:r w:rsidRPr="00A7720A">
        <w:rPr>
          <w:rFonts w:ascii="Arial" w:hAnsi="Arial" w:cs="Arial"/>
        </w:rPr>
        <w:t xml:space="preserve"> retail organisation. Cost analysis enables the company to understand its sources of revenue and patterns of cost behaviour, while budgeting supports effective planning and control of financial performance. In addition, performance measurement based on key performance indicators informs strategic decisions related to pricing, operations, and investment. Sustainability reporting further indicates that financial decisions increasingly consider environmental and ethical factors alongside profitability.</w:t>
      </w:r>
    </w:p>
    <w:p w14:paraId="25CF3EB5" w14:textId="5BAAE423" w:rsidR="00E71AA9" w:rsidRPr="00A7720A" w:rsidRDefault="00E71AA9" w:rsidP="00A7720A">
      <w:pPr>
        <w:spacing w:before="240" w:line="360" w:lineRule="auto"/>
        <w:jc w:val="both"/>
        <w:rPr>
          <w:rFonts w:ascii="Arial" w:hAnsi="Arial" w:cs="Arial"/>
        </w:rPr>
      </w:pPr>
      <w:r w:rsidRPr="00A7720A">
        <w:rPr>
          <w:rFonts w:ascii="Arial" w:hAnsi="Arial" w:cs="Arial"/>
        </w:rPr>
        <w:t xml:space="preserve">Three key recommendations can be identified from this analysis. First, Tesco should continue to apply flexible budgeting and rolling forecasts to respond effectively to inflation, changing demand, and variations in operating costs. Second, the company should strengthen the integration of </w:t>
      </w:r>
      <w:proofErr w:type="spellStart"/>
      <w:proofErr w:type="gramStart"/>
      <w:r w:rsidRPr="00A7720A">
        <w:rPr>
          <w:rFonts w:ascii="Arial" w:hAnsi="Arial" w:cs="Arial"/>
        </w:rPr>
        <w:t>non financial</w:t>
      </w:r>
      <w:proofErr w:type="spellEnd"/>
      <w:proofErr w:type="gramEnd"/>
      <w:r w:rsidRPr="00A7720A">
        <w:rPr>
          <w:rFonts w:ascii="Arial" w:hAnsi="Arial" w:cs="Arial"/>
        </w:rPr>
        <w:t xml:space="preserve"> key performance indicators with financial reporting so that outcomes related to customers, employees, and sustainability are clearly linked to decision making. Third, Tesco should apply long term cost benefit analysis more consistently to sustainability investments to support resilience and </w:t>
      </w:r>
      <w:proofErr w:type="gramStart"/>
      <w:r w:rsidRPr="00A7720A">
        <w:rPr>
          <w:rFonts w:ascii="Arial" w:hAnsi="Arial" w:cs="Arial"/>
        </w:rPr>
        <w:t>long term</w:t>
      </w:r>
      <w:proofErr w:type="gramEnd"/>
      <w:r w:rsidRPr="00A7720A">
        <w:rPr>
          <w:rFonts w:ascii="Arial" w:hAnsi="Arial" w:cs="Arial"/>
        </w:rPr>
        <w:t xml:space="preserve"> stakeholder value.</w:t>
      </w:r>
    </w:p>
    <w:p w14:paraId="5A0F14C8" w14:textId="77777777" w:rsidR="00E71AA9" w:rsidRPr="00A7720A" w:rsidRDefault="00E71AA9" w:rsidP="00A7720A">
      <w:pPr>
        <w:spacing w:before="240" w:line="360" w:lineRule="auto"/>
        <w:jc w:val="both"/>
        <w:rPr>
          <w:rFonts w:ascii="Arial" w:eastAsiaTheme="majorEastAsia" w:hAnsi="Arial" w:cs="Arial"/>
          <w:color w:val="0F4761" w:themeColor="accent1" w:themeShade="BF"/>
        </w:rPr>
      </w:pPr>
      <w:r w:rsidRPr="00A7720A">
        <w:rPr>
          <w:rFonts w:ascii="Arial" w:hAnsi="Arial" w:cs="Arial"/>
        </w:rPr>
        <w:br w:type="page"/>
      </w:r>
    </w:p>
    <w:p w14:paraId="7D53BDC5" w14:textId="267E65AB" w:rsidR="00DF5E96" w:rsidRPr="00A7720A" w:rsidRDefault="00DF5E96" w:rsidP="00A7720A">
      <w:pPr>
        <w:pStyle w:val="Heading1"/>
      </w:pPr>
      <w:bookmarkStart w:id="7" w:name="_Toc235253277"/>
      <w:r w:rsidRPr="00A7720A">
        <w:lastRenderedPageBreak/>
        <w:t>References</w:t>
      </w:r>
      <w:bookmarkEnd w:id="7"/>
    </w:p>
    <w:p w14:paraId="35E9CF04" w14:textId="77777777" w:rsidR="00A7720A" w:rsidRPr="00A7720A" w:rsidRDefault="00A7720A" w:rsidP="00A7720A">
      <w:pPr>
        <w:spacing w:before="240" w:after="210" w:line="360" w:lineRule="auto"/>
        <w:jc w:val="both"/>
        <w:rPr>
          <w:rFonts w:ascii="Arial" w:hAnsi="Arial" w:cs="Arial"/>
        </w:rPr>
      </w:pPr>
      <w:proofErr w:type="spellStart"/>
      <w:r w:rsidRPr="00A7720A">
        <w:rPr>
          <w:rFonts w:ascii="Arial" w:eastAsia="source serif 4" w:hAnsi="Arial" w:cs="Arial"/>
          <w:color w:val="000000"/>
        </w:rPr>
        <w:t>Atrill</w:t>
      </w:r>
      <w:proofErr w:type="spellEnd"/>
      <w:r w:rsidRPr="00A7720A">
        <w:rPr>
          <w:rFonts w:ascii="Arial" w:eastAsia="source serif 4" w:hAnsi="Arial" w:cs="Arial"/>
          <w:color w:val="000000"/>
        </w:rPr>
        <w:t xml:space="preserve">, P. and McLaney, E. (2021) </w:t>
      </w:r>
      <w:r w:rsidRPr="00A7720A">
        <w:rPr>
          <w:rFonts w:ascii="Arial" w:eastAsia="source serif 4" w:hAnsi="Arial" w:cs="Arial"/>
          <w:i/>
          <w:color w:val="000000"/>
        </w:rPr>
        <w:t>Management Accounting for Decision Makers</w:t>
      </w:r>
      <w:r w:rsidRPr="00A7720A">
        <w:rPr>
          <w:rFonts w:ascii="Arial" w:eastAsia="source serif 4" w:hAnsi="Arial" w:cs="Arial"/>
          <w:color w:val="000000"/>
        </w:rPr>
        <w:t xml:space="preserve">. 10th </w:t>
      </w:r>
      <w:proofErr w:type="spellStart"/>
      <w:r w:rsidRPr="00A7720A">
        <w:rPr>
          <w:rFonts w:ascii="Arial" w:eastAsia="source serif 4" w:hAnsi="Arial" w:cs="Arial"/>
          <w:color w:val="000000"/>
        </w:rPr>
        <w:t>edn</w:t>
      </w:r>
      <w:proofErr w:type="spellEnd"/>
      <w:r w:rsidRPr="00A7720A">
        <w:rPr>
          <w:rFonts w:ascii="Arial" w:eastAsia="source serif 4" w:hAnsi="Arial" w:cs="Arial"/>
          <w:color w:val="000000"/>
        </w:rPr>
        <w:t>. Harlow: Pearson.</w:t>
      </w:r>
    </w:p>
    <w:p w14:paraId="65B78FA9" w14:textId="77777777" w:rsidR="00A7720A" w:rsidRPr="00A7720A" w:rsidRDefault="00A7720A" w:rsidP="00A7720A">
      <w:pPr>
        <w:spacing w:before="240" w:after="210" w:line="360" w:lineRule="auto"/>
        <w:jc w:val="both"/>
        <w:rPr>
          <w:rFonts w:ascii="Arial" w:hAnsi="Arial" w:cs="Arial"/>
        </w:rPr>
      </w:pPr>
      <w:proofErr w:type="spellStart"/>
      <w:r w:rsidRPr="00A7720A">
        <w:rPr>
          <w:rFonts w:ascii="Arial" w:eastAsia="source serif 4" w:hAnsi="Arial" w:cs="Arial"/>
          <w:color w:val="000000"/>
        </w:rPr>
        <w:t>Atrill</w:t>
      </w:r>
      <w:proofErr w:type="spellEnd"/>
      <w:r w:rsidRPr="00A7720A">
        <w:rPr>
          <w:rFonts w:ascii="Arial" w:eastAsia="source serif 4" w:hAnsi="Arial" w:cs="Arial"/>
          <w:color w:val="000000"/>
        </w:rPr>
        <w:t xml:space="preserve">, P. and McLaney, E. (2024) </w:t>
      </w:r>
      <w:r w:rsidRPr="00A7720A">
        <w:rPr>
          <w:rFonts w:ascii="Arial" w:eastAsia="source serif 4" w:hAnsi="Arial" w:cs="Arial"/>
          <w:i/>
          <w:color w:val="000000"/>
        </w:rPr>
        <w:t>Management Accounting for Decision Makers</w:t>
      </w:r>
      <w:r w:rsidRPr="00A7720A">
        <w:rPr>
          <w:rFonts w:ascii="Arial" w:eastAsia="source serif 4" w:hAnsi="Arial" w:cs="Arial"/>
          <w:color w:val="000000"/>
        </w:rPr>
        <w:t xml:space="preserve">. 11th </w:t>
      </w:r>
      <w:proofErr w:type="spellStart"/>
      <w:r w:rsidRPr="00A7720A">
        <w:rPr>
          <w:rFonts w:ascii="Arial" w:eastAsia="source serif 4" w:hAnsi="Arial" w:cs="Arial"/>
          <w:color w:val="000000"/>
        </w:rPr>
        <w:t>edn</w:t>
      </w:r>
      <w:proofErr w:type="spellEnd"/>
      <w:r w:rsidRPr="00A7720A">
        <w:rPr>
          <w:rFonts w:ascii="Arial" w:eastAsia="source serif 4" w:hAnsi="Arial" w:cs="Arial"/>
          <w:color w:val="000000"/>
        </w:rPr>
        <w:t>. Harlow: Pearson Education.</w:t>
      </w:r>
    </w:p>
    <w:p w14:paraId="4E0F43F9" w14:textId="77777777" w:rsidR="00A7720A" w:rsidRPr="00A7720A" w:rsidRDefault="00A7720A" w:rsidP="00A7720A">
      <w:pPr>
        <w:spacing w:before="240" w:line="360" w:lineRule="auto"/>
        <w:jc w:val="both"/>
        <w:rPr>
          <w:rFonts w:ascii="Arial" w:hAnsi="Arial" w:cs="Arial"/>
          <w:kern w:val="0"/>
        </w:rPr>
      </w:pPr>
      <w:r w:rsidRPr="00A7720A">
        <w:rPr>
          <w:rFonts w:ascii="Arial" w:hAnsi="Arial" w:cs="Arial"/>
          <w:kern w:val="0"/>
        </w:rPr>
        <w:t xml:space="preserve">Bowman, P., &amp; Bing, R. (2014) </w:t>
      </w:r>
      <w:r w:rsidRPr="00A7720A">
        <w:rPr>
          <w:rFonts w:ascii="Arial" w:hAnsi="Arial" w:cs="Arial"/>
          <w:i/>
          <w:iCs/>
          <w:kern w:val="0"/>
        </w:rPr>
        <w:t>Financial Public Relations.</w:t>
      </w:r>
      <w:r w:rsidRPr="00A7720A">
        <w:rPr>
          <w:rFonts w:ascii="Arial" w:hAnsi="Arial" w:cs="Arial"/>
          <w:kern w:val="0"/>
        </w:rPr>
        <w:t xml:space="preserve"> Butterworth-Heinemann. Available at: https://www.perlego.com/book/1898762. (Accessed: 26 June 2026).</w:t>
      </w:r>
    </w:p>
    <w:p w14:paraId="3AAF91C8" w14:textId="77777777" w:rsidR="00A7720A" w:rsidRPr="00A7720A" w:rsidRDefault="00A7720A" w:rsidP="00A7720A">
      <w:pPr>
        <w:spacing w:before="240" w:after="210" w:line="360" w:lineRule="auto"/>
        <w:jc w:val="both"/>
        <w:rPr>
          <w:rFonts w:ascii="Arial" w:hAnsi="Arial" w:cs="Arial"/>
        </w:rPr>
      </w:pPr>
      <w:r w:rsidRPr="00A7720A">
        <w:rPr>
          <w:rFonts w:ascii="Arial" w:eastAsia="source serif 4" w:hAnsi="Arial" w:cs="Arial"/>
          <w:color w:val="000000"/>
        </w:rPr>
        <w:t xml:space="preserve">Companies House (2026) </w:t>
      </w:r>
      <w:r w:rsidRPr="00A7720A">
        <w:rPr>
          <w:rFonts w:ascii="Arial" w:eastAsia="source serif 4" w:hAnsi="Arial" w:cs="Arial"/>
          <w:i/>
          <w:color w:val="000000"/>
        </w:rPr>
        <w:t>TESCO PLC filing history</w:t>
      </w:r>
      <w:r w:rsidRPr="00A7720A">
        <w:rPr>
          <w:rFonts w:ascii="Arial" w:eastAsia="source serif 4" w:hAnsi="Arial" w:cs="Arial"/>
          <w:color w:val="000000"/>
        </w:rPr>
        <w:t xml:space="preserve">. Available at: </w:t>
      </w:r>
      <w:hyperlink r:id="rId8">
        <w:r w:rsidRPr="00A7720A">
          <w:rPr>
            <w:rFonts w:ascii="Arial" w:eastAsia="source sans 3" w:hAnsi="Arial" w:cs="Arial"/>
            <w:u w:val="single"/>
          </w:rPr>
          <w:t>https://find-and-update.company-information.service.gov.uk/company/00445790/filing-history</w:t>
        </w:r>
      </w:hyperlink>
      <w:r w:rsidRPr="00A7720A">
        <w:rPr>
          <w:rFonts w:ascii="Arial" w:eastAsia="source serif 4" w:hAnsi="Arial" w:cs="Arial"/>
          <w:color w:val="000000"/>
        </w:rPr>
        <w:t xml:space="preserve"> (Accessed: 15 July 2026).</w:t>
      </w:r>
    </w:p>
    <w:p w14:paraId="7C7875D3" w14:textId="77777777" w:rsidR="00A7720A" w:rsidRPr="00A7720A" w:rsidRDefault="00A7720A" w:rsidP="00A7720A">
      <w:pPr>
        <w:spacing w:before="240" w:after="210" w:line="360" w:lineRule="auto"/>
        <w:jc w:val="both"/>
        <w:rPr>
          <w:rFonts w:ascii="Arial" w:hAnsi="Arial" w:cs="Arial"/>
        </w:rPr>
      </w:pPr>
      <w:proofErr w:type="spellStart"/>
      <w:r w:rsidRPr="00A7720A">
        <w:rPr>
          <w:rFonts w:ascii="Arial" w:eastAsia="source serif 4" w:hAnsi="Arial" w:cs="Arial"/>
          <w:color w:val="000000"/>
        </w:rPr>
        <w:t>Eldenburg</w:t>
      </w:r>
      <w:proofErr w:type="spellEnd"/>
      <w:r w:rsidRPr="00A7720A">
        <w:rPr>
          <w:rFonts w:ascii="Arial" w:eastAsia="source serif 4" w:hAnsi="Arial" w:cs="Arial"/>
          <w:color w:val="000000"/>
        </w:rPr>
        <w:t xml:space="preserve">, L., Brooks, A., Oliver, J. and Vesty, G. (2020) </w:t>
      </w:r>
      <w:r w:rsidRPr="00A7720A">
        <w:rPr>
          <w:rFonts w:ascii="Arial" w:eastAsia="source serif 4" w:hAnsi="Arial" w:cs="Arial"/>
          <w:i/>
          <w:color w:val="000000"/>
        </w:rPr>
        <w:t>Managerial Accounting</w:t>
      </w:r>
      <w:r w:rsidRPr="00A7720A">
        <w:rPr>
          <w:rFonts w:ascii="Arial" w:eastAsia="source serif 4" w:hAnsi="Arial" w:cs="Arial"/>
          <w:color w:val="000000"/>
        </w:rPr>
        <w:t xml:space="preserve">. 4th </w:t>
      </w:r>
      <w:proofErr w:type="spellStart"/>
      <w:r w:rsidRPr="00A7720A">
        <w:rPr>
          <w:rFonts w:ascii="Arial" w:eastAsia="source serif 4" w:hAnsi="Arial" w:cs="Arial"/>
          <w:color w:val="000000"/>
        </w:rPr>
        <w:t>edn</w:t>
      </w:r>
      <w:proofErr w:type="spellEnd"/>
      <w:r w:rsidRPr="00A7720A">
        <w:rPr>
          <w:rFonts w:ascii="Arial" w:eastAsia="source serif 4" w:hAnsi="Arial" w:cs="Arial"/>
          <w:color w:val="000000"/>
        </w:rPr>
        <w:t>. Milton, Qld: John Wiley &amp; Sons Australia.</w:t>
      </w:r>
    </w:p>
    <w:p w14:paraId="344D2D7E" w14:textId="77777777" w:rsidR="00A7720A" w:rsidRPr="00A7720A" w:rsidRDefault="00A7720A" w:rsidP="00A7720A">
      <w:pPr>
        <w:spacing w:before="240" w:after="210" w:line="360" w:lineRule="auto"/>
        <w:jc w:val="both"/>
        <w:rPr>
          <w:rFonts w:ascii="Arial" w:hAnsi="Arial" w:cs="Arial"/>
        </w:rPr>
      </w:pPr>
      <w:r w:rsidRPr="00A7720A">
        <w:rPr>
          <w:rFonts w:ascii="Arial" w:eastAsia="source serif 4" w:hAnsi="Arial" w:cs="Arial"/>
          <w:color w:val="000000"/>
        </w:rPr>
        <w:t xml:space="preserve">Google Finance (2026) </w:t>
      </w:r>
      <w:r w:rsidRPr="00A7720A">
        <w:rPr>
          <w:rFonts w:ascii="Arial" w:eastAsia="source serif 4" w:hAnsi="Arial" w:cs="Arial"/>
          <w:i/>
          <w:color w:val="000000"/>
        </w:rPr>
        <w:t>Tesco PLC (TSCO) Stock Price &amp; News</w:t>
      </w:r>
      <w:r w:rsidRPr="00A7720A">
        <w:rPr>
          <w:rFonts w:ascii="Arial" w:eastAsia="source serif 4" w:hAnsi="Arial" w:cs="Arial"/>
          <w:color w:val="000000"/>
        </w:rPr>
        <w:t xml:space="preserve">. Available at: </w:t>
      </w:r>
      <w:hyperlink r:id="rId9">
        <w:r w:rsidRPr="00A7720A">
          <w:rPr>
            <w:rFonts w:ascii="Arial" w:eastAsia="source sans 3" w:hAnsi="Arial" w:cs="Arial"/>
            <w:u w:val="single"/>
          </w:rPr>
          <w:t>https://www.google.com/finance/quote/TSCO:LON</w:t>
        </w:r>
      </w:hyperlink>
      <w:r w:rsidRPr="00A7720A">
        <w:rPr>
          <w:rFonts w:ascii="Arial" w:eastAsia="source serif 4" w:hAnsi="Arial" w:cs="Arial"/>
          <w:color w:val="000000"/>
        </w:rPr>
        <w:t xml:space="preserve"> (Accessed: 16 July 2026).</w:t>
      </w:r>
    </w:p>
    <w:p w14:paraId="0FD70EC5" w14:textId="77777777" w:rsidR="00A7720A" w:rsidRPr="00A7720A" w:rsidRDefault="00A7720A" w:rsidP="00A7720A">
      <w:pPr>
        <w:spacing w:before="240" w:after="210" w:line="360" w:lineRule="auto"/>
        <w:jc w:val="both"/>
        <w:rPr>
          <w:rFonts w:ascii="Arial" w:hAnsi="Arial" w:cs="Arial"/>
        </w:rPr>
      </w:pPr>
      <w:r w:rsidRPr="00A7720A">
        <w:rPr>
          <w:rFonts w:ascii="Arial" w:eastAsia="source serif 4" w:hAnsi="Arial" w:cs="Arial"/>
          <w:color w:val="000000"/>
        </w:rPr>
        <w:t xml:space="preserve">Hilton, R.W. and Platt, D.E. (2021) </w:t>
      </w:r>
      <w:r w:rsidRPr="00A7720A">
        <w:rPr>
          <w:rFonts w:ascii="Arial" w:eastAsia="source serif 4" w:hAnsi="Arial" w:cs="Arial"/>
          <w:i/>
          <w:color w:val="000000"/>
        </w:rPr>
        <w:t>Managerial Accounting</w:t>
      </w:r>
      <w:r w:rsidRPr="00A7720A">
        <w:rPr>
          <w:rFonts w:ascii="Arial" w:eastAsia="source serif 4" w:hAnsi="Arial" w:cs="Arial"/>
          <w:color w:val="000000"/>
        </w:rPr>
        <w:t xml:space="preserve">. 13th </w:t>
      </w:r>
      <w:proofErr w:type="spellStart"/>
      <w:r w:rsidRPr="00A7720A">
        <w:rPr>
          <w:rFonts w:ascii="Arial" w:eastAsia="source serif 4" w:hAnsi="Arial" w:cs="Arial"/>
          <w:color w:val="000000"/>
        </w:rPr>
        <w:t>edn</w:t>
      </w:r>
      <w:proofErr w:type="spellEnd"/>
      <w:r w:rsidRPr="00A7720A">
        <w:rPr>
          <w:rFonts w:ascii="Arial" w:eastAsia="source serif 4" w:hAnsi="Arial" w:cs="Arial"/>
          <w:color w:val="000000"/>
        </w:rPr>
        <w:t>. New York: McGraw-Hill Education.</w:t>
      </w:r>
    </w:p>
    <w:p w14:paraId="485E66CB" w14:textId="77777777" w:rsidR="00A7720A" w:rsidRPr="00A7720A" w:rsidRDefault="00A7720A" w:rsidP="00A7720A">
      <w:pPr>
        <w:autoSpaceDE w:val="0"/>
        <w:autoSpaceDN w:val="0"/>
        <w:adjustRightInd w:val="0"/>
        <w:spacing w:before="240" w:line="360" w:lineRule="auto"/>
        <w:jc w:val="both"/>
        <w:rPr>
          <w:rFonts w:ascii="Arial" w:hAnsi="Arial" w:cs="Arial"/>
          <w:kern w:val="0"/>
        </w:rPr>
      </w:pPr>
      <w:r w:rsidRPr="00A7720A">
        <w:rPr>
          <w:rFonts w:ascii="Arial" w:hAnsi="Arial" w:cs="Arial"/>
          <w:kern w:val="0"/>
        </w:rPr>
        <w:t xml:space="preserve">London Stock Exchange (2026) </w:t>
      </w:r>
      <w:r w:rsidRPr="00A7720A">
        <w:rPr>
          <w:rFonts w:ascii="Arial" w:hAnsi="Arial" w:cs="Arial"/>
          <w:i/>
          <w:iCs/>
          <w:kern w:val="0"/>
        </w:rPr>
        <w:t>Tesco PLC.</w:t>
      </w:r>
      <w:r w:rsidRPr="00A7720A">
        <w:rPr>
          <w:rFonts w:ascii="Arial" w:hAnsi="Arial" w:cs="Arial"/>
          <w:kern w:val="0"/>
        </w:rPr>
        <w:t xml:space="preserve"> Available at: </w:t>
      </w:r>
      <w:hyperlink r:id="rId10" w:history="1">
        <w:r w:rsidRPr="00A7720A">
          <w:rPr>
            <w:rFonts w:ascii="Arial" w:hAnsi="Arial" w:cs="Arial"/>
            <w:kern w:val="0"/>
          </w:rPr>
          <w:t>https://www.londonstockexchange.com/stock/TSCO/tesco-plc/company-page</w:t>
        </w:r>
      </w:hyperlink>
      <w:r w:rsidRPr="00A7720A">
        <w:rPr>
          <w:rFonts w:ascii="Arial" w:hAnsi="Arial" w:cs="Arial"/>
          <w:kern w:val="0"/>
        </w:rPr>
        <w:t>. (Accessed: 26 June 2026).</w:t>
      </w:r>
    </w:p>
    <w:p w14:paraId="689A61AB" w14:textId="77777777" w:rsidR="00A7720A" w:rsidRPr="00A7720A" w:rsidRDefault="00A7720A" w:rsidP="00A7720A">
      <w:pPr>
        <w:spacing w:before="240" w:after="210" w:line="360" w:lineRule="auto"/>
        <w:jc w:val="both"/>
        <w:rPr>
          <w:rFonts w:ascii="Arial" w:hAnsi="Arial" w:cs="Arial"/>
        </w:rPr>
      </w:pPr>
      <w:r w:rsidRPr="00A7720A">
        <w:rPr>
          <w:rFonts w:ascii="Arial" w:eastAsia="source serif 4" w:hAnsi="Arial" w:cs="Arial"/>
          <w:color w:val="000000"/>
        </w:rPr>
        <w:t xml:space="preserve">Sustainability Reports (2026) </w:t>
      </w:r>
      <w:r w:rsidRPr="00A7720A">
        <w:rPr>
          <w:rFonts w:ascii="Arial" w:eastAsia="source serif 4" w:hAnsi="Arial" w:cs="Arial"/>
          <w:i/>
          <w:color w:val="000000"/>
        </w:rPr>
        <w:t>Tesco PLC 2026 Annual Report with Sustainability Disclosures</w:t>
      </w:r>
      <w:r w:rsidRPr="00A7720A">
        <w:rPr>
          <w:rFonts w:ascii="Arial" w:eastAsia="source serif 4" w:hAnsi="Arial" w:cs="Arial"/>
          <w:color w:val="000000"/>
        </w:rPr>
        <w:t xml:space="preserve">. Available at: </w:t>
      </w:r>
      <w:hyperlink r:id="rId11">
        <w:r w:rsidRPr="00A7720A">
          <w:rPr>
            <w:rFonts w:ascii="Arial" w:eastAsia="source sans 3" w:hAnsi="Arial" w:cs="Arial"/>
            <w:u w:val="single"/>
          </w:rPr>
          <w:t>https://www.sustainabilityreports.com/tesco/2026/annual-report-and-financial-statements</w:t>
        </w:r>
      </w:hyperlink>
      <w:r w:rsidRPr="00A7720A">
        <w:rPr>
          <w:rFonts w:ascii="Arial" w:eastAsia="source serif 4" w:hAnsi="Arial" w:cs="Arial"/>
          <w:color w:val="000000"/>
        </w:rPr>
        <w:t xml:space="preserve"> (Accessed: 15 July 2026).</w:t>
      </w:r>
    </w:p>
    <w:p w14:paraId="05A1DADB" w14:textId="77777777" w:rsidR="00A7720A" w:rsidRPr="00A7720A" w:rsidRDefault="00A7720A" w:rsidP="00A7720A">
      <w:pPr>
        <w:spacing w:before="240" w:after="210" w:line="360" w:lineRule="auto"/>
        <w:jc w:val="both"/>
        <w:rPr>
          <w:rFonts w:ascii="Arial" w:hAnsi="Arial" w:cs="Arial"/>
        </w:rPr>
      </w:pPr>
      <w:r w:rsidRPr="00A7720A">
        <w:rPr>
          <w:rFonts w:ascii="Arial" w:eastAsia="source serif 4" w:hAnsi="Arial" w:cs="Arial"/>
          <w:color w:val="000000"/>
        </w:rPr>
        <w:t xml:space="preserve">Tesco PLC (2026a) </w:t>
      </w:r>
      <w:r w:rsidRPr="00A7720A">
        <w:rPr>
          <w:rFonts w:ascii="Arial" w:eastAsia="source serif 4" w:hAnsi="Arial" w:cs="Arial"/>
          <w:i/>
          <w:color w:val="000000"/>
        </w:rPr>
        <w:t>Annual Report 2026</w:t>
      </w:r>
      <w:r w:rsidRPr="00A7720A">
        <w:rPr>
          <w:rFonts w:ascii="Arial" w:eastAsia="source serif 4" w:hAnsi="Arial" w:cs="Arial"/>
          <w:color w:val="000000"/>
        </w:rPr>
        <w:t xml:space="preserve">. Available at: </w:t>
      </w:r>
      <w:hyperlink r:id="rId12">
        <w:r w:rsidRPr="00A7720A">
          <w:rPr>
            <w:rFonts w:ascii="Arial" w:eastAsia="source sans 3" w:hAnsi="Arial" w:cs="Arial"/>
            <w:u w:val="single"/>
          </w:rPr>
          <w:t>https://www.tescoplc.com/investors/reports-results-and-presentations/annual-report-2026</w:t>
        </w:r>
      </w:hyperlink>
      <w:r w:rsidRPr="00A7720A">
        <w:rPr>
          <w:rFonts w:ascii="Arial" w:eastAsia="source serif 4" w:hAnsi="Arial" w:cs="Arial"/>
          <w:color w:val="000000"/>
        </w:rPr>
        <w:t xml:space="preserve"> (Accessed: 15 July 2026).</w:t>
      </w:r>
    </w:p>
    <w:p w14:paraId="2D55AF18" w14:textId="77777777" w:rsidR="00A7720A" w:rsidRPr="00A7720A" w:rsidRDefault="00A7720A" w:rsidP="00A7720A">
      <w:pPr>
        <w:spacing w:before="240" w:after="210" w:line="360" w:lineRule="auto"/>
        <w:jc w:val="both"/>
        <w:rPr>
          <w:rFonts w:ascii="Arial" w:hAnsi="Arial" w:cs="Arial"/>
        </w:rPr>
      </w:pPr>
      <w:r w:rsidRPr="00A7720A">
        <w:rPr>
          <w:rFonts w:ascii="Arial" w:eastAsia="source serif 4" w:hAnsi="Arial" w:cs="Arial"/>
          <w:color w:val="000000"/>
        </w:rPr>
        <w:lastRenderedPageBreak/>
        <w:t xml:space="preserve">Tesco PLC (2026b) </w:t>
      </w:r>
      <w:r w:rsidRPr="00A7720A">
        <w:rPr>
          <w:rFonts w:ascii="Arial" w:eastAsia="source serif 4" w:hAnsi="Arial" w:cs="Arial"/>
          <w:i/>
          <w:color w:val="000000"/>
        </w:rPr>
        <w:t>Tesco PLC Annual Report and Financial Statements 2026</w:t>
      </w:r>
      <w:r w:rsidRPr="00A7720A">
        <w:rPr>
          <w:rFonts w:ascii="Arial" w:eastAsia="source serif 4" w:hAnsi="Arial" w:cs="Arial"/>
          <w:color w:val="000000"/>
        </w:rPr>
        <w:t xml:space="preserve">. Available at: </w:t>
      </w:r>
      <w:hyperlink r:id="rId13">
        <w:r w:rsidRPr="00A7720A">
          <w:rPr>
            <w:rFonts w:ascii="Arial" w:eastAsia="source sans 3" w:hAnsi="Arial" w:cs="Arial"/>
            <w:u w:val="single"/>
          </w:rPr>
          <w:t>https://www.tescoplc.com/media/gmylxjfw/tesco_ar26_interactive.pdf</w:t>
        </w:r>
      </w:hyperlink>
      <w:r w:rsidRPr="00A7720A">
        <w:rPr>
          <w:rFonts w:ascii="Arial" w:eastAsia="source serif 4" w:hAnsi="Arial" w:cs="Arial"/>
          <w:color w:val="000000"/>
        </w:rPr>
        <w:t xml:space="preserve"> (Accessed: 15 July 2026).</w:t>
      </w:r>
    </w:p>
    <w:p w14:paraId="4B2AF3A6" w14:textId="77777777" w:rsidR="00A7720A" w:rsidRPr="00A7720A" w:rsidRDefault="00A7720A" w:rsidP="00A7720A">
      <w:pPr>
        <w:spacing w:before="240" w:after="210" w:line="360" w:lineRule="auto"/>
        <w:jc w:val="both"/>
        <w:rPr>
          <w:rFonts w:ascii="Arial" w:hAnsi="Arial" w:cs="Arial"/>
        </w:rPr>
      </w:pPr>
      <w:r w:rsidRPr="00A7720A">
        <w:rPr>
          <w:rFonts w:ascii="Arial" w:eastAsia="source serif 4" w:hAnsi="Arial" w:cs="Arial"/>
          <w:color w:val="000000"/>
        </w:rPr>
        <w:t xml:space="preserve">Tesco PLC (2026c) </w:t>
      </w:r>
      <w:r w:rsidRPr="00A7720A">
        <w:rPr>
          <w:rFonts w:ascii="Arial" w:eastAsia="source serif 4" w:hAnsi="Arial" w:cs="Arial"/>
          <w:i/>
          <w:color w:val="000000"/>
        </w:rPr>
        <w:t>Preliminary Results 2025/26</w:t>
      </w:r>
      <w:r w:rsidRPr="00A7720A">
        <w:rPr>
          <w:rFonts w:ascii="Arial" w:eastAsia="source serif 4" w:hAnsi="Arial" w:cs="Arial"/>
          <w:color w:val="000000"/>
        </w:rPr>
        <w:t xml:space="preserve">. Available at: </w:t>
      </w:r>
      <w:hyperlink r:id="rId14">
        <w:r w:rsidRPr="00A7720A">
          <w:rPr>
            <w:rFonts w:ascii="Arial" w:eastAsia="source sans 3" w:hAnsi="Arial" w:cs="Arial"/>
            <w:u w:val="single"/>
          </w:rPr>
          <w:t>https://www.tescoplc.com/media/ch1fbgss/tesco-plc-preliminary-results-statement-fy26.pdf</w:t>
        </w:r>
      </w:hyperlink>
      <w:r w:rsidRPr="00A7720A">
        <w:rPr>
          <w:rFonts w:ascii="Arial" w:eastAsia="source serif 4" w:hAnsi="Arial" w:cs="Arial"/>
          <w:color w:val="000000"/>
        </w:rPr>
        <w:t xml:space="preserve"> (Accessed: 15 July 2026).</w:t>
      </w:r>
    </w:p>
    <w:p w14:paraId="49D20F88" w14:textId="77777777" w:rsidR="00A7720A" w:rsidRPr="00A7720A" w:rsidRDefault="00A7720A" w:rsidP="00A7720A">
      <w:pPr>
        <w:spacing w:before="240" w:after="210" w:line="360" w:lineRule="auto"/>
        <w:jc w:val="both"/>
        <w:rPr>
          <w:rFonts w:ascii="Arial" w:hAnsi="Arial" w:cs="Arial"/>
        </w:rPr>
      </w:pPr>
      <w:r w:rsidRPr="00A7720A">
        <w:rPr>
          <w:rFonts w:ascii="Arial" w:eastAsia="source serif 4" w:hAnsi="Arial" w:cs="Arial"/>
          <w:color w:val="000000"/>
        </w:rPr>
        <w:t xml:space="preserve">Tesco PLC (2026d) </w:t>
      </w:r>
      <w:r w:rsidRPr="00A7720A">
        <w:rPr>
          <w:rFonts w:ascii="Arial" w:eastAsia="source serif 4" w:hAnsi="Arial" w:cs="Arial"/>
          <w:i/>
          <w:color w:val="000000"/>
        </w:rPr>
        <w:t>Sustainability Report 2026</w:t>
      </w:r>
      <w:r w:rsidRPr="00A7720A">
        <w:rPr>
          <w:rFonts w:ascii="Arial" w:eastAsia="source serif 4" w:hAnsi="Arial" w:cs="Arial"/>
          <w:color w:val="000000"/>
        </w:rPr>
        <w:t xml:space="preserve">. Available at: </w:t>
      </w:r>
      <w:hyperlink r:id="rId15">
        <w:r w:rsidRPr="00A7720A">
          <w:rPr>
            <w:rFonts w:ascii="Arial" w:eastAsia="source sans 3" w:hAnsi="Arial" w:cs="Arial"/>
            <w:u w:val="single"/>
          </w:rPr>
          <w:t>https://www.tescoplc.com/media/yjmlhji0/tesco-sustainability-report-2026.pdf</w:t>
        </w:r>
      </w:hyperlink>
      <w:r w:rsidRPr="00A7720A">
        <w:rPr>
          <w:rFonts w:ascii="Arial" w:eastAsia="source serif 4" w:hAnsi="Arial" w:cs="Arial"/>
          <w:color w:val="000000"/>
        </w:rPr>
        <w:t xml:space="preserve"> ((Accessed: 15 July 2026).</w:t>
      </w:r>
    </w:p>
    <w:p w14:paraId="1AAAA149" w14:textId="77777777" w:rsidR="00A7720A" w:rsidRPr="00A7720A" w:rsidRDefault="00A7720A" w:rsidP="00A7720A">
      <w:pPr>
        <w:spacing w:before="240" w:after="210" w:line="360" w:lineRule="auto"/>
        <w:jc w:val="both"/>
        <w:rPr>
          <w:rFonts w:ascii="Arial" w:hAnsi="Arial" w:cs="Arial"/>
        </w:rPr>
      </w:pPr>
      <w:r w:rsidRPr="00A7720A">
        <w:rPr>
          <w:rFonts w:ascii="Arial" w:eastAsia="source serif 4" w:hAnsi="Arial" w:cs="Arial"/>
          <w:color w:val="000000"/>
        </w:rPr>
        <w:t xml:space="preserve">Tesco PLC (2026e) </w:t>
      </w:r>
      <w:r w:rsidRPr="00A7720A">
        <w:rPr>
          <w:rFonts w:ascii="Arial" w:eastAsia="source serif 4" w:hAnsi="Arial" w:cs="Arial"/>
          <w:i/>
          <w:color w:val="000000"/>
        </w:rPr>
        <w:t>Tesco PLC Sustainability Report 2026</w:t>
      </w:r>
      <w:r w:rsidRPr="00A7720A">
        <w:rPr>
          <w:rFonts w:ascii="Arial" w:eastAsia="source serif 4" w:hAnsi="Arial" w:cs="Arial"/>
          <w:color w:val="000000"/>
        </w:rPr>
        <w:t xml:space="preserve">. Available at: </w:t>
      </w:r>
      <w:hyperlink r:id="rId16">
        <w:r w:rsidRPr="00A7720A">
          <w:rPr>
            <w:rFonts w:ascii="Arial" w:eastAsia="source sans 3" w:hAnsi="Arial" w:cs="Arial"/>
            <w:u w:val="single"/>
          </w:rPr>
          <w:t>https://www.tescoplc.com/sustainability-report-2026</w:t>
        </w:r>
      </w:hyperlink>
      <w:r w:rsidRPr="00A7720A">
        <w:rPr>
          <w:rFonts w:ascii="Arial" w:eastAsia="source serif 4" w:hAnsi="Arial" w:cs="Arial"/>
          <w:color w:val="000000"/>
        </w:rPr>
        <w:t xml:space="preserve"> (Accessed: 15 July 2026).</w:t>
      </w:r>
    </w:p>
    <w:p w14:paraId="1EFA2EEF" w14:textId="77777777" w:rsidR="00A7720A" w:rsidRPr="00A7720A" w:rsidRDefault="00A7720A" w:rsidP="00A7720A">
      <w:pPr>
        <w:spacing w:before="240" w:after="210" w:line="360" w:lineRule="auto"/>
        <w:jc w:val="both"/>
        <w:rPr>
          <w:rFonts w:ascii="Arial" w:hAnsi="Arial" w:cs="Arial"/>
        </w:rPr>
      </w:pPr>
      <w:r w:rsidRPr="00A7720A">
        <w:rPr>
          <w:rFonts w:ascii="Arial" w:eastAsia="source serif 4" w:hAnsi="Arial" w:cs="Arial"/>
          <w:color w:val="000000"/>
        </w:rPr>
        <w:t xml:space="preserve">Yahoo Finance (2026a) </w:t>
      </w:r>
      <w:r w:rsidRPr="00A7720A">
        <w:rPr>
          <w:rFonts w:ascii="Arial" w:eastAsia="source serif 4" w:hAnsi="Arial" w:cs="Arial"/>
          <w:i/>
          <w:color w:val="000000"/>
        </w:rPr>
        <w:t>Tesco PLC (TSCO.L) valuation measures and financial statistics</w:t>
      </w:r>
      <w:r w:rsidRPr="00A7720A">
        <w:rPr>
          <w:rFonts w:ascii="Arial" w:eastAsia="source serif 4" w:hAnsi="Arial" w:cs="Arial"/>
          <w:color w:val="000000"/>
        </w:rPr>
        <w:t xml:space="preserve">. Available at: </w:t>
      </w:r>
      <w:hyperlink r:id="rId17">
        <w:r w:rsidRPr="00A7720A">
          <w:rPr>
            <w:rFonts w:ascii="Arial" w:eastAsia="source sans 3" w:hAnsi="Arial" w:cs="Arial"/>
            <w:u w:val="single"/>
          </w:rPr>
          <w:t>https://uk.finance.yahoo.com/quote/TSCO.L/key-statistics/</w:t>
        </w:r>
      </w:hyperlink>
      <w:r w:rsidRPr="00A7720A">
        <w:rPr>
          <w:rFonts w:ascii="Arial" w:eastAsia="source serif 4" w:hAnsi="Arial" w:cs="Arial"/>
          <w:color w:val="000000"/>
        </w:rPr>
        <w:t xml:space="preserve"> (Accessed: 16 July 2026).</w:t>
      </w:r>
    </w:p>
    <w:p w14:paraId="7EE75040" w14:textId="77777777" w:rsidR="00A7720A" w:rsidRPr="00A7720A" w:rsidRDefault="00A7720A" w:rsidP="00A7720A">
      <w:pPr>
        <w:spacing w:before="240" w:after="210" w:line="360" w:lineRule="auto"/>
        <w:jc w:val="both"/>
        <w:rPr>
          <w:rFonts w:ascii="Arial" w:hAnsi="Arial" w:cs="Arial"/>
        </w:rPr>
      </w:pPr>
      <w:r w:rsidRPr="00A7720A">
        <w:rPr>
          <w:rFonts w:ascii="Arial" w:eastAsia="source serif 4" w:hAnsi="Arial" w:cs="Arial"/>
          <w:color w:val="000000"/>
        </w:rPr>
        <w:t xml:space="preserve">Yahoo Finance (2026b) </w:t>
      </w:r>
      <w:r w:rsidRPr="00A7720A">
        <w:rPr>
          <w:rFonts w:ascii="Arial" w:eastAsia="source serif 4" w:hAnsi="Arial" w:cs="Arial"/>
          <w:i/>
          <w:color w:val="000000"/>
        </w:rPr>
        <w:t>Tesco PLC (TSCO.L) income statement</w:t>
      </w:r>
      <w:r w:rsidRPr="00A7720A">
        <w:rPr>
          <w:rFonts w:ascii="Arial" w:eastAsia="source serif 4" w:hAnsi="Arial" w:cs="Arial"/>
          <w:color w:val="000000"/>
        </w:rPr>
        <w:t xml:space="preserve">. Available at: </w:t>
      </w:r>
      <w:hyperlink r:id="rId18">
        <w:r w:rsidRPr="00A7720A">
          <w:rPr>
            <w:rFonts w:ascii="Arial" w:eastAsia="source sans 3" w:hAnsi="Arial" w:cs="Arial"/>
            <w:u w:val="single"/>
          </w:rPr>
          <w:t>https://sg.finance.yahoo.com/quote/TSCO.L/financials/</w:t>
        </w:r>
      </w:hyperlink>
      <w:r w:rsidRPr="00A7720A">
        <w:rPr>
          <w:rFonts w:ascii="Arial" w:eastAsia="source serif 4" w:hAnsi="Arial" w:cs="Arial"/>
          <w:color w:val="000000"/>
        </w:rPr>
        <w:t xml:space="preserve"> (Accessed: 16 July 2026).</w:t>
      </w:r>
    </w:p>
    <w:sectPr w:rsidR="00A7720A" w:rsidRPr="00A7720A" w:rsidSect="00DF5E9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erif 4">
    <w:altName w:val="Cambria"/>
    <w:charset w:val="00"/>
    <w:family w:val="roman"/>
    <w:pitch w:val="default"/>
  </w:font>
  <w:font w:name="source sans 3">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FD4176"/>
    <w:multiLevelType w:val="hybridMultilevel"/>
    <w:tmpl w:val="41A60A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6615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E96"/>
    <w:rsid w:val="00187CE5"/>
    <w:rsid w:val="00336AFD"/>
    <w:rsid w:val="004A7386"/>
    <w:rsid w:val="004F0064"/>
    <w:rsid w:val="005114E5"/>
    <w:rsid w:val="00602D80"/>
    <w:rsid w:val="006A511E"/>
    <w:rsid w:val="00A7720A"/>
    <w:rsid w:val="00BA4162"/>
    <w:rsid w:val="00C42469"/>
    <w:rsid w:val="00C825A6"/>
    <w:rsid w:val="00D006CD"/>
    <w:rsid w:val="00DF5E96"/>
    <w:rsid w:val="00E71AA9"/>
    <w:rsid w:val="00EE3AC0"/>
    <w:rsid w:val="00FA4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184D4"/>
  <w15:chartTrackingRefBased/>
  <w15:docId w15:val="{41BB6ABC-D8D6-714F-AC8A-5AE475E8E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5E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5E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5E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5E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5E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5E9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5E9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5E9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5E9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E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5E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5E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5E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5E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5E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5E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5E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5E96"/>
    <w:rPr>
      <w:rFonts w:eastAsiaTheme="majorEastAsia" w:cstheme="majorBidi"/>
      <w:color w:val="272727" w:themeColor="text1" w:themeTint="D8"/>
    </w:rPr>
  </w:style>
  <w:style w:type="paragraph" w:styleId="Title">
    <w:name w:val="Title"/>
    <w:basedOn w:val="Normal"/>
    <w:next w:val="Normal"/>
    <w:link w:val="TitleChar"/>
    <w:uiPriority w:val="10"/>
    <w:qFormat/>
    <w:rsid w:val="00DF5E9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5E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5E9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5E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5E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F5E96"/>
    <w:rPr>
      <w:i/>
      <w:iCs/>
      <w:color w:val="404040" w:themeColor="text1" w:themeTint="BF"/>
    </w:rPr>
  </w:style>
  <w:style w:type="paragraph" w:styleId="ListParagraph">
    <w:name w:val="List Paragraph"/>
    <w:basedOn w:val="Normal"/>
    <w:uiPriority w:val="34"/>
    <w:qFormat/>
    <w:rsid w:val="00DF5E96"/>
    <w:pPr>
      <w:ind w:left="720"/>
      <w:contextualSpacing/>
    </w:pPr>
  </w:style>
  <w:style w:type="character" w:styleId="IntenseEmphasis">
    <w:name w:val="Intense Emphasis"/>
    <w:basedOn w:val="DefaultParagraphFont"/>
    <w:uiPriority w:val="21"/>
    <w:qFormat/>
    <w:rsid w:val="00DF5E96"/>
    <w:rPr>
      <w:i/>
      <w:iCs/>
      <w:color w:val="0F4761" w:themeColor="accent1" w:themeShade="BF"/>
    </w:rPr>
  </w:style>
  <w:style w:type="paragraph" w:styleId="IntenseQuote">
    <w:name w:val="Intense Quote"/>
    <w:basedOn w:val="Normal"/>
    <w:next w:val="Normal"/>
    <w:link w:val="IntenseQuoteChar"/>
    <w:uiPriority w:val="30"/>
    <w:qFormat/>
    <w:rsid w:val="00DF5E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5E96"/>
    <w:rPr>
      <w:i/>
      <w:iCs/>
      <w:color w:val="0F4761" w:themeColor="accent1" w:themeShade="BF"/>
    </w:rPr>
  </w:style>
  <w:style w:type="character" w:styleId="IntenseReference">
    <w:name w:val="Intense Reference"/>
    <w:basedOn w:val="DefaultParagraphFont"/>
    <w:uiPriority w:val="32"/>
    <w:qFormat/>
    <w:rsid w:val="00DF5E96"/>
    <w:rPr>
      <w:b/>
      <w:bCs/>
      <w:smallCaps/>
      <w:color w:val="0F4761" w:themeColor="accent1" w:themeShade="BF"/>
      <w:spacing w:val="5"/>
    </w:rPr>
  </w:style>
  <w:style w:type="paragraph" w:styleId="NoSpacing">
    <w:name w:val="No Spacing"/>
    <w:link w:val="NoSpacingChar"/>
    <w:uiPriority w:val="1"/>
    <w:qFormat/>
    <w:rsid w:val="00DF5E9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F5E96"/>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DF5E9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F5E96"/>
    <w:pPr>
      <w:spacing w:before="120" w:after="120"/>
    </w:pPr>
    <w:rPr>
      <w:b/>
      <w:bCs/>
      <w:caps/>
      <w:sz w:val="20"/>
      <w:szCs w:val="20"/>
    </w:rPr>
  </w:style>
  <w:style w:type="paragraph" w:styleId="TOC2">
    <w:name w:val="toc 2"/>
    <w:basedOn w:val="Normal"/>
    <w:next w:val="Normal"/>
    <w:autoRedefine/>
    <w:uiPriority w:val="39"/>
    <w:semiHidden/>
    <w:unhideWhenUsed/>
    <w:rsid w:val="00DF5E96"/>
    <w:pPr>
      <w:ind w:left="240"/>
    </w:pPr>
    <w:rPr>
      <w:smallCaps/>
      <w:sz w:val="20"/>
      <w:szCs w:val="20"/>
    </w:rPr>
  </w:style>
  <w:style w:type="paragraph" w:styleId="TOC3">
    <w:name w:val="toc 3"/>
    <w:basedOn w:val="Normal"/>
    <w:next w:val="Normal"/>
    <w:autoRedefine/>
    <w:uiPriority w:val="39"/>
    <w:semiHidden/>
    <w:unhideWhenUsed/>
    <w:rsid w:val="00DF5E96"/>
    <w:pPr>
      <w:ind w:left="480"/>
    </w:pPr>
    <w:rPr>
      <w:i/>
      <w:iCs/>
      <w:sz w:val="20"/>
      <w:szCs w:val="20"/>
    </w:rPr>
  </w:style>
  <w:style w:type="paragraph" w:styleId="TOC4">
    <w:name w:val="toc 4"/>
    <w:basedOn w:val="Normal"/>
    <w:next w:val="Normal"/>
    <w:autoRedefine/>
    <w:uiPriority w:val="39"/>
    <w:semiHidden/>
    <w:unhideWhenUsed/>
    <w:rsid w:val="00DF5E96"/>
    <w:pPr>
      <w:ind w:left="720"/>
    </w:pPr>
    <w:rPr>
      <w:sz w:val="18"/>
      <w:szCs w:val="18"/>
    </w:rPr>
  </w:style>
  <w:style w:type="paragraph" w:styleId="TOC5">
    <w:name w:val="toc 5"/>
    <w:basedOn w:val="Normal"/>
    <w:next w:val="Normal"/>
    <w:autoRedefine/>
    <w:uiPriority w:val="39"/>
    <w:semiHidden/>
    <w:unhideWhenUsed/>
    <w:rsid w:val="00DF5E96"/>
    <w:pPr>
      <w:ind w:left="960"/>
    </w:pPr>
    <w:rPr>
      <w:sz w:val="18"/>
      <w:szCs w:val="18"/>
    </w:rPr>
  </w:style>
  <w:style w:type="paragraph" w:styleId="TOC6">
    <w:name w:val="toc 6"/>
    <w:basedOn w:val="Normal"/>
    <w:next w:val="Normal"/>
    <w:autoRedefine/>
    <w:uiPriority w:val="39"/>
    <w:semiHidden/>
    <w:unhideWhenUsed/>
    <w:rsid w:val="00DF5E96"/>
    <w:pPr>
      <w:ind w:left="1200"/>
    </w:pPr>
    <w:rPr>
      <w:sz w:val="18"/>
      <w:szCs w:val="18"/>
    </w:rPr>
  </w:style>
  <w:style w:type="paragraph" w:styleId="TOC7">
    <w:name w:val="toc 7"/>
    <w:basedOn w:val="Normal"/>
    <w:next w:val="Normal"/>
    <w:autoRedefine/>
    <w:uiPriority w:val="39"/>
    <w:semiHidden/>
    <w:unhideWhenUsed/>
    <w:rsid w:val="00DF5E96"/>
    <w:pPr>
      <w:ind w:left="1440"/>
    </w:pPr>
    <w:rPr>
      <w:sz w:val="18"/>
      <w:szCs w:val="18"/>
    </w:rPr>
  </w:style>
  <w:style w:type="paragraph" w:styleId="TOC8">
    <w:name w:val="toc 8"/>
    <w:basedOn w:val="Normal"/>
    <w:next w:val="Normal"/>
    <w:autoRedefine/>
    <w:uiPriority w:val="39"/>
    <w:semiHidden/>
    <w:unhideWhenUsed/>
    <w:rsid w:val="00DF5E96"/>
    <w:pPr>
      <w:ind w:left="1680"/>
    </w:pPr>
    <w:rPr>
      <w:sz w:val="18"/>
      <w:szCs w:val="18"/>
    </w:rPr>
  </w:style>
  <w:style w:type="paragraph" w:styleId="TOC9">
    <w:name w:val="toc 9"/>
    <w:basedOn w:val="Normal"/>
    <w:next w:val="Normal"/>
    <w:autoRedefine/>
    <w:uiPriority w:val="39"/>
    <w:semiHidden/>
    <w:unhideWhenUsed/>
    <w:rsid w:val="00DF5E96"/>
    <w:pPr>
      <w:ind w:left="1920"/>
    </w:pPr>
    <w:rPr>
      <w:sz w:val="18"/>
      <w:szCs w:val="18"/>
    </w:rPr>
  </w:style>
  <w:style w:type="character" w:styleId="Hyperlink">
    <w:name w:val="Hyperlink"/>
    <w:basedOn w:val="DefaultParagraphFont"/>
    <w:uiPriority w:val="99"/>
    <w:unhideWhenUsed/>
    <w:rsid w:val="00DF5E96"/>
    <w:rPr>
      <w:color w:val="467886" w:themeColor="hyperlink"/>
      <w:u w:val="single"/>
    </w:rPr>
  </w:style>
  <w:style w:type="paragraph" w:customStyle="1" w:styleId="my-2">
    <w:name w:val="my-2"/>
    <w:basedOn w:val="Normal"/>
    <w:rsid w:val="00A7720A"/>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9327271">
      <w:bodyDiv w:val="1"/>
      <w:marLeft w:val="0"/>
      <w:marRight w:val="0"/>
      <w:marTop w:val="0"/>
      <w:marBottom w:val="0"/>
      <w:divBdr>
        <w:top w:val="none" w:sz="0" w:space="0" w:color="auto"/>
        <w:left w:val="none" w:sz="0" w:space="0" w:color="auto"/>
        <w:bottom w:val="none" w:sz="0" w:space="0" w:color="auto"/>
        <w:right w:val="none" w:sz="0" w:space="0" w:color="auto"/>
      </w:divBdr>
    </w:div>
    <w:div w:id="689339535">
      <w:bodyDiv w:val="1"/>
      <w:marLeft w:val="0"/>
      <w:marRight w:val="0"/>
      <w:marTop w:val="0"/>
      <w:marBottom w:val="0"/>
      <w:divBdr>
        <w:top w:val="none" w:sz="0" w:space="0" w:color="auto"/>
        <w:left w:val="none" w:sz="0" w:space="0" w:color="auto"/>
        <w:bottom w:val="none" w:sz="0" w:space="0" w:color="auto"/>
        <w:right w:val="none" w:sz="0" w:space="0" w:color="auto"/>
      </w:divBdr>
    </w:div>
    <w:div w:id="1427723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d-and-update.company-information.service.gov.uk/company/00445790/filing-history" TargetMode="External"/><Relationship Id="rId13" Type="http://schemas.openxmlformats.org/officeDocument/2006/relationships/hyperlink" Target="https://www.tescoplc.com/media/gmylxjfw/tesco_ar26_interactive.pdf" TargetMode="External"/><Relationship Id="rId18" Type="http://schemas.openxmlformats.org/officeDocument/2006/relationships/hyperlink" Target="https://sg.finance.yahoo.com/quote/TSCO.L/financial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escoplc.com/investors/reports-results-and-presentations/annual-report-2026" TargetMode="External"/><Relationship Id="rId17" Type="http://schemas.openxmlformats.org/officeDocument/2006/relationships/hyperlink" Target="https://uk.finance.yahoo.com/quote/TSCO.L/key-statistics/" TargetMode="External"/><Relationship Id="rId2" Type="http://schemas.openxmlformats.org/officeDocument/2006/relationships/numbering" Target="numbering.xml"/><Relationship Id="rId16" Type="http://schemas.openxmlformats.org/officeDocument/2006/relationships/hyperlink" Target="https://www.tescoplc.com/sustainability-report-202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ustainabilityreports.com/tesco/2026/annual-report-and-financial-statements" TargetMode="External"/><Relationship Id="rId5" Type="http://schemas.openxmlformats.org/officeDocument/2006/relationships/webSettings" Target="webSettings.xml"/><Relationship Id="rId15" Type="http://schemas.openxmlformats.org/officeDocument/2006/relationships/hyperlink" Target="https://www.tescoplc.com/media/yjmlhji0/tesco-sustainability-report-2026.pdf" TargetMode="External"/><Relationship Id="rId10" Type="http://schemas.openxmlformats.org/officeDocument/2006/relationships/hyperlink" Target="https://www.londonstockexchange.com/stock/TSCO/tesco-plc/company-pag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m/finance/quote/TSCO:LON" TargetMode="External"/><Relationship Id="rId14" Type="http://schemas.openxmlformats.org/officeDocument/2006/relationships/hyperlink" Target="https://www.tescoplc.com/media/ch1fbgss/tesco-plc-preliminary-results-statement-fy2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6A597-4A0C-D54F-A107-C6F698DE6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2926</Words>
  <Characters>16681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Component 1: Coursework:
Individual Report</vt:lpstr>
    </vt:vector>
  </TitlesOfParts>
  <Company/>
  <LinksUpToDate>false</LinksUpToDate>
  <CharactersWithSpaces>19568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Coursework:
Individual Report</dc:title>
  <dc:subject/>
  <dc:creator>Andra Tabaras (2335892)</dc:creator>
  <cp:keywords/>
  <dc:description/>
  <cp:lastModifiedBy>Tabaras Catalin</cp:lastModifiedBy>
  <cp:revision>2</cp:revision>
  <dcterms:created xsi:type="dcterms:W3CDTF">2026-07-18T08:22:00Z</dcterms:created>
  <dcterms:modified xsi:type="dcterms:W3CDTF">2026-07-18T08:22:00Z</dcterms:modified>
</cp:coreProperties>
</file>