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BA Education Studies: Primary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The Three </w:t>
            </w:r>
            <w:proofErr w:type="spellStart"/>
            <w:r>
              <w:rPr>
                <w:rFonts w:ascii="Arial" w:hAnsi="Arial" w:cs="Arial"/>
                <w:b/>
                <w:sz w:val="22"/>
                <w:szCs w:val="22"/>
              </w:rPr>
              <w:t>Rs</w:t>
            </w:r>
            <w:proofErr w:type="spellEnd"/>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C6194" w:rsidP="00152E9D">
            <w:pPr>
              <w:spacing w:before="120" w:after="120"/>
              <w:jc w:val="both"/>
              <w:rPr>
                <w:rFonts w:ascii="Arial" w:hAnsi="Arial" w:cs="Arial"/>
                <w:b/>
                <w:sz w:val="22"/>
                <w:szCs w:val="22"/>
              </w:rPr>
            </w:pPr>
            <w:r>
              <w:rPr>
                <w:rFonts w:ascii="Arial" w:hAnsi="Arial" w:cs="Arial"/>
                <w:b/>
                <w:sz w:val="22"/>
                <w:szCs w:val="22"/>
              </w:rPr>
              <w:t xml:space="preserve">SJEU5005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D7DAA" w:rsidP="00E51AAC">
            <w:pPr>
              <w:spacing w:before="120" w:after="120"/>
              <w:jc w:val="both"/>
              <w:rPr>
                <w:rFonts w:ascii="Arial" w:hAnsi="Arial" w:cs="Arial"/>
                <w:b/>
                <w:sz w:val="22"/>
                <w:szCs w:val="22"/>
              </w:rPr>
            </w:pPr>
            <w:r>
              <w:rPr>
                <w:rFonts w:ascii="Arial" w:hAnsi="Arial" w:cs="Arial"/>
                <w:b/>
                <w:sz w:val="22"/>
                <w:szCs w:val="22"/>
              </w:rPr>
              <w:t>3</w:t>
            </w:r>
            <w:r w:rsidR="006C6194">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Sarah Stewart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C6194" w:rsidP="00E51AAC">
            <w:pPr>
              <w:spacing w:before="120" w:after="120"/>
              <w:jc w:val="both"/>
              <w:rPr>
                <w:rFonts w:ascii="Arial" w:hAnsi="Arial" w:cs="Arial"/>
                <w:b/>
                <w:sz w:val="22"/>
                <w:szCs w:val="22"/>
              </w:rPr>
            </w:pPr>
            <w:proofErr w:type="spellStart"/>
            <w:r>
              <w:rPr>
                <w:rFonts w:ascii="Arial" w:hAnsi="Arial" w:cs="Arial"/>
                <w:b/>
                <w:sz w:val="22"/>
                <w:szCs w:val="22"/>
              </w:rPr>
              <w:t>Lynwen</w:t>
            </w:r>
            <w:proofErr w:type="spellEnd"/>
            <w:r>
              <w:rPr>
                <w:rFonts w:ascii="Arial" w:hAnsi="Arial" w:cs="Arial"/>
                <w:b/>
                <w:sz w:val="22"/>
                <w:szCs w:val="22"/>
              </w:rPr>
              <w:t xml:space="preserve"> Roberts/ Alison </w:t>
            </w:r>
            <w:proofErr w:type="spellStart"/>
            <w:r>
              <w:rPr>
                <w:rFonts w:ascii="Arial" w:hAnsi="Arial" w:cs="Arial"/>
                <w:b/>
                <w:sz w:val="22"/>
                <w:szCs w:val="22"/>
              </w:rPr>
              <w:t>Baggott</w:t>
            </w:r>
            <w:proofErr w:type="spellEnd"/>
            <w:r>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D7DAA" w:rsidP="005F0579">
            <w:pPr>
              <w:spacing w:before="120" w:after="120"/>
              <w:jc w:val="both"/>
              <w:rPr>
                <w:rFonts w:ascii="Arial" w:hAnsi="Arial" w:cs="Arial"/>
                <w:b/>
                <w:sz w:val="22"/>
                <w:szCs w:val="22"/>
              </w:rPr>
            </w:pPr>
            <w:r w:rsidRPr="007E68D2">
              <w:rPr>
                <w:rFonts w:ascii="Calibri" w:hAnsi="Calibri" w:cs="Calibri"/>
              </w:rPr>
              <w:t>Create your own A4 or A3 size resource to enhance teaching and learning of either literacy or numeracy. Provide a rationale for your resource.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D7DAA" w:rsidP="00E51AAC">
            <w:pPr>
              <w:spacing w:before="120" w:after="120"/>
              <w:jc w:val="both"/>
              <w:rPr>
                <w:rFonts w:ascii="Arial" w:hAnsi="Arial" w:cs="Arial"/>
                <w:b/>
                <w:sz w:val="22"/>
                <w:szCs w:val="22"/>
              </w:rPr>
            </w:pPr>
            <w:r>
              <w:rPr>
                <w:rFonts w:ascii="Arial" w:hAnsi="Arial" w:cs="Arial"/>
                <w:b/>
                <w:sz w:val="22"/>
                <w:szCs w:val="22"/>
              </w:rPr>
              <w:t xml:space="preserve">Equivalent to 1500 words.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D7DAA" w:rsidP="005F0579">
            <w:pPr>
              <w:spacing w:before="120" w:after="120"/>
              <w:jc w:val="both"/>
              <w:rPr>
                <w:rFonts w:ascii="Arial" w:hAnsi="Arial" w:cs="Arial"/>
                <w:b/>
                <w:sz w:val="22"/>
                <w:szCs w:val="22"/>
              </w:rPr>
            </w:pPr>
            <w:r>
              <w:rPr>
                <w:rFonts w:ascii="Arial" w:hAnsi="Arial" w:cs="Arial"/>
                <w:b/>
                <w:sz w:val="22"/>
                <w:szCs w:val="22"/>
              </w:rPr>
              <w:t>25/03/19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D7DAA" w:rsidP="005F0579">
            <w:pPr>
              <w:spacing w:before="120" w:after="120"/>
              <w:jc w:val="both"/>
              <w:rPr>
                <w:rFonts w:ascii="Arial" w:hAnsi="Arial" w:cs="Arial"/>
                <w:b/>
                <w:sz w:val="22"/>
                <w:szCs w:val="22"/>
              </w:rPr>
            </w:pPr>
            <w:r>
              <w:rPr>
                <w:rFonts w:ascii="Arial" w:hAnsi="Arial" w:cs="Arial"/>
                <w:b/>
                <w:sz w:val="22"/>
                <w:szCs w:val="22"/>
              </w:rPr>
              <w:t>14/05/19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w:t>
            </w:r>
            <w:r w:rsidR="001D7DAA">
              <w:rPr>
                <w:rFonts w:ascii="Arial" w:hAnsi="Arial" w:cs="Arial"/>
                <w:b/>
                <w:sz w:val="22"/>
                <w:szCs w:val="22"/>
              </w:rPr>
              <w:t xml:space="preserve">mission method (if applicable): Resource pack to be handed to tutor by 5pm. Rationale to be uploaded to </w:t>
            </w:r>
            <w:proofErr w:type="spellStart"/>
            <w:r w:rsidR="001D7DAA">
              <w:rPr>
                <w:rFonts w:ascii="Arial" w:hAnsi="Arial" w:cs="Arial"/>
                <w:b/>
                <w:sz w:val="22"/>
                <w:szCs w:val="22"/>
              </w:rPr>
              <w:t>Turnitin</w:t>
            </w:r>
            <w:proofErr w:type="spellEnd"/>
            <w:r w:rsidR="001D7DAA">
              <w:rPr>
                <w:rFonts w:ascii="Arial" w:hAnsi="Arial" w:cs="Arial"/>
                <w:b/>
                <w:sz w:val="22"/>
                <w:szCs w:val="22"/>
              </w:rPr>
              <w:t xml:space="preserve"> by 5pm.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03"/>
            </w:tblGrid>
            <w:tr w:rsidR="006C6194" w:rsidRPr="00230772"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Default="00C01A3F"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Pr="00A406E5" w:rsidRDefault="006C6194"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D7DAA" w:rsidRPr="001D7DAA" w:rsidRDefault="001D7DAA" w:rsidP="001D7DAA">
      <w:pPr>
        <w:textAlignment w:val="baseline"/>
        <w:rPr>
          <w:rFonts w:asciiTheme="minorHAnsi" w:hAnsiTheme="minorHAnsi" w:cstheme="minorHAnsi"/>
          <w:b/>
          <w:sz w:val="24"/>
          <w:szCs w:val="24"/>
          <w:u w:val="single"/>
        </w:rPr>
      </w:pPr>
      <w:r w:rsidRPr="001D7DAA">
        <w:rPr>
          <w:rFonts w:asciiTheme="minorHAnsi" w:hAnsiTheme="minorHAnsi" w:cstheme="minorHAnsi"/>
          <w:b/>
          <w:sz w:val="24"/>
          <w:szCs w:val="24"/>
          <w:u w:val="single"/>
        </w:rPr>
        <w:t>Assignment Guidelines</w:t>
      </w:r>
    </w:p>
    <w:p w:rsidR="001D7DAA" w:rsidRPr="001D7DAA" w:rsidRDefault="001D7DAA" w:rsidP="001D7DAA">
      <w:pPr>
        <w:textAlignment w:val="baseline"/>
        <w:rPr>
          <w:rFonts w:asciiTheme="minorHAnsi" w:hAnsiTheme="minorHAnsi" w:cstheme="minorHAnsi"/>
          <w:b/>
          <w:sz w:val="24"/>
          <w:szCs w:val="24"/>
          <w:u w:val="single"/>
        </w:rPr>
      </w:pPr>
    </w:p>
    <w:p w:rsidR="001D7DAA" w:rsidRPr="001D7DAA" w:rsidRDefault="001D7DAA" w:rsidP="001D7DAA">
      <w:pPr>
        <w:textAlignment w:val="baseline"/>
        <w:rPr>
          <w:rFonts w:asciiTheme="minorHAnsi" w:hAnsiTheme="minorHAnsi" w:cstheme="minorHAnsi"/>
          <w:sz w:val="24"/>
          <w:szCs w:val="24"/>
        </w:rPr>
      </w:pPr>
      <w:r w:rsidRPr="001D7DAA">
        <w:rPr>
          <w:rFonts w:asciiTheme="minorHAnsi" w:hAnsiTheme="minorHAnsi" w:cstheme="minorHAnsi"/>
          <w:sz w:val="24"/>
          <w:szCs w:val="24"/>
        </w:rPr>
        <w:t>You should note that there are two parts to this assignment:</w:t>
      </w:r>
    </w:p>
    <w:p w:rsidR="001D7DAA" w:rsidRPr="001D7DAA" w:rsidRDefault="001D7DAA" w:rsidP="001D7DAA">
      <w:pPr>
        <w:pStyle w:val="ListParagraph"/>
        <w:numPr>
          <w:ilvl w:val="0"/>
          <w:numId w:val="22"/>
        </w:numPr>
        <w:textAlignment w:val="baseline"/>
        <w:rPr>
          <w:rFonts w:asciiTheme="minorHAnsi" w:hAnsiTheme="minorHAnsi" w:cstheme="minorHAnsi"/>
          <w:sz w:val="24"/>
        </w:rPr>
      </w:pPr>
      <w:r w:rsidRPr="001D7DAA">
        <w:rPr>
          <w:rFonts w:asciiTheme="minorHAnsi" w:hAnsiTheme="minorHAnsi" w:cstheme="minorHAnsi"/>
          <w:sz w:val="24"/>
        </w:rPr>
        <w:t xml:space="preserve">Create your own resource to enhance teaching and learning of </w:t>
      </w:r>
      <w:r w:rsidRPr="001D7DAA">
        <w:rPr>
          <w:rFonts w:asciiTheme="minorHAnsi" w:hAnsiTheme="minorHAnsi" w:cstheme="minorHAnsi"/>
          <w:b/>
          <w:sz w:val="24"/>
          <w:u w:val="single"/>
        </w:rPr>
        <w:t>either</w:t>
      </w:r>
      <w:r w:rsidRPr="001D7DAA">
        <w:rPr>
          <w:rFonts w:asciiTheme="minorHAnsi" w:hAnsiTheme="minorHAnsi" w:cstheme="minorHAnsi"/>
          <w:sz w:val="24"/>
        </w:rPr>
        <w:t xml:space="preserve"> literacy </w:t>
      </w:r>
      <w:r w:rsidRPr="001D7DAA">
        <w:rPr>
          <w:rFonts w:asciiTheme="minorHAnsi" w:hAnsiTheme="minorHAnsi" w:cstheme="minorHAnsi"/>
          <w:b/>
          <w:sz w:val="24"/>
          <w:u w:val="single"/>
        </w:rPr>
        <w:t>or</w:t>
      </w:r>
      <w:r w:rsidRPr="001D7DAA">
        <w:rPr>
          <w:rFonts w:asciiTheme="minorHAnsi" w:hAnsiTheme="minorHAnsi" w:cstheme="minorHAnsi"/>
          <w:sz w:val="24"/>
        </w:rPr>
        <w:t xml:space="preserve"> numeracy (</w:t>
      </w:r>
      <w:r w:rsidRPr="001D7DAA">
        <w:rPr>
          <w:rFonts w:asciiTheme="minorHAnsi" w:hAnsiTheme="minorHAnsi" w:cstheme="minorHAnsi"/>
          <w:b/>
          <w:sz w:val="24"/>
        </w:rPr>
        <w:t>you should choose differently across each assignment</w:t>
      </w:r>
      <w:r w:rsidRPr="001D7DAA">
        <w:rPr>
          <w:rFonts w:asciiTheme="minorHAnsi" w:hAnsiTheme="minorHAnsi" w:cstheme="minorHAnsi"/>
          <w:sz w:val="24"/>
        </w:rPr>
        <w:t>)</w:t>
      </w:r>
    </w:p>
    <w:p w:rsidR="001D7DAA" w:rsidRPr="001D7DAA" w:rsidRDefault="001D7DAA" w:rsidP="001D7DAA">
      <w:pPr>
        <w:pStyle w:val="ListParagraph"/>
        <w:numPr>
          <w:ilvl w:val="0"/>
          <w:numId w:val="22"/>
        </w:numPr>
        <w:rPr>
          <w:rFonts w:asciiTheme="minorHAnsi" w:hAnsiTheme="minorHAnsi" w:cstheme="minorHAnsi"/>
          <w:sz w:val="24"/>
        </w:rPr>
      </w:pPr>
      <w:r w:rsidRPr="001D7DAA">
        <w:rPr>
          <w:rFonts w:asciiTheme="minorHAnsi" w:hAnsiTheme="minorHAnsi" w:cstheme="minorHAnsi"/>
          <w:sz w:val="24"/>
        </w:rPr>
        <w:t>Provide a rationale for your resource.</w:t>
      </w:r>
    </w:p>
    <w:p w:rsidR="001D7DAA" w:rsidRPr="001D7DAA" w:rsidRDefault="001D7DAA" w:rsidP="001D7DAA">
      <w:pPr>
        <w:tabs>
          <w:tab w:val="left" w:pos="-720"/>
        </w:tabs>
        <w:rPr>
          <w:rFonts w:asciiTheme="minorHAnsi" w:hAnsiTheme="minorHAnsi" w:cstheme="minorHAnsi"/>
          <w:b/>
          <w:i/>
          <w:sz w:val="24"/>
          <w:szCs w:val="24"/>
          <w:lang w:val="en-US"/>
        </w:rPr>
      </w:pPr>
    </w:p>
    <w:p w:rsidR="001D7DAA" w:rsidRPr="001D7DAA" w:rsidRDefault="001D7DAA" w:rsidP="001D7DAA">
      <w:pPr>
        <w:tabs>
          <w:tab w:val="left" w:pos="-720"/>
        </w:tabs>
        <w:rPr>
          <w:rFonts w:asciiTheme="minorHAnsi" w:hAnsiTheme="minorHAnsi" w:cstheme="minorHAnsi"/>
          <w:b/>
          <w:i/>
          <w:sz w:val="24"/>
          <w:szCs w:val="24"/>
          <w:lang w:val="en-US"/>
        </w:rPr>
      </w:pPr>
      <w:r w:rsidRPr="001D7DAA">
        <w:rPr>
          <w:rFonts w:asciiTheme="minorHAnsi" w:hAnsiTheme="minorHAnsi" w:cstheme="minorHAnsi"/>
          <w:b/>
          <w:i/>
          <w:sz w:val="24"/>
          <w:szCs w:val="24"/>
          <w:lang w:val="en-US"/>
        </w:rPr>
        <w:t>Part A</w:t>
      </w:r>
    </w:p>
    <w:p w:rsidR="001D7DAA" w:rsidRPr="001D7DAA" w:rsidRDefault="001D7DAA" w:rsidP="001D7DAA">
      <w:pPr>
        <w:tabs>
          <w:tab w:val="left" w:pos="-720"/>
        </w:tabs>
        <w:rPr>
          <w:rFonts w:asciiTheme="minorHAnsi" w:hAnsiTheme="minorHAnsi" w:cstheme="minorHAnsi"/>
          <w:b/>
          <w:i/>
          <w:sz w:val="24"/>
          <w:szCs w:val="24"/>
          <w:lang w:val="en-US"/>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Your interactive resource/activities should be created for a particular year group within the primary age rage (3-11 years).</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 xml:space="preserve">You will need to provide a sample of no less than 3 activities that can be used with this resource. For example: </w:t>
      </w:r>
    </w:p>
    <w:p w:rsidR="001D7DAA" w:rsidRPr="001D7DAA" w:rsidRDefault="001D7DAA" w:rsidP="001D7DAA">
      <w:pPr>
        <w:pStyle w:val="ListParagraph"/>
        <w:numPr>
          <w:ilvl w:val="0"/>
          <w:numId w:val="24"/>
        </w:numPr>
        <w:textAlignment w:val="baseline"/>
        <w:rPr>
          <w:rFonts w:asciiTheme="minorHAnsi" w:eastAsiaTheme="minorEastAsia" w:hAnsiTheme="minorHAnsi" w:cstheme="minorHAnsi"/>
          <w:i/>
          <w:color w:val="000000" w:themeColor="text1"/>
          <w:sz w:val="24"/>
        </w:rPr>
      </w:pPr>
      <w:r w:rsidRPr="001D7DAA">
        <w:rPr>
          <w:rFonts w:asciiTheme="minorHAnsi" w:eastAsiaTheme="minorEastAsia" w:hAnsiTheme="minorHAnsi" w:cstheme="minorHAnsi"/>
          <w:i/>
          <w:color w:val="000000" w:themeColor="text1"/>
          <w:sz w:val="24"/>
        </w:rPr>
        <w:t>If you choose a book as the focus for your interactive activity, you will need to include 3 activities that can be used as teaching and learning resources in conjunction with the book.</w:t>
      </w:r>
    </w:p>
    <w:p w:rsidR="001D7DAA" w:rsidRPr="001D7DAA" w:rsidRDefault="001D7DAA" w:rsidP="001D7DAA">
      <w:pPr>
        <w:pStyle w:val="ListParagraph"/>
        <w:numPr>
          <w:ilvl w:val="0"/>
          <w:numId w:val="24"/>
        </w:numPr>
        <w:textAlignment w:val="baseline"/>
        <w:rPr>
          <w:rFonts w:asciiTheme="minorHAnsi" w:eastAsiaTheme="minorEastAsia" w:hAnsiTheme="minorHAnsi" w:cstheme="minorHAnsi"/>
          <w:i/>
          <w:color w:val="000000" w:themeColor="text1"/>
          <w:sz w:val="24"/>
        </w:rPr>
      </w:pPr>
      <w:r w:rsidRPr="001D7DAA">
        <w:rPr>
          <w:rFonts w:asciiTheme="minorHAnsi" w:eastAsiaTheme="minorEastAsia" w:hAnsiTheme="minorHAnsi" w:cstheme="minorHAnsi"/>
          <w:i/>
          <w:color w:val="000000" w:themeColor="text1"/>
          <w:sz w:val="24"/>
        </w:rPr>
        <w:t>If you choose a numeracy game, you will need to include 3 different uses for the interactive activity as a teaching and learning resource.</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rPr>
          <w:rFonts w:asciiTheme="minorHAnsi" w:hAnsiTheme="minorHAnsi" w:cstheme="minorHAnsi"/>
          <w:iCs/>
          <w:sz w:val="24"/>
          <w:szCs w:val="24"/>
        </w:rPr>
      </w:pPr>
      <w:r w:rsidRPr="001D7DAA">
        <w:rPr>
          <w:rFonts w:asciiTheme="minorHAnsi" w:hAnsiTheme="minorHAnsi" w:cstheme="minorHAnsi"/>
          <w:iCs/>
          <w:sz w:val="24"/>
          <w:szCs w:val="24"/>
        </w:rPr>
        <w:t>Your resource:</w:t>
      </w:r>
    </w:p>
    <w:p w:rsidR="001D7DAA" w:rsidRPr="001D7DAA" w:rsidRDefault="001D7DAA" w:rsidP="001D7DAA">
      <w:pPr>
        <w:pStyle w:val="ListParagraph"/>
        <w:numPr>
          <w:ilvl w:val="0"/>
          <w:numId w:val="23"/>
        </w:numPr>
        <w:rPr>
          <w:rFonts w:asciiTheme="minorHAnsi" w:hAnsiTheme="minorHAnsi" w:cstheme="minorHAnsi"/>
          <w:iCs/>
          <w:sz w:val="24"/>
        </w:rPr>
      </w:pPr>
      <w:r w:rsidRPr="001D7DAA">
        <w:rPr>
          <w:rFonts w:asciiTheme="minorHAnsi" w:hAnsiTheme="minorHAnsi" w:cstheme="minorHAnsi"/>
          <w:iCs/>
          <w:sz w:val="24"/>
        </w:rPr>
        <w:t>Can be a physical resource pack or a technology-based resource pack</w:t>
      </w:r>
    </w:p>
    <w:p w:rsidR="001D7DAA" w:rsidRPr="001D7DAA" w:rsidRDefault="001D7DAA" w:rsidP="001D7DAA">
      <w:pPr>
        <w:pStyle w:val="ListParagraph"/>
        <w:numPr>
          <w:ilvl w:val="0"/>
          <w:numId w:val="23"/>
        </w:numPr>
        <w:rPr>
          <w:rFonts w:asciiTheme="minorHAnsi" w:hAnsiTheme="minorHAnsi" w:cstheme="minorHAnsi"/>
          <w:iCs/>
          <w:sz w:val="24"/>
        </w:rPr>
      </w:pPr>
      <w:r w:rsidRPr="001D7DAA">
        <w:rPr>
          <w:rFonts w:asciiTheme="minorHAnsi" w:hAnsiTheme="minorHAnsi" w:cstheme="minorHAnsi"/>
          <w:iCs/>
          <w:sz w:val="24"/>
        </w:rPr>
        <w:t>Should have clear learning outcomes or focus on skills</w:t>
      </w:r>
    </w:p>
    <w:p w:rsidR="001D7DAA" w:rsidRPr="001D7DAA" w:rsidRDefault="001D7DAA" w:rsidP="001D7DAA">
      <w:pPr>
        <w:pStyle w:val="ListParagraph"/>
        <w:numPr>
          <w:ilvl w:val="0"/>
          <w:numId w:val="23"/>
        </w:numPr>
        <w:rPr>
          <w:rFonts w:asciiTheme="minorHAnsi" w:hAnsiTheme="minorHAnsi" w:cstheme="minorHAnsi"/>
          <w:b/>
          <w:sz w:val="24"/>
        </w:rPr>
      </w:pPr>
      <w:r w:rsidRPr="001D7DAA">
        <w:rPr>
          <w:rFonts w:asciiTheme="minorHAnsi" w:hAnsiTheme="minorHAnsi" w:cstheme="minorHAnsi"/>
          <w:iCs/>
          <w:sz w:val="24"/>
        </w:rPr>
        <w:t>Should be creative</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b/>
          <w:i/>
          <w:color w:val="000000" w:themeColor="text1"/>
          <w:sz w:val="24"/>
          <w:szCs w:val="24"/>
        </w:rPr>
      </w:pPr>
      <w:r w:rsidRPr="001D7DAA">
        <w:rPr>
          <w:rFonts w:asciiTheme="minorHAnsi" w:eastAsiaTheme="minorEastAsia" w:hAnsiTheme="minorHAnsi" w:cstheme="minorHAnsi"/>
          <w:b/>
          <w:i/>
          <w:color w:val="000000" w:themeColor="text1"/>
          <w:sz w:val="24"/>
          <w:szCs w:val="24"/>
        </w:rPr>
        <w:t xml:space="preserve">Whilst you may use resource banks to inform your research, it’s important to remember that the activity you present for this assignment should be your own original work. </w:t>
      </w: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b/>
          <w:i/>
          <w:color w:val="000000" w:themeColor="text1"/>
          <w:sz w:val="24"/>
          <w:szCs w:val="24"/>
        </w:rPr>
      </w:pPr>
      <w:r w:rsidRPr="001D7DAA">
        <w:rPr>
          <w:rFonts w:asciiTheme="minorHAnsi" w:eastAsiaTheme="minorEastAsia" w:hAnsiTheme="minorHAnsi" w:cstheme="minorHAnsi"/>
          <w:b/>
          <w:i/>
          <w:color w:val="000000" w:themeColor="text1"/>
          <w:sz w:val="24"/>
          <w:szCs w:val="24"/>
        </w:rPr>
        <w:lastRenderedPageBreak/>
        <w:t xml:space="preserve">Part B </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lang w:val="en-US"/>
        </w:rPr>
      </w:pPr>
      <w:r w:rsidRPr="001D7DAA">
        <w:rPr>
          <w:rFonts w:asciiTheme="minorHAnsi" w:eastAsiaTheme="minorEastAsia" w:hAnsiTheme="minorHAnsi" w:cstheme="minorHAnsi"/>
          <w:color w:val="000000" w:themeColor="text1"/>
          <w:sz w:val="24"/>
          <w:szCs w:val="24"/>
        </w:rPr>
        <w:t>Your rationale will need to include:</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Your chosen year group for your teaching and learning aid</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An outline of what this resource will help a child learn and why this is important</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The underpinning theory that has guided the creation of this resource</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 xml:space="preserve">How it will be used to support </w:t>
      </w:r>
      <w:r w:rsidRPr="001D7DAA">
        <w:rPr>
          <w:rFonts w:asciiTheme="minorHAnsi" w:hAnsiTheme="minorHAnsi" w:cstheme="minorHAnsi"/>
          <w:iCs/>
          <w:sz w:val="24"/>
          <w:lang w:val="en-US"/>
        </w:rPr>
        <w:t>children to understand a concept through practical application</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b/>
          <w:color w:val="000000" w:themeColor="text1"/>
          <w:sz w:val="24"/>
          <w:u w:val="single"/>
        </w:rPr>
      </w:pPr>
      <w:r w:rsidRPr="001D7DAA">
        <w:rPr>
          <w:rFonts w:asciiTheme="minorHAnsi" w:eastAsiaTheme="minorEastAsia" w:hAnsiTheme="minorHAnsi" w:cstheme="minorHAnsi"/>
          <w:b/>
          <w:color w:val="000000" w:themeColor="text1"/>
          <w:sz w:val="24"/>
        </w:rPr>
        <w:t xml:space="preserve">Evidence of your research and wider reading to support your choice of interactive resource. </w:t>
      </w:r>
      <w:r w:rsidRPr="001D7DAA">
        <w:rPr>
          <w:rFonts w:asciiTheme="minorHAnsi" w:eastAsiaTheme="minorEastAsia" w:hAnsiTheme="minorHAnsi" w:cstheme="minorHAnsi"/>
          <w:b/>
          <w:color w:val="000000" w:themeColor="text1"/>
          <w:sz w:val="24"/>
          <w:u w:val="single"/>
        </w:rPr>
        <w:t>(This is a very important aspect)</w:t>
      </w:r>
    </w:p>
    <w:p w:rsidR="001D7DAA" w:rsidRPr="001D7DAA" w:rsidRDefault="001D7DAA" w:rsidP="001D7DAA">
      <w:pPr>
        <w:pStyle w:val="ListParagraph"/>
        <w:ind w:left="1440"/>
        <w:textAlignment w:val="baseline"/>
        <w:rPr>
          <w:rFonts w:asciiTheme="minorHAnsi" w:eastAsiaTheme="minorEastAsia" w:hAnsiTheme="minorHAnsi" w:cstheme="minorHAnsi"/>
          <w:color w:val="000000" w:themeColor="text1"/>
          <w:sz w:val="24"/>
          <w:u w:val="single"/>
        </w:rPr>
      </w:pPr>
    </w:p>
    <w:p w:rsidR="001D7DAA" w:rsidRPr="001D7DAA" w:rsidRDefault="001D7DAA" w:rsidP="001D7DAA">
      <w:pPr>
        <w:textAlignment w:val="baseline"/>
        <w:rPr>
          <w:rFonts w:asciiTheme="minorHAnsi" w:eastAsiaTheme="minorEastAsia" w:hAnsiTheme="minorHAnsi" w:cstheme="minorHAnsi"/>
          <w:b/>
          <w:i/>
          <w:color w:val="000000" w:themeColor="text1"/>
          <w:sz w:val="24"/>
        </w:rPr>
      </w:pPr>
      <w:r w:rsidRPr="001D7DAA">
        <w:rPr>
          <w:rFonts w:asciiTheme="minorHAnsi" w:eastAsiaTheme="minorEastAsia" w:hAnsiTheme="minorHAnsi" w:cstheme="minorHAnsi"/>
          <w:b/>
          <w:i/>
          <w:color w:val="000000" w:themeColor="text1"/>
          <w:sz w:val="24"/>
        </w:rPr>
        <w:t xml:space="preserve">It is very important to remember the </w:t>
      </w:r>
      <w:r w:rsidRPr="001D7DAA">
        <w:rPr>
          <w:rFonts w:asciiTheme="minorHAnsi" w:eastAsiaTheme="minorEastAsia" w:hAnsiTheme="minorHAnsi" w:cstheme="minorHAnsi"/>
          <w:b/>
          <w:i/>
          <w:color w:val="000000" w:themeColor="text1"/>
          <w:sz w:val="24"/>
          <w:u w:val="single"/>
        </w:rPr>
        <w:t>academic nature</w:t>
      </w:r>
      <w:r w:rsidRPr="001D7DAA">
        <w:rPr>
          <w:rFonts w:asciiTheme="minorHAnsi" w:eastAsiaTheme="minorEastAsia" w:hAnsiTheme="minorHAnsi" w:cstheme="minorHAnsi"/>
          <w:b/>
          <w:i/>
          <w:color w:val="000000" w:themeColor="text1"/>
          <w:sz w:val="24"/>
        </w:rPr>
        <w:t xml:space="preserve"> of the task – you should ensure that your </w:t>
      </w:r>
      <w:r w:rsidRPr="001D7DAA">
        <w:rPr>
          <w:rFonts w:asciiTheme="minorHAnsi" w:eastAsiaTheme="minorEastAsia" w:hAnsiTheme="minorHAnsi" w:cstheme="minorHAnsi"/>
          <w:b/>
          <w:i/>
          <w:color w:val="000000" w:themeColor="text1"/>
          <w:sz w:val="24"/>
          <w:u w:val="single"/>
        </w:rPr>
        <w:t xml:space="preserve">rationale is well-supported with references to relevant literature relating to policy, theory and practice. </w:t>
      </w:r>
      <w:r w:rsidRPr="001D7DAA">
        <w:rPr>
          <w:rFonts w:asciiTheme="minorHAnsi" w:eastAsiaTheme="minorEastAsia" w:hAnsiTheme="minorHAnsi" w:cstheme="minorHAnsi"/>
          <w:b/>
          <w:i/>
          <w:color w:val="000000" w:themeColor="text1"/>
          <w:sz w:val="24"/>
        </w:rPr>
        <w:t xml:space="preserve">You should therefore use Harvard referencing throughout this section. </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Demonstrate how the resource supports the delivery of age – appropriate skills in the LNF (2013):</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 xml:space="preserve">Reference to the </w:t>
      </w:r>
      <w:r w:rsidRPr="001D7DAA">
        <w:rPr>
          <w:rFonts w:asciiTheme="minorHAnsi" w:eastAsiaTheme="minorEastAsia" w:hAnsiTheme="minorHAnsi" w:cstheme="minorHAnsi"/>
          <w:color w:val="000000" w:themeColor="text1"/>
          <w:sz w:val="24"/>
          <w:u w:val="single"/>
        </w:rPr>
        <w:t>specific skills</w:t>
      </w:r>
      <w:r w:rsidRPr="001D7DAA">
        <w:rPr>
          <w:rFonts w:asciiTheme="minorHAnsi" w:eastAsiaTheme="minorEastAsia" w:hAnsiTheme="minorHAnsi" w:cstheme="minorHAnsi"/>
          <w:color w:val="000000" w:themeColor="text1"/>
          <w:sz w:val="24"/>
        </w:rPr>
        <w:t xml:space="preserve"> outlined in the Literacy or Numeracy Framework (2013) that your resource will cover</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rPr>
          <w:rFonts w:asciiTheme="minorHAnsi" w:hAnsiTheme="minorHAnsi" w:cstheme="minorHAnsi"/>
          <w:b/>
          <w:sz w:val="24"/>
          <w:szCs w:val="24"/>
        </w:rPr>
      </w:pPr>
    </w:p>
    <w:p w:rsidR="001D7DAA" w:rsidRPr="001D7DAA" w:rsidRDefault="001D7DAA" w:rsidP="001D7DAA">
      <w:pPr>
        <w:pStyle w:val="ListParagraph"/>
        <w:numPr>
          <w:ilvl w:val="0"/>
          <w:numId w:val="20"/>
        </w:numPr>
        <w:rPr>
          <w:rFonts w:asciiTheme="minorHAnsi" w:hAnsiTheme="minorHAnsi" w:cstheme="minorHAnsi"/>
          <w:sz w:val="24"/>
        </w:rPr>
      </w:pPr>
      <w:r w:rsidRPr="001D7DAA">
        <w:rPr>
          <w:rFonts w:asciiTheme="minorHAnsi" w:hAnsiTheme="minorHAnsi" w:cstheme="minorHAnsi"/>
          <w:sz w:val="24"/>
        </w:rPr>
        <w:t>Reference list – correctly referenced and included at the end of your rationale</w:t>
      </w:r>
    </w:p>
    <w:p w:rsidR="001D7DAA" w:rsidRPr="001D7DAA" w:rsidRDefault="001D7DAA" w:rsidP="001D7DAA">
      <w:pPr>
        <w:pStyle w:val="ListParagraph"/>
        <w:numPr>
          <w:ilvl w:val="0"/>
          <w:numId w:val="20"/>
        </w:numPr>
        <w:rPr>
          <w:rFonts w:asciiTheme="minorHAnsi" w:hAnsiTheme="minorHAnsi" w:cstheme="minorHAnsi"/>
          <w:sz w:val="24"/>
        </w:rPr>
      </w:pPr>
      <w:r w:rsidRPr="001D7DAA">
        <w:rPr>
          <w:rFonts w:asciiTheme="minorHAnsi" w:hAnsiTheme="minorHAnsi" w:cstheme="minorHAnsi"/>
          <w:sz w:val="24"/>
        </w:rPr>
        <w:t>Bibliography – if relevant</w:t>
      </w:r>
    </w:p>
    <w:p w:rsidR="001D7DAA" w:rsidRPr="001D7DAA" w:rsidRDefault="001D7DAA" w:rsidP="001D7DAA">
      <w:pPr>
        <w:rPr>
          <w:rFonts w:asciiTheme="minorHAnsi" w:hAnsiTheme="minorHAnsi" w:cstheme="minorHAnsi"/>
          <w:sz w:val="24"/>
          <w:szCs w:val="24"/>
        </w:rPr>
      </w:pPr>
    </w:p>
    <w:p w:rsidR="001D7DAA" w:rsidRPr="001D7DAA" w:rsidRDefault="001D7DAA" w:rsidP="001D7DAA">
      <w:pPr>
        <w:jc w:val="center"/>
        <w:rPr>
          <w:rFonts w:asciiTheme="minorHAnsi" w:hAnsiTheme="minorHAnsi" w:cstheme="minorHAnsi"/>
          <w:sz w:val="24"/>
          <w:szCs w:val="24"/>
          <w:u w:val="single"/>
        </w:rPr>
      </w:pPr>
    </w:p>
    <w:p w:rsidR="00152E9D" w:rsidRPr="001D7DAA" w:rsidRDefault="00152E9D" w:rsidP="00A67FB1">
      <w:pPr>
        <w:ind w:left="720"/>
        <w:rPr>
          <w:rFonts w:ascii="Arial" w:hAnsi="Arial" w:cs="Arial"/>
          <w:sz w:val="32"/>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C6194"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C6194" w:rsidRPr="00A406E5" w:rsidRDefault="006C6194" w:rsidP="00C01A3F">
      <w:pPr>
        <w:jc w:val="both"/>
        <w:rPr>
          <w:rFonts w:ascii="Arial" w:hAnsi="Arial" w:cs="Arial"/>
          <w:i/>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6C6194" w:rsidRPr="00A406E5" w:rsidRDefault="006C6194" w:rsidP="006C6194">
      <w:pPr>
        <w:ind w:left="360"/>
        <w:jc w:val="both"/>
        <w:rPr>
          <w:rFonts w:ascii="Arial" w:hAnsi="Arial" w:cs="Arial"/>
          <w:b/>
          <w:sz w:val="22"/>
          <w:szCs w:val="22"/>
        </w:rPr>
      </w:pP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6C6194" w:rsidRPr="00A406E5" w:rsidRDefault="006C6194"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6194" w:rsidRPr="00741255">
        <w:rPr>
          <w:rFonts w:asciiTheme="minorHAnsi" w:hAnsiTheme="minorHAnsi" w:cstheme="minorHAnsi"/>
          <w:sz w:val="22"/>
        </w:rPr>
        <w:t>Identify, analyse and evaluate different approaches to raising levels of achievements in numeracy and literacy including the use of ICT.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framePr w:hSpace="180" w:wrap="around" w:vAnchor="text" w:hAnchor="text" w:x="288" w:y="1"/>
        <w:suppressOverlap/>
        <w:jc w:val="both"/>
        <w:rPr>
          <w:rFonts w:ascii="Arial" w:hAnsi="Arial" w:cs="Arial"/>
          <w:sz w:val="22"/>
          <w:szCs w:val="22"/>
        </w:rPr>
      </w:pPr>
    </w:p>
    <w:p w:rsidR="00FB3B4E" w:rsidRDefault="00FB3B4E" w:rsidP="00D22D9C">
      <w:pPr>
        <w:jc w:val="both"/>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6C6194" w:rsidRPr="00A406E5" w:rsidRDefault="006C619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3</w:t>
            </w:r>
            <w:r w:rsidR="006C619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w:t>
            </w:r>
            <w:r>
              <w:rPr>
                <w:rFonts w:ascii="Arial" w:hAnsi="Arial" w:cs="Arial"/>
              </w:rPr>
              <w:lastRenderedPageBreak/>
              <w:t>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lastRenderedPageBreak/>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w:t>
            </w:r>
            <w:r w:rsidRPr="004C2B2B">
              <w:rPr>
                <w:rFonts w:ascii="Arial" w:hAnsi="Arial" w:cs="Arial"/>
              </w:rPr>
              <w:lastRenderedPageBreak/>
              <w:t>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w:t>
            </w:r>
            <w:r w:rsidRPr="002C1DF7">
              <w:rPr>
                <w:rFonts w:ascii="Arial" w:hAnsi="Arial" w:cs="Arial"/>
              </w:rPr>
              <w:lastRenderedPageBreak/>
              <w:t>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w:t>
            </w:r>
            <w:r w:rsidRPr="00950F3F">
              <w:rPr>
                <w:rFonts w:ascii="Arial" w:hAnsi="Arial" w:cs="Arial"/>
              </w:rPr>
              <w:lastRenderedPageBreak/>
              <w:t>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w:t>
            </w:r>
            <w:r w:rsidRPr="00950F3F">
              <w:rPr>
                <w:rFonts w:ascii="Arial" w:hAnsi="Arial" w:cs="Arial"/>
              </w:rPr>
              <w:lastRenderedPageBreak/>
              <w:t xml:space="preserve">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w:t>
            </w:r>
            <w:r>
              <w:rPr>
                <w:rFonts w:ascii="Arial" w:hAnsi="Arial" w:cs="Arial"/>
              </w:rPr>
              <w:lastRenderedPageBreak/>
              <w:t xml:space="preserve">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Default="00F66489" w:rsidP="00F66489">
      <w:pPr>
        <w:rPr>
          <w:rFonts w:ascii="Arial" w:hAnsi="Arial" w:cs="Arial"/>
          <w:b/>
        </w:rPr>
      </w:pPr>
      <w:r>
        <w:rPr>
          <w:rFonts w:ascii="Arial" w:hAnsi="Arial" w:cs="Arial"/>
          <w:b/>
        </w:rPr>
        <w:t>THIS DOCUMENT IS ALSO AVAILABLE IN WELSH</w:t>
      </w:r>
    </w:p>
    <w:p w:rsidR="00546C9A" w:rsidRDefault="00546C9A" w:rsidP="00F66489">
      <w:pPr>
        <w:rPr>
          <w:rFonts w:ascii="Arial" w:hAnsi="Arial" w:cs="Arial"/>
          <w:b/>
        </w:rPr>
      </w:pPr>
    </w:p>
    <w:p w:rsidR="00546C9A" w:rsidRDefault="00546C9A" w:rsidP="00F66489">
      <w:pPr>
        <w:rPr>
          <w:rFonts w:ascii="Arial" w:hAnsi="Arial" w:cs="Arial"/>
          <w:b/>
        </w:rPr>
      </w:pPr>
    </w:p>
    <w:p w:rsidR="00546C9A" w:rsidRDefault="00546C9A" w:rsidP="00F66489">
      <w:pPr>
        <w:rPr>
          <w:rFonts w:ascii="Arial" w:hAnsi="Arial" w:cs="Arial"/>
          <w:b/>
        </w:rPr>
      </w:pPr>
    </w:p>
    <w:p w:rsidR="00546C9A" w:rsidRDefault="00546C9A" w:rsidP="00F66489">
      <w:pPr>
        <w:rPr>
          <w:rFonts w:ascii="Arial" w:hAnsi="Arial" w:cs="Arial"/>
          <w:b/>
        </w:rPr>
      </w:pP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lastRenderedPageBreak/>
        <w:t xml:space="preserve">For this activity pack the theme is focused around the song The Teddy Bear Picnic. The activity pack would be used in a forest school or a school with a large outdoor area. This activity pack is suitable for higher year two students and lower year 3 students. The activity pack’s main focus will be on the “Developing numerical reasoning” with the “Identify processes and connections” </w:t>
      </w:r>
      <w:sdt>
        <w:sdtPr>
          <w:rPr>
            <w:rFonts w:eastAsia="Calibri"/>
            <w:sz w:val="24"/>
            <w:szCs w:val="24"/>
            <w:lang w:eastAsia="en-US"/>
          </w:rPr>
          <w:id w:val="1809046479"/>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Wel14 \l 2057 </w:instrText>
          </w:r>
          <w:r w:rsidRPr="00546C9A">
            <w:rPr>
              <w:rFonts w:eastAsia="Calibri"/>
              <w:sz w:val="24"/>
              <w:szCs w:val="24"/>
              <w:lang w:eastAsia="en-US"/>
            </w:rPr>
            <w:fldChar w:fldCharType="separate"/>
          </w:r>
          <w:r w:rsidRPr="00546C9A">
            <w:rPr>
              <w:rFonts w:eastAsia="Calibri"/>
              <w:noProof/>
              <w:sz w:val="24"/>
              <w:szCs w:val="24"/>
              <w:lang w:eastAsia="en-US"/>
            </w:rPr>
            <w:t>(Welsh Goverment , 2014)</w:t>
          </w:r>
          <w:r w:rsidRPr="00546C9A">
            <w:rPr>
              <w:rFonts w:eastAsia="Calibri"/>
              <w:sz w:val="24"/>
              <w:szCs w:val="24"/>
              <w:lang w:eastAsia="en-US"/>
            </w:rPr>
            <w:fldChar w:fldCharType="end"/>
          </w:r>
        </w:sdtContent>
      </w:sdt>
      <w:r w:rsidRPr="00546C9A">
        <w:rPr>
          <w:rFonts w:eastAsia="Calibri"/>
          <w:sz w:val="24"/>
          <w:szCs w:val="24"/>
          <w:lang w:eastAsia="en-US"/>
        </w:rPr>
        <w:t xml:space="preserve">. The main focus will be on transferring “mathematical skills to play and classroom activities” </w:t>
      </w:r>
      <w:sdt>
        <w:sdtPr>
          <w:rPr>
            <w:rFonts w:eastAsia="Calibri"/>
            <w:sz w:val="24"/>
            <w:szCs w:val="24"/>
            <w:lang w:eastAsia="en-US"/>
          </w:rPr>
          <w:id w:val="-356737011"/>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Wel14 \l 2057 </w:instrText>
          </w:r>
          <w:r w:rsidRPr="00546C9A">
            <w:rPr>
              <w:rFonts w:eastAsia="Calibri"/>
              <w:sz w:val="24"/>
              <w:szCs w:val="24"/>
              <w:lang w:eastAsia="en-US"/>
            </w:rPr>
            <w:fldChar w:fldCharType="separate"/>
          </w:r>
          <w:r w:rsidRPr="00546C9A">
            <w:rPr>
              <w:rFonts w:eastAsia="Calibri"/>
              <w:noProof/>
              <w:sz w:val="24"/>
              <w:szCs w:val="24"/>
              <w:lang w:eastAsia="en-US"/>
            </w:rPr>
            <w:t>(Welsh Goverment , 2014)</w:t>
          </w:r>
          <w:r w:rsidRPr="00546C9A">
            <w:rPr>
              <w:rFonts w:eastAsia="Calibri"/>
              <w:sz w:val="24"/>
              <w:szCs w:val="24"/>
              <w:lang w:eastAsia="en-US"/>
            </w:rPr>
            <w:fldChar w:fldCharType="end"/>
          </w:r>
        </w:sdtContent>
      </w:sdt>
      <w:r w:rsidRPr="00546C9A">
        <w:rPr>
          <w:rFonts w:eastAsia="Calibri"/>
          <w:sz w:val="24"/>
          <w:szCs w:val="24"/>
          <w:lang w:eastAsia="en-US"/>
        </w:rPr>
        <w:t>. The main purpose of this activity pack is to ensure that children are able to verbally identify between ‘teen’ and ‘ty’ words. For example the difference between ‘thirteen’ and ‘thirty’. This is an important skill that they will need in their everyday life when using numbers. The activity pack will work based on a carousel as the groups will rotate round the 3 activities. The children will also develop some communication and reading skills when participating in some of the activities. This activity pack may require up to two additional adults.</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 xml:space="preserve">Once establishing the rules of the outdoor learning area the teacher will play The Teddy Bear Picnic song from a portable speaker to engage the children while walking to the outdoor learning area. Music “increases the brain’s ability to process sound and to distinguish differences in sound” </w:t>
      </w:r>
      <w:sdt>
        <w:sdtPr>
          <w:rPr>
            <w:rFonts w:eastAsia="Calibri"/>
            <w:sz w:val="24"/>
            <w:szCs w:val="24"/>
            <w:lang w:eastAsia="en-US"/>
          </w:rPr>
          <w:id w:val="-539199592"/>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Man17 \l 2057 </w:instrText>
          </w:r>
          <w:r w:rsidRPr="00546C9A">
            <w:rPr>
              <w:rFonts w:eastAsia="Calibri"/>
              <w:sz w:val="24"/>
              <w:szCs w:val="24"/>
              <w:lang w:eastAsia="en-US"/>
            </w:rPr>
            <w:fldChar w:fldCharType="separate"/>
          </w:r>
          <w:r w:rsidRPr="00546C9A">
            <w:rPr>
              <w:rFonts w:eastAsia="Calibri"/>
              <w:noProof/>
              <w:sz w:val="24"/>
              <w:szCs w:val="24"/>
              <w:lang w:eastAsia="en-US"/>
            </w:rPr>
            <w:t>(Manouchehri, 2017)</w:t>
          </w:r>
          <w:r w:rsidRPr="00546C9A">
            <w:rPr>
              <w:rFonts w:eastAsia="Calibri"/>
              <w:sz w:val="24"/>
              <w:szCs w:val="24"/>
              <w:lang w:eastAsia="en-US"/>
            </w:rPr>
            <w:fldChar w:fldCharType="end"/>
          </w:r>
        </w:sdtContent>
      </w:sdt>
      <w:r w:rsidRPr="00546C9A">
        <w:rPr>
          <w:rFonts w:eastAsia="Calibri"/>
          <w:sz w:val="24"/>
          <w:szCs w:val="24"/>
          <w:lang w:eastAsia="en-US"/>
        </w:rPr>
        <w:t xml:space="preserve">, as the main importance of the activity pack will be listening to the difference between the sound of ‘teen’ and ‘ty’ the song will allow the children to start listening before the activities begin. </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 xml:space="preserve">The class will then arrive the learning area will be set up to look like a picnic. Next the teacher will introduce the two teddies that are attending the picnic. The teddies are used for inspiration for the learners and come in useful during the ‘mud kitchen’ activities.  The children will all sit down around the picnic area for simple introductory activities, these will briefly cover other areas of the numeracy and literacy framework such as recalling the ten times table and counting up to twenty, these cover the “using number skills strand” </w:t>
      </w:r>
      <w:sdt>
        <w:sdtPr>
          <w:rPr>
            <w:rFonts w:eastAsia="Calibri"/>
            <w:sz w:val="24"/>
            <w:szCs w:val="24"/>
            <w:lang w:eastAsia="en-US"/>
          </w:rPr>
          <w:id w:val="472416410"/>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Wel14 \l 2057 </w:instrText>
          </w:r>
          <w:r w:rsidRPr="00546C9A">
            <w:rPr>
              <w:rFonts w:eastAsia="Calibri"/>
              <w:sz w:val="24"/>
              <w:szCs w:val="24"/>
              <w:lang w:eastAsia="en-US"/>
            </w:rPr>
            <w:fldChar w:fldCharType="separate"/>
          </w:r>
          <w:r w:rsidRPr="00546C9A">
            <w:rPr>
              <w:rFonts w:eastAsia="Calibri"/>
              <w:noProof/>
              <w:sz w:val="24"/>
              <w:szCs w:val="24"/>
              <w:lang w:eastAsia="en-US"/>
            </w:rPr>
            <w:t>(Welsh Goverment , 2014)</w:t>
          </w:r>
          <w:r w:rsidRPr="00546C9A">
            <w:rPr>
              <w:rFonts w:eastAsia="Calibri"/>
              <w:sz w:val="24"/>
              <w:szCs w:val="24"/>
              <w:lang w:eastAsia="en-US"/>
            </w:rPr>
            <w:fldChar w:fldCharType="end"/>
          </w:r>
        </w:sdtContent>
      </w:sdt>
      <w:r w:rsidRPr="00546C9A">
        <w:rPr>
          <w:rFonts w:eastAsia="Calibri"/>
          <w:sz w:val="24"/>
          <w:szCs w:val="24"/>
          <w:lang w:eastAsia="en-US"/>
        </w:rPr>
        <w:t xml:space="preserve"> alongside working toward the aim of understanding the difference between ‘teen’ and ‘ty’ numbers. When counting as a class the teacher should put emphasis on any number that end in ‘teen’ and ‘ty’. Once the teacher has completed the counting activities they will then introduce the aim of the lesson which is; ‘Understand the difference between numbers ending in ‘teen’ and numbers ending in ‘ty’. Finally before beginning the main section of the activity pack the teacher will explain each section and split the children into groups. </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 xml:space="preserve">The first activity will be done with the teacher. For this activity the teacher will need 2 plastic tea cups and spoons with numbers written on them. Firstly the teacher will introduce the game by demonstrating with one or two children. The aim of the game is to understand the sound differences between ‘teen’ and ‘ty’ words. Whist demonstrating the teacher will hold up a spoon and ask the children if the number ends in a ‘teen’ or a ‘ty’ sound. If the number ends in  a ‘ty’ sound it will go in the tea cup because ‘ty’ has the same sound as ‘tea’ if the number does not have a ‘ty’ sound it goes on the floor. Next the teacher will split the group into two equal teams and share the spoons out equally between the groups, the aim is to sort the spoons as quickly as possible. To add a variation to the game the children can start a small distance away from the tea cup and will run up one at a time to sort the spoons. As noted in ‘Learning Games and Student Teams: Their Effects on </w:t>
      </w:r>
      <w:r w:rsidRPr="00546C9A">
        <w:rPr>
          <w:rFonts w:eastAsia="Calibri"/>
          <w:sz w:val="24"/>
          <w:szCs w:val="24"/>
          <w:lang w:eastAsia="en-US"/>
        </w:rPr>
        <w:lastRenderedPageBreak/>
        <w:t xml:space="preserve">Classroom Process’ children are able to help each other more when working in teams </w:t>
      </w:r>
      <w:sdt>
        <w:sdtPr>
          <w:rPr>
            <w:rFonts w:eastAsia="Calibri"/>
            <w:sz w:val="24"/>
            <w:szCs w:val="24"/>
            <w:lang w:eastAsia="en-US"/>
          </w:rPr>
          <w:id w:val="1638220126"/>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Dav73 \l 2057 </w:instrText>
          </w:r>
          <w:r w:rsidRPr="00546C9A">
            <w:rPr>
              <w:rFonts w:eastAsia="Calibri"/>
              <w:sz w:val="24"/>
              <w:szCs w:val="24"/>
              <w:lang w:eastAsia="en-US"/>
            </w:rPr>
            <w:fldChar w:fldCharType="separate"/>
          </w:r>
          <w:r w:rsidRPr="00546C9A">
            <w:rPr>
              <w:rFonts w:eastAsia="Calibri"/>
              <w:noProof/>
              <w:sz w:val="24"/>
              <w:szCs w:val="24"/>
              <w:lang w:eastAsia="en-US"/>
            </w:rPr>
            <w:t>(Devries &amp; Edwards, 1973)</w:t>
          </w:r>
          <w:r w:rsidRPr="00546C9A">
            <w:rPr>
              <w:rFonts w:eastAsia="Calibri"/>
              <w:sz w:val="24"/>
              <w:szCs w:val="24"/>
              <w:lang w:eastAsia="en-US"/>
            </w:rPr>
            <w:fldChar w:fldCharType="end"/>
          </w:r>
        </w:sdtContent>
      </w:sdt>
      <w:r w:rsidRPr="00546C9A">
        <w:rPr>
          <w:rFonts w:eastAsia="Calibri"/>
          <w:sz w:val="24"/>
          <w:szCs w:val="24"/>
          <w:lang w:eastAsia="en-US"/>
        </w:rPr>
        <w:t xml:space="preserve"> and therefore can develop their understanding of the topic and increase their social skills. </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The next activity is a mud kitchen activity. The children will need assistance from an additional adult depending on their reading skills level. The aim of this activity is to apply the application of ‘teen’ and ‘ty’ numbers in an everyday situation for children to understand the purpose of the aim. The additional adult will help the children read the recipe and then send pairs out to find the ingredients. These ingredients involve the children counting objects with numbers that end in ‘teen’ or ‘ty’. Once the ingredients have been found the additional adult will check the ingredients with the children to ensure they have the correct amount. Next the additional adult will help the children to read the method and create the recipe for the teddy bears.</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 xml:space="preserve">The final activity is a bingo game. There is a need for an additional adult to supervise the group and help out when needed. The children will each have a turn to call out the numbers that end in ‘teen’ or ‘ty’. By allowing the children to call out the numbers it increases the independence of as child, this makes the activity child centred but scaffolded, this approach is also used in Montessori schools </w:t>
      </w:r>
      <w:sdt>
        <w:sdtPr>
          <w:rPr>
            <w:rFonts w:eastAsia="Calibri"/>
            <w:sz w:val="24"/>
            <w:szCs w:val="24"/>
            <w:lang w:eastAsia="en-US"/>
          </w:rPr>
          <w:id w:val="-609437892"/>
          <w:citation/>
        </w:sdtPr>
        <w:sdtContent>
          <w:r w:rsidRPr="00546C9A">
            <w:rPr>
              <w:rFonts w:eastAsia="Calibri"/>
              <w:sz w:val="24"/>
              <w:szCs w:val="24"/>
              <w:lang w:eastAsia="en-US"/>
            </w:rPr>
            <w:fldChar w:fldCharType="begin"/>
          </w:r>
          <w:r w:rsidRPr="00546C9A">
            <w:rPr>
              <w:rFonts w:eastAsia="Calibri"/>
              <w:sz w:val="24"/>
              <w:szCs w:val="24"/>
              <w:lang w:eastAsia="en-US"/>
            </w:rPr>
            <w:instrText xml:space="preserve"> CITATION Bar11 \l 2057 </w:instrText>
          </w:r>
          <w:r w:rsidRPr="00546C9A">
            <w:rPr>
              <w:rFonts w:eastAsia="Calibri"/>
              <w:sz w:val="24"/>
              <w:szCs w:val="24"/>
              <w:lang w:eastAsia="en-US"/>
            </w:rPr>
            <w:fldChar w:fldCharType="separate"/>
          </w:r>
          <w:r w:rsidRPr="00546C9A">
            <w:rPr>
              <w:rFonts w:eastAsia="Calibri"/>
              <w:noProof/>
              <w:sz w:val="24"/>
              <w:szCs w:val="24"/>
              <w:lang w:eastAsia="en-US"/>
            </w:rPr>
            <w:t>(Isaac, 2011)</w:t>
          </w:r>
          <w:r w:rsidRPr="00546C9A">
            <w:rPr>
              <w:rFonts w:eastAsia="Calibri"/>
              <w:sz w:val="24"/>
              <w:szCs w:val="24"/>
              <w:lang w:eastAsia="en-US"/>
            </w:rPr>
            <w:fldChar w:fldCharType="end"/>
          </w:r>
        </w:sdtContent>
      </w:sdt>
      <w:r w:rsidRPr="00546C9A">
        <w:rPr>
          <w:rFonts w:eastAsia="Calibri"/>
          <w:sz w:val="24"/>
          <w:szCs w:val="24"/>
          <w:lang w:eastAsia="en-US"/>
        </w:rPr>
        <w:t>. The children will develop fair play skills alongside numerical skills within the classroom.</w:t>
      </w:r>
    </w:p>
    <w:p w:rsidR="00546C9A" w:rsidRPr="00546C9A" w:rsidRDefault="00546C9A" w:rsidP="00546C9A">
      <w:pPr>
        <w:spacing w:after="160" w:line="360" w:lineRule="auto"/>
        <w:jc w:val="both"/>
        <w:rPr>
          <w:rFonts w:eastAsia="Calibri"/>
          <w:sz w:val="24"/>
          <w:szCs w:val="24"/>
          <w:lang w:eastAsia="en-US"/>
        </w:rPr>
      </w:pPr>
      <w:r w:rsidRPr="00546C9A">
        <w:rPr>
          <w:rFonts w:eastAsia="Calibri"/>
          <w:sz w:val="24"/>
          <w:szCs w:val="24"/>
          <w:lang w:eastAsia="en-US"/>
        </w:rPr>
        <w:t>Once the class has completed a full rotation the teacher will then revise the counting activity as a class and focusing on individuals from each group this allows the teacher to gain an overall outlook of each group. Next the teacher will remind the children of the activity pack’s aim, then the teacher will ask for the children to give feedback with a thumbs up or down based on their understanding of the aim. The teacher will also ask for feedback from the additional adults in the classroom.</w:t>
      </w:r>
    </w:p>
    <w:p w:rsidR="00546C9A" w:rsidRPr="00546C9A" w:rsidRDefault="00546C9A" w:rsidP="00546C9A">
      <w:pPr>
        <w:keepNext/>
        <w:keepLines/>
        <w:spacing w:before="240" w:line="360" w:lineRule="auto"/>
        <w:jc w:val="both"/>
        <w:outlineLvl w:val="0"/>
        <w:rPr>
          <w:color w:val="2E74B5"/>
          <w:sz w:val="24"/>
          <w:szCs w:val="24"/>
          <w:lang w:val="en-US" w:eastAsia="en-US"/>
        </w:rPr>
      </w:pPr>
      <w:r w:rsidRPr="00546C9A">
        <w:rPr>
          <w:color w:val="2E74B5"/>
          <w:sz w:val="24"/>
          <w:szCs w:val="24"/>
          <w:lang w:val="en-US" w:eastAsia="en-US"/>
        </w:rPr>
        <w:t>References</w:t>
      </w:r>
    </w:p>
    <w:sdt>
      <w:sdtPr>
        <w:rPr>
          <w:rFonts w:eastAsia="Calibri"/>
          <w:sz w:val="24"/>
          <w:szCs w:val="24"/>
          <w:lang w:eastAsia="en-US"/>
        </w:rPr>
        <w:id w:val="-573587230"/>
        <w:bibliography/>
      </w:sdtPr>
      <w:sdtEndPr>
        <w:rPr>
          <w:rFonts w:ascii="Calibri" w:hAnsi="Calibri"/>
          <w:sz w:val="22"/>
          <w:szCs w:val="22"/>
        </w:rPr>
      </w:sdtEndPr>
      <w:sdtContent>
        <w:p w:rsidR="00546C9A" w:rsidRPr="00546C9A" w:rsidRDefault="00546C9A" w:rsidP="00546C9A">
          <w:pPr>
            <w:spacing w:after="160" w:line="360" w:lineRule="auto"/>
            <w:jc w:val="both"/>
            <w:rPr>
              <w:rFonts w:eastAsia="Calibri"/>
              <w:noProof/>
              <w:sz w:val="24"/>
              <w:szCs w:val="24"/>
              <w:lang w:val="en-US" w:eastAsia="en-US"/>
            </w:rPr>
          </w:pPr>
          <w:r w:rsidRPr="00546C9A">
            <w:rPr>
              <w:rFonts w:eastAsia="Calibri"/>
              <w:sz w:val="24"/>
              <w:szCs w:val="24"/>
              <w:lang w:eastAsia="en-US"/>
            </w:rPr>
            <w:fldChar w:fldCharType="begin"/>
          </w:r>
          <w:r w:rsidRPr="00546C9A">
            <w:rPr>
              <w:rFonts w:eastAsia="Calibri"/>
              <w:sz w:val="24"/>
              <w:szCs w:val="24"/>
              <w:lang w:eastAsia="en-US"/>
            </w:rPr>
            <w:instrText xml:space="preserve"> BIBLIOGRAPHY </w:instrText>
          </w:r>
          <w:r w:rsidRPr="00546C9A">
            <w:rPr>
              <w:rFonts w:eastAsia="Calibri"/>
              <w:sz w:val="24"/>
              <w:szCs w:val="24"/>
              <w:lang w:eastAsia="en-US"/>
            </w:rPr>
            <w:fldChar w:fldCharType="separate"/>
          </w:r>
          <w:r w:rsidRPr="00546C9A">
            <w:rPr>
              <w:rFonts w:eastAsia="Calibri"/>
              <w:noProof/>
              <w:sz w:val="24"/>
              <w:szCs w:val="24"/>
              <w:lang w:val="en-US" w:eastAsia="en-US"/>
            </w:rPr>
            <w:t xml:space="preserve">Devries, D. L. &amp; Edwards, K. J., 1973. Learning Games and Student Teams: Their Effects on Classroom Process. </w:t>
          </w:r>
          <w:r w:rsidRPr="00546C9A">
            <w:rPr>
              <w:rFonts w:eastAsia="Calibri"/>
              <w:i/>
              <w:iCs/>
              <w:noProof/>
              <w:sz w:val="24"/>
              <w:szCs w:val="24"/>
              <w:lang w:val="en-US" w:eastAsia="en-US"/>
            </w:rPr>
            <w:t xml:space="preserve">American Educational Research Journal, </w:t>
          </w:r>
          <w:r w:rsidRPr="00546C9A">
            <w:rPr>
              <w:rFonts w:eastAsia="Calibri"/>
              <w:noProof/>
              <w:sz w:val="24"/>
              <w:szCs w:val="24"/>
              <w:lang w:val="en-US" w:eastAsia="en-US"/>
            </w:rPr>
            <w:t>Volume 10.</w:t>
          </w:r>
        </w:p>
        <w:p w:rsidR="00546C9A" w:rsidRPr="00546C9A" w:rsidRDefault="00546C9A" w:rsidP="00546C9A">
          <w:pPr>
            <w:spacing w:after="160" w:line="360" w:lineRule="auto"/>
            <w:jc w:val="both"/>
            <w:rPr>
              <w:rFonts w:eastAsia="Calibri"/>
              <w:noProof/>
              <w:sz w:val="24"/>
              <w:szCs w:val="24"/>
              <w:lang w:val="en-US" w:eastAsia="en-US"/>
            </w:rPr>
          </w:pPr>
          <w:r w:rsidRPr="00546C9A">
            <w:rPr>
              <w:rFonts w:eastAsia="Calibri"/>
              <w:noProof/>
              <w:sz w:val="24"/>
              <w:szCs w:val="24"/>
              <w:lang w:val="en-US" w:eastAsia="en-US"/>
            </w:rPr>
            <w:t xml:space="preserve">Isaac, B., 2011. </w:t>
          </w:r>
          <w:r w:rsidRPr="00546C9A">
            <w:rPr>
              <w:rFonts w:eastAsia="Calibri"/>
              <w:i/>
              <w:iCs/>
              <w:noProof/>
              <w:sz w:val="24"/>
              <w:szCs w:val="24"/>
              <w:lang w:val="en-US" w:eastAsia="en-US"/>
            </w:rPr>
            <w:t xml:space="preserve">Understanding the Montessori approach : early years education in practice. </w:t>
          </w:r>
          <w:r w:rsidRPr="00546C9A">
            <w:rPr>
              <w:rFonts w:eastAsia="Calibri"/>
              <w:noProof/>
              <w:sz w:val="24"/>
              <w:szCs w:val="24"/>
              <w:lang w:val="en-US" w:eastAsia="en-US"/>
            </w:rPr>
            <w:t>London: Routledge.</w:t>
          </w:r>
        </w:p>
        <w:p w:rsidR="00546C9A" w:rsidRPr="00546C9A" w:rsidRDefault="00546C9A" w:rsidP="00546C9A">
          <w:pPr>
            <w:spacing w:after="160" w:line="360" w:lineRule="auto"/>
            <w:jc w:val="both"/>
            <w:rPr>
              <w:rFonts w:eastAsia="Calibri"/>
              <w:noProof/>
              <w:sz w:val="24"/>
              <w:szCs w:val="24"/>
              <w:lang w:val="en-US" w:eastAsia="en-US"/>
            </w:rPr>
          </w:pPr>
          <w:r w:rsidRPr="00546C9A">
            <w:rPr>
              <w:rFonts w:eastAsia="Calibri"/>
              <w:noProof/>
              <w:sz w:val="24"/>
              <w:szCs w:val="24"/>
              <w:lang w:val="en-US" w:eastAsia="en-US"/>
            </w:rPr>
            <w:t xml:space="preserve">Manouchehri, E., 2017. It has been shown that the study of music increases. </w:t>
          </w:r>
          <w:r w:rsidRPr="00546C9A">
            <w:rPr>
              <w:rFonts w:eastAsia="Calibri"/>
              <w:i/>
              <w:iCs/>
              <w:noProof/>
              <w:sz w:val="24"/>
              <w:szCs w:val="24"/>
              <w:lang w:val="en-US" w:eastAsia="en-US"/>
            </w:rPr>
            <w:t xml:space="preserve">MUSICIEN ÉDUCATEUR AU CANADA, </w:t>
          </w:r>
          <w:r w:rsidRPr="00546C9A">
            <w:rPr>
              <w:rFonts w:eastAsia="Calibri"/>
              <w:noProof/>
              <w:sz w:val="24"/>
              <w:szCs w:val="24"/>
              <w:lang w:val="en-US" w:eastAsia="en-US"/>
            </w:rPr>
            <w:t>Volume 58.</w:t>
          </w:r>
        </w:p>
        <w:p w:rsidR="00546C9A" w:rsidRPr="00546C9A" w:rsidRDefault="00546C9A" w:rsidP="00546C9A">
          <w:pPr>
            <w:spacing w:after="160" w:line="360" w:lineRule="auto"/>
            <w:jc w:val="both"/>
            <w:rPr>
              <w:rFonts w:eastAsia="Calibri"/>
              <w:noProof/>
              <w:sz w:val="24"/>
              <w:szCs w:val="24"/>
              <w:lang w:val="en-US" w:eastAsia="en-US"/>
            </w:rPr>
          </w:pPr>
          <w:r w:rsidRPr="00546C9A">
            <w:rPr>
              <w:rFonts w:eastAsia="Calibri"/>
              <w:noProof/>
              <w:sz w:val="24"/>
              <w:szCs w:val="24"/>
              <w:lang w:val="en-US" w:eastAsia="en-US"/>
            </w:rPr>
            <w:t xml:space="preserve">Welsh Goverment , 2014. </w:t>
          </w:r>
          <w:r w:rsidRPr="00546C9A">
            <w:rPr>
              <w:rFonts w:eastAsia="Calibri"/>
              <w:i/>
              <w:iCs/>
              <w:noProof/>
              <w:sz w:val="24"/>
              <w:szCs w:val="24"/>
              <w:lang w:val="en-US" w:eastAsia="en-US"/>
            </w:rPr>
            <w:t>National Literacy</w:t>
          </w:r>
          <w:bookmarkStart w:id="0" w:name="_GoBack"/>
          <w:bookmarkEnd w:id="0"/>
          <w:r w:rsidRPr="00546C9A">
            <w:rPr>
              <w:rFonts w:eastAsia="Calibri"/>
              <w:i/>
              <w:iCs/>
              <w:noProof/>
              <w:sz w:val="24"/>
              <w:szCs w:val="24"/>
              <w:lang w:val="en-US" w:eastAsia="en-US"/>
            </w:rPr>
            <w:t xml:space="preserve"> and Numeracy Framework. </w:t>
          </w:r>
          <w:r w:rsidRPr="00546C9A">
            <w:rPr>
              <w:rFonts w:eastAsia="Calibri"/>
              <w:noProof/>
              <w:sz w:val="24"/>
              <w:szCs w:val="24"/>
              <w:lang w:val="en-US" w:eastAsia="en-US"/>
            </w:rPr>
            <w:t xml:space="preserve">[Online] </w:t>
          </w:r>
          <w:r w:rsidRPr="00546C9A">
            <w:rPr>
              <w:rFonts w:eastAsia="Calibri"/>
              <w:noProof/>
              <w:sz w:val="24"/>
              <w:szCs w:val="24"/>
              <w:lang w:val="en-US" w:eastAsia="en-US"/>
            </w:rPr>
            <w:br/>
            <w:t xml:space="preserve">Available at: </w:t>
          </w:r>
          <w:r w:rsidRPr="00546C9A">
            <w:rPr>
              <w:rFonts w:eastAsia="Calibri"/>
              <w:noProof/>
              <w:sz w:val="24"/>
              <w:szCs w:val="24"/>
              <w:u w:val="single"/>
              <w:lang w:val="en-US" w:eastAsia="en-US"/>
            </w:rPr>
            <w:t>https://learning.gov.wales/resources/browse-all/nlnf/framework?component=numeracy&amp;year=6938356_2&amp;lnf_aspect=5807484___6937066&amp;lnf_aspect=5807484___7852972&amp;lnf_aspect=5807766___7852646&amp;selectedYear=col_9&amp;lang=en</w:t>
          </w:r>
          <w:r w:rsidRPr="00546C9A">
            <w:rPr>
              <w:rFonts w:eastAsia="Calibri"/>
              <w:noProof/>
              <w:sz w:val="24"/>
              <w:szCs w:val="24"/>
              <w:lang w:val="en-US" w:eastAsia="en-US"/>
            </w:rPr>
            <w:br/>
            <w:t>[Accessed 18 March 2019].</w:t>
          </w:r>
        </w:p>
        <w:p w:rsidR="00546C9A" w:rsidRPr="00F66489" w:rsidRDefault="00546C9A" w:rsidP="00546C9A">
          <w:pPr>
            <w:rPr>
              <w:rFonts w:ascii="Arial" w:hAnsi="Arial" w:cs="Arial"/>
              <w:b/>
            </w:rPr>
          </w:pPr>
          <w:r w:rsidRPr="00546C9A">
            <w:rPr>
              <w:rFonts w:eastAsia="Calibri"/>
              <w:b/>
              <w:bCs/>
              <w:noProof/>
              <w:sz w:val="24"/>
              <w:szCs w:val="24"/>
              <w:lang w:eastAsia="en-US"/>
            </w:rPr>
            <w:fldChar w:fldCharType="end"/>
          </w:r>
        </w:p>
      </w:sdtContent>
    </w:sdt>
    <w:sectPr w:rsidR="00546C9A" w:rsidRPr="00F66489" w:rsidSect="00546C9A">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EC3" w:rsidRDefault="00BC0EC3">
      <w:r>
        <w:separator/>
      </w:r>
    </w:p>
  </w:endnote>
  <w:endnote w:type="continuationSeparator" w:id="0">
    <w:p w:rsidR="00BC0EC3" w:rsidRDefault="00BC0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46C9A">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46C9A">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EC3" w:rsidRDefault="00BC0EC3">
      <w:r>
        <w:separator/>
      </w:r>
    </w:p>
  </w:footnote>
  <w:footnote w:type="continuationSeparator" w:id="0">
    <w:p w:rsidR="00BC0EC3" w:rsidRDefault="00BC0E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A0148"/>
    <w:multiLevelType w:val="hybridMultilevel"/>
    <w:tmpl w:val="C19A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C1C78"/>
    <w:multiLevelType w:val="hybridMultilevel"/>
    <w:tmpl w:val="DA20A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569D4"/>
    <w:multiLevelType w:val="hybridMultilevel"/>
    <w:tmpl w:val="7CEE40B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9" w15:restartNumberingAfterBreak="0">
    <w:nsid w:val="226D694E"/>
    <w:multiLevelType w:val="hybridMultilevel"/>
    <w:tmpl w:val="74262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382C5C"/>
    <w:multiLevelType w:val="hybridMultilevel"/>
    <w:tmpl w:val="1D72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E2353"/>
    <w:multiLevelType w:val="hybridMultilevel"/>
    <w:tmpl w:val="D876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9D7AAD"/>
    <w:multiLevelType w:val="hybridMultilevel"/>
    <w:tmpl w:val="213667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FA3A62"/>
    <w:multiLevelType w:val="hybridMultilevel"/>
    <w:tmpl w:val="BC2C6F04"/>
    <w:lvl w:ilvl="0" w:tplc="C2CA554C">
      <w:start w:val="1"/>
      <w:numFmt w:val="bullet"/>
      <w:lvlText w:val="•"/>
      <w:lvlJc w:val="left"/>
      <w:pPr>
        <w:tabs>
          <w:tab w:val="num" w:pos="720"/>
        </w:tabs>
        <w:ind w:left="720" w:hanging="360"/>
      </w:pPr>
      <w:rPr>
        <w:rFonts w:ascii="Times New Roman" w:hAnsi="Times New Roman" w:hint="default"/>
      </w:rPr>
    </w:lvl>
    <w:lvl w:ilvl="1" w:tplc="AEC8AE64" w:tentative="1">
      <w:start w:val="1"/>
      <w:numFmt w:val="bullet"/>
      <w:lvlText w:val="•"/>
      <w:lvlJc w:val="left"/>
      <w:pPr>
        <w:tabs>
          <w:tab w:val="num" w:pos="1440"/>
        </w:tabs>
        <w:ind w:left="1440" w:hanging="360"/>
      </w:pPr>
      <w:rPr>
        <w:rFonts w:ascii="Times New Roman" w:hAnsi="Times New Roman" w:hint="default"/>
      </w:rPr>
    </w:lvl>
    <w:lvl w:ilvl="2" w:tplc="D77A0B42" w:tentative="1">
      <w:start w:val="1"/>
      <w:numFmt w:val="bullet"/>
      <w:lvlText w:val="•"/>
      <w:lvlJc w:val="left"/>
      <w:pPr>
        <w:tabs>
          <w:tab w:val="num" w:pos="2160"/>
        </w:tabs>
        <w:ind w:left="2160" w:hanging="360"/>
      </w:pPr>
      <w:rPr>
        <w:rFonts w:ascii="Times New Roman" w:hAnsi="Times New Roman" w:hint="default"/>
      </w:rPr>
    </w:lvl>
    <w:lvl w:ilvl="3" w:tplc="52F84D5C" w:tentative="1">
      <w:start w:val="1"/>
      <w:numFmt w:val="bullet"/>
      <w:lvlText w:val="•"/>
      <w:lvlJc w:val="left"/>
      <w:pPr>
        <w:tabs>
          <w:tab w:val="num" w:pos="2880"/>
        </w:tabs>
        <w:ind w:left="2880" w:hanging="360"/>
      </w:pPr>
      <w:rPr>
        <w:rFonts w:ascii="Times New Roman" w:hAnsi="Times New Roman" w:hint="default"/>
      </w:rPr>
    </w:lvl>
    <w:lvl w:ilvl="4" w:tplc="2DF45F7C" w:tentative="1">
      <w:start w:val="1"/>
      <w:numFmt w:val="bullet"/>
      <w:lvlText w:val="•"/>
      <w:lvlJc w:val="left"/>
      <w:pPr>
        <w:tabs>
          <w:tab w:val="num" w:pos="3600"/>
        </w:tabs>
        <w:ind w:left="3600" w:hanging="360"/>
      </w:pPr>
      <w:rPr>
        <w:rFonts w:ascii="Times New Roman" w:hAnsi="Times New Roman" w:hint="default"/>
      </w:rPr>
    </w:lvl>
    <w:lvl w:ilvl="5" w:tplc="B57A7A4E" w:tentative="1">
      <w:start w:val="1"/>
      <w:numFmt w:val="bullet"/>
      <w:lvlText w:val="•"/>
      <w:lvlJc w:val="left"/>
      <w:pPr>
        <w:tabs>
          <w:tab w:val="num" w:pos="4320"/>
        </w:tabs>
        <w:ind w:left="4320" w:hanging="360"/>
      </w:pPr>
      <w:rPr>
        <w:rFonts w:ascii="Times New Roman" w:hAnsi="Times New Roman" w:hint="default"/>
      </w:rPr>
    </w:lvl>
    <w:lvl w:ilvl="6" w:tplc="9A2E69D0" w:tentative="1">
      <w:start w:val="1"/>
      <w:numFmt w:val="bullet"/>
      <w:lvlText w:val="•"/>
      <w:lvlJc w:val="left"/>
      <w:pPr>
        <w:tabs>
          <w:tab w:val="num" w:pos="5040"/>
        </w:tabs>
        <w:ind w:left="5040" w:hanging="360"/>
      </w:pPr>
      <w:rPr>
        <w:rFonts w:ascii="Times New Roman" w:hAnsi="Times New Roman" w:hint="default"/>
      </w:rPr>
    </w:lvl>
    <w:lvl w:ilvl="7" w:tplc="EDB60244" w:tentative="1">
      <w:start w:val="1"/>
      <w:numFmt w:val="bullet"/>
      <w:lvlText w:val="•"/>
      <w:lvlJc w:val="left"/>
      <w:pPr>
        <w:tabs>
          <w:tab w:val="num" w:pos="5760"/>
        </w:tabs>
        <w:ind w:left="5760" w:hanging="360"/>
      </w:pPr>
      <w:rPr>
        <w:rFonts w:ascii="Times New Roman" w:hAnsi="Times New Roman" w:hint="default"/>
      </w:rPr>
    </w:lvl>
    <w:lvl w:ilvl="8" w:tplc="5CC2FD3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13"/>
  </w:num>
  <w:num w:numId="3">
    <w:abstractNumId w:val="21"/>
  </w:num>
  <w:num w:numId="4">
    <w:abstractNumId w:val="16"/>
  </w:num>
  <w:num w:numId="5">
    <w:abstractNumId w:val="11"/>
  </w:num>
  <w:num w:numId="6">
    <w:abstractNumId w:val="20"/>
  </w:num>
  <w:num w:numId="7">
    <w:abstractNumId w:val="4"/>
  </w:num>
  <w:num w:numId="8">
    <w:abstractNumId w:val="19"/>
  </w:num>
  <w:num w:numId="9">
    <w:abstractNumId w:val="14"/>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10"/>
  </w:num>
  <w:num w:numId="17">
    <w:abstractNumId w:val="2"/>
  </w:num>
  <w:num w:numId="18">
    <w:abstractNumId w:val="3"/>
  </w:num>
  <w:num w:numId="19">
    <w:abstractNumId w:val="15"/>
  </w:num>
  <w:num w:numId="20">
    <w:abstractNumId w:val="23"/>
  </w:num>
  <w:num w:numId="21">
    <w:abstractNumId w:val="9"/>
  </w:num>
  <w:num w:numId="22">
    <w:abstractNumId w:val="22"/>
  </w:num>
  <w:num w:numId="23">
    <w:abstractNumId w:val="17"/>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7DA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46C9A"/>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6194"/>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2EF9"/>
    <w:rsid w:val="00B50EA8"/>
    <w:rsid w:val="00B64082"/>
    <w:rsid w:val="00B72325"/>
    <w:rsid w:val="00B81AD3"/>
    <w:rsid w:val="00B829D8"/>
    <w:rsid w:val="00B84B5B"/>
    <w:rsid w:val="00B86446"/>
    <w:rsid w:val="00BA1176"/>
    <w:rsid w:val="00BC0EC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C619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C619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InternetSite</b:SourceType>
    <b:Guid>{C5B91B6C-FAD1-481D-8B05-468A80E499C6}</b:Guid>
    <b:Author>
      <b:Author>
        <b:Corporate>Welsh Goverment </b:Corporate>
      </b:Author>
    </b:Author>
    <b:Title>National Literacy and Numeracy Framework</b:Title>
    <b:Year>2014</b:Year>
    <b:YearAccessed>2019</b:YearAccessed>
    <b:MonthAccessed>March</b:MonthAccessed>
    <b:DayAccessed>18</b:DayAccessed>
    <b:URL>https://learning.gov.wales/resources/browse-all/nlnf/framework?component=numeracy&amp;year=6938356_2&amp;lnf_aspect=5807484___6937066&amp;lnf_aspect=5807484___7852972&amp;lnf_aspect=5807766___7852646&amp;selectedYear=col_9&amp;lang=en</b:URL>
    <b:RefOrder>1</b:RefOrder>
  </b:Source>
  <b:Source>
    <b:Tag>Man17</b:Tag>
    <b:SourceType>JournalArticle</b:SourceType>
    <b:Guid>{D31CC31A-E3F5-4F5A-8DCA-452D5F7C8E3F}</b:Guid>
    <b:Title> It has been shown that the study of music increases</b:Title>
    <b:Year>2017</b:Year>
    <b:Author>
      <b:Author>
        <b:NameList>
          <b:Person>
            <b:Last>Manouchehri</b:Last>
            <b:First>Elisabet</b:First>
          </b:Person>
        </b:NameList>
      </b:Author>
    </b:Author>
    <b:JournalName>MUSICIEN ÉDUCATEUR AU CANADA</b:JournalName>
    <b:Volume>58</b:Volume>
    <b:RefOrder>2</b:RefOrder>
  </b:Source>
  <b:Source>
    <b:Tag>Dav73</b:Tag>
    <b:SourceType>JournalArticle</b:SourceType>
    <b:Guid>{FE4C5C6F-BD6D-471A-A1BB-D1B176404D69}</b:Guid>
    <b:Author>
      <b:Author>
        <b:NameList>
          <b:Person>
            <b:Last>Devries</b:Last>
            <b:First>David</b:First>
            <b:Middle>L.</b:Middle>
          </b:Person>
          <b:Person>
            <b:Last>Edwards</b:Last>
            <b:First>Keith</b:First>
            <b:Middle>J.</b:Middle>
          </b:Person>
        </b:NameList>
      </b:Author>
    </b:Author>
    <b:Title>Learning Games and Student Teams: Their Effects on Classroom Process</b:Title>
    <b:JournalName>American Educational Research Journal</b:JournalName>
    <b:Year>1973</b:Year>
    <b:Volume>10</b:Volume>
    <b:RefOrder>3</b:RefOrder>
  </b:Source>
  <b:Source>
    <b:Tag>Bar11</b:Tag>
    <b:SourceType>Book</b:SourceType>
    <b:Guid>{10101F45-31A4-42F6-A438-67E9A3E2C04D}</b:Guid>
    <b:Title>Understanding the Montessori approach : early years education in practice</b:Title>
    <b:Year>2011</b:Year>
    <b:Author>
      <b:Author>
        <b:NameList>
          <b:Person>
            <b:Last>Isaac</b:Last>
            <b:First>Barbara</b:First>
          </b:Person>
        </b:NameList>
      </b:Author>
    </b:Author>
    <b:City>London</b:City>
    <b:Publisher>Routledge</b:Publisher>
    <b:RefOrder>4</b:RefOrder>
  </b:Source>
</b:Sources>
</file>

<file path=customXml/itemProps1.xml><?xml version="1.0" encoding="utf-8"?>
<ds:datastoreItem xmlns:ds="http://schemas.openxmlformats.org/officeDocument/2006/customXml" ds:itemID="{03A1CA69-B9EC-4286-91DE-B84A62AE2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12</Pages>
  <Words>4918</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32892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Dana Coaley</cp:lastModifiedBy>
  <cp:revision>2</cp:revision>
  <cp:lastPrinted>2014-10-10T07:42:00Z</cp:lastPrinted>
  <dcterms:created xsi:type="dcterms:W3CDTF">2019-03-25T14:13:00Z</dcterms:created>
  <dcterms:modified xsi:type="dcterms:W3CDTF">2019-03-25T14:13:00Z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