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sdt>
      <w:sdtPr>
        <w:rPr>
          <w:rFonts w:hint="default" w:ascii="Times New Roman" w:hAnsi="Times New Roman" w:eastAsia="宋体" w:cs="Times New Roman"/>
          <w:b/>
          <w:bCs/>
          <w:kern w:val="2"/>
          <w:sz w:val="28"/>
          <w:szCs w:val="36"/>
          <w:lang w:val="en-US" w:eastAsia="zh-CN" w:bidi="ar-SA"/>
        </w:rPr>
        <w:id w:val="515230315"/>
        <w15:color w:val="DBDBDB"/>
      </w:sdtPr>
      <w:sdtEndPr>
        <w:rPr>
          <w:b/>
          <w:bCs/>
          <w:sz w:val="20"/>
          <w:szCs w:val="20"/>
        </w:rPr>
      </w:sdtEndPr>
      <w:sdtContent>
        <w:p>
          <w:pPr>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Times New Roman" w:hAnsi="Times New Roman" w:cs="Times New Roman"/>
              <w:b/>
              <w:bCs/>
              <w:sz w:val="28"/>
              <w:szCs w:val="36"/>
            </w:rPr>
          </w:pPr>
          <w:bookmarkStart w:id="29" w:name="_GoBack"/>
          <w:bookmarkStart w:id="0" w:name="_Toc532665568_WPSOffice_Type2"/>
          <w:r>
            <w:rPr>
              <w:rFonts w:hint="default" w:ascii="Times New Roman" w:hAnsi="Times New Roman" w:eastAsia="宋体" w:cs="Times New Roman"/>
              <w:b/>
              <w:bCs/>
              <w:kern w:val="2"/>
              <w:sz w:val="28"/>
              <w:szCs w:val="36"/>
              <w:lang w:val="en-US" w:eastAsia="zh-CN" w:bidi="ar-SA"/>
            </w:rPr>
            <w:t>Analysis of employment relations in the UK</w:t>
          </w:r>
        </w:p>
        <w:bookmarkEnd w:id="29"/>
        <w:p>
          <w:pPr>
            <w:pStyle w:val="8"/>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rPr>
              <w:b/>
              <w:bCs/>
            </w:rPr>
            <w:fldChar w:fldCharType="begin"/>
          </w:r>
          <w:r>
            <w:instrText xml:space="preserve"> HYPERLINK \l _Toc2122186068_WPSOffice_Level1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515230315"/>
              <w:placeholder>
                <w:docPart w:val="{604c327c-313d-454e-90f8-b0ea19618cf8}"/>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eastAsiaTheme="minorEastAsia" w:cstheme="minorBidi"/>
                  <w:b/>
                  <w:bCs/>
                </w:rPr>
                <w:t>1.0 Introduction</w:t>
              </w:r>
            </w:sdtContent>
          </w:sdt>
          <w:r>
            <w:rPr>
              <w:b/>
              <w:bCs/>
            </w:rPr>
            <w:tab/>
          </w:r>
          <w:bookmarkStart w:id="1" w:name="_Toc2122186068_WPSOffice_Level1Page"/>
          <w:r>
            <w:rPr>
              <w:b/>
              <w:bCs/>
            </w:rPr>
            <w:t>1</w:t>
          </w:r>
          <w:bookmarkEnd w:id="1"/>
          <w:r>
            <w:rPr>
              <w:b/>
              <w:bCs/>
            </w:rPr>
            <w:fldChar w:fldCharType="end"/>
          </w:r>
        </w:p>
        <w:p>
          <w:pPr>
            <w:pStyle w:val="8"/>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rPr>
              <w:b/>
              <w:bCs/>
            </w:rPr>
            <w:fldChar w:fldCharType="begin"/>
          </w:r>
          <w:r>
            <w:instrText xml:space="preserve"> HYPERLINK \l _Toc532665568_WPSOffice_Level1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515230315"/>
              <w:placeholder>
                <w:docPart w:val="{883aa912-e24e-4089-b0ac-3fd37e0420d4}"/>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eastAsiaTheme="minorEastAsia" w:cstheme="minorBidi"/>
                  <w:b/>
                  <w:bCs/>
                </w:rPr>
                <w:t>2.0 Analysis employment relationship in the UK</w:t>
              </w:r>
            </w:sdtContent>
          </w:sdt>
          <w:r>
            <w:rPr>
              <w:b/>
              <w:bCs/>
            </w:rPr>
            <w:tab/>
          </w:r>
          <w:bookmarkStart w:id="2" w:name="_Toc532665568_WPSOffice_Level1Page"/>
          <w:r>
            <w:rPr>
              <w:b/>
              <w:bCs/>
            </w:rPr>
            <w:t>1</w:t>
          </w:r>
          <w:bookmarkEnd w:id="2"/>
          <w:r>
            <w:rPr>
              <w:b/>
              <w:bCs/>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fldChar w:fldCharType="begin"/>
          </w:r>
          <w:r>
            <w:instrText xml:space="preserve"> HYPERLINK \l _Toc532665568_WPSOffice_Level2 </w:instrText>
          </w:r>
          <w:r>
            <w:fldChar w:fldCharType="separate"/>
          </w:r>
          <w:sdt>
            <w:sdtPr>
              <w:rPr>
                <w:rFonts w:asciiTheme="minorHAnsi" w:hAnsiTheme="minorHAnsi" w:eastAsiaTheme="minorEastAsia" w:cstheme="minorBidi"/>
                <w:kern w:val="2"/>
                <w:sz w:val="21"/>
                <w:szCs w:val="24"/>
                <w:lang w:val="en-US" w:eastAsia="zh-CN" w:bidi="ar-SA"/>
              </w:rPr>
              <w:id w:val="515230315"/>
              <w:placeholder>
                <w:docPart w:val="{23139cd7-b312-45da-841c-03a78e5d369a}"/>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Times New Roman" w:cstheme="minorBidi"/>
                </w:rPr>
                <w:t>2.1 Police</w:t>
              </w:r>
            </w:sdtContent>
          </w:sdt>
          <w:r>
            <w:tab/>
          </w:r>
          <w:bookmarkStart w:id="3" w:name="_Toc532665568_WPSOffice_Level2Page"/>
          <w:r>
            <w:t>2</w:t>
          </w:r>
          <w:bookmarkEnd w:id="3"/>
          <w:r>
            <w:fldChar w:fldCharType="end"/>
          </w:r>
        </w:p>
        <w:p>
          <w:pPr>
            <w:pStyle w:val="9"/>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fldChar w:fldCharType="begin"/>
          </w:r>
          <w:r>
            <w:instrText xml:space="preserve"> HYPERLINK \l _Toc1798360680_WPSOffice_Level2 </w:instrText>
          </w:r>
          <w:r>
            <w:fldChar w:fldCharType="separate"/>
          </w:r>
          <w:sdt>
            <w:sdtPr>
              <w:rPr>
                <w:rFonts w:asciiTheme="minorHAnsi" w:hAnsiTheme="minorHAnsi" w:eastAsiaTheme="minorEastAsia" w:cstheme="minorBidi"/>
                <w:kern w:val="2"/>
                <w:sz w:val="21"/>
                <w:szCs w:val="24"/>
                <w:lang w:val="en-US" w:eastAsia="zh-CN" w:bidi="ar-SA"/>
              </w:rPr>
              <w:id w:val="515230315"/>
              <w:placeholder>
                <w:docPart w:val="{6f99a89b-1c71-42f5-8617-cc174da0ab51}"/>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Times New Roman" w:cstheme="minorBidi"/>
                </w:rPr>
                <w:t>2.2 Legal</w:t>
              </w:r>
            </w:sdtContent>
          </w:sdt>
          <w:r>
            <w:tab/>
          </w:r>
          <w:bookmarkStart w:id="4" w:name="_Toc1798360680_WPSOffice_Level2Page"/>
          <w:r>
            <w:t>2</w:t>
          </w:r>
          <w:bookmarkEnd w:id="4"/>
          <w:r>
            <w:fldChar w:fldCharType="end"/>
          </w:r>
        </w:p>
        <w:p>
          <w:pPr>
            <w:pStyle w:val="9"/>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fldChar w:fldCharType="begin"/>
          </w:r>
          <w:r>
            <w:instrText xml:space="preserve"> HYPERLINK \l _Toc1363100882_WPSOffice_Level2 </w:instrText>
          </w:r>
          <w:r>
            <w:fldChar w:fldCharType="separate"/>
          </w:r>
          <w:sdt>
            <w:sdtPr>
              <w:rPr>
                <w:rFonts w:asciiTheme="minorHAnsi" w:hAnsiTheme="minorHAnsi" w:eastAsiaTheme="minorEastAsia" w:cstheme="minorBidi"/>
                <w:kern w:val="2"/>
                <w:sz w:val="21"/>
                <w:szCs w:val="24"/>
                <w:lang w:val="en-US" w:eastAsia="zh-CN" w:bidi="ar-SA"/>
              </w:rPr>
              <w:id w:val="515230315"/>
              <w:placeholder>
                <w:docPart w:val="{da5dbbfc-d761-4624-ad95-ebfe5e2d297e}"/>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Times New Roman" w:cstheme="minorBidi"/>
                </w:rPr>
                <w:t>2.3 Economy</w:t>
              </w:r>
            </w:sdtContent>
          </w:sdt>
          <w:r>
            <w:tab/>
          </w:r>
          <w:bookmarkStart w:id="5" w:name="_Toc1363100882_WPSOffice_Level2Page"/>
          <w:r>
            <w:t>2</w:t>
          </w:r>
          <w:bookmarkEnd w:id="5"/>
          <w:r>
            <w:fldChar w:fldCharType="end"/>
          </w:r>
        </w:p>
        <w:p>
          <w:pPr>
            <w:pStyle w:val="9"/>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fldChar w:fldCharType="begin"/>
          </w:r>
          <w:r>
            <w:instrText xml:space="preserve"> HYPERLINK \l _Toc280977578_WPSOffice_Level2 </w:instrText>
          </w:r>
          <w:r>
            <w:fldChar w:fldCharType="separate"/>
          </w:r>
          <w:sdt>
            <w:sdtPr>
              <w:rPr>
                <w:rFonts w:asciiTheme="minorHAnsi" w:hAnsiTheme="minorHAnsi" w:eastAsiaTheme="minorEastAsia" w:cstheme="minorBidi"/>
                <w:kern w:val="2"/>
                <w:sz w:val="21"/>
                <w:szCs w:val="24"/>
                <w:lang w:val="en-US" w:eastAsia="zh-CN" w:bidi="ar-SA"/>
              </w:rPr>
              <w:id w:val="515230315"/>
              <w:placeholder>
                <w:docPart w:val="{1f9c3cfd-95b6-4888-931c-e3924a6d6ab1}"/>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Times New Roman" w:cstheme="minorBidi"/>
                </w:rPr>
                <w:t>2.4 Technology</w:t>
              </w:r>
            </w:sdtContent>
          </w:sdt>
          <w:r>
            <w:tab/>
          </w:r>
          <w:bookmarkStart w:id="6" w:name="_Toc280977578_WPSOffice_Level2Page"/>
          <w:r>
            <w:t>3</w:t>
          </w:r>
          <w:bookmarkEnd w:id="6"/>
          <w:r>
            <w:fldChar w:fldCharType="end"/>
          </w:r>
        </w:p>
        <w:p>
          <w:pPr>
            <w:pStyle w:val="8"/>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rPr>
              <w:b/>
              <w:bCs/>
            </w:rPr>
            <w:fldChar w:fldCharType="begin"/>
          </w:r>
          <w:r>
            <w:instrText xml:space="preserve"> HYPERLINK \l _Toc1798360680_WPSOffice_Level1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515230315"/>
              <w:placeholder>
                <w:docPart w:val="{384e6a5e-05af-4b54-8244-2489396ac7a5}"/>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eastAsiaTheme="minorEastAsia" w:cstheme="minorBidi"/>
                  <w:b/>
                  <w:bCs/>
                </w:rPr>
                <w:t>3.0 Historical events</w:t>
              </w:r>
            </w:sdtContent>
          </w:sdt>
          <w:r>
            <w:rPr>
              <w:b/>
              <w:bCs/>
            </w:rPr>
            <w:tab/>
          </w:r>
          <w:bookmarkStart w:id="7" w:name="_Toc1798360680_WPSOffice_Level1Page"/>
          <w:r>
            <w:rPr>
              <w:b/>
              <w:bCs/>
            </w:rPr>
            <w:t>3</w:t>
          </w:r>
          <w:bookmarkEnd w:id="7"/>
          <w:r>
            <w:rPr>
              <w:b/>
              <w:bCs/>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fldChar w:fldCharType="begin"/>
          </w:r>
          <w:r>
            <w:instrText xml:space="preserve"> HYPERLINK \l _Toc73613693_WPSOffice_Level2 </w:instrText>
          </w:r>
          <w:r>
            <w:fldChar w:fldCharType="separate"/>
          </w:r>
          <w:sdt>
            <w:sdtPr>
              <w:rPr>
                <w:rFonts w:asciiTheme="minorHAnsi" w:hAnsiTheme="minorHAnsi" w:eastAsiaTheme="minorEastAsia" w:cstheme="minorBidi"/>
                <w:kern w:val="2"/>
                <w:sz w:val="21"/>
                <w:szCs w:val="24"/>
                <w:lang w:val="en-US" w:eastAsia="zh-CN" w:bidi="ar-SA"/>
              </w:rPr>
              <w:id w:val="515230315"/>
              <w:placeholder>
                <w:docPart w:val="{4095d7bd-0ea4-4676-b193-dffcb568e488}"/>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Times New Roman" w:cstheme="minorBidi"/>
                </w:rPr>
                <w:t>3.1 Chartism movement</w:t>
              </w:r>
            </w:sdtContent>
          </w:sdt>
          <w:r>
            <w:tab/>
          </w:r>
          <w:bookmarkStart w:id="8" w:name="_Toc73613693_WPSOffice_Level2Page"/>
          <w:r>
            <w:t>3</w:t>
          </w:r>
          <w:bookmarkEnd w:id="8"/>
          <w:r>
            <w:fldChar w:fldCharType="end"/>
          </w:r>
        </w:p>
        <w:p>
          <w:pPr>
            <w:pStyle w:val="9"/>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fldChar w:fldCharType="begin"/>
          </w:r>
          <w:r>
            <w:instrText xml:space="preserve"> HYPERLINK \l _Toc274757579_WPSOffice_Level2 </w:instrText>
          </w:r>
          <w:r>
            <w:fldChar w:fldCharType="separate"/>
          </w:r>
          <w:sdt>
            <w:sdtPr>
              <w:rPr>
                <w:rFonts w:asciiTheme="minorHAnsi" w:hAnsiTheme="minorHAnsi" w:eastAsiaTheme="minorEastAsia" w:cstheme="minorBidi"/>
                <w:kern w:val="2"/>
                <w:sz w:val="21"/>
                <w:szCs w:val="24"/>
                <w:lang w:val="en-US" w:eastAsia="zh-CN" w:bidi="ar-SA"/>
              </w:rPr>
              <w:id w:val="515230315"/>
              <w:placeholder>
                <w:docPart w:val="{82aa2007-73ac-431d-8013-31b1622e8005}"/>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Times New Roman" w:cstheme="minorBidi"/>
                </w:rPr>
                <w:t>3.2 Formation of the NHS</w:t>
              </w:r>
            </w:sdtContent>
          </w:sdt>
          <w:r>
            <w:tab/>
          </w:r>
          <w:bookmarkStart w:id="9" w:name="_Toc274757579_WPSOffice_Level2Page"/>
          <w:r>
            <w:t>4</w:t>
          </w:r>
          <w:bookmarkEnd w:id="9"/>
          <w:r>
            <w:fldChar w:fldCharType="end"/>
          </w:r>
        </w:p>
        <w:p>
          <w:pPr>
            <w:pStyle w:val="8"/>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rPr>
              <w:b/>
              <w:bCs/>
            </w:rPr>
            <w:fldChar w:fldCharType="begin"/>
          </w:r>
          <w:r>
            <w:instrText xml:space="preserve"> HYPERLINK \l _Toc1363100882_WPSOffice_Level1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515230315"/>
              <w:placeholder>
                <w:docPart w:val="{add1eb75-8b45-4f03-9cd7-9b30337e5380}"/>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cs="Times New Roman" w:eastAsiaTheme="minorEastAsia"/>
                  <w:b/>
                  <w:bCs/>
                </w:rPr>
                <w:t>4.0 Changes in unions</w:t>
              </w:r>
            </w:sdtContent>
          </w:sdt>
          <w:r>
            <w:rPr>
              <w:b/>
              <w:bCs/>
            </w:rPr>
            <w:tab/>
          </w:r>
          <w:bookmarkStart w:id="10" w:name="_Toc1363100882_WPSOffice_Level1Page"/>
          <w:r>
            <w:rPr>
              <w:b/>
              <w:bCs/>
            </w:rPr>
            <w:t>4</w:t>
          </w:r>
          <w:bookmarkEnd w:id="10"/>
          <w:r>
            <w:rPr>
              <w:b/>
              <w:bCs/>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fldChar w:fldCharType="begin"/>
          </w:r>
          <w:r>
            <w:instrText xml:space="preserve"> HYPERLINK \l _Toc760789203_WPSOffice_Level2 </w:instrText>
          </w:r>
          <w:r>
            <w:fldChar w:fldCharType="separate"/>
          </w:r>
          <w:sdt>
            <w:sdtPr>
              <w:rPr>
                <w:rFonts w:asciiTheme="minorHAnsi" w:hAnsiTheme="minorHAnsi" w:eastAsiaTheme="minorEastAsia" w:cstheme="minorBidi"/>
                <w:kern w:val="2"/>
                <w:sz w:val="21"/>
                <w:szCs w:val="24"/>
                <w:lang w:val="en-US" w:eastAsia="zh-CN" w:bidi="ar-SA"/>
              </w:rPr>
              <w:id w:val="515230315"/>
              <w:placeholder>
                <w:docPart w:val="{1250a44c-b4f5-452d-9ee3-82a8c70124b6}"/>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4.1 Changes in the relationship between employers and unions</w:t>
              </w:r>
            </w:sdtContent>
          </w:sdt>
          <w:r>
            <w:tab/>
          </w:r>
          <w:bookmarkStart w:id="11" w:name="_Toc760789203_WPSOffice_Level2Page"/>
          <w:r>
            <w:t>6</w:t>
          </w:r>
          <w:bookmarkEnd w:id="11"/>
          <w:r>
            <w:fldChar w:fldCharType="end"/>
          </w:r>
        </w:p>
        <w:p>
          <w:pPr>
            <w:pStyle w:val="8"/>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rPr>
              <w:b/>
              <w:bCs/>
            </w:rPr>
            <w:fldChar w:fldCharType="begin"/>
          </w:r>
          <w:r>
            <w:instrText xml:space="preserve"> HYPERLINK \l _Toc280977578_WPSOffice_Level1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515230315"/>
              <w:placeholder>
                <w:docPart w:val="{12a3d477-ef49-4bdf-b284-3f996c41707c}"/>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cs="Times New Roman" w:eastAsiaTheme="minorEastAsia"/>
                  <w:b/>
                  <w:bCs/>
                </w:rPr>
                <w:t>5.0 Relations strategies and supporting bodies</w:t>
              </w:r>
            </w:sdtContent>
          </w:sdt>
          <w:r>
            <w:rPr>
              <w:b/>
              <w:bCs/>
            </w:rPr>
            <w:tab/>
          </w:r>
          <w:bookmarkStart w:id="12" w:name="_Toc280977578_WPSOffice_Level1Page"/>
          <w:r>
            <w:rPr>
              <w:b/>
              <w:bCs/>
            </w:rPr>
            <w:t>6</w:t>
          </w:r>
          <w:bookmarkEnd w:id="12"/>
          <w:r>
            <w:rPr>
              <w:b/>
              <w:bCs/>
            </w:rPr>
            <w:fldChar w:fldCharType="end"/>
          </w:r>
        </w:p>
        <w:p>
          <w:pPr>
            <w:pStyle w:val="8"/>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rPr>
              <w:b/>
              <w:bCs/>
            </w:rPr>
            <w:fldChar w:fldCharType="begin"/>
          </w:r>
          <w:r>
            <w:instrText xml:space="preserve"> HYPERLINK \l _Toc73613693_WPSOffice_Level1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515230315"/>
              <w:placeholder>
                <w:docPart w:val="{3082c779-a8db-430c-94ef-f12983ca4e92}"/>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cs="Times New Roman" w:eastAsiaTheme="minorEastAsia"/>
                  <w:b/>
                  <w:bCs/>
                </w:rPr>
                <w:t>6.0 Conclusion</w:t>
              </w:r>
            </w:sdtContent>
          </w:sdt>
          <w:r>
            <w:rPr>
              <w:b/>
              <w:bCs/>
            </w:rPr>
            <w:tab/>
          </w:r>
          <w:bookmarkStart w:id="13" w:name="_Toc73613693_WPSOffice_Level1Page"/>
          <w:r>
            <w:rPr>
              <w:b/>
              <w:bCs/>
            </w:rPr>
            <w:t>7</w:t>
          </w:r>
          <w:bookmarkEnd w:id="13"/>
          <w:r>
            <w:rPr>
              <w:b/>
              <w:bCs/>
            </w:rPr>
            <w:fldChar w:fldCharType="end"/>
          </w:r>
        </w:p>
        <w:p>
          <w:pPr>
            <w:pStyle w:val="8"/>
            <w:pageBreakBefore w:val="0"/>
            <w:tabs>
              <w:tab w:val="right" w:leader="dot" w:pos="8306"/>
            </w:tabs>
            <w:kinsoku/>
            <w:wordWrap/>
            <w:overflowPunct/>
            <w:topLinePunct w:val="0"/>
            <w:autoSpaceDE/>
            <w:autoSpaceDN/>
            <w:bidi w:val="0"/>
            <w:adjustRightInd/>
            <w:snapToGrid/>
            <w:spacing w:line="480" w:lineRule="auto"/>
            <w:ind w:right="0" w:rightChars="0" w:firstLine="0" w:firstLineChars="0"/>
            <w:textAlignment w:val="auto"/>
          </w:pPr>
          <w:r>
            <w:rPr>
              <w:b/>
              <w:bCs/>
            </w:rPr>
            <w:fldChar w:fldCharType="begin"/>
          </w:r>
          <w:r>
            <w:instrText xml:space="preserve"> HYPERLINK \l _Toc274757579_WPSOffice_Level1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515230315"/>
              <w:placeholder>
                <w:docPart w:val="{d1f13558-7449-46f8-b42b-3fd712cbe991}"/>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cs="Times New Roman" w:eastAsiaTheme="minorEastAsia"/>
                  <w:b/>
                  <w:bCs/>
                </w:rPr>
                <w:t>7.0 Reference</w:t>
              </w:r>
            </w:sdtContent>
          </w:sdt>
          <w:r>
            <w:rPr>
              <w:b/>
              <w:bCs/>
            </w:rPr>
            <w:tab/>
          </w:r>
          <w:bookmarkStart w:id="14" w:name="_Toc274757579_WPSOffice_Level1Page"/>
          <w:r>
            <w:rPr>
              <w:b/>
              <w:bCs/>
            </w:rPr>
            <w:t>8</w:t>
          </w:r>
          <w:bookmarkEnd w:id="14"/>
          <w:r>
            <w:rPr>
              <w:b/>
              <w:bCs/>
            </w:rPr>
            <w:fldChar w:fldCharType="end"/>
          </w:r>
          <w:bookmarkEnd w:id="0"/>
        </w:p>
      </w:sdtContent>
    </w:sdt>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rPr>
      </w:pPr>
    </w:p>
    <w:p>
      <w:pPr>
        <w:pStyle w:val="5"/>
        <w:pageBreakBefore w:val="0"/>
        <w:kinsoku/>
        <w:wordWrap/>
        <w:overflowPunct/>
        <w:topLinePunct w:val="0"/>
        <w:autoSpaceDE/>
        <w:autoSpaceDN/>
        <w:bidi w:val="0"/>
        <w:adjustRightInd/>
        <w:snapToGrid/>
        <w:spacing w:line="480" w:lineRule="auto"/>
        <w:ind w:right="0" w:rightChars="0" w:firstLine="0" w:firstLineChars="0"/>
        <w:textAlignment w:val="auto"/>
        <w:outlineLvl w:val="0"/>
        <w:rPr>
          <w:rFonts w:hint="default"/>
        </w:rPr>
      </w:pPr>
      <w:bookmarkStart w:id="15" w:name="_Toc2122186068_WPSOffice_Level1"/>
      <w:r>
        <w:rPr>
          <w:rFonts w:hint="default"/>
        </w:rPr>
        <w:t>1.0 Introduction</w:t>
      </w:r>
      <w:bookmarkEnd w:id="15"/>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This report analyzes the structure of employment relations in the UK and some historical events affecting employment relations in the UK. It also analyzes how it affects British employment relations. It also analyzes the impact of Brexit on employment relations. Finally, I put forward some suggestions, hoping that these suggestions can help the company reasonably resolve the relationship with employees.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5"/>
        <w:pageBreakBefore w:val="0"/>
        <w:kinsoku/>
        <w:wordWrap/>
        <w:overflowPunct/>
        <w:topLinePunct w:val="0"/>
        <w:autoSpaceDE/>
        <w:autoSpaceDN/>
        <w:bidi w:val="0"/>
        <w:adjustRightInd/>
        <w:snapToGrid/>
        <w:spacing w:line="480" w:lineRule="auto"/>
        <w:ind w:right="0" w:rightChars="0" w:firstLine="0" w:firstLineChars="0"/>
        <w:textAlignment w:val="auto"/>
        <w:outlineLvl w:val="0"/>
        <w:rPr>
          <w:rFonts w:hint="default"/>
        </w:rPr>
      </w:pPr>
      <w:bookmarkStart w:id="16" w:name="_Toc532665568_WPSOffice_Level1"/>
      <w:r>
        <w:rPr>
          <w:rFonts w:hint="default"/>
        </w:rPr>
        <w:t>2.0 Analysis employment relationship in the UK</w:t>
      </w:r>
      <w:bookmarkEnd w:id="16"/>
    </w:p>
    <w:p>
      <w:pPr>
        <w:pStyle w:val="7"/>
        <w:pageBreakBefore w:val="0"/>
        <w:kinsoku/>
        <w:wordWrap/>
        <w:overflowPunct/>
        <w:topLinePunct w:val="0"/>
        <w:autoSpaceDE/>
        <w:autoSpaceDN/>
        <w:bidi w:val="0"/>
        <w:adjustRightInd/>
        <w:snapToGrid/>
        <w:spacing w:line="480" w:lineRule="auto"/>
        <w:ind w:right="0" w:rightChars="0" w:firstLine="0" w:firstLineChars="0"/>
        <w:textAlignment w:val="auto"/>
        <w:outlineLvl w:val="1"/>
        <w:rPr>
          <w:rFonts w:hint="default"/>
        </w:rPr>
      </w:pPr>
      <w:bookmarkStart w:id="17" w:name="_Toc532665568_WPSOffice_Level2"/>
      <w:r>
        <w:rPr>
          <w:rFonts w:hint="default"/>
        </w:rPr>
        <w:t>2.1 Police</w:t>
      </w:r>
      <w:bookmarkEnd w:id="17"/>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government plays a vital role in the employment relationship. It affects employment relationships not only politically, but also economically. From 1946 to 1979, government parties that adopted democratic policies protected the interests of both unions and employers to varying degrees. However, from 1979 to 1997, the conservative parties continued their party and government and adopted a more substantial neoliberal individualism and fair laissez-faire policy, while emphasizing the power of the market and individualism.</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In traditional labor-management relations, the government role should not interfere with it. So after 1980, government intervention caused a high degree of controversy in the society and dissatisfaction with unions and employers. From 1980 to 1997, the Conservative government entered a period of laissez-faire. During this period, relevant laws and regulations formulated by the government weakened the influence of trade unions and the right to negotiate, and used high interest rates and financial controls to regulate. Following the natural law of labor-management relations, the law allows privatization of state-owned industries and institutions.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7"/>
        <w:pageBreakBefore w:val="0"/>
        <w:kinsoku/>
        <w:wordWrap/>
        <w:overflowPunct/>
        <w:topLinePunct w:val="0"/>
        <w:autoSpaceDE/>
        <w:autoSpaceDN/>
        <w:bidi w:val="0"/>
        <w:adjustRightInd/>
        <w:snapToGrid/>
        <w:spacing w:line="480" w:lineRule="auto"/>
        <w:ind w:right="0" w:rightChars="0" w:firstLine="0" w:firstLineChars="0"/>
        <w:textAlignment w:val="auto"/>
        <w:outlineLvl w:val="1"/>
        <w:rPr>
          <w:rFonts w:hint="default"/>
        </w:rPr>
      </w:pPr>
      <w:bookmarkStart w:id="18" w:name="_Toc1798360680_WPSOffice_Level2"/>
      <w:r>
        <w:rPr>
          <w:rFonts w:hint="default"/>
        </w:rPr>
        <w:t>2.2 Legal</w:t>
      </w:r>
      <w:bookmarkEnd w:id="18"/>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government also believes that the law has unavoidable limitations on employment opportunities, thereby improving the factors affecting employment relationships. Due to conservative political thinking, the legal policies it advocates inevitably come down to economic impact. In the 1980s and 1990s, the Conservative government introduced a series of economic parameters into the government department's salary system, but there was no formal payment policy. The New Labour Government was born in May 1997. Its main proposals include: more efficient use of public expenditure, cooperation with the private sector and following planned public expenditure when needed; encouraging and rewarding hard work through fair taxes; and encouraging small businesses And local economic growth and lower long-term unemployment. After 1997, the New Labour government continued the wage control measures of government departments, and there is still no formal payment policy.</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7"/>
        <w:pageBreakBefore w:val="0"/>
        <w:kinsoku/>
        <w:wordWrap/>
        <w:overflowPunct/>
        <w:topLinePunct w:val="0"/>
        <w:autoSpaceDE/>
        <w:autoSpaceDN/>
        <w:bidi w:val="0"/>
        <w:adjustRightInd/>
        <w:snapToGrid/>
        <w:spacing w:line="480" w:lineRule="auto"/>
        <w:ind w:right="0" w:rightChars="0" w:firstLine="0" w:firstLineChars="0"/>
        <w:textAlignment w:val="auto"/>
        <w:outlineLvl w:val="1"/>
        <w:rPr>
          <w:rFonts w:hint="default"/>
        </w:rPr>
      </w:pPr>
      <w:bookmarkStart w:id="19" w:name="_Toc1363100882_WPSOffice_Level2"/>
      <w:r>
        <w:rPr>
          <w:rFonts w:hint="default"/>
        </w:rPr>
        <w:t>2.3 Economy</w:t>
      </w:r>
      <w:bookmarkEnd w:id="19"/>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Economic Performance Centre of the London School of Economics and Political Science has published a research report that in the most pessimistic scenario, Brexit will cause a loss of 6.3% to 9.5% of the UK's GDP. This is equivalent to a 1008 economic crisis. Choosing to leave the EU requires negotiating a new relationship contract with the EU, with a time period of two or three years and a long period of seven or eight years. According to the International Monetary Organization, this will lead to the inevitable impact of the British economy. Until the British economy is completely stable, the annual economic loss for each household in the UK may reach 5,000 pounds. For many companies, the economic losses caused by Brexit will change the employment relationship with company employees and may reduce the wages of employees appropriately.</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7"/>
        <w:pageBreakBefore w:val="0"/>
        <w:kinsoku/>
        <w:wordWrap/>
        <w:overflowPunct/>
        <w:topLinePunct w:val="0"/>
        <w:autoSpaceDE/>
        <w:autoSpaceDN/>
        <w:bidi w:val="0"/>
        <w:adjustRightInd/>
        <w:snapToGrid/>
        <w:spacing w:line="480" w:lineRule="auto"/>
        <w:ind w:right="0" w:rightChars="0" w:firstLine="0" w:firstLineChars="0"/>
        <w:textAlignment w:val="auto"/>
        <w:outlineLvl w:val="1"/>
        <w:rPr>
          <w:rFonts w:hint="default"/>
        </w:rPr>
      </w:pPr>
      <w:bookmarkStart w:id="20" w:name="_Toc280977578_WPSOffice_Level2"/>
      <w:r>
        <w:rPr>
          <w:rFonts w:hint="default"/>
        </w:rPr>
        <w:t>2.4 Technology</w:t>
      </w:r>
      <w:bookmarkEnd w:id="20"/>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Artificial intelligence technology started in developed countries. The phenomenon of "smart casting" first appeared in these countries. After entering the 21st century, its development has become increasingly fierce. In the manufacturing industry, developed countries have widely used intelligent manufacturing technology, and unmanned fully automatic production lines have been used, which has significantly reduced the labor intensity of the manufacturing industry. In the field of service industry, European and American countries also continue to introduce intelligent technology, and the use of intelligent systems has also replaced many jobs in the service industry. For example, Japan's famous Kuna sushi restaurant chain has developed an intelligent system. Robots are responsible for making sushi in 262 restaurant chains, and even waiters have been replaced by automatic conveyors. As one of the most advanced countries in AI technology, the impact of AI on employment relations in the future is inevitable. In fact, the impact of artificial intelligence development on employment has multiple characteristics: new technologies are also creating new job opportunities while reducing original jobs; under the influence of technological progress, not only the employment scale will change, but the employment structure will also occur. Profound adjustment; in the long run, workers face both the risk of technical unemployment and the opportunity to improve employment quality.</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5"/>
        <w:pageBreakBefore w:val="0"/>
        <w:kinsoku/>
        <w:wordWrap/>
        <w:overflowPunct/>
        <w:topLinePunct w:val="0"/>
        <w:autoSpaceDE/>
        <w:autoSpaceDN/>
        <w:bidi w:val="0"/>
        <w:adjustRightInd/>
        <w:snapToGrid/>
        <w:spacing w:line="480" w:lineRule="auto"/>
        <w:ind w:right="0" w:rightChars="0" w:firstLine="0" w:firstLineChars="0"/>
        <w:textAlignment w:val="auto"/>
        <w:outlineLvl w:val="0"/>
        <w:rPr>
          <w:rFonts w:hint="default"/>
        </w:rPr>
      </w:pPr>
      <w:bookmarkStart w:id="21" w:name="_Toc1798360680_WPSOffice_Level1"/>
      <w:r>
        <w:rPr>
          <w:rFonts w:hint="default"/>
        </w:rPr>
        <w:t>3.0 Historical events</w:t>
      </w:r>
      <w:bookmarkEnd w:id="21"/>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7"/>
        <w:pageBreakBefore w:val="0"/>
        <w:kinsoku/>
        <w:wordWrap/>
        <w:overflowPunct/>
        <w:topLinePunct w:val="0"/>
        <w:autoSpaceDE/>
        <w:autoSpaceDN/>
        <w:bidi w:val="0"/>
        <w:adjustRightInd/>
        <w:snapToGrid/>
        <w:spacing w:line="480" w:lineRule="auto"/>
        <w:ind w:right="0" w:rightChars="0" w:firstLine="0" w:firstLineChars="0"/>
        <w:textAlignment w:val="auto"/>
        <w:outlineLvl w:val="1"/>
        <w:rPr>
          <w:rFonts w:hint="default"/>
        </w:rPr>
      </w:pPr>
      <w:bookmarkStart w:id="22" w:name="_Toc73613693_WPSOffice_Level2"/>
      <w:r>
        <w:rPr>
          <w:rFonts w:hint="default"/>
        </w:rPr>
        <w:t>3.1 Chartism movement</w:t>
      </w:r>
      <w:bookmarkEnd w:id="22"/>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Char</w:t>
      </w:r>
      <w:r>
        <w:rPr>
          <w:rFonts w:hint="default" w:ascii="Times New Roman" w:hAnsi="Times New Roman" w:cs="Times New Roman"/>
          <w:sz w:val="24"/>
          <w:szCs w:val="24"/>
        </w:rPr>
        <w:t>tism</w:t>
      </w:r>
      <w:r>
        <w:rPr>
          <w:rFonts w:hint="default" w:ascii="Times New Roman" w:hAnsi="Times New Roman" w:cs="Times New Roman"/>
          <w:sz w:val="24"/>
          <w:szCs w:val="24"/>
        </w:rPr>
        <w:t xml:space="preserve"> Movement was a mass movement that took place in Britain in the middle of the 19th century and demanded by socio-political reforms to obtain universal suffrage.</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In 1840, the National Charter Association was established in Manchester, and local Charter Associations were subsequently established in various places. Under the nationwide protests and rescues initiated by the charters, arrested charter leaders have been rescued one after another, and the charter movement has revived</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In May 1842, the charter submitted a second petition to Parliament. The total population of Britain at the time was 19 million, and more than 3.3 million people signed the second petition. The charters have won the support of half of adult men across the country. The petition is 6 miles long and spectacular. The new petition reiterates the original political requirements of the People's Charter, puts forward requirements to limit working hours, raise wages, and improve working conditions, and slams the inequality of wealth in society.However, Congress rejected the petition again with 287 votes against 49, workers protested general strikes in various places, the government dispatched military police again to suppress and arrested leaders and activists.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Although this movement failed, it provided a wealth of experience for the later international workers' movement. Its high degree of organization and awareness was inherited by the First International founded by Marx and Engels. In addition, the British government is afraid of the power of the workers' movement, and in order to ease social conflicts, it has successively implemented some concession policies. Five of the six requirements of the People's Charter were later implemented one by one</w:t>
      </w:r>
      <w:r>
        <w:rPr>
          <w:rFonts w:hint="default" w:ascii="Times New Roman" w:hAnsi="Times New Roman" w:cs="Times New Roman"/>
          <w:sz w:val="24"/>
          <w:szCs w:val="24"/>
        </w:rPr>
        <w:t>.</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7"/>
        <w:pageBreakBefore w:val="0"/>
        <w:kinsoku/>
        <w:wordWrap/>
        <w:overflowPunct/>
        <w:topLinePunct w:val="0"/>
        <w:autoSpaceDE/>
        <w:autoSpaceDN/>
        <w:bidi w:val="0"/>
        <w:adjustRightInd/>
        <w:snapToGrid/>
        <w:spacing w:line="480" w:lineRule="auto"/>
        <w:ind w:right="0" w:rightChars="0" w:firstLine="0" w:firstLineChars="0"/>
        <w:textAlignment w:val="auto"/>
        <w:outlineLvl w:val="1"/>
        <w:rPr>
          <w:rFonts w:hint="default"/>
        </w:rPr>
      </w:pPr>
      <w:bookmarkStart w:id="23" w:name="_Toc274757579_WPSOffice_Level2"/>
      <w:r>
        <w:rPr>
          <w:rFonts w:hint="default"/>
        </w:rPr>
        <w:t>3.2 Formation of the NHS</w:t>
      </w:r>
      <w:bookmarkEnd w:id="23"/>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United Kingdom is the first country in the world to implement universal health care. As the largest publicly funded medical system in Europe, the NHS provides comprehensive medical protection for British nationals.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United Kingdom promulgated the National Health Service Act in 1946, which stipulates that medical insurance funds are allocated to medical institutions in the form of national budget allocations, and free or low-cost medical prevention or health care services are provided to citizens. Medical service system. The UK has nationalized most hospitals, and the British government provides budgets to health authorities for distribution to hospitals and general practitioners who have signed agreements with the government. The insurance coverage is for everyone living in the UK. The British medical service system is divided into three levels: primary medical services mainly based on general practitioners, secondary medical services based on hospitals, and tertiary medical services. Primary medical services are mainly provided by the community as a unit of medical security, and hospital-based secondary medical services are provided by the public health system.</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management model of the NHS is highly planned, which has made British medical institutions' own operating mechanisms, management models, funding sources and other aspects strictly controlled by the government. Although the NHS system has provided many people with jobs, the compensation of medical staff is also strictly controlled. The irrational design of this compensation system has also led to the lack of effective incentive mechanisms. The lack of competitive vitality has led to the lack of motivation for doctors to passively work and work For inefficiency and other issues, citizens often need to wait in line for several days when they are hospitalized. At the same time, inadequate equipment and manpower deployment have inhibited medical institutions from adopting new technologies and purchasing new equipment, resulting in inefficient medical institutions.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2"/>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rPr>
      </w:pPr>
      <w:bookmarkStart w:id="24" w:name="_Toc1363100882_WPSOffice_Level1"/>
      <w:r>
        <w:rPr>
          <w:rFonts w:hint="default" w:ascii="Times New Roman" w:hAnsi="Times New Roman" w:cs="Times New Roman"/>
          <w:sz w:val="28"/>
          <w:szCs w:val="28"/>
        </w:rPr>
        <w:t>4.0 Changes in unions</w:t>
      </w:r>
      <w:bookmarkEnd w:id="24"/>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origins of British trade unions can be traced back to the end of the 17th century. With the development of industry, the medieval guilds began to decline, and labor began to organize with employers to determine the reasonable wages that the industry deserves. This original labor organization, called a chapel, started as a club-like social organization, but later evolved into a union organization that opposed employers. During the British-French war, union organizations and political activism combined to form a powerful force. In 1800, the government introduced an association law to restrict the development of workers' illegal organizations.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By the mid to late 19th century, British trade unions began to develop on a large scale. In 1868, Britain's first national union federation, the Trade Union Confederation, was announced. Its establishment showed that British workers had formed an organized nationwide And decisive power.</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From 1978 to 1979, a series of strikes broke out in the British public sector, known as the "Winter of Dissatisfaction". The public's doubts about union rights deepened, and attacks on union privileges became one of the keys to the Conservative Party's 1979 election. After the Conservative Lady Thatcher came to power in 1979, she vigorously promoted denationalization and took privatization as the core of her economic policy. The Thatcher government believed that the excessively strong trade unions were an obstacle for enterprises to improve economic efficiency, so they abandoned the past government's approach to negotiation, negotiation and compromise on trade unions, and the government and trade unions were no longer equal "partnerships." The government has adopted a tough policy to weaken the union's strength and cancel the full membership system. It has passed the Employment Law and the Trade Union Law, abolished the universal legal immunity enjoyed by unions, suppressed workers' strikes, restricted the ability of union leaders to act, and reduced labor-management conflicts. Scope of legitimacy. The unsuccessful strike of the miners in the mid-1980s made the trade unions to fame. After the privatization of the public sector, the trade unions were almost unable to enter the government. By the end of the 1980s, British trade unions no longer had a significant impact on the country's political life as in the past.</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During this period, the development of British unions was in a low and difficult period. The number of union members has decreased significantly, from nearly 12 million in 1979 to 7.117 million in 1997. The recognition of unions has plummeted. According to a series of workplace employee relations surveys, the percentage of workplaces with more than 25 employees in 1980 was 64%, and by 1998 it had fallen to 42%. The decline in trade union recognition in the private sector is particularly pronounced. In 1980, half of the private sector recognized trade unions, and by 1998 only 25% of the private sector recognized trade unions. At the same time that union recognition has declined, some employment organizations have begun to revoke union recognition in an attempt to squeeze the union out of the management of labor relations. The management side revokes the recognition of trade unions on the grounds that the membership of the unions has declined or the activities of the trade unions no longer exist; the second is to adopt a gradual strategy to make the weak unions gradually decline in the organization, while adjusting the strong union organizations, especially in the production process China's trade unions in an important strategic position eventually canceled the unions. Adjustment methods include organizational restructuring and layoffs, introduction of incentives to encourage employees to sign individual contracts, reducing employees' need for collective bargaining, and so on.</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2"/>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rPr>
      </w:pPr>
      <w:bookmarkStart w:id="25" w:name="_Toc760789203_WPSOffice_Level2"/>
      <w:r>
        <w:rPr>
          <w:rFonts w:hint="default" w:ascii="Times New Roman" w:hAnsi="Times New Roman" w:cs="Times New Roman"/>
          <w:sz w:val="28"/>
          <w:szCs w:val="28"/>
        </w:rPr>
        <w:t>4.1 Changes in the relationship between employers and unions</w:t>
      </w:r>
      <w:bookmarkEnd w:id="25"/>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With the deepening of economic globalization and the scientific and technological revolution, the balance of rights between capital and labor has been reshaped. Against the background of a major change in the balance of power between employers and employees, the Blair government of the newly ruling Labor Party emphasized in its 1998 labor relations reform plan that the goal of labor relations adjustment is to achieve partnership between employers and employees. The Employment Relations Law, drafted in January 1999, proposed the establishment of a legislative process for unions to be recognized by employers and to achieve collective bargaining between the two. After Labor came to power, it did not abolish labor regulations and policies that constrained unions during the Conservative Party's administration. The Blair government adjusted labor relations by increasing the individual legal rights of workers rather than strengthening the collective rights of unions. To address the strike, the Blair government is as restrictive as the Conservative government. The only difference is that the Blair government has provided more legislative protection for those participating in legal labor operations.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Although the Blair government has basically adopted an inherited attitude toward Thatcherism, the situation of the union has still improved to some extent compared to the period of the Conservative Party. Labour came to power after fulfilling its national minimum wage, giving unions a statutory say and Britain ’s accession to the EU ’s social charter. The Employment Relations Act 1999 introduced legal provisions for recognized trade unions, which came into effect on June 6, 2000. The traditional recognition path is that the union seeks the employer's approval. The employer's approval of the union is voluntary, and it can either accept or refuse the approval of the union. The Employment Relations Act enables employers to recognize unions through a statutory procedure, and unions can apply to the government and register. The union has a recognized initiative, which is conducive to gaining the power to compete with the employer and achieve a balance of power between employers and employees.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With the implementation of statutory recognition of trade union regulations in June 2000, the rate of hiring organizations to recognize trade unions has increased significantly.</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2"/>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rPr>
      </w:pPr>
      <w:bookmarkStart w:id="26" w:name="_Toc280977578_WPSOffice_Level1"/>
      <w:r>
        <w:rPr>
          <w:rFonts w:hint="default" w:ascii="Times New Roman" w:hAnsi="Times New Roman" w:cs="Times New Roman"/>
          <w:sz w:val="28"/>
          <w:szCs w:val="28"/>
        </w:rPr>
        <w:t>5.0 Relations strategies and supporting bodies</w:t>
      </w:r>
      <w:bookmarkEnd w:id="26"/>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UK labor dispute settlement system is mainly composed of four agencies: the Labor Advisory Mediation and Arbitration Commission, the Industrial Court, the Labor Appeals Tribunal, and the Central Arbitration Commission. The Labor Advisory Mediation and Arbitration Commission is a non-sectoral, completely independent and impartial entity that mainly handles individual labor disputes and collective bargaining disputes.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ACAS can provide information and advice to promote good partnerships. The Labor Advisory Mediation and Arbitration Commission has established a nationwide public consultation network to provide timely answers to questions raised by individuals on all employment matters, including rights, protections and obligations under the Employment Law. The Labor Advisory Mediation and Arbitration Commission often organizes conferences and seminars on topics related to employment and labor relations, and uses the experience and research results of cooperation with various organizations to promote the operation of good labor relations.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Looking at the development of the Labor Advisory Mediation and Arbitration Commission, the duties of the Labor Advisory Mediation and Arbitration Commission have not changed much in the past few decades. Dispute resolution and information consultation go hand in hand, but the ratio between the two has already occurred. great change. The information consulting business has increased substantially. The reasons are as follows: First, the number of individual rights cases has increased. The labor advisory mediation and arbitration commission has shifted its focus from collective dispute cases to individual cases. Individual cases require the labor advisory mediation and arbitration commission to provide more information and advisory services. The second is the changing environment of labor relations. Under the dual pressure of the product market and the labor market, employers need to implement more effective management in human resource management, which involves all aspects of labor relations, and therefore urgently needs the guidance and assistance of professional and authoritative institutions. With the adjustment of the work advisory mediation and arbitration commission's work priorities and the continuous changes in the labor relationship environment, the role of the labor mediation and arbitration commission has gradually changed from "prevention and settlement" to "service and support".Therefore, in the face of BREXIT challenges, the reasonable use of ACAS can make the relationship between employees and the company more harmonious, so as to reasonably solve the problems caused by BREXIT, and strive to minimize the losses of both parties.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2"/>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rPr>
      </w:pPr>
      <w:bookmarkStart w:id="27" w:name="_Toc73613693_WPSOffice_Level1"/>
      <w:r>
        <w:rPr>
          <w:rFonts w:hint="default" w:ascii="Times New Roman" w:hAnsi="Times New Roman" w:cs="Times New Roman"/>
          <w:sz w:val="28"/>
          <w:szCs w:val="28"/>
        </w:rPr>
        <w:t>6.0 Conclusion</w:t>
      </w:r>
      <w:bookmarkEnd w:id="27"/>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In the past few decades, British labor relations have undergone major changes in the political, economic, and social environment, and unions are actively seeking breakthroughs in difficult situations when their strength is greatly weakened. Although Labor's re-ruling has strengthened legal recognition of unions, the spring of unions is far from here. Due to the popularity of human resource management in employment organizations, employers currently dominate the labor relationship. However, employers still need to pay attention to the reasonable resolution of conflicts with employees and work through BREXIT challenges through cooperation.</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p>
    <w:p>
      <w:pPr>
        <w:pStyle w:val="2"/>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rPr>
      </w:pPr>
      <w:bookmarkStart w:id="28" w:name="_Toc274757579_WPSOffice_Level1"/>
      <w:r>
        <w:rPr>
          <w:rFonts w:hint="default" w:ascii="Times New Roman" w:hAnsi="Times New Roman" w:cs="Times New Roman"/>
          <w:sz w:val="28"/>
          <w:szCs w:val="28"/>
        </w:rPr>
        <w:t>7.0 Reference</w:t>
      </w:r>
      <w:bookmarkEnd w:id="28"/>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Bitner, MJ and Booms, BH, (1981), Charter Movement Analysis. In Donnelly JH, George WR. (Eds), Proceedings of the Conference:, pp. 47-52.</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Ashill, N. And Jobbe, D. (2014), The History of the Charter Movement, British Journal of History (30), pp. 3-4.</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Constantinides, E. (2006), "The Founding of the NHS", British Journal of History (22), 407-438.</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Išoraitė, M. (2016), Theoretical Aspects of the British Journal of History.</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Kaplan (RS) and Norton (DP.), (2005), Office of Strategic Management, retrieved February 23, 2020 at https://hbr.org/2005/10/the -Strategic Office.</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Luenendonk, M. , (2014), British Politics, retrieved on February 25, 2020 at https://www.cleverism.com/understanding-marketing-mix-concept-4ps/.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Manthei, L. (2017), "The Impact of AI on Employee Relations in the UK", retrieved from https://emarsys.com/learn/blog/4-ps-of-marketing-/ on February 21, 2020</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Pautasso, M. , (2013), Ten Simple Rules for Writing Literary Reviews.</w:t>
      </w:r>
    </w:p>
    <w:p>
      <w:pPr>
        <w:pageBreakBefore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Rowe, F. (2014), "What Literary Review Is Not: Diversity, Boundaries, and Recommendations", European Journal of Information Systems, (23), 241--255.</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MT Extra">
    <w:panose1 w:val="05050102010205020202"/>
    <w:charset w:val="00"/>
    <w:family w:val="auto"/>
    <w:pitch w:val="default"/>
    <w:sig w:usb0="80000000" w:usb1="00000000" w:usb2="00000000" w:usb3="00000000" w:csb0="00000000" w:csb1="00000000"/>
  </w:font>
  <w:font w:name="Calibri Light">
    <w:altName w:val="Helvetica Neue"/>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冬青黑体简体中文">
    <w:panose1 w:val="020B0300000000000000"/>
    <w:charset w:val="86"/>
    <w:family w:val="auto"/>
    <w:pitch w:val="default"/>
    <w:sig w:usb0="A00002BF" w:usb1="1ACF7CFA" w:usb2="00000016" w:usb3="00000000" w:csb0="0006000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7"/>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DDB3F35"/>
    <w:rsid w:val="4BAFCCA7"/>
    <w:rsid w:val="9BFF02E7"/>
    <w:rsid w:val="F77DC27A"/>
    <w:rsid w:val="FDDB3F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3">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customStyle="1" w:styleId="5">
    <w:name w:val="标题1"/>
    <w:basedOn w:val="1"/>
    <w:uiPriority w:val="0"/>
    <w:rPr>
      <w:rFonts w:ascii="Times New Roman" w:hAnsi="Times New Roman" w:eastAsiaTheme="minorEastAsia"/>
      <w:b/>
      <w:sz w:val="28"/>
    </w:rPr>
  </w:style>
  <w:style w:type="paragraph" w:customStyle="1" w:styleId="6">
    <w:name w:val="正文1"/>
    <w:basedOn w:val="1"/>
    <w:uiPriority w:val="0"/>
    <w:rPr>
      <w:rFonts w:ascii="Times New Roman" w:hAnsi="Times New Roman" w:eastAsia="Times New Roman"/>
      <w:sz w:val="24"/>
    </w:rPr>
  </w:style>
  <w:style w:type="paragraph" w:customStyle="1" w:styleId="7">
    <w:name w:val="标题2"/>
    <w:basedOn w:val="6"/>
    <w:uiPriority w:val="0"/>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604c327c-313d-454e-90f8-b0ea19618cf8}"/>
        <w:style w:val=""/>
        <w:category>
          <w:name w:val="常规"/>
          <w:gallery w:val="placeholder"/>
        </w:category>
        <w:types>
          <w:type w:val="bbPlcHdr"/>
        </w:types>
        <w:behaviors>
          <w:behavior w:val="content"/>
        </w:behaviors>
        <w:description w:val=""/>
        <w:guid w:val="{604c327c-313d-454e-90f8-b0ea19618cf8}"/>
      </w:docPartPr>
      <w:docPartBody>
        <w:p>
          <w:r>
            <w:rPr>
              <w:color w:val="808080"/>
            </w:rPr>
            <w:t>单击此处输入文字。</w:t>
          </w:r>
        </w:p>
      </w:docPartBody>
    </w:docPart>
    <w:docPart>
      <w:docPartPr>
        <w:name w:val="{883aa912-e24e-4089-b0ac-3fd37e0420d4}"/>
        <w:style w:val=""/>
        <w:category>
          <w:name w:val="常规"/>
          <w:gallery w:val="placeholder"/>
        </w:category>
        <w:types>
          <w:type w:val="bbPlcHdr"/>
        </w:types>
        <w:behaviors>
          <w:behavior w:val="content"/>
        </w:behaviors>
        <w:description w:val=""/>
        <w:guid w:val="{883aa912-e24e-4089-b0ac-3fd37e0420d4}"/>
      </w:docPartPr>
      <w:docPartBody>
        <w:p>
          <w:r>
            <w:rPr>
              <w:color w:val="808080"/>
            </w:rPr>
            <w:t>单击此处输入文字。</w:t>
          </w:r>
        </w:p>
      </w:docPartBody>
    </w:docPart>
    <w:docPart>
      <w:docPartPr>
        <w:name w:val="{23139cd7-b312-45da-841c-03a78e5d369a}"/>
        <w:style w:val=""/>
        <w:category>
          <w:name w:val="常规"/>
          <w:gallery w:val="placeholder"/>
        </w:category>
        <w:types>
          <w:type w:val="bbPlcHdr"/>
        </w:types>
        <w:behaviors>
          <w:behavior w:val="content"/>
        </w:behaviors>
        <w:description w:val=""/>
        <w:guid w:val="{23139cd7-b312-45da-841c-03a78e5d369a}"/>
      </w:docPartPr>
      <w:docPartBody>
        <w:p>
          <w:r>
            <w:rPr>
              <w:color w:val="808080"/>
            </w:rPr>
            <w:t>单击此处输入文字。</w:t>
          </w:r>
        </w:p>
      </w:docPartBody>
    </w:docPart>
    <w:docPart>
      <w:docPartPr>
        <w:name w:val="{6f99a89b-1c71-42f5-8617-cc174da0ab51}"/>
        <w:style w:val=""/>
        <w:category>
          <w:name w:val="常规"/>
          <w:gallery w:val="placeholder"/>
        </w:category>
        <w:types>
          <w:type w:val="bbPlcHdr"/>
        </w:types>
        <w:behaviors>
          <w:behavior w:val="content"/>
        </w:behaviors>
        <w:description w:val=""/>
        <w:guid w:val="{6f99a89b-1c71-42f5-8617-cc174da0ab51}"/>
      </w:docPartPr>
      <w:docPartBody>
        <w:p>
          <w:r>
            <w:rPr>
              <w:color w:val="808080"/>
            </w:rPr>
            <w:t>单击此处输入文字。</w:t>
          </w:r>
        </w:p>
      </w:docPartBody>
    </w:docPart>
    <w:docPart>
      <w:docPartPr>
        <w:name w:val="{da5dbbfc-d761-4624-ad95-ebfe5e2d297e}"/>
        <w:style w:val=""/>
        <w:category>
          <w:name w:val="常规"/>
          <w:gallery w:val="placeholder"/>
        </w:category>
        <w:types>
          <w:type w:val="bbPlcHdr"/>
        </w:types>
        <w:behaviors>
          <w:behavior w:val="content"/>
        </w:behaviors>
        <w:description w:val=""/>
        <w:guid w:val="{da5dbbfc-d761-4624-ad95-ebfe5e2d297e}"/>
      </w:docPartPr>
      <w:docPartBody>
        <w:p>
          <w:r>
            <w:rPr>
              <w:color w:val="808080"/>
            </w:rPr>
            <w:t>单击此处输入文字。</w:t>
          </w:r>
        </w:p>
      </w:docPartBody>
    </w:docPart>
    <w:docPart>
      <w:docPartPr>
        <w:name w:val="{1f9c3cfd-95b6-4888-931c-e3924a6d6ab1}"/>
        <w:style w:val=""/>
        <w:category>
          <w:name w:val="常规"/>
          <w:gallery w:val="placeholder"/>
        </w:category>
        <w:types>
          <w:type w:val="bbPlcHdr"/>
        </w:types>
        <w:behaviors>
          <w:behavior w:val="content"/>
        </w:behaviors>
        <w:description w:val=""/>
        <w:guid w:val="{1f9c3cfd-95b6-4888-931c-e3924a6d6ab1}"/>
      </w:docPartPr>
      <w:docPartBody>
        <w:p>
          <w:r>
            <w:rPr>
              <w:color w:val="808080"/>
            </w:rPr>
            <w:t>单击此处输入文字。</w:t>
          </w:r>
        </w:p>
      </w:docPartBody>
    </w:docPart>
    <w:docPart>
      <w:docPartPr>
        <w:name w:val="{384e6a5e-05af-4b54-8244-2489396ac7a5}"/>
        <w:style w:val=""/>
        <w:category>
          <w:name w:val="常规"/>
          <w:gallery w:val="placeholder"/>
        </w:category>
        <w:types>
          <w:type w:val="bbPlcHdr"/>
        </w:types>
        <w:behaviors>
          <w:behavior w:val="content"/>
        </w:behaviors>
        <w:description w:val=""/>
        <w:guid w:val="{384e6a5e-05af-4b54-8244-2489396ac7a5}"/>
      </w:docPartPr>
      <w:docPartBody>
        <w:p>
          <w:r>
            <w:rPr>
              <w:color w:val="808080"/>
            </w:rPr>
            <w:t>单击此处输入文字。</w:t>
          </w:r>
        </w:p>
      </w:docPartBody>
    </w:docPart>
    <w:docPart>
      <w:docPartPr>
        <w:name w:val="{4095d7bd-0ea4-4676-b193-dffcb568e488}"/>
        <w:style w:val=""/>
        <w:category>
          <w:name w:val="常规"/>
          <w:gallery w:val="placeholder"/>
        </w:category>
        <w:types>
          <w:type w:val="bbPlcHdr"/>
        </w:types>
        <w:behaviors>
          <w:behavior w:val="content"/>
        </w:behaviors>
        <w:description w:val=""/>
        <w:guid w:val="{4095d7bd-0ea4-4676-b193-dffcb568e488}"/>
      </w:docPartPr>
      <w:docPartBody>
        <w:p>
          <w:r>
            <w:rPr>
              <w:color w:val="808080"/>
            </w:rPr>
            <w:t>单击此处输入文字。</w:t>
          </w:r>
        </w:p>
      </w:docPartBody>
    </w:docPart>
    <w:docPart>
      <w:docPartPr>
        <w:name w:val="{82aa2007-73ac-431d-8013-31b1622e8005}"/>
        <w:style w:val=""/>
        <w:category>
          <w:name w:val="常规"/>
          <w:gallery w:val="placeholder"/>
        </w:category>
        <w:types>
          <w:type w:val="bbPlcHdr"/>
        </w:types>
        <w:behaviors>
          <w:behavior w:val="content"/>
        </w:behaviors>
        <w:description w:val=""/>
        <w:guid w:val="{82aa2007-73ac-431d-8013-31b1622e8005}"/>
      </w:docPartPr>
      <w:docPartBody>
        <w:p>
          <w:r>
            <w:rPr>
              <w:color w:val="808080"/>
            </w:rPr>
            <w:t>单击此处输入文字。</w:t>
          </w:r>
        </w:p>
      </w:docPartBody>
    </w:docPart>
    <w:docPart>
      <w:docPartPr>
        <w:name w:val="{add1eb75-8b45-4f03-9cd7-9b30337e5380}"/>
        <w:style w:val=""/>
        <w:category>
          <w:name w:val="常规"/>
          <w:gallery w:val="placeholder"/>
        </w:category>
        <w:types>
          <w:type w:val="bbPlcHdr"/>
        </w:types>
        <w:behaviors>
          <w:behavior w:val="content"/>
        </w:behaviors>
        <w:description w:val=""/>
        <w:guid w:val="{add1eb75-8b45-4f03-9cd7-9b30337e5380}"/>
      </w:docPartPr>
      <w:docPartBody>
        <w:p>
          <w:r>
            <w:rPr>
              <w:color w:val="808080"/>
            </w:rPr>
            <w:t>单击此处输入文字。</w:t>
          </w:r>
        </w:p>
      </w:docPartBody>
    </w:docPart>
    <w:docPart>
      <w:docPartPr>
        <w:name w:val="{1250a44c-b4f5-452d-9ee3-82a8c70124b6}"/>
        <w:style w:val=""/>
        <w:category>
          <w:name w:val="常规"/>
          <w:gallery w:val="placeholder"/>
        </w:category>
        <w:types>
          <w:type w:val="bbPlcHdr"/>
        </w:types>
        <w:behaviors>
          <w:behavior w:val="content"/>
        </w:behaviors>
        <w:description w:val=""/>
        <w:guid w:val="{1250a44c-b4f5-452d-9ee3-82a8c70124b6}"/>
      </w:docPartPr>
      <w:docPartBody>
        <w:p>
          <w:r>
            <w:rPr>
              <w:color w:val="808080"/>
            </w:rPr>
            <w:t>单击此处输入文字。</w:t>
          </w:r>
        </w:p>
      </w:docPartBody>
    </w:docPart>
    <w:docPart>
      <w:docPartPr>
        <w:name w:val="{12a3d477-ef49-4bdf-b284-3f996c41707c}"/>
        <w:style w:val=""/>
        <w:category>
          <w:name w:val="常规"/>
          <w:gallery w:val="placeholder"/>
        </w:category>
        <w:types>
          <w:type w:val="bbPlcHdr"/>
        </w:types>
        <w:behaviors>
          <w:behavior w:val="content"/>
        </w:behaviors>
        <w:description w:val=""/>
        <w:guid w:val="{12a3d477-ef49-4bdf-b284-3f996c41707c}"/>
      </w:docPartPr>
      <w:docPartBody>
        <w:p>
          <w:r>
            <w:rPr>
              <w:color w:val="808080"/>
            </w:rPr>
            <w:t>单击此处输入文字。</w:t>
          </w:r>
        </w:p>
      </w:docPartBody>
    </w:docPart>
    <w:docPart>
      <w:docPartPr>
        <w:name w:val="{3082c779-a8db-430c-94ef-f12983ca4e92}"/>
        <w:style w:val=""/>
        <w:category>
          <w:name w:val="常规"/>
          <w:gallery w:val="placeholder"/>
        </w:category>
        <w:types>
          <w:type w:val="bbPlcHdr"/>
        </w:types>
        <w:behaviors>
          <w:behavior w:val="content"/>
        </w:behaviors>
        <w:description w:val=""/>
        <w:guid w:val="{3082c779-a8db-430c-94ef-f12983ca4e92}"/>
      </w:docPartPr>
      <w:docPartBody>
        <w:p>
          <w:r>
            <w:rPr>
              <w:color w:val="808080"/>
            </w:rPr>
            <w:t>单击此处输入文字。</w:t>
          </w:r>
        </w:p>
      </w:docPartBody>
    </w:docPart>
    <w:docPart>
      <w:docPartPr>
        <w:name w:val="{d1f13558-7449-46f8-b42b-3fd712cbe991}"/>
        <w:style w:val=""/>
        <w:category>
          <w:name w:val="常规"/>
          <w:gallery w:val="placeholder"/>
        </w:category>
        <w:types>
          <w:type w:val="bbPlcHdr"/>
        </w:types>
        <w:behaviors>
          <w:behavior w:val="content"/>
        </w:behaviors>
        <w:description w:val=""/>
        <w:guid w:val="{d1f13558-7449-46f8-b42b-3fd712cbe991}"/>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MT Extra">
    <w:panose1 w:val="05050102010205020202"/>
    <w:charset w:val="00"/>
    <w:family w:val="auto"/>
    <w:pitch w:val="default"/>
    <w:sig w:usb0="80000000" w:usb1="00000000" w:usb2="00000000" w:usb3="00000000" w:csb0="00000000" w:csb1="00000000"/>
  </w:font>
  <w:font w:name="Calibri Light">
    <w:altName w:val="Helvetica Neue"/>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oNotDisplayPageBoundaries w:val="1"/>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Office_1.9.1.2994_F1E327BC-269C-435d-A152-05C5408002CA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2020-03-26T13:42:00Z</dcterms:created>
  <dc:creator>zqy</dc:creator>
  <cp:lastModifiedBy>zqy</cp:lastModifiedBy>
  <dcterms:modified xsi:type="dcterms:W3CDTF">2020-03-27T14:31:48Z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2052-1.9.1.2994</vt:lpwstr>
  </property>
</Properties>
</file>